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B5465" w14:textId="77777777" w:rsidR="00E718E0" w:rsidRPr="00E718E0" w:rsidRDefault="00E718E0" w:rsidP="00094DE6">
      <w:pPr>
        <w:spacing w:line="480" w:lineRule="auto"/>
        <w:jc w:val="center"/>
        <w:rPr>
          <w:szCs w:val="18"/>
        </w:rPr>
      </w:pPr>
      <w:r w:rsidRPr="00E718E0">
        <w:rPr>
          <w:szCs w:val="18"/>
        </w:rPr>
        <w:t>UNIVERSITY OF OKLAHOMA</w:t>
      </w:r>
    </w:p>
    <w:p w14:paraId="1F51EFA3" w14:textId="3D617D02" w:rsidR="003A7244" w:rsidRPr="00E718E0" w:rsidRDefault="00E718E0" w:rsidP="00094DE6">
      <w:pPr>
        <w:spacing w:line="480" w:lineRule="auto"/>
        <w:jc w:val="center"/>
        <w:rPr>
          <w:sz w:val="28"/>
          <w:szCs w:val="20"/>
        </w:rPr>
      </w:pPr>
      <w:r w:rsidRPr="00E718E0">
        <w:rPr>
          <w:szCs w:val="18"/>
        </w:rPr>
        <w:t>GRADUATE COLLEGE</w:t>
      </w:r>
    </w:p>
    <w:p w14:paraId="0D185112" w14:textId="78EADF60" w:rsidR="002F3E43" w:rsidRDefault="002F3E43" w:rsidP="00094DE6">
      <w:pPr>
        <w:spacing w:line="480" w:lineRule="auto"/>
        <w:jc w:val="center"/>
        <w:rPr>
          <w:sz w:val="28"/>
          <w:szCs w:val="20"/>
          <w:u w:val="single"/>
        </w:rPr>
      </w:pPr>
    </w:p>
    <w:p w14:paraId="17E44BE6" w14:textId="77777777" w:rsidR="006B6284" w:rsidRPr="00DF6D39" w:rsidRDefault="006B6284" w:rsidP="00094DE6">
      <w:pPr>
        <w:spacing w:line="480" w:lineRule="auto"/>
        <w:jc w:val="center"/>
        <w:rPr>
          <w:b/>
          <w:bCs/>
          <w:sz w:val="28"/>
          <w:szCs w:val="20"/>
        </w:rPr>
      </w:pPr>
    </w:p>
    <w:p w14:paraId="3C7C4FEE" w14:textId="6210880E" w:rsidR="006B6284" w:rsidRPr="00653CD9" w:rsidRDefault="006B6284" w:rsidP="00094DE6">
      <w:pPr>
        <w:spacing w:line="480" w:lineRule="auto"/>
        <w:jc w:val="center"/>
        <w:rPr>
          <w:sz w:val="36"/>
        </w:rPr>
      </w:pPr>
      <w:r w:rsidRPr="00653CD9">
        <w:rPr>
          <w:sz w:val="36"/>
        </w:rPr>
        <w:t>DIFFUSIONAL CONSTRAINTS</w:t>
      </w:r>
      <w:r w:rsidR="002154ED" w:rsidRPr="00653CD9">
        <w:rPr>
          <w:sz w:val="36"/>
        </w:rPr>
        <w:t xml:space="preserve"> </w:t>
      </w:r>
      <w:r w:rsidR="001E71DA" w:rsidRPr="00653CD9">
        <w:rPr>
          <w:sz w:val="36"/>
        </w:rPr>
        <w:t>IMPLICATIONS</w:t>
      </w:r>
      <w:r w:rsidRPr="00653CD9">
        <w:rPr>
          <w:sz w:val="36"/>
        </w:rPr>
        <w:t xml:space="preserve"> IN C-C REACTION</w:t>
      </w:r>
      <w:r w:rsidR="006B1BC5" w:rsidRPr="00653CD9">
        <w:rPr>
          <w:sz w:val="36"/>
        </w:rPr>
        <w:t>S</w:t>
      </w:r>
      <w:r w:rsidRPr="00653CD9">
        <w:rPr>
          <w:sz w:val="36"/>
        </w:rPr>
        <w:t xml:space="preserve"> OVER BRØNSTED ACID SITES</w:t>
      </w:r>
    </w:p>
    <w:p w14:paraId="325ABB7F" w14:textId="5DD7B507" w:rsidR="006B6284" w:rsidRPr="00DF6D39" w:rsidRDefault="006B6284" w:rsidP="00094DE6">
      <w:pPr>
        <w:spacing w:line="480" w:lineRule="auto"/>
        <w:rPr>
          <w:sz w:val="32"/>
        </w:rPr>
      </w:pPr>
    </w:p>
    <w:p w14:paraId="3748A8BB" w14:textId="797DE9F1" w:rsidR="006B6284" w:rsidRPr="00DF6D39" w:rsidRDefault="006B6284" w:rsidP="00094DE6">
      <w:pPr>
        <w:spacing w:line="480" w:lineRule="auto"/>
        <w:jc w:val="center"/>
        <w:rPr>
          <w:sz w:val="32"/>
        </w:rPr>
      </w:pPr>
    </w:p>
    <w:p w14:paraId="6E84C4D9" w14:textId="77777777" w:rsidR="006B6284" w:rsidRPr="00DF6D39" w:rsidRDefault="006B6284" w:rsidP="00094DE6">
      <w:pPr>
        <w:spacing w:line="480" w:lineRule="auto"/>
        <w:jc w:val="center"/>
        <w:rPr>
          <w:sz w:val="32"/>
        </w:rPr>
      </w:pPr>
    </w:p>
    <w:p w14:paraId="78CBAF07" w14:textId="5B2762F2" w:rsidR="00E718E0" w:rsidRPr="00DF6D39" w:rsidRDefault="00EA0163" w:rsidP="00094DE6">
      <w:pPr>
        <w:spacing w:line="480" w:lineRule="auto"/>
        <w:jc w:val="center"/>
        <w:rPr>
          <w:szCs w:val="18"/>
        </w:rPr>
      </w:pPr>
      <w:r>
        <w:rPr>
          <w:szCs w:val="18"/>
        </w:rPr>
        <w:t>A DISSERTATION</w:t>
      </w:r>
    </w:p>
    <w:p w14:paraId="3906AB23" w14:textId="77777777" w:rsidR="00E718E0" w:rsidRPr="00DF6D39" w:rsidRDefault="00E718E0" w:rsidP="00094DE6">
      <w:pPr>
        <w:spacing w:line="480" w:lineRule="auto"/>
        <w:jc w:val="center"/>
        <w:rPr>
          <w:szCs w:val="18"/>
        </w:rPr>
      </w:pPr>
      <w:r w:rsidRPr="00DF6D39">
        <w:rPr>
          <w:szCs w:val="18"/>
        </w:rPr>
        <w:t>SUBMITTED TO THE GRADUATE FACULTY</w:t>
      </w:r>
    </w:p>
    <w:p w14:paraId="4FE0207A" w14:textId="77777777" w:rsidR="00E718E0" w:rsidRPr="00DF6D39" w:rsidRDefault="00E718E0" w:rsidP="00094DE6">
      <w:pPr>
        <w:spacing w:line="480" w:lineRule="auto"/>
        <w:jc w:val="center"/>
        <w:rPr>
          <w:szCs w:val="18"/>
        </w:rPr>
      </w:pPr>
      <w:r w:rsidRPr="00DF6D39">
        <w:rPr>
          <w:szCs w:val="18"/>
        </w:rPr>
        <w:t>in partial fulfillment of the requirements for the</w:t>
      </w:r>
    </w:p>
    <w:p w14:paraId="644ABC17" w14:textId="77777777" w:rsidR="00E718E0" w:rsidRPr="00DF6D39" w:rsidRDefault="00E718E0" w:rsidP="00094DE6">
      <w:pPr>
        <w:spacing w:line="480" w:lineRule="auto"/>
        <w:jc w:val="center"/>
        <w:rPr>
          <w:szCs w:val="18"/>
        </w:rPr>
      </w:pPr>
      <w:r w:rsidRPr="00DF6D39">
        <w:rPr>
          <w:szCs w:val="18"/>
        </w:rPr>
        <w:t>Degree of</w:t>
      </w:r>
    </w:p>
    <w:p w14:paraId="5FA5AF79" w14:textId="221E9B0B" w:rsidR="002F3E43" w:rsidRPr="00DF6D39" w:rsidRDefault="00E718E0" w:rsidP="00094DE6">
      <w:pPr>
        <w:spacing w:line="480" w:lineRule="auto"/>
        <w:jc w:val="center"/>
        <w:rPr>
          <w:szCs w:val="18"/>
        </w:rPr>
      </w:pPr>
      <w:r w:rsidRPr="00DF6D39">
        <w:rPr>
          <w:szCs w:val="18"/>
        </w:rPr>
        <w:t>DOCTOR OF PHILOSOPHY</w:t>
      </w:r>
    </w:p>
    <w:p w14:paraId="65E8F482" w14:textId="34F8FC4A" w:rsidR="00E718E0" w:rsidRPr="00DF6D39" w:rsidRDefault="00E718E0" w:rsidP="00094DE6">
      <w:pPr>
        <w:pStyle w:val="Default"/>
        <w:spacing w:line="480" w:lineRule="auto"/>
        <w:rPr>
          <w:color w:val="auto"/>
        </w:rPr>
      </w:pPr>
    </w:p>
    <w:p w14:paraId="4EF36D49" w14:textId="6BB47185" w:rsidR="00E718E0" w:rsidRDefault="00E718E0" w:rsidP="00094DE6">
      <w:pPr>
        <w:pStyle w:val="Default"/>
        <w:spacing w:line="480" w:lineRule="auto"/>
        <w:rPr>
          <w:color w:val="auto"/>
        </w:rPr>
      </w:pPr>
    </w:p>
    <w:p w14:paraId="681F881C" w14:textId="77777777" w:rsidR="006C5549" w:rsidRPr="00DF6D39" w:rsidRDefault="006C5549" w:rsidP="00094DE6">
      <w:pPr>
        <w:pStyle w:val="Default"/>
        <w:spacing w:line="480" w:lineRule="auto"/>
        <w:rPr>
          <w:color w:val="auto"/>
        </w:rPr>
      </w:pPr>
    </w:p>
    <w:p w14:paraId="0473D9A8" w14:textId="50986525" w:rsidR="00E718E0" w:rsidRPr="00DF6D39" w:rsidRDefault="009075FE" w:rsidP="00094DE6">
      <w:pPr>
        <w:pStyle w:val="Default"/>
        <w:spacing w:line="480" w:lineRule="auto"/>
        <w:jc w:val="center"/>
        <w:rPr>
          <w:color w:val="auto"/>
        </w:rPr>
      </w:pPr>
      <w:r>
        <w:rPr>
          <w:color w:val="auto"/>
        </w:rPr>
        <w:t>By</w:t>
      </w:r>
    </w:p>
    <w:p w14:paraId="67ACF670" w14:textId="71771B93" w:rsidR="00E718E0" w:rsidRPr="00DF6D39" w:rsidRDefault="00E718E0" w:rsidP="00094DE6">
      <w:pPr>
        <w:pStyle w:val="Default"/>
        <w:spacing w:line="480" w:lineRule="auto"/>
        <w:jc w:val="center"/>
        <w:rPr>
          <w:color w:val="auto"/>
        </w:rPr>
      </w:pPr>
    </w:p>
    <w:p w14:paraId="0169BE08" w14:textId="44CFFAC6" w:rsidR="00E718E0" w:rsidRPr="009075FE" w:rsidRDefault="009075FE" w:rsidP="00305D4F">
      <w:pPr>
        <w:pStyle w:val="Default"/>
        <w:spacing w:line="360" w:lineRule="auto"/>
        <w:jc w:val="center"/>
        <w:rPr>
          <w:color w:val="auto"/>
          <w:lang w:val="pt-BR"/>
        </w:rPr>
      </w:pPr>
      <w:r w:rsidRPr="009075FE">
        <w:rPr>
          <w:color w:val="auto"/>
          <w:lang w:val="pt-BR"/>
        </w:rPr>
        <w:t>NILSON FRANCISCO LADAIM DE P</w:t>
      </w:r>
      <w:r>
        <w:rPr>
          <w:color w:val="auto"/>
          <w:lang w:val="pt-BR"/>
        </w:rPr>
        <w:t>AULA</w:t>
      </w:r>
    </w:p>
    <w:p w14:paraId="3506F849" w14:textId="5136910E" w:rsidR="00E718E0" w:rsidRPr="003513F1" w:rsidRDefault="00E718E0" w:rsidP="00305D4F">
      <w:pPr>
        <w:pStyle w:val="Default"/>
        <w:spacing w:line="360" w:lineRule="auto"/>
        <w:jc w:val="center"/>
        <w:rPr>
          <w:color w:val="auto"/>
          <w:lang w:val="pt-BR"/>
        </w:rPr>
      </w:pPr>
      <w:r w:rsidRPr="003513F1">
        <w:rPr>
          <w:color w:val="auto"/>
          <w:lang w:val="pt-BR"/>
        </w:rPr>
        <w:t>Norman, Oklahoma</w:t>
      </w:r>
    </w:p>
    <w:p w14:paraId="2F4746D3" w14:textId="76B4B659" w:rsidR="00BC2027" w:rsidRPr="00DF6D39" w:rsidRDefault="00E718E0" w:rsidP="00305D4F">
      <w:pPr>
        <w:spacing w:line="360" w:lineRule="auto"/>
        <w:jc w:val="center"/>
        <w:sectPr w:rsidR="00BC2027" w:rsidRPr="00DF6D39" w:rsidSect="00A125DE">
          <w:footerReference w:type="default" r:id="rId8"/>
          <w:footerReference w:type="first" r:id="rId9"/>
          <w:pgSz w:w="12240" w:h="15840"/>
          <w:pgMar w:top="1440" w:right="1800" w:bottom="1440" w:left="1800" w:header="720" w:footer="720" w:gutter="0"/>
          <w:pgNumType w:fmt="lowerRoman" w:start="1"/>
          <w:cols w:space="720"/>
          <w:titlePg/>
          <w:docGrid w:linePitch="360"/>
        </w:sectPr>
      </w:pPr>
      <w:r w:rsidRPr="00DF6D39">
        <w:t>202</w:t>
      </w:r>
      <w:r w:rsidR="009075FE">
        <w:t>3</w:t>
      </w:r>
    </w:p>
    <w:p w14:paraId="19D4B2A5" w14:textId="77777777" w:rsidR="006C5549" w:rsidRPr="00DF6D39" w:rsidRDefault="006C5549" w:rsidP="006C5549">
      <w:pPr>
        <w:spacing w:line="480" w:lineRule="auto"/>
        <w:jc w:val="center"/>
        <w:rPr>
          <w:b/>
          <w:bCs/>
          <w:sz w:val="28"/>
          <w:szCs w:val="20"/>
        </w:rPr>
      </w:pPr>
    </w:p>
    <w:p w14:paraId="6DC9A987" w14:textId="77777777" w:rsidR="00713E75" w:rsidRDefault="006C5549" w:rsidP="006C5549">
      <w:pPr>
        <w:spacing w:line="480" w:lineRule="auto"/>
        <w:jc w:val="center"/>
        <w:rPr>
          <w:sz w:val="28"/>
          <w:szCs w:val="20"/>
        </w:rPr>
      </w:pPr>
      <w:r w:rsidRPr="002E7782">
        <w:rPr>
          <w:sz w:val="28"/>
          <w:szCs w:val="20"/>
        </w:rPr>
        <w:t>DIFFUSIONAL CONSTRAINTS</w:t>
      </w:r>
      <w:r>
        <w:rPr>
          <w:sz w:val="28"/>
          <w:szCs w:val="20"/>
        </w:rPr>
        <w:t xml:space="preserve"> IMPLICATIONS</w:t>
      </w:r>
      <w:r w:rsidRPr="002E7782">
        <w:rPr>
          <w:sz w:val="28"/>
          <w:szCs w:val="20"/>
        </w:rPr>
        <w:t xml:space="preserve"> IN C-C </w:t>
      </w:r>
    </w:p>
    <w:p w14:paraId="0FD6122D" w14:textId="48D9FCF2" w:rsidR="006C5549" w:rsidRPr="002E7782" w:rsidRDefault="006C5549" w:rsidP="006C5549">
      <w:pPr>
        <w:spacing w:line="480" w:lineRule="auto"/>
        <w:jc w:val="center"/>
        <w:rPr>
          <w:sz w:val="28"/>
          <w:szCs w:val="20"/>
        </w:rPr>
      </w:pPr>
      <w:r w:rsidRPr="002E7782">
        <w:rPr>
          <w:sz w:val="28"/>
          <w:szCs w:val="20"/>
        </w:rPr>
        <w:t>REACTION</w:t>
      </w:r>
      <w:r>
        <w:rPr>
          <w:sz w:val="28"/>
          <w:szCs w:val="20"/>
        </w:rPr>
        <w:t>S</w:t>
      </w:r>
      <w:r w:rsidRPr="002E7782">
        <w:rPr>
          <w:sz w:val="28"/>
          <w:szCs w:val="20"/>
        </w:rPr>
        <w:t xml:space="preserve"> OVER BRØNSTED ACID SITES</w:t>
      </w:r>
    </w:p>
    <w:p w14:paraId="2283FE99" w14:textId="77777777" w:rsidR="006C5549" w:rsidRDefault="006C5549" w:rsidP="006C5549">
      <w:pPr>
        <w:spacing w:line="480" w:lineRule="auto"/>
        <w:rPr>
          <w:sz w:val="32"/>
        </w:rPr>
      </w:pPr>
    </w:p>
    <w:p w14:paraId="7540AF56" w14:textId="77777777" w:rsidR="00305D4F" w:rsidRPr="00DF6D39" w:rsidRDefault="00305D4F" w:rsidP="006C5549">
      <w:pPr>
        <w:spacing w:line="480" w:lineRule="auto"/>
        <w:rPr>
          <w:sz w:val="32"/>
        </w:rPr>
      </w:pPr>
    </w:p>
    <w:p w14:paraId="31EF5C1A" w14:textId="77777777" w:rsidR="006C5549" w:rsidRDefault="006C5549" w:rsidP="00305D4F">
      <w:pPr>
        <w:spacing w:line="360" w:lineRule="auto"/>
        <w:jc w:val="center"/>
        <w:rPr>
          <w:szCs w:val="18"/>
        </w:rPr>
      </w:pPr>
      <w:r>
        <w:rPr>
          <w:szCs w:val="18"/>
        </w:rPr>
        <w:t xml:space="preserve">A DISSERTATION APPROVED FOR THE </w:t>
      </w:r>
    </w:p>
    <w:p w14:paraId="0C6E963A" w14:textId="74C48355" w:rsidR="006C5549" w:rsidRPr="00DF6D39" w:rsidRDefault="006C5549" w:rsidP="00305D4F">
      <w:pPr>
        <w:spacing w:line="360" w:lineRule="auto"/>
        <w:jc w:val="center"/>
        <w:rPr>
          <w:szCs w:val="18"/>
        </w:rPr>
      </w:pPr>
      <w:r>
        <w:rPr>
          <w:szCs w:val="18"/>
        </w:rPr>
        <w:t>SCHOOL OF CHEMICAL, BIOLOGICAL AND MATERIALS ENGINEERING</w:t>
      </w:r>
    </w:p>
    <w:p w14:paraId="58211AC1" w14:textId="77777777" w:rsidR="006C5549" w:rsidRDefault="006C5549" w:rsidP="006C5549">
      <w:pPr>
        <w:pStyle w:val="Default"/>
        <w:spacing w:line="480" w:lineRule="auto"/>
        <w:rPr>
          <w:color w:val="auto"/>
        </w:rPr>
      </w:pPr>
    </w:p>
    <w:p w14:paraId="3DC9A779" w14:textId="77777777" w:rsidR="001A3886" w:rsidRDefault="001A3886" w:rsidP="006C5549">
      <w:pPr>
        <w:pStyle w:val="Default"/>
        <w:spacing w:line="480" w:lineRule="auto"/>
        <w:rPr>
          <w:color w:val="auto"/>
        </w:rPr>
      </w:pPr>
    </w:p>
    <w:p w14:paraId="75E9C714" w14:textId="77777777" w:rsidR="00305D4F" w:rsidRDefault="00305D4F" w:rsidP="006C5549">
      <w:pPr>
        <w:pStyle w:val="Default"/>
        <w:spacing w:line="480" w:lineRule="auto"/>
        <w:rPr>
          <w:color w:val="auto"/>
        </w:rPr>
      </w:pPr>
    </w:p>
    <w:p w14:paraId="087392A2" w14:textId="77777777" w:rsidR="001A3886" w:rsidRDefault="001A3886" w:rsidP="006C5549">
      <w:pPr>
        <w:pStyle w:val="Default"/>
        <w:spacing w:line="480" w:lineRule="auto"/>
        <w:rPr>
          <w:color w:val="auto"/>
        </w:rPr>
      </w:pPr>
    </w:p>
    <w:p w14:paraId="59BE4A15" w14:textId="77777777" w:rsidR="001A3886" w:rsidRPr="00DF6D39" w:rsidRDefault="001A3886" w:rsidP="006C5549">
      <w:pPr>
        <w:pStyle w:val="Default"/>
        <w:spacing w:line="480" w:lineRule="auto"/>
        <w:rPr>
          <w:color w:val="auto"/>
        </w:rPr>
      </w:pPr>
    </w:p>
    <w:p w14:paraId="090C351C" w14:textId="0870A135" w:rsidR="006C5549" w:rsidRPr="003513F1" w:rsidRDefault="006C5549" w:rsidP="006C5549">
      <w:pPr>
        <w:pStyle w:val="Default"/>
        <w:spacing w:line="480" w:lineRule="auto"/>
        <w:jc w:val="center"/>
        <w:rPr>
          <w:color w:val="auto"/>
        </w:rPr>
      </w:pPr>
      <w:r w:rsidRPr="003513F1">
        <w:rPr>
          <w:color w:val="auto"/>
        </w:rPr>
        <w:t>B</w:t>
      </w:r>
      <w:r w:rsidR="0083435E">
        <w:rPr>
          <w:color w:val="auto"/>
        </w:rPr>
        <w:t>Y THE COMMITTEE CONSISTING OF</w:t>
      </w:r>
    </w:p>
    <w:p w14:paraId="345E223A" w14:textId="77777777" w:rsidR="006C5549" w:rsidRPr="003513F1" w:rsidRDefault="006C5549" w:rsidP="006C5549">
      <w:pPr>
        <w:pStyle w:val="Default"/>
        <w:spacing w:line="480" w:lineRule="auto"/>
        <w:jc w:val="center"/>
        <w:rPr>
          <w:color w:val="auto"/>
        </w:rPr>
      </w:pPr>
    </w:p>
    <w:p w14:paraId="7887CDA0" w14:textId="77777777" w:rsidR="001A3886" w:rsidRPr="003513F1" w:rsidRDefault="001A3886" w:rsidP="006C5549">
      <w:pPr>
        <w:pStyle w:val="Default"/>
        <w:spacing w:line="480" w:lineRule="auto"/>
        <w:jc w:val="center"/>
        <w:rPr>
          <w:color w:val="auto"/>
        </w:rPr>
      </w:pPr>
    </w:p>
    <w:p w14:paraId="3D447DD0" w14:textId="77777777" w:rsidR="006C5549" w:rsidRPr="003513F1" w:rsidRDefault="006C5549" w:rsidP="001A3886">
      <w:pPr>
        <w:pStyle w:val="Default"/>
        <w:spacing w:line="480" w:lineRule="auto"/>
        <w:jc w:val="right"/>
        <w:rPr>
          <w:color w:val="auto"/>
        </w:rPr>
      </w:pPr>
      <w:r w:rsidRPr="003513F1">
        <w:rPr>
          <w:color w:val="auto"/>
        </w:rPr>
        <w:t>Dr. Daniel E. Resasco, Chair</w:t>
      </w:r>
    </w:p>
    <w:p w14:paraId="48E7FCA9" w14:textId="77777777" w:rsidR="006C5549" w:rsidRPr="006C5549" w:rsidRDefault="006C5549" w:rsidP="001A3886">
      <w:pPr>
        <w:pStyle w:val="Default"/>
        <w:spacing w:line="480" w:lineRule="auto"/>
        <w:jc w:val="right"/>
        <w:rPr>
          <w:color w:val="auto"/>
        </w:rPr>
      </w:pPr>
      <w:r w:rsidRPr="006C5549">
        <w:rPr>
          <w:color w:val="auto"/>
        </w:rPr>
        <w:t>Dr. Steven P. Crossley</w:t>
      </w:r>
    </w:p>
    <w:p w14:paraId="4CBD9586" w14:textId="77777777" w:rsidR="006C5549" w:rsidRPr="006C5549" w:rsidRDefault="006C5549" w:rsidP="001A3886">
      <w:pPr>
        <w:pStyle w:val="Default"/>
        <w:spacing w:line="480" w:lineRule="auto"/>
        <w:jc w:val="right"/>
        <w:rPr>
          <w:color w:val="auto"/>
        </w:rPr>
      </w:pPr>
      <w:r w:rsidRPr="006C5549">
        <w:rPr>
          <w:color w:val="auto"/>
        </w:rPr>
        <w:t>Dr. Bin Wang</w:t>
      </w:r>
    </w:p>
    <w:p w14:paraId="3B9C5B44" w14:textId="77777777" w:rsidR="001A3886" w:rsidRPr="003513F1" w:rsidRDefault="006C5549" w:rsidP="001A3886">
      <w:pPr>
        <w:pStyle w:val="Default"/>
        <w:spacing w:line="480" w:lineRule="auto"/>
        <w:jc w:val="right"/>
        <w:rPr>
          <w:color w:val="auto"/>
        </w:rPr>
      </w:pPr>
      <w:r w:rsidRPr="003513F1">
        <w:rPr>
          <w:color w:val="auto"/>
        </w:rPr>
        <w:t>Dr. Lance Lobban</w:t>
      </w:r>
    </w:p>
    <w:p w14:paraId="4A7130E1" w14:textId="0826DEBD" w:rsidR="006C5549" w:rsidRPr="00DF6D39" w:rsidRDefault="001A3886" w:rsidP="001A3886">
      <w:pPr>
        <w:pStyle w:val="Default"/>
        <w:spacing w:line="480" w:lineRule="auto"/>
        <w:jc w:val="right"/>
        <w:sectPr w:rsidR="006C5549" w:rsidRPr="00DF6D39" w:rsidSect="00A125DE">
          <w:footerReference w:type="default" r:id="rId10"/>
          <w:footerReference w:type="first" r:id="rId11"/>
          <w:pgSz w:w="12240" w:h="15840"/>
          <w:pgMar w:top="1440" w:right="1800" w:bottom="1440" w:left="1800" w:header="720" w:footer="720" w:gutter="0"/>
          <w:pgNumType w:fmt="lowerRoman" w:start="1"/>
          <w:cols w:space="720"/>
          <w:titlePg/>
          <w:docGrid w:linePitch="360"/>
        </w:sectPr>
      </w:pPr>
      <w:r w:rsidRPr="003513F1">
        <w:rPr>
          <w:color w:val="auto"/>
        </w:rPr>
        <w:t>Dr. Elizabeth C. Butler</w:t>
      </w:r>
    </w:p>
    <w:p w14:paraId="33A01DCE" w14:textId="77777777" w:rsidR="004C1259" w:rsidRDefault="004C1259" w:rsidP="00CB65A0">
      <w:pPr>
        <w:pStyle w:val="TOCHeading"/>
        <w:spacing w:line="480" w:lineRule="auto"/>
        <w:rPr>
          <w:rFonts w:ascii="Times New Roman" w:hAnsi="Times New Roman" w:cs="Times New Roman"/>
          <w:color w:val="auto"/>
          <w:sz w:val="24"/>
          <w:szCs w:val="24"/>
        </w:rPr>
      </w:pPr>
    </w:p>
    <w:p w14:paraId="1BA7F4A4" w14:textId="77777777" w:rsidR="00A60D3F" w:rsidRDefault="00A60D3F" w:rsidP="00A60D3F"/>
    <w:p w14:paraId="42C74284" w14:textId="77777777" w:rsidR="00A60D3F" w:rsidRDefault="00A60D3F" w:rsidP="00A60D3F"/>
    <w:p w14:paraId="15F04E3B" w14:textId="77777777" w:rsidR="00A60D3F" w:rsidRDefault="00A60D3F" w:rsidP="00A60D3F"/>
    <w:p w14:paraId="7C967BB9" w14:textId="77777777" w:rsidR="00A60D3F" w:rsidRDefault="00A60D3F" w:rsidP="00A60D3F"/>
    <w:p w14:paraId="33DA9B53" w14:textId="77777777" w:rsidR="00A60D3F" w:rsidRDefault="00A60D3F" w:rsidP="00A60D3F"/>
    <w:p w14:paraId="72768F06" w14:textId="77777777" w:rsidR="00A60D3F" w:rsidRDefault="00A60D3F" w:rsidP="00A60D3F"/>
    <w:p w14:paraId="141297AA" w14:textId="77777777" w:rsidR="00A60D3F" w:rsidRDefault="00A60D3F" w:rsidP="00A60D3F"/>
    <w:p w14:paraId="47795A2F" w14:textId="77777777" w:rsidR="00A60D3F" w:rsidRDefault="00A60D3F" w:rsidP="00A60D3F"/>
    <w:p w14:paraId="4262B084" w14:textId="77777777" w:rsidR="00A60D3F" w:rsidRDefault="00A60D3F" w:rsidP="00A60D3F"/>
    <w:p w14:paraId="16D12785" w14:textId="77777777" w:rsidR="00A60D3F" w:rsidRDefault="00A60D3F" w:rsidP="00A60D3F"/>
    <w:p w14:paraId="3BD72EF1" w14:textId="77777777" w:rsidR="00A60D3F" w:rsidRDefault="00A60D3F" w:rsidP="00A60D3F"/>
    <w:p w14:paraId="6D2213DB" w14:textId="77777777" w:rsidR="00A60D3F" w:rsidRDefault="00A60D3F" w:rsidP="00A60D3F"/>
    <w:p w14:paraId="4D211CA3" w14:textId="77777777" w:rsidR="00A60D3F" w:rsidRDefault="00A60D3F" w:rsidP="00A60D3F"/>
    <w:p w14:paraId="661F02A0" w14:textId="77777777" w:rsidR="00A60D3F" w:rsidRDefault="00A60D3F" w:rsidP="00A60D3F"/>
    <w:p w14:paraId="0221129A" w14:textId="77777777" w:rsidR="00A60D3F" w:rsidRDefault="00A60D3F" w:rsidP="00A60D3F"/>
    <w:p w14:paraId="4A495505" w14:textId="77777777" w:rsidR="00A60D3F" w:rsidRDefault="00A60D3F" w:rsidP="00A60D3F"/>
    <w:p w14:paraId="58FB6FDA" w14:textId="77777777" w:rsidR="00A60D3F" w:rsidRDefault="00A60D3F" w:rsidP="00A60D3F"/>
    <w:p w14:paraId="0FBD7463" w14:textId="77777777" w:rsidR="00A60D3F" w:rsidRDefault="00A60D3F" w:rsidP="00A60D3F"/>
    <w:p w14:paraId="52AA44C5" w14:textId="77777777" w:rsidR="00A60D3F" w:rsidRDefault="00A60D3F" w:rsidP="00A60D3F"/>
    <w:p w14:paraId="1EDCA7A8" w14:textId="77777777" w:rsidR="00A60D3F" w:rsidRDefault="00A60D3F" w:rsidP="00A60D3F"/>
    <w:p w14:paraId="570DD976" w14:textId="77777777" w:rsidR="00A60D3F" w:rsidRDefault="00A60D3F" w:rsidP="00A60D3F"/>
    <w:p w14:paraId="780DB437" w14:textId="77777777" w:rsidR="00A60D3F" w:rsidRDefault="00A60D3F" w:rsidP="00A60D3F"/>
    <w:p w14:paraId="44AE81F1" w14:textId="77777777" w:rsidR="00A60D3F" w:rsidRDefault="00A60D3F" w:rsidP="00A60D3F"/>
    <w:p w14:paraId="442896F9" w14:textId="77777777" w:rsidR="00A60D3F" w:rsidRDefault="00A60D3F" w:rsidP="00A60D3F"/>
    <w:p w14:paraId="5082DBCD" w14:textId="77777777" w:rsidR="00A60D3F" w:rsidRDefault="00A60D3F" w:rsidP="00A60D3F"/>
    <w:p w14:paraId="2AF9F53C" w14:textId="77777777" w:rsidR="00A60D3F" w:rsidRDefault="00A60D3F" w:rsidP="00A60D3F"/>
    <w:p w14:paraId="3F15E572" w14:textId="77777777" w:rsidR="00A60D3F" w:rsidRDefault="00A60D3F" w:rsidP="00A60D3F"/>
    <w:p w14:paraId="71BE05C9" w14:textId="77777777" w:rsidR="00A60D3F" w:rsidRDefault="00A60D3F" w:rsidP="00A60D3F"/>
    <w:p w14:paraId="316521AA" w14:textId="77777777" w:rsidR="00A60D3F" w:rsidRDefault="00A60D3F" w:rsidP="00A60D3F"/>
    <w:p w14:paraId="37EC7D5A" w14:textId="77777777" w:rsidR="00A60D3F" w:rsidRDefault="00A60D3F" w:rsidP="00A60D3F"/>
    <w:p w14:paraId="1EB0307D" w14:textId="77777777" w:rsidR="00A60D3F" w:rsidRDefault="00A60D3F" w:rsidP="00A60D3F"/>
    <w:p w14:paraId="1F5F71D9" w14:textId="77777777" w:rsidR="00A60D3F" w:rsidRDefault="00A60D3F" w:rsidP="00A60D3F"/>
    <w:p w14:paraId="1D266057" w14:textId="77777777" w:rsidR="00A60D3F" w:rsidRDefault="00A60D3F" w:rsidP="00A60D3F"/>
    <w:p w14:paraId="21027791" w14:textId="77777777" w:rsidR="00A60D3F" w:rsidRDefault="00A60D3F" w:rsidP="00A60D3F"/>
    <w:p w14:paraId="199064E2" w14:textId="77777777" w:rsidR="00A60D3F" w:rsidRDefault="00A60D3F" w:rsidP="00A60D3F"/>
    <w:p w14:paraId="30E800D9" w14:textId="77777777" w:rsidR="00A60D3F" w:rsidRDefault="00A60D3F" w:rsidP="00A60D3F"/>
    <w:p w14:paraId="18535C98" w14:textId="77777777" w:rsidR="00A60D3F" w:rsidRPr="00A60D3F" w:rsidRDefault="00A60D3F" w:rsidP="00A60D3F"/>
    <w:p w14:paraId="594FF1D2" w14:textId="77777777" w:rsidR="004C1259" w:rsidRDefault="004C1259" w:rsidP="00CB65A0">
      <w:pPr>
        <w:pStyle w:val="TOCHeading"/>
        <w:spacing w:line="480" w:lineRule="auto"/>
        <w:rPr>
          <w:rFonts w:ascii="Times New Roman" w:hAnsi="Times New Roman" w:cs="Times New Roman"/>
          <w:color w:val="auto"/>
          <w:sz w:val="24"/>
          <w:szCs w:val="24"/>
        </w:rPr>
      </w:pPr>
    </w:p>
    <w:p w14:paraId="7C364804" w14:textId="6B4B61F5" w:rsidR="004C1259" w:rsidRDefault="00A60D3F" w:rsidP="00A60D3F">
      <w:pPr>
        <w:pStyle w:val="TOCHeading"/>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 Copyright by NILSON FRANCISCO LADAIM DE PAULA</w:t>
      </w:r>
      <w:r w:rsidR="00305D4F">
        <w:rPr>
          <w:rFonts w:ascii="Times New Roman" w:hAnsi="Times New Roman" w:cs="Times New Roman"/>
          <w:color w:val="auto"/>
          <w:sz w:val="24"/>
          <w:szCs w:val="24"/>
        </w:rPr>
        <w:t xml:space="preserve"> 202</w:t>
      </w:r>
      <w:r w:rsidR="006C5CD6">
        <w:rPr>
          <w:rFonts w:ascii="Times New Roman" w:hAnsi="Times New Roman" w:cs="Times New Roman"/>
          <w:color w:val="auto"/>
          <w:sz w:val="24"/>
          <w:szCs w:val="24"/>
        </w:rPr>
        <w:t>3</w:t>
      </w:r>
    </w:p>
    <w:p w14:paraId="1B529344" w14:textId="5C938CC1" w:rsidR="000112C3" w:rsidRDefault="00A60D3F" w:rsidP="00A60D3F">
      <w:pPr>
        <w:spacing w:line="360" w:lineRule="auto"/>
        <w:jc w:val="center"/>
      </w:pPr>
      <w:r>
        <w:t>All Rights Reserved</w:t>
      </w:r>
      <w:r w:rsidR="00AC0850">
        <w:t>.</w:t>
      </w:r>
    </w:p>
    <w:p w14:paraId="0600AB18" w14:textId="65574E1F" w:rsidR="00DD1ADA" w:rsidRDefault="00DD1ADA">
      <w:pPr>
        <w:spacing w:after="120" w:line="276" w:lineRule="auto"/>
      </w:pPr>
    </w:p>
    <w:p w14:paraId="60FDA7DD" w14:textId="77777777" w:rsidR="00A60D3F" w:rsidRDefault="00A60D3F" w:rsidP="00A60D3F">
      <w:pPr>
        <w:spacing w:line="360" w:lineRule="auto"/>
        <w:jc w:val="center"/>
      </w:pPr>
    </w:p>
    <w:p w14:paraId="43A44DE8" w14:textId="77777777" w:rsidR="00A60D3F" w:rsidRDefault="00A60D3F" w:rsidP="00A60D3F"/>
    <w:p w14:paraId="6B1835FF" w14:textId="77777777" w:rsidR="00A60D3F" w:rsidRDefault="00A60D3F" w:rsidP="00A60D3F"/>
    <w:p w14:paraId="15B21315" w14:textId="77777777" w:rsidR="00A60D3F" w:rsidRDefault="00A60D3F" w:rsidP="00A60D3F"/>
    <w:p w14:paraId="77CC7E62" w14:textId="77777777" w:rsidR="00A60D3F" w:rsidRDefault="00A60D3F" w:rsidP="00A60D3F"/>
    <w:p w14:paraId="194DC2A8" w14:textId="77777777" w:rsidR="00A60D3F" w:rsidRDefault="00A60D3F" w:rsidP="00A60D3F"/>
    <w:p w14:paraId="1D6F679F" w14:textId="77777777" w:rsidR="00A60D3F" w:rsidRPr="00A60D3F" w:rsidRDefault="00A60D3F" w:rsidP="00A60D3F"/>
    <w:p w14:paraId="352168D3" w14:textId="2E6A8A15" w:rsidR="0053294B" w:rsidRPr="00B35A42" w:rsidRDefault="00797C9C" w:rsidP="004C1259">
      <w:pPr>
        <w:pStyle w:val="TOCHeading"/>
        <w:spacing w:line="480" w:lineRule="auto"/>
        <w:jc w:val="center"/>
        <w:rPr>
          <w:rFonts w:ascii="Times New Roman" w:hAnsi="Times New Roman" w:cs="Times New Roman"/>
          <w:i/>
          <w:iCs/>
          <w:color w:val="auto"/>
          <w:sz w:val="24"/>
          <w:szCs w:val="24"/>
        </w:rPr>
      </w:pPr>
      <w:r>
        <w:rPr>
          <w:rFonts w:ascii="Times New Roman" w:hAnsi="Times New Roman" w:cs="Times New Roman"/>
          <w:i/>
          <w:iCs/>
          <w:color w:val="auto"/>
          <w:sz w:val="24"/>
          <w:szCs w:val="24"/>
        </w:rPr>
        <w:t>Be the Glory and the Honor given to God</w:t>
      </w:r>
      <w:r w:rsidR="00050005">
        <w:rPr>
          <w:rFonts w:ascii="Times New Roman" w:hAnsi="Times New Roman" w:cs="Times New Roman"/>
          <w:i/>
          <w:iCs/>
          <w:color w:val="auto"/>
          <w:sz w:val="24"/>
          <w:szCs w:val="24"/>
        </w:rPr>
        <w:t>, and God only</w:t>
      </w:r>
      <w:r w:rsidR="00F006DC">
        <w:rPr>
          <w:rFonts w:ascii="Times New Roman" w:hAnsi="Times New Roman" w:cs="Times New Roman"/>
          <w:i/>
          <w:iCs/>
          <w:color w:val="auto"/>
          <w:sz w:val="24"/>
          <w:szCs w:val="24"/>
        </w:rPr>
        <w:t>!</w:t>
      </w:r>
    </w:p>
    <w:p w14:paraId="61C8E3E1" w14:textId="3C466278" w:rsidR="008902F7" w:rsidRPr="00B35A42" w:rsidRDefault="00D62FAF" w:rsidP="004C1259">
      <w:pPr>
        <w:pStyle w:val="TOCHeading"/>
        <w:spacing w:line="480" w:lineRule="auto"/>
        <w:jc w:val="center"/>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With love to </w:t>
      </w:r>
      <w:r w:rsidR="00542630" w:rsidRPr="00B35A42">
        <w:rPr>
          <w:rFonts w:ascii="Times New Roman" w:hAnsi="Times New Roman" w:cs="Times New Roman"/>
          <w:i/>
          <w:iCs/>
          <w:color w:val="auto"/>
          <w:sz w:val="24"/>
          <w:szCs w:val="24"/>
        </w:rPr>
        <w:t xml:space="preserve">my parents </w:t>
      </w:r>
      <w:r w:rsidR="004C1259" w:rsidRPr="00B35A42">
        <w:rPr>
          <w:rFonts w:ascii="Times New Roman" w:hAnsi="Times New Roman" w:cs="Times New Roman"/>
          <w:i/>
          <w:iCs/>
          <w:color w:val="auto"/>
          <w:sz w:val="24"/>
          <w:szCs w:val="24"/>
        </w:rPr>
        <w:t xml:space="preserve">Fernando and Solange </w:t>
      </w:r>
      <w:r w:rsidR="00542630" w:rsidRPr="00B35A42">
        <w:rPr>
          <w:rFonts w:ascii="Times New Roman" w:hAnsi="Times New Roman" w:cs="Times New Roman"/>
          <w:i/>
          <w:iCs/>
          <w:color w:val="auto"/>
          <w:sz w:val="24"/>
          <w:szCs w:val="24"/>
        </w:rPr>
        <w:t xml:space="preserve">for their </w:t>
      </w:r>
      <w:r w:rsidR="00AE364B" w:rsidRPr="00B35A42">
        <w:rPr>
          <w:rFonts w:ascii="Times New Roman" w:hAnsi="Times New Roman" w:cs="Times New Roman"/>
          <w:i/>
          <w:iCs/>
          <w:color w:val="auto"/>
          <w:sz w:val="24"/>
          <w:szCs w:val="24"/>
        </w:rPr>
        <w:t>tireless efforts for goods</w:t>
      </w:r>
      <w:r w:rsidR="00C11267">
        <w:rPr>
          <w:rFonts w:ascii="Times New Roman" w:hAnsi="Times New Roman" w:cs="Times New Roman"/>
          <w:i/>
          <w:iCs/>
          <w:color w:val="auto"/>
          <w:sz w:val="24"/>
          <w:szCs w:val="24"/>
        </w:rPr>
        <w:t>,</w:t>
      </w:r>
      <w:r w:rsidR="00B35A42">
        <w:rPr>
          <w:rFonts w:ascii="Times New Roman" w:hAnsi="Times New Roman" w:cs="Times New Roman"/>
          <w:i/>
          <w:iCs/>
          <w:color w:val="auto"/>
          <w:sz w:val="24"/>
          <w:szCs w:val="24"/>
        </w:rPr>
        <w:t xml:space="preserve"> and my </w:t>
      </w:r>
      <w:r w:rsidR="00F437BA">
        <w:rPr>
          <w:rFonts w:ascii="Times New Roman" w:hAnsi="Times New Roman" w:cs="Times New Roman"/>
          <w:i/>
          <w:iCs/>
          <w:color w:val="auto"/>
          <w:sz w:val="24"/>
          <w:szCs w:val="24"/>
        </w:rPr>
        <w:t xml:space="preserve">whole </w:t>
      </w:r>
      <w:r w:rsidR="00B35A42">
        <w:rPr>
          <w:rFonts w:ascii="Times New Roman" w:hAnsi="Times New Roman" w:cs="Times New Roman"/>
          <w:i/>
          <w:iCs/>
          <w:color w:val="auto"/>
          <w:sz w:val="24"/>
          <w:szCs w:val="24"/>
        </w:rPr>
        <w:t xml:space="preserve">family </w:t>
      </w:r>
      <w:r w:rsidR="00F437BA">
        <w:rPr>
          <w:rFonts w:ascii="Times New Roman" w:hAnsi="Times New Roman" w:cs="Times New Roman"/>
          <w:i/>
          <w:iCs/>
          <w:color w:val="auto"/>
          <w:sz w:val="24"/>
          <w:szCs w:val="24"/>
        </w:rPr>
        <w:t>and friends</w:t>
      </w:r>
      <w:r>
        <w:rPr>
          <w:rFonts w:ascii="Times New Roman" w:hAnsi="Times New Roman" w:cs="Times New Roman"/>
          <w:i/>
          <w:iCs/>
          <w:color w:val="auto"/>
          <w:sz w:val="24"/>
          <w:szCs w:val="24"/>
        </w:rPr>
        <w:t>.</w:t>
      </w:r>
    </w:p>
    <w:p w14:paraId="139E79BF" w14:textId="34A3FE0A" w:rsidR="00205977" w:rsidRPr="00F80DC5" w:rsidRDefault="00D951F6" w:rsidP="00F80DC5">
      <w:pPr>
        <w:rPr>
          <w:i/>
          <w:iCs/>
        </w:rPr>
      </w:pPr>
      <w:r w:rsidRPr="00B35A42">
        <w:rPr>
          <w:i/>
          <w:iCs/>
        </w:rPr>
        <w:br w:type="page"/>
      </w:r>
    </w:p>
    <w:p w14:paraId="4983566E" w14:textId="39538FF3" w:rsidR="00205977" w:rsidRPr="0048189E" w:rsidRDefault="00F80DC5" w:rsidP="0048189E">
      <w:pPr>
        <w:pStyle w:val="Heading1"/>
        <w:rPr>
          <w:i/>
          <w:sz w:val="36"/>
          <w:szCs w:val="44"/>
        </w:rPr>
      </w:pPr>
      <w:bookmarkStart w:id="0" w:name="_Toc132924170"/>
      <w:r w:rsidRPr="0048189E">
        <w:rPr>
          <w:i/>
          <w:sz w:val="36"/>
          <w:szCs w:val="44"/>
        </w:rPr>
        <w:lastRenderedPageBreak/>
        <w:t>Acknowledgements</w:t>
      </w:r>
      <w:bookmarkEnd w:id="0"/>
    </w:p>
    <w:p w14:paraId="32F3137D" w14:textId="3F0557F4" w:rsidR="00A13EBF" w:rsidRDefault="00A22C1C" w:rsidP="00F80DC5">
      <w:pPr>
        <w:spacing w:line="480" w:lineRule="auto"/>
        <w:jc w:val="both"/>
      </w:pPr>
      <w:r>
        <w:tab/>
      </w:r>
      <w:r w:rsidR="006F7195" w:rsidRPr="006F7195">
        <w:t>First, I would like t</w:t>
      </w:r>
      <w:r w:rsidR="006F7195">
        <w:t xml:space="preserve">o thank God. In the moments of greatest </w:t>
      </w:r>
      <w:r w:rsidR="003D4651">
        <w:t>need,</w:t>
      </w:r>
      <w:r w:rsidR="00817F8F">
        <w:t xml:space="preserve"> I could find comfort in </w:t>
      </w:r>
      <w:r w:rsidR="00EA2FE2">
        <w:t>His Words</w:t>
      </w:r>
      <w:r w:rsidR="00817F8F">
        <w:t xml:space="preserve">. </w:t>
      </w:r>
      <w:r w:rsidR="00072228">
        <w:t xml:space="preserve">Without Him I would never </w:t>
      </w:r>
      <w:r w:rsidR="003D4651">
        <w:t>have</w:t>
      </w:r>
      <w:r w:rsidR="00072228">
        <w:t xml:space="preserve"> reached this point and for this I </w:t>
      </w:r>
      <w:r w:rsidR="00BB7378">
        <w:t>owe</w:t>
      </w:r>
      <w:r w:rsidR="00072228">
        <w:t xml:space="preserve"> Him everything. </w:t>
      </w:r>
    </w:p>
    <w:p w14:paraId="048017F7" w14:textId="73EEE80C" w:rsidR="00A13EBF" w:rsidRDefault="00A13EBF" w:rsidP="0075719B">
      <w:pPr>
        <w:spacing w:line="480" w:lineRule="auto"/>
        <w:jc w:val="both"/>
      </w:pPr>
      <w:r>
        <w:tab/>
        <w:t>Second, I would like to express my greatest gratitude to my advisor Dr. Daniel Resasco</w:t>
      </w:r>
      <w:r w:rsidR="008962DF">
        <w:t xml:space="preserve">, who has always helped me encouraging to </w:t>
      </w:r>
      <w:r w:rsidR="00474311">
        <w:t xml:space="preserve">think beyond and </w:t>
      </w:r>
      <w:r w:rsidR="00D97AA2">
        <w:t>beyond</w:t>
      </w:r>
      <w:r w:rsidR="00474311">
        <w:t xml:space="preserve">. </w:t>
      </w:r>
      <w:r w:rsidR="00E271A6" w:rsidRPr="00E271A6">
        <w:t xml:space="preserve">Your feedback and encouragement have been </w:t>
      </w:r>
      <w:r w:rsidR="00E271A6">
        <w:t>essential</w:t>
      </w:r>
      <w:r w:rsidR="00E271A6" w:rsidRPr="00E271A6">
        <w:t xml:space="preserve"> in shaping my research and helping me navigate the academic landscape.</w:t>
      </w:r>
      <w:r w:rsidR="00E271A6">
        <w:t xml:space="preserve"> </w:t>
      </w:r>
      <w:r w:rsidR="00474311">
        <w:t xml:space="preserve">A person </w:t>
      </w:r>
      <w:r w:rsidR="00B34171">
        <w:t xml:space="preserve">that I will </w:t>
      </w:r>
      <w:r w:rsidR="007578B1">
        <w:t xml:space="preserve">forever </w:t>
      </w:r>
      <w:r w:rsidR="003D4651">
        <w:t xml:space="preserve">be </w:t>
      </w:r>
      <w:r w:rsidR="00B34171">
        <w:t>thankful for.</w:t>
      </w:r>
      <w:r w:rsidR="000B0CB3">
        <w:t xml:space="preserve"> </w:t>
      </w:r>
    </w:p>
    <w:p w14:paraId="18E75B5A" w14:textId="137A22E5" w:rsidR="00EC6DF5" w:rsidRDefault="00FB6536" w:rsidP="0075719B">
      <w:pPr>
        <w:spacing w:line="480" w:lineRule="auto"/>
        <w:jc w:val="both"/>
      </w:pPr>
      <w:r>
        <w:tab/>
        <w:t xml:space="preserve">Special thanks to </w:t>
      </w:r>
      <w:r w:rsidR="00871500">
        <w:t>the catalyst group professors</w:t>
      </w:r>
      <w:r w:rsidR="00CC0BF9">
        <w:t>:</w:t>
      </w:r>
      <w:r w:rsidR="00871500">
        <w:t xml:space="preserve"> Dr. Bin Wang, Dr. Lance Lobban and Dr. Steven Crossley</w:t>
      </w:r>
      <w:r w:rsidR="00DC36A2">
        <w:t xml:space="preserve">. </w:t>
      </w:r>
      <w:r w:rsidR="00C37BAF" w:rsidRPr="00C37BAF">
        <w:t xml:space="preserve">Your insightful comments, constructive criticism, and dedication to </w:t>
      </w:r>
      <w:r w:rsidR="00C37BAF">
        <w:t xml:space="preserve">discuss ideas </w:t>
      </w:r>
      <w:r w:rsidR="00C37BAF" w:rsidRPr="00C37BAF">
        <w:t>have been incredibly inspiring and motivating</w:t>
      </w:r>
      <w:r w:rsidR="00DC36A2">
        <w:t xml:space="preserve"> to keep moving.</w:t>
      </w:r>
      <w:r w:rsidR="000A1F46">
        <w:t xml:space="preserve"> </w:t>
      </w:r>
      <w:r w:rsidR="000C1230">
        <w:t xml:space="preserve">And also, </w:t>
      </w:r>
      <w:r w:rsidR="00EC6DF5">
        <w:t xml:space="preserve">I would like to thank </w:t>
      </w:r>
      <w:r w:rsidR="000C1DF0">
        <w:t>Dr. Elizabeth Butler as well</w:t>
      </w:r>
      <w:r w:rsidR="00EC6DF5">
        <w:t xml:space="preserve"> for participating as a committee member</w:t>
      </w:r>
      <w:r w:rsidR="00974779">
        <w:t xml:space="preserve">, it </w:t>
      </w:r>
      <w:r w:rsidR="000A1F46">
        <w:t>is</w:t>
      </w:r>
      <w:r w:rsidR="00974779">
        <w:t xml:space="preserve"> an honor to have you</w:t>
      </w:r>
      <w:r w:rsidR="000C1DF0">
        <w:t>.</w:t>
      </w:r>
    </w:p>
    <w:p w14:paraId="55883B9D" w14:textId="0EA51700" w:rsidR="00C46036" w:rsidRDefault="000C1DF0" w:rsidP="0075719B">
      <w:pPr>
        <w:spacing w:line="480" w:lineRule="auto"/>
        <w:jc w:val="both"/>
      </w:pPr>
      <w:r>
        <w:tab/>
        <w:t xml:space="preserve">I am also </w:t>
      </w:r>
      <w:r w:rsidR="00AD03ED">
        <w:t xml:space="preserve">immensely grateful </w:t>
      </w:r>
      <w:r w:rsidR="005D6163">
        <w:t xml:space="preserve">to </w:t>
      </w:r>
      <w:r w:rsidR="00C46036">
        <w:t>my colleagues and friends that I have made until this point</w:t>
      </w:r>
      <w:r w:rsidR="00F45ACD">
        <w:t xml:space="preserve">: Dr. Gengnan Li, Dr. Tuong Bui, </w:t>
      </w:r>
      <w:r w:rsidR="006345F4">
        <w:t xml:space="preserve">Dr. Yang Feifei, </w:t>
      </w:r>
      <w:r w:rsidR="00F45ACD">
        <w:t>Nabihan Abdul R</w:t>
      </w:r>
      <w:r w:rsidR="00BE2A34">
        <w:t>a</w:t>
      </w:r>
      <w:r w:rsidR="00F45ACD">
        <w:t xml:space="preserve">hman, </w:t>
      </w:r>
      <w:r w:rsidR="001915C3">
        <w:t xml:space="preserve">Felipe Cruz, Marco Tulio Portella, </w:t>
      </w:r>
      <w:r w:rsidR="00F45ACD">
        <w:t xml:space="preserve">Ana Carolina Jerdy, </w:t>
      </w:r>
      <w:r w:rsidR="006425CF">
        <w:t xml:space="preserve">Thomas Sallas, </w:t>
      </w:r>
      <w:r w:rsidR="00083223">
        <w:t xml:space="preserve">Dr. Han Chau, </w:t>
      </w:r>
      <w:r w:rsidR="006161A8">
        <w:t xml:space="preserve">Dr. Reda Bababrik, </w:t>
      </w:r>
      <w:r w:rsidR="007101C3">
        <w:t>Dr. Eduardo Freitas</w:t>
      </w:r>
      <w:r w:rsidR="00790AA3">
        <w:t>,</w:t>
      </w:r>
      <w:r w:rsidR="007101C3">
        <w:t xml:space="preserve"> </w:t>
      </w:r>
      <w:r w:rsidR="006425CF">
        <w:t>Alejandra Gomez, Ismaeel Ala</w:t>
      </w:r>
      <w:r w:rsidR="00C40942">
        <w:t>lq</w:t>
      </w:r>
      <w:r w:rsidR="006425CF">
        <w:t xml:space="preserve">, </w:t>
      </w:r>
      <w:r w:rsidR="00330E12">
        <w:t>and several others.</w:t>
      </w:r>
      <w:r w:rsidR="000C1230">
        <w:t xml:space="preserve"> Sharing our stories, beliefs and research projects </w:t>
      </w:r>
      <w:r w:rsidR="006345F4">
        <w:t xml:space="preserve">were several times fruitful and </w:t>
      </w:r>
      <w:r w:rsidR="006161A8">
        <w:t xml:space="preserve">I hope to </w:t>
      </w:r>
      <w:r w:rsidR="00236A78">
        <w:t>maintain our friendships through our lives.</w:t>
      </w:r>
    </w:p>
    <w:p w14:paraId="37AE0E13" w14:textId="1FA38183" w:rsidR="00D16141" w:rsidRDefault="00236A78" w:rsidP="0075719B">
      <w:pPr>
        <w:spacing w:line="480" w:lineRule="auto"/>
        <w:jc w:val="both"/>
      </w:pPr>
      <w:r>
        <w:tab/>
      </w:r>
      <w:r w:rsidR="00EC600D">
        <w:t>Mom and dad, Solange and Fernando</w:t>
      </w:r>
      <w:r w:rsidR="00BB5134">
        <w:t xml:space="preserve">; my </w:t>
      </w:r>
      <w:r w:rsidR="00006B17">
        <w:t xml:space="preserve">friends, Thays Sagrillo, Fernanda Muniz, Julia Muniz, Gabriella Reis, Ivan Anholete, </w:t>
      </w:r>
      <w:r w:rsidR="003A202D">
        <w:t>Elton Couto,</w:t>
      </w:r>
      <w:r w:rsidR="007101C3">
        <w:t xml:space="preserve"> </w:t>
      </w:r>
      <w:r w:rsidR="00342006">
        <w:t>Matheus Falceta, Sergio Bagude</w:t>
      </w:r>
      <w:r w:rsidR="00201CF6">
        <w:t>, Allana Calvano</w:t>
      </w:r>
      <w:r w:rsidR="00591604">
        <w:t>, Isabella Calvano, Francesca Marinoni</w:t>
      </w:r>
      <w:r w:rsidR="00273B8C">
        <w:t xml:space="preserve">; my cousins: </w:t>
      </w:r>
      <w:r w:rsidR="00F075CA">
        <w:t xml:space="preserve">Gabriela Ladaim, Rômulo Ladaim, Thalles Ladaim, Yago Ladaim, and </w:t>
      </w:r>
      <w:r w:rsidR="00ED612A">
        <w:t>everyone involved</w:t>
      </w:r>
      <w:r w:rsidR="00F075CA">
        <w:t>.</w:t>
      </w:r>
      <w:r w:rsidR="00F77591">
        <w:t xml:space="preserve"> Countless times </w:t>
      </w:r>
      <w:r w:rsidR="00F77591">
        <w:lastRenderedPageBreak/>
        <w:t xml:space="preserve">a single phone call or a simple message </w:t>
      </w:r>
      <w:r w:rsidR="00DD66C6">
        <w:t>w</w:t>
      </w:r>
      <w:r w:rsidR="009E7AB3">
        <w:t>as</w:t>
      </w:r>
      <w:r w:rsidR="00DD66C6">
        <w:t xml:space="preserve"> </w:t>
      </w:r>
      <w:r w:rsidR="00ED2B58">
        <w:t>s</w:t>
      </w:r>
      <w:r w:rsidR="00DD66C6">
        <w:t xml:space="preserve">o powerful that hold myself confident that I was doing the right thing. </w:t>
      </w:r>
    </w:p>
    <w:p w14:paraId="56288C1F" w14:textId="58BCEC04" w:rsidR="00B175E7" w:rsidRDefault="00DB22A9" w:rsidP="0075719B">
      <w:pPr>
        <w:spacing w:line="480" w:lineRule="auto"/>
        <w:jc w:val="both"/>
      </w:pPr>
      <w:r>
        <w:tab/>
        <w:t xml:space="preserve">My soccer </w:t>
      </w:r>
      <w:r w:rsidR="00F5473D">
        <w:t>club teammates and great friends. How many times we have travelled together and laughed about so many things. I am sorry for being old and not running as I was used to, lab hours</w:t>
      </w:r>
      <w:r w:rsidR="000C4FB8">
        <w:t xml:space="preserve"> also did not help much to keep my physique but at least I could put some 20</w:t>
      </w:r>
      <w:r w:rsidR="00574004">
        <w:t xml:space="preserve"> year olds</w:t>
      </w:r>
      <w:r w:rsidR="000C4FB8">
        <w:t xml:space="preserve"> </w:t>
      </w:r>
      <w:r w:rsidR="0064765C">
        <w:t>on</w:t>
      </w:r>
      <w:r w:rsidR="000C4FB8">
        <w:t xml:space="preserve"> the bench for a couple </w:t>
      </w:r>
      <w:r w:rsidR="00BB0603">
        <w:t>games</w:t>
      </w:r>
      <w:r w:rsidR="000C4FB8">
        <w:t>.</w:t>
      </w:r>
      <w:r w:rsidR="00C15CBC">
        <w:t xml:space="preserve"> And as I told you a couple months ago: </w:t>
      </w:r>
      <w:r w:rsidR="00B175E7">
        <w:t xml:space="preserve">you do not know how important </w:t>
      </w:r>
      <w:r w:rsidR="000018F5">
        <w:t>y’</w:t>
      </w:r>
      <w:r w:rsidR="00B175E7">
        <w:t>all were to me during this PhD. Thank</w:t>
      </w:r>
      <w:r w:rsidR="008B4E26">
        <w:t>s</w:t>
      </w:r>
      <w:r w:rsidR="00B175E7">
        <w:t xml:space="preserve"> soccer once again.</w:t>
      </w:r>
    </w:p>
    <w:p w14:paraId="1BD4F006" w14:textId="0ABDB13E" w:rsidR="005F5FD8" w:rsidRPr="00C80AAF" w:rsidRDefault="005F5FD8" w:rsidP="0075719B">
      <w:pPr>
        <w:spacing w:line="480" w:lineRule="auto"/>
        <w:jc w:val="both"/>
      </w:pPr>
      <w:r>
        <w:tab/>
      </w:r>
      <w:r w:rsidR="00D66446">
        <w:t>Sooner born and Sooner bred, when I die, I’ll be Sooner dead! BOOMER SOONER!</w:t>
      </w:r>
    </w:p>
    <w:p w14:paraId="2198A851" w14:textId="7497195A" w:rsidR="000C4FB8" w:rsidRDefault="00C56F10" w:rsidP="00411495">
      <w:pPr>
        <w:jc w:val="both"/>
      </w:pPr>
      <w:r>
        <w:tab/>
      </w:r>
    </w:p>
    <w:p w14:paraId="78801BA4" w14:textId="77777777" w:rsidR="00C46036" w:rsidRDefault="00C46036" w:rsidP="00411495">
      <w:pPr>
        <w:jc w:val="both"/>
      </w:pPr>
    </w:p>
    <w:p w14:paraId="5BDEF616" w14:textId="77777777" w:rsidR="00157731" w:rsidRDefault="00157731" w:rsidP="00411495">
      <w:pPr>
        <w:jc w:val="both"/>
      </w:pPr>
    </w:p>
    <w:p w14:paraId="0AD136E0" w14:textId="77777777" w:rsidR="00D66446" w:rsidRDefault="00D66446" w:rsidP="00411495">
      <w:pPr>
        <w:jc w:val="both"/>
      </w:pPr>
    </w:p>
    <w:p w14:paraId="15497D5C" w14:textId="77777777" w:rsidR="0067569E" w:rsidRDefault="0067569E" w:rsidP="00411495">
      <w:pPr>
        <w:jc w:val="both"/>
      </w:pPr>
    </w:p>
    <w:p w14:paraId="1D1B7B43" w14:textId="77777777" w:rsidR="0067569E" w:rsidRDefault="0067569E" w:rsidP="00411495">
      <w:pPr>
        <w:jc w:val="both"/>
      </w:pPr>
    </w:p>
    <w:p w14:paraId="40BEE778" w14:textId="77777777" w:rsidR="0067569E" w:rsidRDefault="0067569E" w:rsidP="00411495">
      <w:pPr>
        <w:jc w:val="both"/>
      </w:pPr>
    </w:p>
    <w:p w14:paraId="2A799BAF" w14:textId="77777777" w:rsidR="0067569E" w:rsidRDefault="0067569E" w:rsidP="00411495">
      <w:pPr>
        <w:jc w:val="both"/>
      </w:pPr>
    </w:p>
    <w:p w14:paraId="09DF5BA2" w14:textId="77777777" w:rsidR="0067569E" w:rsidRDefault="0067569E" w:rsidP="00411495">
      <w:pPr>
        <w:jc w:val="both"/>
      </w:pPr>
    </w:p>
    <w:p w14:paraId="011D6296" w14:textId="77777777" w:rsidR="0067569E" w:rsidRDefault="0067569E" w:rsidP="00411495">
      <w:pPr>
        <w:jc w:val="both"/>
      </w:pPr>
    </w:p>
    <w:p w14:paraId="601BBADE" w14:textId="77777777" w:rsidR="0067569E" w:rsidRDefault="0067569E" w:rsidP="00411495">
      <w:pPr>
        <w:jc w:val="both"/>
      </w:pPr>
    </w:p>
    <w:p w14:paraId="09BE8251" w14:textId="77777777" w:rsidR="0067569E" w:rsidRDefault="0067569E" w:rsidP="00411495">
      <w:pPr>
        <w:jc w:val="both"/>
      </w:pPr>
    </w:p>
    <w:p w14:paraId="6C1A3003" w14:textId="77777777" w:rsidR="0067569E" w:rsidRDefault="0067569E" w:rsidP="00411495">
      <w:pPr>
        <w:jc w:val="both"/>
      </w:pPr>
    </w:p>
    <w:p w14:paraId="71F01E4E" w14:textId="77777777" w:rsidR="0067569E" w:rsidRDefault="0067569E" w:rsidP="00411495">
      <w:pPr>
        <w:jc w:val="both"/>
      </w:pPr>
    </w:p>
    <w:p w14:paraId="3740C7FC" w14:textId="77777777" w:rsidR="0067569E" w:rsidRDefault="0067569E" w:rsidP="00411495">
      <w:pPr>
        <w:jc w:val="both"/>
      </w:pPr>
    </w:p>
    <w:p w14:paraId="2F17FE2E" w14:textId="77777777" w:rsidR="0067569E" w:rsidRDefault="0067569E" w:rsidP="00411495">
      <w:pPr>
        <w:jc w:val="both"/>
      </w:pPr>
    </w:p>
    <w:p w14:paraId="0EEA68E9" w14:textId="77777777" w:rsidR="0067569E" w:rsidRDefault="0067569E" w:rsidP="00411495">
      <w:pPr>
        <w:jc w:val="both"/>
      </w:pPr>
    </w:p>
    <w:p w14:paraId="6B071506" w14:textId="77777777" w:rsidR="0067569E" w:rsidRDefault="0067569E" w:rsidP="00411495">
      <w:pPr>
        <w:jc w:val="both"/>
      </w:pPr>
    </w:p>
    <w:p w14:paraId="6C11FB25" w14:textId="77777777" w:rsidR="0067569E" w:rsidRDefault="0067569E" w:rsidP="00411495">
      <w:pPr>
        <w:jc w:val="both"/>
      </w:pPr>
    </w:p>
    <w:p w14:paraId="13286959" w14:textId="77777777" w:rsidR="0067569E" w:rsidRDefault="0067569E" w:rsidP="00411495">
      <w:pPr>
        <w:jc w:val="both"/>
      </w:pPr>
    </w:p>
    <w:p w14:paraId="0B640846" w14:textId="77777777" w:rsidR="0067569E" w:rsidRDefault="0067569E" w:rsidP="00411495">
      <w:pPr>
        <w:jc w:val="both"/>
      </w:pPr>
    </w:p>
    <w:p w14:paraId="2A8F8707" w14:textId="77777777" w:rsidR="0067569E" w:rsidRDefault="0067569E" w:rsidP="00411495">
      <w:pPr>
        <w:jc w:val="both"/>
      </w:pPr>
    </w:p>
    <w:p w14:paraId="17AB452B" w14:textId="77777777" w:rsidR="0067569E" w:rsidRDefault="0067569E" w:rsidP="00411495">
      <w:pPr>
        <w:jc w:val="both"/>
      </w:pPr>
    </w:p>
    <w:p w14:paraId="195A72A9" w14:textId="77777777" w:rsidR="00D66446" w:rsidRDefault="00D66446" w:rsidP="00411495">
      <w:pPr>
        <w:jc w:val="both"/>
      </w:pPr>
    </w:p>
    <w:p w14:paraId="588BB2A2" w14:textId="77777777" w:rsidR="00D66446" w:rsidRDefault="00D66446" w:rsidP="00411495">
      <w:pPr>
        <w:jc w:val="both"/>
      </w:pPr>
    </w:p>
    <w:p w14:paraId="3209DF3C" w14:textId="77777777" w:rsidR="007458A0" w:rsidRDefault="007458A0" w:rsidP="007458A0"/>
    <w:sdt>
      <w:sdtPr>
        <w:rPr>
          <w:rFonts w:ascii="Times New Roman" w:eastAsia="Times New Roman" w:hAnsi="Times New Roman" w:cs="Times New Roman"/>
          <w:color w:val="auto"/>
          <w:sz w:val="24"/>
          <w:szCs w:val="24"/>
        </w:rPr>
        <w:id w:val="-2078655513"/>
        <w:docPartObj>
          <w:docPartGallery w:val="Table of Contents"/>
          <w:docPartUnique/>
        </w:docPartObj>
      </w:sdtPr>
      <w:sdtEndPr>
        <w:rPr>
          <w:b/>
          <w:bCs/>
          <w:noProof/>
        </w:rPr>
      </w:sdtEndPr>
      <w:sdtContent>
        <w:p w14:paraId="11FC0F2A" w14:textId="6C5989EF" w:rsidR="00E205FA" w:rsidRPr="000C0C64" w:rsidRDefault="00E205FA" w:rsidP="00121A4B">
          <w:pPr>
            <w:pStyle w:val="TOCHeading"/>
            <w:spacing w:line="360" w:lineRule="auto"/>
            <w:rPr>
              <w:rFonts w:ascii="Times New Roman" w:hAnsi="Times New Roman" w:cs="Times New Roman"/>
              <w:b/>
              <w:bCs/>
              <w:color w:val="auto"/>
            </w:rPr>
          </w:pPr>
          <w:r w:rsidRPr="000C0C64">
            <w:rPr>
              <w:rFonts w:ascii="Times New Roman" w:hAnsi="Times New Roman" w:cs="Times New Roman"/>
              <w:b/>
              <w:bCs/>
              <w:color w:val="auto"/>
            </w:rPr>
            <w:t>Table of Contents</w:t>
          </w:r>
        </w:p>
        <w:p w14:paraId="21B89324" w14:textId="2C571096" w:rsidR="00497FEF" w:rsidRDefault="00E205FA">
          <w:pPr>
            <w:pStyle w:val="TOC1"/>
            <w:rPr>
              <w:rFonts w:asciiTheme="minorHAnsi" w:eastAsiaTheme="minorEastAsia" w:hAnsiTheme="minorHAnsi" w:cstheme="minorBidi"/>
              <w:b w:val="0"/>
              <w:bCs w:val="0"/>
              <w:sz w:val="22"/>
              <w:szCs w:val="22"/>
            </w:rPr>
          </w:pPr>
          <w:r w:rsidRPr="00073E7F">
            <w:fldChar w:fldCharType="begin"/>
          </w:r>
          <w:r w:rsidRPr="00073E7F">
            <w:instrText xml:space="preserve"> TOC \o "1-3" \h \z \u </w:instrText>
          </w:r>
          <w:r w:rsidRPr="00073E7F">
            <w:fldChar w:fldCharType="separate"/>
          </w:r>
          <w:hyperlink w:anchor="_Toc132924170" w:history="1">
            <w:r w:rsidR="00497FEF" w:rsidRPr="00587851">
              <w:rPr>
                <w:rStyle w:val="Hyperlink"/>
                <w:i/>
              </w:rPr>
              <w:t>Acknowledgements</w:t>
            </w:r>
            <w:r w:rsidR="00497FEF">
              <w:rPr>
                <w:webHidden/>
              </w:rPr>
              <w:tab/>
            </w:r>
            <w:r w:rsidR="00497FEF">
              <w:rPr>
                <w:webHidden/>
              </w:rPr>
              <w:fldChar w:fldCharType="begin"/>
            </w:r>
            <w:r w:rsidR="00497FEF">
              <w:rPr>
                <w:webHidden/>
              </w:rPr>
              <w:instrText xml:space="preserve"> PAGEREF _Toc132924170 \h </w:instrText>
            </w:r>
            <w:r w:rsidR="00497FEF">
              <w:rPr>
                <w:webHidden/>
              </w:rPr>
            </w:r>
            <w:r w:rsidR="00497FEF">
              <w:rPr>
                <w:webHidden/>
              </w:rPr>
              <w:fldChar w:fldCharType="separate"/>
            </w:r>
            <w:r w:rsidR="001F4741">
              <w:rPr>
                <w:webHidden/>
              </w:rPr>
              <w:t>v</w:t>
            </w:r>
            <w:r w:rsidR="00497FEF">
              <w:rPr>
                <w:webHidden/>
              </w:rPr>
              <w:fldChar w:fldCharType="end"/>
            </w:r>
          </w:hyperlink>
        </w:p>
        <w:p w14:paraId="40F198A8" w14:textId="0186BE85" w:rsidR="00497FEF" w:rsidRDefault="00000000">
          <w:pPr>
            <w:pStyle w:val="TOC1"/>
            <w:rPr>
              <w:rFonts w:asciiTheme="minorHAnsi" w:eastAsiaTheme="minorEastAsia" w:hAnsiTheme="minorHAnsi" w:cstheme="minorBidi"/>
              <w:b w:val="0"/>
              <w:bCs w:val="0"/>
              <w:sz w:val="22"/>
              <w:szCs w:val="22"/>
            </w:rPr>
          </w:pPr>
          <w:hyperlink w:anchor="_Toc132924171" w:history="1">
            <w:r w:rsidR="00497FEF" w:rsidRPr="00587851">
              <w:rPr>
                <w:rStyle w:val="Hyperlink"/>
              </w:rPr>
              <w:t>List of Tables</w:t>
            </w:r>
            <w:r w:rsidR="00497FEF">
              <w:rPr>
                <w:webHidden/>
              </w:rPr>
              <w:tab/>
            </w:r>
            <w:r w:rsidR="00497FEF">
              <w:rPr>
                <w:webHidden/>
              </w:rPr>
              <w:fldChar w:fldCharType="begin"/>
            </w:r>
            <w:r w:rsidR="00497FEF">
              <w:rPr>
                <w:webHidden/>
              </w:rPr>
              <w:instrText xml:space="preserve"> PAGEREF _Toc132924171 \h </w:instrText>
            </w:r>
            <w:r w:rsidR="00497FEF">
              <w:rPr>
                <w:webHidden/>
              </w:rPr>
            </w:r>
            <w:r w:rsidR="00497FEF">
              <w:rPr>
                <w:webHidden/>
              </w:rPr>
              <w:fldChar w:fldCharType="separate"/>
            </w:r>
            <w:r w:rsidR="001F4741">
              <w:rPr>
                <w:webHidden/>
              </w:rPr>
              <w:t>ix</w:t>
            </w:r>
            <w:r w:rsidR="00497FEF">
              <w:rPr>
                <w:webHidden/>
              </w:rPr>
              <w:fldChar w:fldCharType="end"/>
            </w:r>
          </w:hyperlink>
        </w:p>
        <w:p w14:paraId="0F7A30F0" w14:textId="3A1A29A8" w:rsidR="00497FEF" w:rsidRDefault="00000000">
          <w:pPr>
            <w:pStyle w:val="TOC1"/>
            <w:rPr>
              <w:rFonts w:asciiTheme="minorHAnsi" w:eastAsiaTheme="minorEastAsia" w:hAnsiTheme="minorHAnsi" w:cstheme="minorBidi"/>
              <w:b w:val="0"/>
              <w:bCs w:val="0"/>
              <w:sz w:val="22"/>
              <w:szCs w:val="22"/>
            </w:rPr>
          </w:pPr>
          <w:hyperlink w:anchor="_Toc132924172" w:history="1">
            <w:r w:rsidR="00497FEF" w:rsidRPr="00587851">
              <w:rPr>
                <w:rStyle w:val="Hyperlink"/>
              </w:rPr>
              <w:t>List of Figures</w:t>
            </w:r>
            <w:r w:rsidR="00497FEF">
              <w:rPr>
                <w:webHidden/>
              </w:rPr>
              <w:tab/>
            </w:r>
            <w:r w:rsidR="00497FEF">
              <w:rPr>
                <w:webHidden/>
              </w:rPr>
              <w:fldChar w:fldCharType="begin"/>
            </w:r>
            <w:r w:rsidR="00497FEF">
              <w:rPr>
                <w:webHidden/>
              </w:rPr>
              <w:instrText xml:space="preserve"> PAGEREF _Toc132924172 \h </w:instrText>
            </w:r>
            <w:r w:rsidR="00497FEF">
              <w:rPr>
                <w:webHidden/>
              </w:rPr>
            </w:r>
            <w:r w:rsidR="00497FEF">
              <w:rPr>
                <w:webHidden/>
              </w:rPr>
              <w:fldChar w:fldCharType="separate"/>
            </w:r>
            <w:r w:rsidR="001F4741">
              <w:rPr>
                <w:webHidden/>
              </w:rPr>
              <w:t>x</w:t>
            </w:r>
            <w:r w:rsidR="00497FEF">
              <w:rPr>
                <w:webHidden/>
              </w:rPr>
              <w:fldChar w:fldCharType="end"/>
            </w:r>
          </w:hyperlink>
        </w:p>
        <w:p w14:paraId="5DB41ABD" w14:textId="2217D291" w:rsidR="00497FEF" w:rsidRDefault="00000000">
          <w:pPr>
            <w:pStyle w:val="TOC1"/>
            <w:rPr>
              <w:rFonts w:asciiTheme="minorHAnsi" w:eastAsiaTheme="minorEastAsia" w:hAnsiTheme="minorHAnsi" w:cstheme="minorBidi"/>
              <w:b w:val="0"/>
              <w:bCs w:val="0"/>
              <w:sz w:val="22"/>
              <w:szCs w:val="22"/>
            </w:rPr>
          </w:pPr>
          <w:hyperlink w:anchor="_Toc132924173" w:history="1">
            <w:r w:rsidR="00497FEF" w:rsidRPr="00587851">
              <w:rPr>
                <w:rStyle w:val="Hyperlink"/>
                <w:i/>
                <w:iCs/>
              </w:rPr>
              <w:t>ABSTRACT</w:t>
            </w:r>
            <w:r w:rsidR="00497FEF">
              <w:rPr>
                <w:webHidden/>
              </w:rPr>
              <w:tab/>
            </w:r>
            <w:r w:rsidR="00497FEF">
              <w:rPr>
                <w:webHidden/>
              </w:rPr>
              <w:fldChar w:fldCharType="begin"/>
            </w:r>
            <w:r w:rsidR="00497FEF">
              <w:rPr>
                <w:webHidden/>
              </w:rPr>
              <w:instrText xml:space="preserve"> PAGEREF _Toc132924173 \h </w:instrText>
            </w:r>
            <w:r w:rsidR="00497FEF">
              <w:rPr>
                <w:webHidden/>
              </w:rPr>
            </w:r>
            <w:r w:rsidR="00497FEF">
              <w:rPr>
                <w:webHidden/>
              </w:rPr>
              <w:fldChar w:fldCharType="separate"/>
            </w:r>
            <w:r w:rsidR="001F4741">
              <w:rPr>
                <w:webHidden/>
              </w:rPr>
              <w:t>xvii</w:t>
            </w:r>
            <w:r w:rsidR="00497FEF">
              <w:rPr>
                <w:webHidden/>
              </w:rPr>
              <w:fldChar w:fldCharType="end"/>
            </w:r>
          </w:hyperlink>
        </w:p>
        <w:p w14:paraId="61729D4C" w14:textId="1F5B172A" w:rsidR="00497FEF" w:rsidRDefault="00000000">
          <w:pPr>
            <w:pStyle w:val="TOC1"/>
            <w:rPr>
              <w:rFonts w:asciiTheme="minorHAnsi" w:eastAsiaTheme="minorEastAsia" w:hAnsiTheme="minorHAnsi" w:cstheme="minorBidi"/>
              <w:b w:val="0"/>
              <w:bCs w:val="0"/>
              <w:sz w:val="22"/>
              <w:szCs w:val="22"/>
            </w:rPr>
          </w:pPr>
          <w:hyperlink w:anchor="_Toc132924174" w:history="1">
            <w:r w:rsidR="00497FEF" w:rsidRPr="00587851">
              <w:rPr>
                <w:rStyle w:val="Hyperlink"/>
              </w:rPr>
              <w:t>Chapter 1 – Introduction and Research Direction</w:t>
            </w:r>
            <w:r w:rsidR="00497FEF">
              <w:rPr>
                <w:webHidden/>
              </w:rPr>
              <w:tab/>
            </w:r>
            <w:r w:rsidR="00497FEF">
              <w:rPr>
                <w:webHidden/>
              </w:rPr>
              <w:fldChar w:fldCharType="begin"/>
            </w:r>
            <w:r w:rsidR="00497FEF">
              <w:rPr>
                <w:webHidden/>
              </w:rPr>
              <w:instrText xml:space="preserve"> PAGEREF _Toc132924174 \h </w:instrText>
            </w:r>
            <w:r w:rsidR="00497FEF">
              <w:rPr>
                <w:webHidden/>
              </w:rPr>
            </w:r>
            <w:r w:rsidR="00497FEF">
              <w:rPr>
                <w:webHidden/>
              </w:rPr>
              <w:fldChar w:fldCharType="separate"/>
            </w:r>
            <w:r w:rsidR="001F4741">
              <w:rPr>
                <w:webHidden/>
              </w:rPr>
              <w:t>1</w:t>
            </w:r>
            <w:r w:rsidR="00497FEF">
              <w:rPr>
                <w:webHidden/>
              </w:rPr>
              <w:fldChar w:fldCharType="end"/>
            </w:r>
          </w:hyperlink>
        </w:p>
        <w:p w14:paraId="0509683F" w14:textId="4D5CAF46" w:rsidR="00497FEF" w:rsidRDefault="00000000">
          <w:pPr>
            <w:pStyle w:val="TOC2"/>
            <w:tabs>
              <w:tab w:val="right" w:leader="dot" w:pos="8630"/>
            </w:tabs>
            <w:rPr>
              <w:rFonts w:asciiTheme="minorHAnsi" w:eastAsiaTheme="minorEastAsia" w:hAnsiTheme="minorHAnsi" w:cstheme="minorBidi"/>
              <w:noProof/>
              <w:sz w:val="22"/>
              <w:szCs w:val="22"/>
            </w:rPr>
          </w:pPr>
          <w:hyperlink w:anchor="_Toc132924175" w:history="1">
            <w:r w:rsidR="00497FEF" w:rsidRPr="00587851">
              <w:rPr>
                <w:rStyle w:val="Hyperlink"/>
                <w:iCs/>
                <w:noProof/>
              </w:rPr>
              <w:t>1.1 Background and Initial Motivation</w:t>
            </w:r>
            <w:r w:rsidR="00497FEF">
              <w:rPr>
                <w:noProof/>
                <w:webHidden/>
              </w:rPr>
              <w:tab/>
            </w:r>
            <w:r w:rsidR="00497FEF">
              <w:rPr>
                <w:noProof/>
                <w:webHidden/>
              </w:rPr>
              <w:fldChar w:fldCharType="begin"/>
            </w:r>
            <w:r w:rsidR="00497FEF">
              <w:rPr>
                <w:noProof/>
                <w:webHidden/>
              </w:rPr>
              <w:instrText xml:space="preserve"> PAGEREF _Toc132924175 \h </w:instrText>
            </w:r>
            <w:r w:rsidR="00497FEF">
              <w:rPr>
                <w:noProof/>
                <w:webHidden/>
              </w:rPr>
            </w:r>
            <w:r w:rsidR="00497FEF">
              <w:rPr>
                <w:noProof/>
                <w:webHidden/>
              </w:rPr>
              <w:fldChar w:fldCharType="separate"/>
            </w:r>
            <w:r w:rsidR="001F4741">
              <w:rPr>
                <w:noProof/>
                <w:webHidden/>
              </w:rPr>
              <w:t>1</w:t>
            </w:r>
            <w:r w:rsidR="00497FEF">
              <w:rPr>
                <w:noProof/>
                <w:webHidden/>
              </w:rPr>
              <w:fldChar w:fldCharType="end"/>
            </w:r>
          </w:hyperlink>
        </w:p>
        <w:p w14:paraId="54F0E11F" w14:textId="2768543D" w:rsidR="00497FEF" w:rsidRDefault="00000000">
          <w:pPr>
            <w:pStyle w:val="TOC2"/>
            <w:tabs>
              <w:tab w:val="right" w:leader="dot" w:pos="8630"/>
            </w:tabs>
            <w:rPr>
              <w:rFonts w:asciiTheme="minorHAnsi" w:eastAsiaTheme="minorEastAsia" w:hAnsiTheme="minorHAnsi" w:cstheme="minorBidi"/>
              <w:noProof/>
              <w:sz w:val="22"/>
              <w:szCs w:val="22"/>
            </w:rPr>
          </w:pPr>
          <w:hyperlink w:anchor="_Toc132924176" w:history="1">
            <w:r w:rsidR="00497FEF" w:rsidRPr="00587851">
              <w:rPr>
                <w:rStyle w:val="Hyperlink"/>
                <w:iCs/>
                <w:noProof/>
              </w:rPr>
              <w:t>1.2 Definition and Properties of Zeolites</w:t>
            </w:r>
            <w:r w:rsidR="00497FEF">
              <w:rPr>
                <w:noProof/>
                <w:webHidden/>
              </w:rPr>
              <w:tab/>
            </w:r>
            <w:r w:rsidR="00497FEF">
              <w:rPr>
                <w:noProof/>
                <w:webHidden/>
              </w:rPr>
              <w:fldChar w:fldCharType="begin"/>
            </w:r>
            <w:r w:rsidR="00497FEF">
              <w:rPr>
                <w:noProof/>
                <w:webHidden/>
              </w:rPr>
              <w:instrText xml:space="preserve"> PAGEREF _Toc132924176 \h </w:instrText>
            </w:r>
            <w:r w:rsidR="00497FEF">
              <w:rPr>
                <w:noProof/>
                <w:webHidden/>
              </w:rPr>
            </w:r>
            <w:r w:rsidR="00497FEF">
              <w:rPr>
                <w:noProof/>
                <w:webHidden/>
              </w:rPr>
              <w:fldChar w:fldCharType="separate"/>
            </w:r>
            <w:r w:rsidR="001F4741">
              <w:rPr>
                <w:noProof/>
                <w:webHidden/>
              </w:rPr>
              <w:t>3</w:t>
            </w:r>
            <w:r w:rsidR="00497FEF">
              <w:rPr>
                <w:noProof/>
                <w:webHidden/>
              </w:rPr>
              <w:fldChar w:fldCharType="end"/>
            </w:r>
          </w:hyperlink>
        </w:p>
        <w:p w14:paraId="37F950DB" w14:textId="54A13A3A" w:rsidR="00497FEF" w:rsidRDefault="00000000">
          <w:pPr>
            <w:pStyle w:val="TOC3"/>
            <w:rPr>
              <w:rFonts w:asciiTheme="minorHAnsi" w:eastAsiaTheme="minorEastAsia" w:hAnsiTheme="minorHAnsi" w:cstheme="minorBidi"/>
              <w:noProof/>
              <w:sz w:val="22"/>
              <w:szCs w:val="22"/>
            </w:rPr>
          </w:pPr>
          <w:hyperlink w:anchor="_Toc132924177" w:history="1">
            <w:r w:rsidR="00497FEF" w:rsidRPr="00587851">
              <w:rPr>
                <w:rStyle w:val="Hyperlink"/>
                <w:iCs/>
                <w:noProof/>
              </w:rPr>
              <w:t>1.2.1 Zeolite Y</w:t>
            </w:r>
            <w:r w:rsidR="00497FEF">
              <w:rPr>
                <w:noProof/>
                <w:webHidden/>
              </w:rPr>
              <w:tab/>
            </w:r>
            <w:r w:rsidR="00497FEF">
              <w:rPr>
                <w:noProof/>
                <w:webHidden/>
              </w:rPr>
              <w:fldChar w:fldCharType="begin"/>
            </w:r>
            <w:r w:rsidR="00497FEF">
              <w:rPr>
                <w:noProof/>
                <w:webHidden/>
              </w:rPr>
              <w:instrText xml:space="preserve"> PAGEREF _Toc132924177 \h </w:instrText>
            </w:r>
            <w:r w:rsidR="00497FEF">
              <w:rPr>
                <w:noProof/>
                <w:webHidden/>
              </w:rPr>
            </w:r>
            <w:r w:rsidR="00497FEF">
              <w:rPr>
                <w:noProof/>
                <w:webHidden/>
              </w:rPr>
              <w:fldChar w:fldCharType="separate"/>
            </w:r>
            <w:r w:rsidR="001F4741">
              <w:rPr>
                <w:noProof/>
                <w:webHidden/>
              </w:rPr>
              <w:t>6</w:t>
            </w:r>
            <w:r w:rsidR="00497FEF">
              <w:rPr>
                <w:noProof/>
                <w:webHidden/>
              </w:rPr>
              <w:fldChar w:fldCharType="end"/>
            </w:r>
          </w:hyperlink>
        </w:p>
        <w:p w14:paraId="729FBF4B" w14:textId="68B2FC9A" w:rsidR="00497FEF" w:rsidRDefault="00000000">
          <w:pPr>
            <w:pStyle w:val="TOC3"/>
            <w:rPr>
              <w:rFonts w:asciiTheme="minorHAnsi" w:eastAsiaTheme="minorEastAsia" w:hAnsiTheme="minorHAnsi" w:cstheme="minorBidi"/>
              <w:noProof/>
              <w:sz w:val="22"/>
              <w:szCs w:val="22"/>
            </w:rPr>
          </w:pPr>
          <w:hyperlink w:anchor="_Toc132924178" w:history="1">
            <w:r w:rsidR="00497FEF" w:rsidRPr="00587851">
              <w:rPr>
                <w:rStyle w:val="Hyperlink"/>
                <w:iCs/>
                <w:noProof/>
              </w:rPr>
              <w:t>1.2.2 Zeolite MFI</w:t>
            </w:r>
            <w:r w:rsidR="00497FEF">
              <w:rPr>
                <w:noProof/>
                <w:webHidden/>
              </w:rPr>
              <w:tab/>
            </w:r>
            <w:r w:rsidR="00497FEF">
              <w:rPr>
                <w:noProof/>
                <w:webHidden/>
              </w:rPr>
              <w:fldChar w:fldCharType="begin"/>
            </w:r>
            <w:r w:rsidR="00497FEF">
              <w:rPr>
                <w:noProof/>
                <w:webHidden/>
              </w:rPr>
              <w:instrText xml:space="preserve"> PAGEREF _Toc132924178 \h </w:instrText>
            </w:r>
            <w:r w:rsidR="00497FEF">
              <w:rPr>
                <w:noProof/>
                <w:webHidden/>
              </w:rPr>
            </w:r>
            <w:r w:rsidR="00497FEF">
              <w:rPr>
                <w:noProof/>
                <w:webHidden/>
              </w:rPr>
              <w:fldChar w:fldCharType="separate"/>
            </w:r>
            <w:r w:rsidR="001F4741">
              <w:rPr>
                <w:noProof/>
                <w:webHidden/>
              </w:rPr>
              <w:t>10</w:t>
            </w:r>
            <w:r w:rsidR="00497FEF">
              <w:rPr>
                <w:noProof/>
                <w:webHidden/>
              </w:rPr>
              <w:fldChar w:fldCharType="end"/>
            </w:r>
          </w:hyperlink>
        </w:p>
        <w:p w14:paraId="757A8300" w14:textId="2CE238B0" w:rsidR="00497FEF" w:rsidRDefault="00000000">
          <w:pPr>
            <w:pStyle w:val="TOC2"/>
            <w:tabs>
              <w:tab w:val="right" w:leader="dot" w:pos="8630"/>
            </w:tabs>
            <w:rPr>
              <w:rFonts w:asciiTheme="minorHAnsi" w:eastAsiaTheme="minorEastAsia" w:hAnsiTheme="minorHAnsi" w:cstheme="minorBidi"/>
              <w:noProof/>
              <w:sz w:val="22"/>
              <w:szCs w:val="22"/>
            </w:rPr>
          </w:pPr>
          <w:hyperlink w:anchor="_Toc132924179" w:history="1">
            <w:r w:rsidR="00497FEF" w:rsidRPr="00587851">
              <w:rPr>
                <w:rStyle w:val="Hyperlink"/>
                <w:iCs/>
                <w:noProof/>
              </w:rPr>
              <w:t>1.3 Diffusion Concepts on Porous Catalysts and its Importance on Catalyst Studies</w:t>
            </w:r>
            <w:r w:rsidR="00497FEF">
              <w:rPr>
                <w:noProof/>
                <w:webHidden/>
              </w:rPr>
              <w:tab/>
            </w:r>
            <w:r w:rsidR="00497FEF">
              <w:rPr>
                <w:noProof/>
                <w:webHidden/>
              </w:rPr>
              <w:fldChar w:fldCharType="begin"/>
            </w:r>
            <w:r w:rsidR="00497FEF">
              <w:rPr>
                <w:noProof/>
                <w:webHidden/>
              </w:rPr>
              <w:instrText xml:space="preserve"> PAGEREF _Toc132924179 \h </w:instrText>
            </w:r>
            <w:r w:rsidR="00497FEF">
              <w:rPr>
                <w:noProof/>
                <w:webHidden/>
              </w:rPr>
            </w:r>
            <w:r w:rsidR="00497FEF">
              <w:rPr>
                <w:noProof/>
                <w:webHidden/>
              </w:rPr>
              <w:fldChar w:fldCharType="separate"/>
            </w:r>
            <w:r w:rsidR="001F4741">
              <w:rPr>
                <w:noProof/>
                <w:webHidden/>
              </w:rPr>
              <w:t>12</w:t>
            </w:r>
            <w:r w:rsidR="00497FEF">
              <w:rPr>
                <w:noProof/>
                <w:webHidden/>
              </w:rPr>
              <w:fldChar w:fldCharType="end"/>
            </w:r>
          </w:hyperlink>
        </w:p>
        <w:p w14:paraId="7800806C" w14:textId="5191AB16" w:rsidR="00497FEF" w:rsidRDefault="00000000">
          <w:pPr>
            <w:pStyle w:val="TOC3"/>
            <w:rPr>
              <w:rFonts w:asciiTheme="minorHAnsi" w:eastAsiaTheme="minorEastAsia" w:hAnsiTheme="minorHAnsi" w:cstheme="minorBidi"/>
              <w:noProof/>
              <w:sz w:val="22"/>
              <w:szCs w:val="22"/>
            </w:rPr>
          </w:pPr>
          <w:hyperlink w:anchor="_Toc132924180" w:history="1">
            <w:r w:rsidR="00497FEF" w:rsidRPr="00587851">
              <w:rPr>
                <w:rStyle w:val="Hyperlink"/>
                <w:noProof/>
              </w:rPr>
              <w:t>Internal Diffusion Limitations Studies in Zeolites</w:t>
            </w:r>
            <w:r w:rsidR="00497FEF">
              <w:rPr>
                <w:noProof/>
                <w:webHidden/>
              </w:rPr>
              <w:tab/>
            </w:r>
            <w:r w:rsidR="00497FEF">
              <w:rPr>
                <w:noProof/>
                <w:webHidden/>
              </w:rPr>
              <w:fldChar w:fldCharType="begin"/>
            </w:r>
            <w:r w:rsidR="00497FEF">
              <w:rPr>
                <w:noProof/>
                <w:webHidden/>
              </w:rPr>
              <w:instrText xml:space="preserve"> PAGEREF _Toc132924180 \h </w:instrText>
            </w:r>
            <w:r w:rsidR="00497FEF">
              <w:rPr>
                <w:noProof/>
                <w:webHidden/>
              </w:rPr>
            </w:r>
            <w:r w:rsidR="00497FEF">
              <w:rPr>
                <w:noProof/>
                <w:webHidden/>
              </w:rPr>
              <w:fldChar w:fldCharType="separate"/>
            </w:r>
            <w:r w:rsidR="001F4741">
              <w:rPr>
                <w:noProof/>
                <w:webHidden/>
              </w:rPr>
              <w:t>14</w:t>
            </w:r>
            <w:r w:rsidR="00497FEF">
              <w:rPr>
                <w:noProof/>
                <w:webHidden/>
              </w:rPr>
              <w:fldChar w:fldCharType="end"/>
            </w:r>
          </w:hyperlink>
        </w:p>
        <w:p w14:paraId="464B9EF4" w14:textId="051A4388" w:rsidR="00497FEF" w:rsidRDefault="00000000">
          <w:pPr>
            <w:pStyle w:val="TOC2"/>
            <w:tabs>
              <w:tab w:val="right" w:leader="dot" w:pos="8630"/>
            </w:tabs>
            <w:rPr>
              <w:rFonts w:asciiTheme="minorHAnsi" w:eastAsiaTheme="minorEastAsia" w:hAnsiTheme="minorHAnsi" w:cstheme="minorBidi"/>
              <w:noProof/>
              <w:sz w:val="22"/>
              <w:szCs w:val="22"/>
            </w:rPr>
          </w:pPr>
          <w:hyperlink w:anchor="_Toc132924181" w:history="1">
            <w:r w:rsidR="00497FEF" w:rsidRPr="00587851">
              <w:rPr>
                <w:rStyle w:val="Hyperlink"/>
                <w:iCs/>
                <w:noProof/>
              </w:rPr>
              <w:t>1.4 Organic Reactions over Acid Catalysts</w:t>
            </w:r>
            <w:r w:rsidR="00497FEF">
              <w:rPr>
                <w:noProof/>
                <w:webHidden/>
              </w:rPr>
              <w:tab/>
            </w:r>
            <w:r w:rsidR="00497FEF">
              <w:rPr>
                <w:noProof/>
                <w:webHidden/>
              </w:rPr>
              <w:fldChar w:fldCharType="begin"/>
            </w:r>
            <w:r w:rsidR="00497FEF">
              <w:rPr>
                <w:noProof/>
                <w:webHidden/>
              </w:rPr>
              <w:instrText xml:space="preserve"> PAGEREF _Toc132924181 \h </w:instrText>
            </w:r>
            <w:r w:rsidR="00497FEF">
              <w:rPr>
                <w:noProof/>
                <w:webHidden/>
              </w:rPr>
            </w:r>
            <w:r w:rsidR="00497FEF">
              <w:rPr>
                <w:noProof/>
                <w:webHidden/>
              </w:rPr>
              <w:fldChar w:fldCharType="separate"/>
            </w:r>
            <w:r w:rsidR="001F4741">
              <w:rPr>
                <w:noProof/>
                <w:webHidden/>
              </w:rPr>
              <w:t>18</w:t>
            </w:r>
            <w:r w:rsidR="00497FEF">
              <w:rPr>
                <w:noProof/>
                <w:webHidden/>
              </w:rPr>
              <w:fldChar w:fldCharType="end"/>
            </w:r>
          </w:hyperlink>
        </w:p>
        <w:p w14:paraId="5E1DC9E2" w14:textId="42434322" w:rsidR="00497FEF" w:rsidRDefault="00000000">
          <w:pPr>
            <w:pStyle w:val="TOC3"/>
            <w:rPr>
              <w:rFonts w:asciiTheme="minorHAnsi" w:eastAsiaTheme="minorEastAsia" w:hAnsiTheme="minorHAnsi" w:cstheme="minorBidi"/>
              <w:noProof/>
              <w:sz w:val="22"/>
              <w:szCs w:val="22"/>
            </w:rPr>
          </w:pPr>
          <w:hyperlink w:anchor="_Toc132924182" w:history="1">
            <w:r w:rsidR="00497FEF" w:rsidRPr="00587851">
              <w:rPr>
                <w:rStyle w:val="Hyperlink"/>
                <w:iCs/>
                <w:noProof/>
              </w:rPr>
              <w:t>1.4.1 Aldol Condensation</w:t>
            </w:r>
            <w:r w:rsidR="00497FEF">
              <w:rPr>
                <w:noProof/>
                <w:webHidden/>
              </w:rPr>
              <w:tab/>
            </w:r>
            <w:r w:rsidR="00497FEF">
              <w:rPr>
                <w:noProof/>
                <w:webHidden/>
              </w:rPr>
              <w:fldChar w:fldCharType="begin"/>
            </w:r>
            <w:r w:rsidR="00497FEF">
              <w:rPr>
                <w:noProof/>
                <w:webHidden/>
              </w:rPr>
              <w:instrText xml:space="preserve"> PAGEREF _Toc132924182 \h </w:instrText>
            </w:r>
            <w:r w:rsidR="00497FEF">
              <w:rPr>
                <w:noProof/>
                <w:webHidden/>
              </w:rPr>
            </w:r>
            <w:r w:rsidR="00497FEF">
              <w:rPr>
                <w:noProof/>
                <w:webHidden/>
              </w:rPr>
              <w:fldChar w:fldCharType="separate"/>
            </w:r>
            <w:r w:rsidR="001F4741">
              <w:rPr>
                <w:noProof/>
                <w:webHidden/>
              </w:rPr>
              <w:t>18</w:t>
            </w:r>
            <w:r w:rsidR="00497FEF">
              <w:rPr>
                <w:noProof/>
                <w:webHidden/>
              </w:rPr>
              <w:fldChar w:fldCharType="end"/>
            </w:r>
          </w:hyperlink>
        </w:p>
        <w:p w14:paraId="37D6DBBD" w14:textId="48A31943" w:rsidR="00497FEF" w:rsidRDefault="00000000">
          <w:pPr>
            <w:pStyle w:val="TOC3"/>
            <w:rPr>
              <w:rFonts w:asciiTheme="minorHAnsi" w:eastAsiaTheme="minorEastAsia" w:hAnsiTheme="minorHAnsi" w:cstheme="minorBidi"/>
              <w:noProof/>
              <w:sz w:val="22"/>
              <w:szCs w:val="22"/>
            </w:rPr>
          </w:pPr>
          <w:hyperlink w:anchor="_Toc132924183" w:history="1">
            <w:r w:rsidR="00497FEF" w:rsidRPr="00587851">
              <w:rPr>
                <w:rStyle w:val="Hyperlink"/>
                <w:iCs/>
                <w:noProof/>
              </w:rPr>
              <w:t>1.4.2 Catalytic Cracking</w:t>
            </w:r>
            <w:r w:rsidR="00497FEF">
              <w:rPr>
                <w:noProof/>
                <w:webHidden/>
              </w:rPr>
              <w:tab/>
            </w:r>
            <w:r w:rsidR="00497FEF">
              <w:rPr>
                <w:noProof/>
                <w:webHidden/>
              </w:rPr>
              <w:fldChar w:fldCharType="begin"/>
            </w:r>
            <w:r w:rsidR="00497FEF">
              <w:rPr>
                <w:noProof/>
                <w:webHidden/>
              </w:rPr>
              <w:instrText xml:space="preserve"> PAGEREF _Toc132924183 \h </w:instrText>
            </w:r>
            <w:r w:rsidR="00497FEF">
              <w:rPr>
                <w:noProof/>
                <w:webHidden/>
              </w:rPr>
            </w:r>
            <w:r w:rsidR="00497FEF">
              <w:rPr>
                <w:noProof/>
                <w:webHidden/>
              </w:rPr>
              <w:fldChar w:fldCharType="separate"/>
            </w:r>
            <w:r w:rsidR="001F4741">
              <w:rPr>
                <w:noProof/>
                <w:webHidden/>
              </w:rPr>
              <w:t>20</w:t>
            </w:r>
            <w:r w:rsidR="00497FEF">
              <w:rPr>
                <w:noProof/>
                <w:webHidden/>
              </w:rPr>
              <w:fldChar w:fldCharType="end"/>
            </w:r>
          </w:hyperlink>
        </w:p>
        <w:p w14:paraId="48B8A612" w14:textId="72E252CF" w:rsidR="00497FEF" w:rsidRDefault="00000000">
          <w:pPr>
            <w:pStyle w:val="TOC1"/>
            <w:rPr>
              <w:rFonts w:asciiTheme="minorHAnsi" w:eastAsiaTheme="minorEastAsia" w:hAnsiTheme="minorHAnsi" w:cstheme="minorBidi"/>
              <w:b w:val="0"/>
              <w:bCs w:val="0"/>
              <w:sz w:val="22"/>
              <w:szCs w:val="22"/>
            </w:rPr>
          </w:pPr>
          <w:hyperlink w:anchor="_Toc132924184" w:history="1">
            <w:r w:rsidR="00497FEF" w:rsidRPr="00587851">
              <w:rPr>
                <w:rStyle w:val="Hyperlink"/>
              </w:rPr>
              <w:t>Research Objectives</w:t>
            </w:r>
            <w:r w:rsidR="00497FEF">
              <w:rPr>
                <w:webHidden/>
              </w:rPr>
              <w:tab/>
            </w:r>
            <w:r w:rsidR="00497FEF">
              <w:rPr>
                <w:webHidden/>
              </w:rPr>
              <w:fldChar w:fldCharType="begin"/>
            </w:r>
            <w:r w:rsidR="00497FEF">
              <w:rPr>
                <w:webHidden/>
              </w:rPr>
              <w:instrText xml:space="preserve"> PAGEREF _Toc132924184 \h </w:instrText>
            </w:r>
            <w:r w:rsidR="00497FEF">
              <w:rPr>
                <w:webHidden/>
              </w:rPr>
            </w:r>
            <w:r w:rsidR="00497FEF">
              <w:rPr>
                <w:webHidden/>
              </w:rPr>
              <w:fldChar w:fldCharType="separate"/>
            </w:r>
            <w:r w:rsidR="001F4741">
              <w:rPr>
                <w:webHidden/>
              </w:rPr>
              <w:t>23</w:t>
            </w:r>
            <w:r w:rsidR="00497FEF">
              <w:rPr>
                <w:webHidden/>
              </w:rPr>
              <w:fldChar w:fldCharType="end"/>
            </w:r>
          </w:hyperlink>
        </w:p>
        <w:p w14:paraId="6EC7D428" w14:textId="78A79019" w:rsidR="00497FEF" w:rsidRDefault="00000000">
          <w:pPr>
            <w:pStyle w:val="TOC1"/>
            <w:rPr>
              <w:rFonts w:asciiTheme="minorHAnsi" w:eastAsiaTheme="minorEastAsia" w:hAnsiTheme="minorHAnsi" w:cstheme="minorBidi"/>
              <w:b w:val="0"/>
              <w:bCs w:val="0"/>
              <w:sz w:val="22"/>
              <w:szCs w:val="22"/>
            </w:rPr>
          </w:pPr>
          <w:hyperlink w:anchor="_Toc132924185" w:history="1">
            <w:r w:rsidR="00497FEF" w:rsidRPr="00587851">
              <w:rPr>
                <w:rStyle w:val="Hyperlink"/>
              </w:rPr>
              <w:t>Chapter 2 – Mass-Transfer Limitations Investigation using Liquid Phase C-C Coupling Aldol Condensation Reactions in Porous Catalyst Media</w:t>
            </w:r>
            <w:r w:rsidR="00497FEF">
              <w:rPr>
                <w:webHidden/>
              </w:rPr>
              <w:tab/>
            </w:r>
            <w:r w:rsidR="00497FEF">
              <w:rPr>
                <w:webHidden/>
              </w:rPr>
              <w:fldChar w:fldCharType="begin"/>
            </w:r>
            <w:r w:rsidR="00497FEF">
              <w:rPr>
                <w:webHidden/>
              </w:rPr>
              <w:instrText xml:space="preserve"> PAGEREF _Toc132924185 \h </w:instrText>
            </w:r>
            <w:r w:rsidR="00497FEF">
              <w:rPr>
                <w:webHidden/>
              </w:rPr>
            </w:r>
            <w:r w:rsidR="00497FEF">
              <w:rPr>
                <w:webHidden/>
              </w:rPr>
              <w:fldChar w:fldCharType="separate"/>
            </w:r>
            <w:r w:rsidR="001F4741">
              <w:rPr>
                <w:webHidden/>
              </w:rPr>
              <w:t>24</w:t>
            </w:r>
            <w:r w:rsidR="00497FEF">
              <w:rPr>
                <w:webHidden/>
              </w:rPr>
              <w:fldChar w:fldCharType="end"/>
            </w:r>
          </w:hyperlink>
        </w:p>
        <w:p w14:paraId="0322F7A6" w14:textId="49CF5EA6" w:rsidR="00497FEF" w:rsidRDefault="00000000">
          <w:pPr>
            <w:pStyle w:val="TOC2"/>
            <w:tabs>
              <w:tab w:val="right" w:leader="dot" w:pos="8630"/>
            </w:tabs>
            <w:rPr>
              <w:rFonts w:asciiTheme="minorHAnsi" w:eastAsiaTheme="minorEastAsia" w:hAnsiTheme="minorHAnsi" w:cstheme="minorBidi"/>
              <w:noProof/>
              <w:sz w:val="22"/>
              <w:szCs w:val="22"/>
            </w:rPr>
          </w:pPr>
          <w:hyperlink w:anchor="_Toc132924186" w:history="1">
            <w:r w:rsidR="00497FEF" w:rsidRPr="00587851">
              <w:rPr>
                <w:rStyle w:val="Hyperlink"/>
                <w:iCs/>
                <w:noProof/>
              </w:rPr>
              <w:t>2.1 Introduction and Literature Review</w:t>
            </w:r>
            <w:r w:rsidR="00497FEF">
              <w:rPr>
                <w:noProof/>
                <w:webHidden/>
              </w:rPr>
              <w:tab/>
            </w:r>
            <w:r w:rsidR="00497FEF">
              <w:rPr>
                <w:noProof/>
                <w:webHidden/>
              </w:rPr>
              <w:fldChar w:fldCharType="begin"/>
            </w:r>
            <w:r w:rsidR="00497FEF">
              <w:rPr>
                <w:noProof/>
                <w:webHidden/>
              </w:rPr>
              <w:instrText xml:space="preserve"> PAGEREF _Toc132924186 \h </w:instrText>
            </w:r>
            <w:r w:rsidR="00497FEF">
              <w:rPr>
                <w:noProof/>
                <w:webHidden/>
              </w:rPr>
            </w:r>
            <w:r w:rsidR="00497FEF">
              <w:rPr>
                <w:noProof/>
                <w:webHidden/>
              </w:rPr>
              <w:fldChar w:fldCharType="separate"/>
            </w:r>
            <w:r w:rsidR="001F4741">
              <w:rPr>
                <w:noProof/>
                <w:webHidden/>
              </w:rPr>
              <w:t>24</w:t>
            </w:r>
            <w:r w:rsidR="00497FEF">
              <w:rPr>
                <w:noProof/>
                <w:webHidden/>
              </w:rPr>
              <w:fldChar w:fldCharType="end"/>
            </w:r>
          </w:hyperlink>
        </w:p>
        <w:p w14:paraId="6F834B2E" w14:textId="42BBB908" w:rsidR="00497FEF" w:rsidRDefault="00000000">
          <w:pPr>
            <w:pStyle w:val="TOC2"/>
            <w:tabs>
              <w:tab w:val="right" w:leader="dot" w:pos="8630"/>
            </w:tabs>
            <w:rPr>
              <w:rFonts w:asciiTheme="minorHAnsi" w:eastAsiaTheme="minorEastAsia" w:hAnsiTheme="minorHAnsi" w:cstheme="minorBidi"/>
              <w:noProof/>
              <w:sz w:val="22"/>
              <w:szCs w:val="22"/>
            </w:rPr>
          </w:pPr>
          <w:hyperlink w:anchor="_Toc132924187" w:history="1">
            <w:r w:rsidR="00497FEF" w:rsidRPr="00587851">
              <w:rPr>
                <w:rStyle w:val="Hyperlink"/>
                <w:iCs/>
                <w:noProof/>
              </w:rPr>
              <w:t>2.2 Reaction-Transport Modeling</w:t>
            </w:r>
            <w:r w:rsidR="00497FEF">
              <w:rPr>
                <w:noProof/>
                <w:webHidden/>
              </w:rPr>
              <w:tab/>
            </w:r>
            <w:r w:rsidR="00497FEF">
              <w:rPr>
                <w:noProof/>
                <w:webHidden/>
              </w:rPr>
              <w:fldChar w:fldCharType="begin"/>
            </w:r>
            <w:r w:rsidR="00497FEF">
              <w:rPr>
                <w:noProof/>
                <w:webHidden/>
              </w:rPr>
              <w:instrText xml:space="preserve"> PAGEREF _Toc132924187 \h </w:instrText>
            </w:r>
            <w:r w:rsidR="00497FEF">
              <w:rPr>
                <w:noProof/>
                <w:webHidden/>
              </w:rPr>
            </w:r>
            <w:r w:rsidR="00497FEF">
              <w:rPr>
                <w:noProof/>
                <w:webHidden/>
              </w:rPr>
              <w:fldChar w:fldCharType="separate"/>
            </w:r>
            <w:r w:rsidR="001F4741">
              <w:rPr>
                <w:noProof/>
                <w:webHidden/>
              </w:rPr>
              <w:t>31</w:t>
            </w:r>
            <w:r w:rsidR="00497FEF">
              <w:rPr>
                <w:noProof/>
                <w:webHidden/>
              </w:rPr>
              <w:fldChar w:fldCharType="end"/>
            </w:r>
          </w:hyperlink>
        </w:p>
        <w:p w14:paraId="1AE8268A" w14:textId="091EECE6" w:rsidR="00497FEF" w:rsidRDefault="00000000">
          <w:pPr>
            <w:pStyle w:val="TOC2"/>
            <w:tabs>
              <w:tab w:val="right" w:leader="dot" w:pos="8630"/>
            </w:tabs>
            <w:rPr>
              <w:rFonts w:asciiTheme="minorHAnsi" w:eastAsiaTheme="minorEastAsia" w:hAnsiTheme="minorHAnsi" w:cstheme="minorBidi"/>
              <w:noProof/>
              <w:sz w:val="22"/>
              <w:szCs w:val="22"/>
            </w:rPr>
          </w:pPr>
          <w:hyperlink w:anchor="_Toc132924188" w:history="1">
            <w:r w:rsidR="00497FEF" w:rsidRPr="00587851">
              <w:rPr>
                <w:rStyle w:val="Hyperlink"/>
                <w:iCs/>
                <w:noProof/>
              </w:rPr>
              <w:t>2.3 Experimental Methods</w:t>
            </w:r>
            <w:r w:rsidR="00497FEF">
              <w:rPr>
                <w:noProof/>
                <w:webHidden/>
              </w:rPr>
              <w:tab/>
            </w:r>
            <w:r w:rsidR="00497FEF">
              <w:rPr>
                <w:noProof/>
                <w:webHidden/>
              </w:rPr>
              <w:fldChar w:fldCharType="begin"/>
            </w:r>
            <w:r w:rsidR="00497FEF">
              <w:rPr>
                <w:noProof/>
                <w:webHidden/>
              </w:rPr>
              <w:instrText xml:space="preserve"> PAGEREF _Toc132924188 \h </w:instrText>
            </w:r>
            <w:r w:rsidR="00497FEF">
              <w:rPr>
                <w:noProof/>
                <w:webHidden/>
              </w:rPr>
            </w:r>
            <w:r w:rsidR="00497FEF">
              <w:rPr>
                <w:noProof/>
                <w:webHidden/>
              </w:rPr>
              <w:fldChar w:fldCharType="separate"/>
            </w:r>
            <w:r w:rsidR="001F4741">
              <w:rPr>
                <w:noProof/>
                <w:webHidden/>
              </w:rPr>
              <w:t>38</w:t>
            </w:r>
            <w:r w:rsidR="00497FEF">
              <w:rPr>
                <w:noProof/>
                <w:webHidden/>
              </w:rPr>
              <w:fldChar w:fldCharType="end"/>
            </w:r>
          </w:hyperlink>
        </w:p>
        <w:p w14:paraId="571B4C3B" w14:textId="0D358E29" w:rsidR="00497FEF" w:rsidRDefault="00000000">
          <w:pPr>
            <w:pStyle w:val="TOC3"/>
            <w:rPr>
              <w:rFonts w:asciiTheme="minorHAnsi" w:eastAsiaTheme="minorEastAsia" w:hAnsiTheme="minorHAnsi" w:cstheme="minorBidi"/>
              <w:noProof/>
              <w:sz w:val="22"/>
              <w:szCs w:val="22"/>
            </w:rPr>
          </w:pPr>
          <w:hyperlink w:anchor="_Toc132924189" w:history="1">
            <w:r w:rsidR="00497FEF" w:rsidRPr="00587851">
              <w:rPr>
                <w:rStyle w:val="Hyperlink"/>
                <w:iCs/>
                <w:noProof/>
              </w:rPr>
              <w:t>2.3.1 Chemicals and Materials</w:t>
            </w:r>
            <w:r w:rsidR="00497FEF">
              <w:rPr>
                <w:noProof/>
                <w:webHidden/>
              </w:rPr>
              <w:tab/>
            </w:r>
            <w:r w:rsidR="00497FEF">
              <w:rPr>
                <w:noProof/>
                <w:webHidden/>
              </w:rPr>
              <w:fldChar w:fldCharType="begin"/>
            </w:r>
            <w:r w:rsidR="00497FEF">
              <w:rPr>
                <w:noProof/>
                <w:webHidden/>
              </w:rPr>
              <w:instrText xml:space="preserve"> PAGEREF _Toc132924189 \h </w:instrText>
            </w:r>
            <w:r w:rsidR="00497FEF">
              <w:rPr>
                <w:noProof/>
                <w:webHidden/>
              </w:rPr>
            </w:r>
            <w:r w:rsidR="00497FEF">
              <w:rPr>
                <w:noProof/>
                <w:webHidden/>
              </w:rPr>
              <w:fldChar w:fldCharType="separate"/>
            </w:r>
            <w:r w:rsidR="001F4741">
              <w:rPr>
                <w:noProof/>
                <w:webHidden/>
              </w:rPr>
              <w:t>38</w:t>
            </w:r>
            <w:r w:rsidR="00497FEF">
              <w:rPr>
                <w:noProof/>
                <w:webHidden/>
              </w:rPr>
              <w:fldChar w:fldCharType="end"/>
            </w:r>
          </w:hyperlink>
        </w:p>
        <w:p w14:paraId="4D4853F1" w14:textId="16C987FC" w:rsidR="00497FEF" w:rsidRDefault="00000000">
          <w:pPr>
            <w:pStyle w:val="TOC3"/>
            <w:rPr>
              <w:rFonts w:asciiTheme="minorHAnsi" w:eastAsiaTheme="minorEastAsia" w:hAnsiTheme="minorHAnsi" w:cstheme="minorBidi"/>
              <w:noProof/>
              <w:sz w:val="22"/>
              <w:szCs w:val="22"/>
            </w:rPr>
          </w:pPr>
          <w:hyperlink w:anchor="_Toc132924190" w:history="1">
            <w:r w:rsidR="00497FEF" w:rsidRPr="00587851">
              <w:rPr>
                <w:rStyle w:val="Hyperlink"/>
                <w:iCs/>
                <w:noProof/>
              </w:rPr>
              <w:t>2.3.2 Catalyst Preparation</w:t>
            </w:r>
            <w:r w:rsidR="00497FEF">
              <w:rPr>
                <w:noProof/>
                <w:webHidden/>
              </w:rPr>
              <w:tab/>
            </w:r>
            <w:r w:rsidR="00497FEF">
              <w:rPr>
                <w:noProof/>
                <w:webHidden/>
              </w:rPr>
              <w:fldChar w:fldCharType="begin"/>
            </w:r>
            <w:r w:rsidR="00497FEF">
              <w:rPr>
                <w:noProof/>
                <w:webHidden/>
              </w:rPr>
              <w:instrText xml:space="preserve"> PAGEREF _Toc132924190 \h </w:instrText>
            </w:r>
            <w:r w:rsidR="00497FEF">
              <w:rPr>
                <w:noProof/>
                <w:webHidden/>
              </w:rPr>
            </w:r>
            <w:r w:rsidR="00497FEF">
              <w:rPr>
                <w:noProof/>
                <w:webHidden/>
              </w:rPr>
              <w:fldChar w:fldCharType="separate"/>
            </w:r>
            <w:r w:rsidR="001F4741">
              <w:rPr>
                <w:noProof/>
                <w:webHidden/>
              </w:rPr>
              <w:t>38</w:t>
            </w:r>
            <w:r w:rsidR="00497FEF">
              <w:rPr>
                <w:noProof/>
                <w:webHidden/>
              </w:rPr>
              <w:fldChar w:fldCharType="end"/>
            </w:r>
          </w:hyperlink>
        </w:p>
        <w:p w14:paraId="6AC91C97" w14:textId="5FE1B2A0" w:rsidR="00497FEF" w:rsidRDefault="00000000">
          <w:pPr>
            <w:pStyle w:val="TOC3"/>
            <w:rPr>
              <w:rFonts w:asciiTheme="minorHAnsi" w:eastAsiaTheme="minorEastAsia" w:hAnsiTheme="minorHAnsi" w:cstheme="minorBidi"/>
              <w:noProof/>
              <w:sz w:val="22"/>
              <w:szCs w:val="22"/>
            </w:rPr>
          </w:pPr>
          <w:hyperlink w:anchor="_Toc132924191" w:history="1">
            <w:r w:rsidR="00497FEF" w:rsidRPr="00587851">
              <w:rPr>
                <w:rStyle w:val="Hyperlink"/>
                <w:iCs/>
                <w:noProof/>
              </w:rPr>
              <w:t>2.3.3 Site-density Quantification</w:t>
            </w:r>
            <w:r w:rsidR="00497FEF">
              <w:rPr>
                <w:noProof/>
                <w:webHidden/>
              </w:rPr>
              <w:tab/>
            </w:r>
            <w:r w:rsidR="00497FEF">
              <w:rPr>
                <w:noProof/>
                <w:webHidden/>
              </w:rPr>
              <w:fldChar w:fldCharType="begin"/>
            </w:r>
            <w:r w:rsidR="00497FEF">
              <w:rPr>
                <w:noProof/>
                <w:webHidden/>
              </w:rPr>
              <w:instrText xml:space="preserve"> PAGEREF _Toc132924191 \h </w:instrText>
            </w:r>
            <w:r w:rsidR="00497FEF">
              <w:rPr>
                <w:noProof/>
                <w:webHidden/>
              </w:rPr>
            </w:r>
            <w:r w:rsidR="00497FEF">
              <w:rPr>
                <w:noProof/>
                <w:webHidden/>
              </w:rPr>
              <w:fldChar w:fldCharType="separate"/>
            </w:r>
            <w:r w:rsidR="001F4741">
              <w:rPr>
                <w:noProof/>
                <w:webHidden/>
              </w:rPr>
              <w:t>38</w:t>
            </w:r>
            <w:r w:rsidR="00497FEF">
              <w:rPr>
                <w:noProof/>
                <w:webHidden/>
              </w:rPr>
              <w:fldChar w:fldCharType="end"/>
            </w:r>
          </w:hyperlink>
        </w:p>
        <w:p w14:paraId="405AB71B" w14:textId="29269481" w:rsidR="00497FEF" w:rsidRDefault="00000000">
          <w:pPr>
            <w:pStyle w:val="TOC3"/>
            <w:rPr>
              <w:rFonts w:asciiTheme="minorHAnsi" w:eastAsiaTheme="minorEastAsia" w:hAnsiTheme="minorHAnsi" w:cstheme="minorBidi"/>
              <w:noProof/>
              <w:sz w:val="22"/>
              <w:szCs w:val="22"/>
            </w:rPr>
          </w:pPr>
          <w:hyperlink w:anchor="_Toc132924192" w:history="1">
            <w:r w:rsidR="00497FEF" w:rsidRPr="00587851">
              <w:rPr>
                <w:rStyle w:val="Hyperlink"/>
                <w:iCs/>
                <w:noProof/>
              </w:rPr>
              <w:t>2.3.4 X-ray diffraction Characterization</w:t>
            </w:r>
            <w:r w:rsidR="00497FEF">
              <w:rPr>
                <w:noProof/>
                <w:webHidden/>
              </w:rPr>
              <w:tab/>
            </w:r>
            <w:r w:rsidR="00497FEF">
              <w:rPr>
                <w:noProof/>
                <w:webHidden/>
              </w:rPr>
              <w:fldChar w:fldCharType="begin"/>
            </w:r>
            <w:r w:rsidR="00497FEF">
              <w:rPr>
                <w:noProof/>
                <w:webHidden/>
              </w:rPr>
              <w:instrText xml:space="preserve"> PAGEREF _Toc132924192 \h </w:instrText>
            </w:r>
            <w:r w:rsidR="00497FEF">
              <w:rPr>
                <w:noProof/>
                <w:webHidden/>
              </w:rPr>
            </w:r>
            <w:r w:rsidR="00497FEF">
              <w:rPr>
                <w:noProof/>
                <w:webHidden/>
              </w:rPr>
              <w:fldChar w:fldCharType="separate"/>
            </w:r>
            <w:r w:rsidR="001F4741">
              <w:rPr>
                <w:noProof/>
                <w:webHidden/>
              </w:rPr>
              <w:t>39</w:t>
            </w:r>
            <w:r w:rsidR="00497FEF">
              <w:rPr>
                <w:noProof/>
                <w:webHidden/>
              </w:rPr>
              <w:fldChar w:fldCharType="end"/>
            </w:r>
          </w:hyperlink>
        </w:p>
        <w:p w14:paraId="732F5029" w14:textId="6E8EEADC" w:rsidR="00497FEF" w:rsidRDefault="00000000">
          <w:pPr>
            <w:pStyle w:val="TOC3"/>
            <w:rPr>
              <w:rFonts w:asciiTheme="minorHAnsi" w:eastAsiaTheme="minorEastAsia" w:hAnsiTheme="minorHAnsi" w:cstheme="minorBidi"/>
              <w:noProof/>
              <w:sz w:val="22"/>
              <w:szCs w:val="22"/>
            </w:rPr>
          </w:pPr>
          <w:hyperlink w:anchor="_Toc132924193" w:history="1">
            <w:r w:rsidR="00497FEF" w:rsidRPr="00587851">
              <w:rPr>
                <w:rStyle w:val="Hyperlink"/>
                <w:iCs/>
                <w:noProof/>
              </w:rPr>
              <w:t>2.3.5 Particle Size Measurements</w:t>
            </w:r>
            <w:r w:rsidR="00497FEF">
              <w:rPr>
                <w:noProof/>
                <w:webHidden/>
              </w:rPr>
              <w:tab/>
            </w:r>
            <w:r w:rsidR="00497FEF">
              <w:rPr>
                <w:noProof/>
                <w:webHidden/>
              </w:rPr>
              <w:fldChar w:fldCharType="begin"/>
            </w:r>
            <w:r w:rsidR="00497FEF">
              <w:rPr>
                <w:noProof/>
                <w:webHidden/>
              </w:rPr>
              <w:instrText xml:space="preserve"> PAGEREF _Toc132924193 \h </w:instrText>
            </w:r>
            <w:r w:rsidR="00497FEF">
              <w:rPr>
                <w:noProof/>
                <w:webHidden/>
              </w:rPr>
            </w:r>
            <w:r w:rsidR="00497FEF">
              <w:rPr>
                <w:noProof/>
                <w:webHidden/>
              </w:rPr>
              <w:fldChar w:fldCharType="separate"/>
            </w:r>
            <w:r w:rsidR="001F4741">
              <w:rPr>
                <w:noProof/>
                <w:webHidden/>
              </w:rPr>
              <w:t>39</w:t>
            </w:r>
            <w:r w:rsidR="00497FEF">
              <w:rPr>
                <w:noProof/>
                <w:webHidden/>
              </w:rPr>
              <w:fldChar w:fldCharType="end"/>
            </w:r>
          </w:hyperlink>
        </w:p>
        <w:p w14:paraId="79232E6D" w14:textId="32AF44D7" w:rsidR="00497FEF" w:rsidRDefault="00000000">
          <w:pPr>
            <w:pStyle w:val="TOC3"/>
            <w:rPr>
              <w:rFonts w:asciiTheme="minorHAnsi" w:eastAsiaTheme="minorEastAsia" w:hAnsiTheme="minorHAnsi" w:cstheme="minorBidi"/>
              <w:noProof/>
              <w:sz w:val="22"/>
              <w:szCs w:val="22"/>
            </w:rPr>
          </w:pPr>
          <w:hyperlink w:anchor="_Toc132924194" w:history="1">
            <w:r w:rsidR="00497FEF" w:rsidRPr="00587851">
              <w:rPr>
                <w:rStyle w:val="Hyperlink"/>
                <w:iCs/>
                <w:noProof/>
              </w:rPr>
              <w:t>2.3.6 Catalytic Reaction Measurements</w:t>
            </w:r>
            <w:r w:rsidR="00497FEF">
              <w:rPr>
                <w:noProof/>
                <w:webHidden/>
              </w:rPr>
              <w:tab/>
            </w:r>
            <w:r w:rsidR="00497FEF">
              <w:rPr>
                <w:noProof/>
                <w:webHidden/>
              </w:rPr>
              <w:fldChar w:fldCharType="begin"/>
            </w:r>
            <w:r w:rsidR="00497FEF">
              <w:rPr>
                <w:noProof/>
                <w:webHidden/>
              </w:rPr>
              <w:instrText xml:space="preserve"> PAGEREF _Toc132924194 \h </w:instrText>
            </w:r>
            <w:r w:rsidR="00497FEF">
              <w:rPr>
                <w:noProof/>
                <w:webHidden/>
              </w:rPr>
            </w:r>
            <w:r w:rsidR="00497FEF">
              <w:rPr>
                <w:noProof/>
                <w:webHidden/>
              </w:rPr>
              <w:fldChar w:fldCharType="separate"/>
            </w:r>
            <w:r w:rsidR="001F4741">
              <w:rPr>
                <w:noProof/>
                <w:webHidden/>
              </w:rPr>
              <w:t>40</w:t>
            </w:r>
            <w:r w:rsidR="00497FEF">
              <w:rPr>
                <w:noProof/>
                <w:webHidden/>
              </w:rPr>
              <w:fldChar w:fldCharType="end"/>
            </w:r>
          </w:hyperlink>
        </w:p>
        <w:p w14:paraId="55B8FD6A" w14:textId="17EC6654" w:rsidR="00497FEF" w:rsidRDefault="00000000">
          <w:pPr>
            <w:pStyle w:val="TOC2"/>
            <w:tabs>
              <w:tab w:val="right" w:leader="dot" w:pos="8630"/>
            </w:tabs>
            <w:rPr>
              <w:rFonts w:asciiTheme="minorHAnsi" w:eastAsiaTheme="minorEastAsia" w:hAnsiTheme="minorHAnsi" w:cstheme="minorBidi"/>
              <w:noProof/>
              <w:sz w:val="22"/>
              <w:szCs w:val="22"/>
            </w:rPr>
          </w:pPr>
          <w:hyperlink w:anchor="_Toc132924195" w:history="1">
            <w:r w:rsidR="00497FEF" w:rsidRPr="00587851">
              <w:rPr>
                <w:rStyle w:val="Hyperlink"/>
                <w:iCs/>
                <w:noProof/>
              </w:rPr>
              <w:t>2.4 Results and Discussions</w:t>
            </w:r>
            <w:r w:rsidR="00497FEF">
              <w:rPr>
                <w:noProof/>
                <w:webHidden/>
              </w:rPr>
              <w:tab/>
            </w:r>
            <w:r w:rsidR="00497FEF">
              <w:rPr>
                <w:noProof/>
                <w:webHidden/>
              </w:rPr>
              <w:fldChar w:fldCharType="begin"/>
            </w:r>
            <w:r w:rsidR="00497FEF">
              <w:rPr>
                <w:noProof/>
                <w:webHidden/>
              </w:rPr>
              <w:instrText xml:space="preserve"> PAGEREF _Toc132924195 \h </w:instrText>
            </w:r>
            <w:r w:rsidR="00497FEF">
              <w:rPr>
                <w:noProof/>
                <w:webHidden/>
              </w:rPr>
            </w:r>
            <w:r w:rsidR="00497FEF">
              <w:rPr>
                <w:noProof/>
                <w:webHidden/>
              </w:rPr>
              <w:fldChar w:fldCharType="separate"/>
            </w:r>
            <w:r w:rsidR="001F4741">
              <w:rPr>
                <w:noProof/>
                <w:webHidden/>
              </w:rPr>
              <w:t>42</w:t>
            </w:r>
            <w:r w:rsidR="00497FEF">
              <w:rPr>
                <w:noProof/>
                <w:webHidden/>
              </w:rPr>
              <w:fldChar w:fldCharType="end"/>
            </w:r>
          </w:hyperlink>
        </w:p>
        <w:p w14:paraId="34DEA20D" w14:textId="2294C9BC" w:rsidR="00497FEF" w:rsidRDefault="00000000">
          <w:pPr>
            <w:pStyle w:val="TOC3"/>
            <w:rPr>
              <w:rFonts w:asciiTheme="minorHAnsi" w:eastAsiaTheme="minorEastAsia" w:hAnsiTheme="minorHAnsi" w:cstheme="minorBidi"/>
              <w:noProof/>
              <w:sz w:val="22"/>
              <w:szCs w:val="22"/>
            </w:rPr>
          </w:pPr>
          <w:hyperlink w:anchor="_Toc132924196" w:history="1">
            <w:r w:rsidR="00497FEF" w:rsidRPr="00587851">
              <w:rPr>
                <w:rStyle w:val="Hyperlink"/>
                <w:iCs/>
                <w:noProof/>
              </w:rPr>
              <w:t>2.4.1 Catalyst Characterization</w:t>
            </w:r>
            <w:r w:rsidR="00497FEF">
              <w:rPr>
                <w:noProof/>
                <w:webHidden/>
              </w:rPr>
              <w:tab/>
            </w:r>
            <w:r w:rsidR="00497FEF">
              <w:rPr>
                <w:noProof/>
                <w:webHidden/>
              </w:rPr>
              <w:fldChar w:fldCharType="begin"/>
            </w:r>
            <w:r w:rsidR="00497FEF">
              <w:rPr>
                <w:noProof/>
                <w:webHidden/>
              </w:rPr>
              <w:instrText xml:space="preserve"> PAGEREF _Toc132924196 \h </w:instrText>
            </w:r>
            <w:r w:rsidR="00497FEF">
              <w:rPr>
                <w:noProof/>
                <w:webHidden/>
              </w:rPr>
            </w:r>
            <w:r w:rsidR="00497FEF">
              <w:rPr>
                <w:noProof/>
                <w:webHidden/>
              </w:rPr>
              <w:fldChar w:fldCharType="separate"/>
            </w:r>
            <w:r w:rsidR="001F4741">
              <w:rPr>
                <w:noProof/>
                <w:webHidden/>
              </w:rPr>
              <w:t>42</w:t>
            </w:r>
            <w:r w:rsidR="00497FEF">
              <w:rPr>
                <w:noProof/>
                <w:webHidden/>
              </w:rPr>
              <w:fldChar w:fldCharType="end"/>
            </w:r>
          </w:hyperlink>
        </w:p>
        <w:p w14:paraId="5BFB9EB1" w14:textId="02E973DC" w:rsidR="00497FEF" w:rsidRDefault="00000000">
          <w:pPr>
            <w:pStyle w:val="TOC3"/>
            <w:rPr>
              <w:rFonts w:asciiTheme="minorHAnsi" w:eastAsiaTheme="minorEastAsia" w:hAnsiTheme="minorHAnsi" w:cstheme="minorBidi"/>
              <w:noProof/>
              <w:sz w:val="22"/>
              <w:szCs w:val="22"/>
            </w:rPr>
          </w:pPr>
          <w:hyperlink w:anchor="_Toc132924197" w:history="1">
            <w:r w:rsidR="00497FEF" w:rsidRPr="00587851">
              <w:rPr>
                <w:rStyle w:val="Hyperlink"/>
                <w:iCs/>
                <w:noProof/>
              </w:rPr>
              <w:t>2.4.2 Catalytic reaction measurements and assessment of MTL in Self-Aldol Condensation</w:t>
            </w:r>
            <w:r w:rsidR="00497FEF">
              <w:rPr>
                <w:noProof/>
                <w:webHidden/>
              </w:rPr>
              <w:tab/>
            </w:r>
            <w:r w:rsidR="00497FEF">
              <w:rPr>
                <w:noProof/>
                <w:webHidden/>
              </w:rPr>
              <w:fldChar w:fldCharType="begin"/>
            </w:r>
            <w:r w:rsidR="00497FEF">
              <w:rPr>
                <w:noProof/>
                <w:webHidden/>
              </w:rPr>
              <w:instrText xml:space="preserve"> PAGEREF _Toc132924197 \h </w:instrText>
            </w:r>
            <w:r w:rsidR="00497FEF">
              <w:rPr>
                <w:noProof/>
                <w:webHidden/>
              </w:rPr>
            </w:r>
            <w:r w:rsidR="00497FEF">
              <w:rPr>
                <w:noProof/>
                <w:webHidden/>
              </w:rPr>
              <w:fldChar w:fldCharType="separate"/>
            </w:r>
            <w:r w:rsidR="001F4741">
              <w:rPr>
                <w:noProof/>
                <w:webHidden/>
              </w:rPr>
              <w:t>46</w:t>
            </w:r>
            <w:r w:rsidR="00497FEF">
              <w:rPr>
                <w:noProof/>
                <w:webHidden/>
              </w:rPr>
              <w:fldChar w:fldCharType="end"/>
            </w:r>
          </w:hyperlink>
        </w:p>
        <w:p w14:paraId="5F03E190" w14:textId="33E5721B" w:rsidR="00497FEF" w:rsidRDefault="00000000">
          <w:pPr>
            <w:pStyle w:val="TOC3"/>
            <w:rPr>
              <w:rFonts w:asciiTheme="minorHAnsi" w:eastAsiaTheme="minorEastAsia" w:hAnsiTheme="minorHAnsi" w:cstheme="minorBidi"/>
              <w:noProof/>
              <w:sz w:val="22"/>
              <w:szCs w:val="22"/>
            </w:rPr>
          </w:pPr>
          <w:hyperlink w:anchor="_Toc132924198" w:history="1">
            <w:r w:rsidR="00497FEF" w:rsidRPr="00587851">
              <w:rPr>
                <w:rStyle w:val="Hyperlink"/>
                <w:iCs/>
                <w:noProof/>
              </w:rPr>
              <w:t>2.4.2 Cross-condensation Product Selectivity Shifts under Different Regimes</w:t>
            </w:r>
            <w:r w:rsidR="00497FEF">
              <w:rPr>
                <w:noProof/>
                <w:webHidden/>
              </w:rPr>
              <w:tab/>
            </w:r>
            <w:r w:rsidR="00497FEF">
              <w:rPr>
                <w:noProof/>
                <w:webHidden/>
              </w:rPr>
              <w:fldChar w:fldCharType="begin"/>
            </w:r>
            <w:r w:rsidR="00497FEF">
              <w:rPr>
                <w:noProof/>
                <w:webHidden/>
              </w:rPr>
              <w:instrText xml:space="preserve"> PAGEREF _Toc132924198 \h </w:instrText>
            </w:r>
            <w:r w:rsidR="00497FEF">
              <w:rPr>
                <w:noProof/>
                <w:webHidden/>
              </w:rPr>
            </w:r>
            <w:r w:rsidR="00497FEF">
              <w:rPr>
                <w:noProof/>
                <w:webHidden/>
              </w:rPr>
              <w:fldChar w:fldCharType="separate"/>
            </w:r>
            <w:r w:rsidR="001F4741">
              <w:rPr>
                <w:noProof/>
                <w:webHidden/>
              </w:rPr>
              <w:t>60</w:t>
            </w:r>
            <w:r w:rsidR="00497FEF">
              <w:rPr>
                <w:noProof/>
                <w:webHidden/>
              </w:rPr>
              <w:fldChar w:fldCharType="end"/>
            </w:r>
          </w:hyperlink>
        </w:p>
        <w:p w14:paraId="32F1356B" w14:textId="2546BD17" w:rsidR="00497FEF" w:rsidRDefault="00000000">
          <w:pPr>
            <w:pStyle w:val="TOC3"/>
            <w:rPr>
              <w:rFonts w:asciiTheme="minorHAnsi" w:eastAsiaTheme="minorEastAsia" w:hAnsiTheme="minorHAnsi" w:cstheme="minorBidi"/>
              <w:noProof/>
              <w:sz w:val="22"/>
              <w:szCs w:val="22"/>
            </w:rPr>
          </w:pPr>
          <w:hyperlink w:anchor="_Toc132924199" w:history="1">
            <w:r w:rsidR="00497FEF" w:rsidRPr="00587851">
              <w:rPr>
                <w:rStyle w:val="Hyperlink"/>
                <w:iCs/>
                <w:noProof/>
              </w:rPr>
              <w:t>2.4.3 In-situ Pyridine Titration</w:t>
            </w:r>
            <w:r w:rsidR="00497FEF">
              <w:rPr>
                <w:noProof/>
                <w:webHidden/>
              </w:rPr>
              <w:tab/>
            </w:r>
            <w:r w:rsidR="00497FEF">
              <w:rPr>
                <w:noProof/>
                <w:webHidden/>
              </w:rPr>
              <w:fldChar w:fldCharType="begin"/>
            </w:r>
            <w:r w:rsidR="00497FEF">
              <w:rPr>
                <w:noProof/>
                <w:webHidden/>
              </w:rPr>
              <w:instrText xml:space="preserve"> PAGEREF _Toc132924199 \h </w:instrText>
            </w:r>
            <w:r w:rsidR="00497FEF">
              <w:rPr>
                <w:noProof/>
                <w:webHidden/>
              </w:rPr>
            </w:r>
            <w:r w:rsidR="00497FEF">
              <w:rPr>
                <w:noProof/>
                <w:webHidden/>
              </w:rPr>
              <w:fldChar w:fldCharType="separate"/>
            </w:r>
            <w:r w:rsidR="001F4741">
              <w:rPr>
                <w:noProof/>
                <w:webHidden/>
              </w:rPr>
              <w:t>65</w:t>
            </w:r>
            <w:r w:rsidR="00497FEF">
              <w:rPr>
                <w:noProof/>
                <w:webHidden/>
              </w:rPr>
              <w:fldChar w:fldCharType="end"/>
            </w:r>
          </w:hyperlink>
        </w:p>
        <w:p w14:paraId="6A9B171F" w14:textId="591C9636" w:rsidR="00497FEF" w:rsidRDefault="00000000">
          <w:pPr>
            <w:pStyle w:val="TOC2"/>
            <w:tabs>
              <w:tab w:val="right" w:leader="dot" w:pos="8630"/>
            </w:tabs>
            <w:rPr>
              <w:rFonts w:asciiTheme="minorHAnsi" w:eastAsiaTheme="minorEastAsia" w:hAnsiTheme="minorHAnsi" w:cstheme="minorBidi"/>
              <w:noProof/>
              <w:sz w:val="22"/>
              <w:szCs w:val="22"/>
            </w:rPr>
          </w:pPr>
          <w:hyperlink w:anchor="_Toc132924200" w:history="1">
            <w:r w:rsidR="00497FEF" w:rsidRPr="00587851">
              <w:rPr>
                <w:rStyle w:val="Hyperlink"/>
                <w:iCs/>
                <w:noProof/>
              </w:rPr>
              <w:t>2.5 Conclusion</w:t>
            </w:r>
            <w:r w:rsidR="00497FEF">
              <w:rPr>
                <w:noProof/>
                <w:webHidden/>
              </w:rPr>
              <w:tab/>
            </w:r>
            <w:r w:rsidR="00497FEF">
              <w:rPr>
                <w:noProof/>
                <w:webHidden/>
              </w:rPr>
              <w:fldChar w:fldCharType="begin"/>
            </w:r>
            <w:r w:rsidR="00497FEF">
              <w:rPr>
                <w:noProof/>
                <w:webHidden/>
              </w:rPr>
              <w:instrText xml:space="preserve"> PAGEREF _Toc132924200 \h </w:instrText>
            </w:r>
            <w:r w:rsidR="00497FEF">
              <w:rPr>
                <w:noProof/>
                <w:webHidden/>
              </w:rPr>
            </w:r>
            <w:r w:rsidR="00497FEF">
              <w:rPr>
                <w:noProof/>
                <w:webHidden/>
              </w:rPr>
              <w:fldChar w:fldCharType="separate"/>
            </w:r>
            <w:r w:rsidR="001F4741">
              <w:rPr>
                <w:noProof/>
                <w:webHidden/>
              </w:rPr>
              <w:t>78</w:t>
            </w:r>
            <w:r w:rsidR="00497FEF">
              <w:rPr>
                <w:noProof/>
                <w:webHidden/>
              </w:rPr>
              <w:fldChar w:fldCharType="end"/>
            </w:r>
          </w:hyperlink>
        </w:p>
        <w:p w14:paraId="5AD2E484" w14:textId="09E08AFB" w:rsidR="00497FEF" w:rsidRDefault="00000000">
          <w:pPr>
            <w:pStyle w:val="TOC1"/>
            <w:rPr>
              <w:rFonts w:asciiTheme="minorHAnsi" w:eastAsiaTheme="minorEastAsia" w:hAnsiTheme="minorHAnsi" w:cstheme="minorBidi"/>
              <w:b w:val="0"/>
              <w:bCs w:val="0"/>
              <w:sz w:val="22"/>
              <w:szCs w:val="22"/>
            </w:rPr>
          </w:pPr>
          <w:hyperlink w:anchor="_Toc132924201" w:history="1">
            <w:r w:rsidR="00497FEF" w:rsidRPr="00587851">
              <w:rPr>
                <w:rStyle w:val="Hyperlink"/>
              </w:rPr>
              <w:t>Chapter 3 – MFI Synthesis: A Particle Size Effect Over Ketone-Condensation and Diffusivity Perspectives</w:t>
            </w:r>
            <w:r w:rsidR="00497FEF">
              <w:rPr>
                <w:webHidden/>
              </w:rPr>
              <w:tab/>
            </w:r>
            <w:r w:rsidR="00497FEF">
              <w:rPr>
                <w:webHidden/>
              </w:rPr>
              <w:fldChar w:fldCharType="begin"/>
            </w:r>
            <w:r w:rsidR="00497FEF">
              <w:rPr>
                <w:webHidden/>
              </w:rPr>
              <w:instrText xml:space="preserve"> PAGEREF _Toc132924201 \h </w:instrText>
            </w:r>
            <w:r w:rsidR="00497FEF">
              <w:rPr>
                <w:webHidden/>
              </w:rPr>
            </w:r>
            <w:r w:rsidR="00497FEF">
              <w:rPr>
                <w:webHidden/>
              </w:rPr>
              <w:fldChar w:fldCharType="separate"/>
            </w:r>
            <w:r w:rsidR="001F4741">
              <w:rPr>
                <w:webHidden/>
              </w:rPr>
              <w:t>82</w:t>
            </w:r>
            <w:r w:rsidR="00497FEF">
              <w:rPr>
                <w:webHidden/>
              </w:rPr>
              <w:fldChar w:fldCharType="end"/>
            </w:r>
          </w:hyperlink>
        </w:p>
        <w:p w14:paraId="67957724" w14:textId="726A2454" w:rsidR="00497FEF" w:rsidRDefault="00000000">
          <w:pPr>
            <w:pStyle w:val="TOC2"/>
            <w:tabs>
              <w:tab w:val="right" w:leader="dot" w:pos="8630"/>
            </w:tabs>
            <w:rPr>
              <w:rFonts w:asciiTheme="minorHAnsi" w:eastAsiaTheme="minorEastAsia" w:hAnsiTheme="minorHAnsi" w:cstheme="minorBidi"/>
              <w:noProof/>
              <w:sz w:val="22"/>
              <w:szCs w:val="22"/>
            </w:rPr>
          </w:pPr>
          <w:hyperlink w:anchor="_Toc132924202" w:history="1">
            <w:r w:rsidR="00497FEF" w:rsidRPr="00587851">
              <w:rPr>
                <w:rStyle w:val="Hyperlink"/>
                <w:iCs/>
                <w:noProof/>
              </w:rPr>
              <w:t>3.1 Introduction and Literature Review</w:t>
            </w:r>
            <w:r w:rsidR="00497FEF">
              <w:rPr>
                <w:noProof/>
                <w:webHidden/>
              </w:rPr>
              <w:tab/>
            </w:r>
            <w:r w:rsidR="00497FEF">
              <w:rPr>
                <w:noProof/>
                <w:webHidden/>
              </w:rPr>
              <w:fldChar w:fldCharType="begin"/>
            </w:r>
            <w:r w:rsidR="00497FEF">
              <w:rPr>
                <w:noProof/>
                <w:webHidden/>
              </w:rPr>
              <w:instrText xml:space="preserve"> PAGEREF _Toc132924202 \h </w:instrText>
            </w:r>
            <w:r w:rsidR="00497FEF">
              <w:rPr>
                <w:noProof/>
                <w:webHidden/>
              </w:rPr>
            </w:r>
            <w:r w:rsidR="00497FEF">
              <w:rPr>
                <w:noProof/>
                <w:webHidden/>
              </w:rPr>
              <w:fldChar w:fldCharType="separate"/>
            </w:r>
            <w:r w:rsidR="001F4741">
              <w:rPr>
                <w:noProof/>
                <w:webHidden/>
              </w:rPr>
              <w:t>82</w:t>
            </w:r>
            <w:r w:rsidR="00497FEF">
              <w:rPr>
                <w:noProof/>
                <w:webHidden/>
              </w:rPr>
              <w:fldChar w:fldCharType="end"/>
            </w:r>
          </w:hyperlink>
        </w:p>
        <w:p w14:paraId="6C087C16" w14:textId="4E0C81BB" w:rsidR="00497FEF" w:rsidRDefault="00000000">
          <w:pPr>
            <w:pStyle w:val="TOC2"/>
            <w:tabs>
              <w:tab w:val="right" w:leader="dot" w:pos="8630"/>
            </w:tabs>
            <w:rPr>
              <w:rFonts w:asciiTheme="minorHAnsi" w:eastAsiaTheme="minorEastAsia" w:hAnsiTheme="minorHAnsi" w:cstheme="minorBidi"/>
              <w:noProof/>
              <w:sz w:val="22"/>
              <w:szCs w:val="22"/>
            </w:rPr>
          </w:pPr>
          <w:hyperlink w:anchor="_Toc132924203" w:history="1">
            <w:r w:rsidR="00497FEF" w:rsidRPr="00587851">
              <w:rPr>
                <w:rStyle w:val="Hyperlink"/>
                <w:iCs/>
                <w:noProof/>
              </w:rPr>
              <w:t>3.2 Experimental Methods</w:t>
            </w:r>
            <w:r w:rsidR="00497FEF">
              <w:rPr>
                <w:noProof/>
                <w:webHidden/>
              </w:rPr>
              <w:tab/>
            </w:r>
            <w:r w:rsidR="00497FEF">
              <w:rPr>
                <w:noProof/>
                <w:webHidden/>
              </w:rPr>
              <w:fldChar w:fldCharType="begin"/>
            </w:r>
            <w:r w:rsidR="00497FEF">
              <w:rPr>
                <w:noProof/>
                <w:webHidden/>
              </w:rPr>
              <w:instrText xml:space="preserve"> PAGEREF _Toc132924203 \h </w:instrText>
            </w:r>
            <w:r w:rsidR="00497FEF">
              <w:rPr>
                <w:noProof/>
                <w:webHidden/>
              </w:rPr>
            </w:r>
            <w:r w:rsidR="00497FEF">
              <w:rPr>
                <w:noProof/>
                <w:webHidden/>
              </w:rPr>
              <w:fldChar w:fldCharType="separate"/>
            </w:r>
            <w:r w:rsidR="001F4741">
              <w:rPr>
                <w:noProof/>
                <w:webHidden/>
              </w:rPr>
              <w:t>87</w:t>
            </w:r>
            <w:r w:rsidR="00497FEF">
              <w:rPr>
                <w:noProof/>
                <w:webHidden/>
              </w:rPr>
              <w:fldChar w:fldCharType="end"/>
            </w:r>
          </w:hyperlink>
        </w:p>
        <w:p w14:paraId="1C8D5A4C" w14:textId="4C42C891" w:rsidR="00497FEF" w:rsidRDefault="00000000">
          <w:pPr>
            <w:pStyle w:val="TOC3"/>
            <w:rPr>
              <w:rFonts w:asciiTheme="minorHAnsi" w:eastAsiaTheme="minorEastAsia" w:hAnsiTheme="minorHAnsi" w:cstheme="minorBidi"/>
              <w:noProof/>
              <w:sz w:val="22"/>
              <w:szCs w:val="22"/>
            </w:rPr>
          </w:pPr>
          <w:hyperlink w:anchor="_Toc132924204" w:history="1">
            <w:r w:rsidR="00497FEF" w:rsidRPr="00587851">
              <w:rPr>
                <w:rStyle w:val="Hyperlink"/>
                <w:iCs/>
                <w:noProof/>
              </w:rPr>
              <w:t>3.2.1 Chemicals and Materials</w:t>
            </w:r>
            <w:r w:rsidR="00497FEF">
              <w:rPr>
                <w:noProof/>
                <w:webHidden/>
              </w:rPr>
              <w:tab/>
            </w:r>
            <w:r w:rsidR="00497FEF">
              <w:rPr>
                <w:noProof/>
                <w:webHidden/>
              </w:rPr>
              <w:fldChar w:fldCharType="begin"/>
            </w:r>
            <w:r w:rsidR="00497FEF">
              <w:rPr>
                <w:noProof/>
                <w:webHidden/>
              </w:rPr>
              <w:instrText xml:space="preserve"> PAGEREF _Toc132924204 \h </w:instrText>
            </w:r>
            <w:r w:rsidR="00497FEF">
              <w:rPr>
                <w:noProof/>
                <w:webHidden/>
              </w:rPr>
            </w:r>
            <w:r w:rsidR="00497FEF">
              <w:rPr>
                <w:noProof/>
                <w:webHidden/>
              </w:rPr>
              <w:fldChar w:fldCharType="separate"/>
            </w:r>
            <w:r w:rsidR="001F4741">
              <w:rPr>
                <w:noProof/>
                <w:webHidden/>
              </w:rPr>
              <w:t>87</w:t>
            </w:r>
            <w:r w:rsidR="00497FEF">
              <w:rPr>
                <w:noProof/>
                <w:webHidden/>
              </w:rPr>
              <w:fldChar w:fldCharType="end"/>
            </w:r>
          </w:hyperlink>
        </w:p>
        <w:p w14:paraId="75CDC449" w14:textId="7F7D1D16" w:rsidR="00497FEF" w:rsidRDefault="00000000">
          <w:pPr>
            <w:pStyle w:val="TOC3"/>
            <w:rPr>
              <w:rFonts w:asciiTheme="minorHAnsi" w:eastAsiaTheme="minorEastAsia" w:hAnsiTheme="minorHAnsi" w:cstheme="minorBidi"/>
              <w:noProof/>
              <w:sz w:val="22"/>
              <w:szCs w:val="22"/>
            </w:rPr>
          </w:pPr>
          <w:hyperlink w:anchor="_Toc132924205" w:history="1">
            <w:r w:rsidR="00497FEF" w:rsidRPr="00587851">
              <w:rPr>
                <w:rStyle w:val="Hyperlink"/>
                <w:iCs/>
                <w:noProof/>
              </w:rPr>
              <w:t>3.2.2 MFI Synthesis</w:t>
            </w:r>
            <w:r w:rsidR="00497FEF">
              <w:rPr>
                <w:noProof/>
                <w:webHidden/>
              </w:rPr>
              <w:tab/>
            </w:r>
            <w:r w:rsidR="00497FEF">
              <w:rPr>
                <w:noProof/>
                <w:webHidden/>
              </w:rPr>
              <w:fldChar w:fldCharType="begin"/>
            </w:r>
            <w:r w:rsidR="00497FEF">
              <w:rPr>
                <w:noProof/>
                <w:webHidden/>
              </w:rPr>
              <w:instrText xml:space="preserve"> PAGEREF _Toc132924205 \h </w:instrText>
            </w:r>
            <w:r w:rsidR="00497FEF">
              <w:rPr>
                <w:noProof/>
                <w:webHidden/>
              </w:rPr>
            </w:r>
            <w:r w:rsidR="00497FEF">
              <w:rPr>
                <w:noProof/>
                <w:webHidden/>
              </w:rPr>
              <w:fldChar w:fldCharType="separate"/>
            </w:r>
            <w:r w:rsidR="001F4741">
              <w:rPr>
                <w:noProof/>
                <w:webHidden/>
              </w:rPr>
              <w:t>87</w:t>
            </w:r>
            <w:r w:rsidR="00497FEF">
              <w:rPr>
                <w:noProof/>
                <w:webHidden/>
              </w:rPr>
              <w:fldChar w:fldCharType="end"/>
            </w:r>
          </w:hyperlink>
        </w:p>
        <w:p w14:paraId="71F02AF0" w14:textId="755737A2" w:rsidR="00497FEF" w:rsidRDefault="00000000">
          <w:pPr>
            <w:pStyle w:val="TOC3"/>
            <w:rPr>
              <w:rFonts w:asciiTheme="minorHAnsi" w:eastAsiaTheme="minorEastAsia" w:hAnsiTheme="minorHAnsi" w:cstheme="minorBidi"/>
              <w:noProof/>
              <w:sz w:val="22"/>
              <w:szCs w:val="22"/>
            </w:rPr>
          </w:pPr>
          <w:hyperlink w:anchor="_Toc132924206" w:history="1">
            <w:r w:rsidR="00497FEF" w:rsidRPr="00587851">
              <w:rPr>
                <w:rStyle w:val="Hyperlink"/>
                <w:iCs/>
                <w:noProof/>
              </w:rPr>
              <w:t>3.2.3 Zeolite Characterization and Catalytic Reaction Measurements</w:t>
            </w:r>
            <w:r w:rsidR="00497FEF">
              <w:rPr>
                <w:noProof/>
                <w:webHidden/>
              </w:rPr>
              <w:tab/>
            </w:r>
            <w:r w:rsidR="00497FEF">
              <w:rPr>
                <w:noProof/>
                <w:webHidden/>
              </w:rPr>
              <w:fldChar w:fldCharType="begin"/>
            </w:r>
            <w:r w:rsidR="00497FEF">
              <w:rPr>
                <w:noProof/>
                <w:webHidden/>
              </w:rPr>
              <w:instrText xml:space="preserve"> PAGEREF _Toc132924206 \h </w:instrText>
            </w:r>
            <w:r w:rsidR="00497FEF">
              <w:rPr>
                <w:noProof/>
                <w:webHidden/>
              </w:rPr>
            </w:r>
            <w:r w:rsidR="00497FEF">
              <w:rPr>
                <w:noProof/>
                <w:webHidden/>
              </w:rPr>
              <w:fldChar w:fldCharType="separate"/>
            </w:r>
            <w:r w:rsidR="001F4741">
              <w:rPr>
                <w:noProof/>
                <w:webHidden/>
              </w:rPr>
              <w:t>87</w:t>
            </w:r>
            <w:r w:rsidR="00497FEF">
              <w:rPr>
                <w:noProof/>
                <w:webHidden/>
              </w:rPr>
              <w:fldChar w:fldCharType="end"/>
            </w:r>
          </w:hyperlink>
        </w:p>
        <w:p w14:paraId="25AC344C" w14:textId="0CD474DF" w:rsidR="00497FEF" w:rsidRDefault="00000000">
          <w:pPr>
            <w:pStyle w:val="TOC2"/>
            <w:tabs>
              <w:tab w:val="right" w:leader="dot" w:pos="8630"/>
            </w:tabs>
            <w:rPr>
              <w:rFonts w:asciiTheme="minorHAnsi" w:eastAsiaTheme="minorEastAsia" w:hAnsiTheme="minorHAnsi" w:cstheme="minorBidi"/>
              <w:noProof/>
              <w:sz w:val="22"/>
              <w:szCs w:val="22"/>
            </w:rPr>
          </w:pPr>
          <w:hyperlink w:anchor="_Toc132924207" w:history="1">
            <w:r w:rsidR="00497FEF" w:rsidRPr="00587851">
              <w:rPr>
                <w:rStyle w:val="Hyperlink"/>
                <w:iCs/>
                <w:noProof/>
              </w:rPr>
              <w:t>3.3 Results and Discussions</w:t>
            </w:r>
            <w:r w:rsidR="00497FEF">
              <w:rPr>
                <w:noProof/>
                <w:webHidden/>
              </w:rPr>
              <w:tab/>
            </w:r>
            <w:r w:rsidR="00497FEF">
              <w:rPr>
                <w:noProof/>
                <w:webHidden/>
              </w:rPr>
              <w:fldChar w:fldCharType="begin"/>
            </w:r>
            <w:r w:rsidR="00497FEF">
              <w:rPr>
                <w:noProof/>
                <w:webHidden/>
              </w:rPr>
              <w:instrText xml:space="preserve"> PAGEREF _Toc132924207 \h </w:instrText>
            </w:r>
            <w:r w:rsidR="00497FEF">
              <w:rPr>
                <w:noProof/>
                <w:webHidden/>
              </w:rPr>
            </w:r>
            <w:r w:rsidR="00497FEF">
              <w:rPr>
                <w:noProof/>
                <w:webHidden/>
              </w:rPr>
              <w:fldChar w:fldCharType="separate"/>
            </w:r>
            <w:r w:rsidR="001F4741">
              <w:rPr>
                <w:noProof/>
                <w:webHidden/>
              </w:rPr>
              <w:t>89</w:t>
            </w:r>
            <w:r w:rsidR="00497FEF">
              <w:rPr>
                <w:noProof/>
                <w:webHidden/>
              </w:rPr>
              <w:fldChar w:fldCharType="end"/>
            </w:r>
          </w:hyperlink>
        </w:p>
        <w:p w14:paraId="5A5F0BDE" w14:textId="4E99069F" w:rsidR="00497FEF" w:rsidRDefault="00000000">
          <w:pPr>
            <w:pStyle w:val="TOC3"/>
            <w:rPr>
              <w:rFonts w:asciiTheme="minorHAnsi" w:eastAsiaTheme="minorEastAsia" w:hAnsiTheme="minorHAnsi" w:cstheme="minorBidi"/>
              <w:noProof/>
              <w:sz w:val="22"/>
              <w:szCs w:val="22"/>
            </w:rPr>
          </w:pPr>
          <w:hyperlink w:anchor="_Toc132924208" w:history="1">
            <w:r w:rsidR="00497FEF" w:rsidRPr="00587851">
              <w:rPr>
                <w:rStyle w:val="Hyperlink"/>
                <w:iCs/>
                <w:noProof/>
              </w:rPr>
              <w:t>3.3.1 Synthesized Zeolite Characterization</w:t>
            </w:r>
            <w:r w:rsidR="00497FEF">
              <w:rPr>
                <w:noProof/>
                <w:webHidden/>
              </w:rPr>
              <w:tab/>
            </w:r>
            <w:r w:rsidR="00497FEF">
              <w:rPr>
                <w:noProof/>
                <w:webHidden/>
              </w:rPr>
              <w:fldChar w:fldCharType="begin"/>
            </w:r>
            <w:r w:rsidR="00497FEF">
              <w:rPr>
                <w:noProof/>
                <w:webHidden/>
              </w:rPr>
              <w:instrText xml:space="preserve"> PAGEREF _Toc132924208 \h </w:instrText>
            </w:r>
            <w:r w:rsidR="00497FEF">
              <w:rPr>
                <w:noProof/>
                <w:webHidden/>
              </w:rPr>
            </w:r>
            <w:r w:rsidR="00497FEF">
              <w:rPr>
                <w:noProof/>
                <w:webHidden/>
              </w:rPr>
              <w:fldChar w:fldCharType="separate"/>
            </w:r>
            <w:r w:rsidR="001F4741">
              <w:rPr>
                <w:noProof/>
                <w:webHidden/>
              </w:rPr>
              <w:t>89</w:t>
            </w:r>
            <w:r w:rsidR="00497FEF">
              <w:rPr>
                <w:noProof/>
                <w:webHidden/>
              </w:rPr>
              <w:fldChar w:fldCharType="end"/>
            </w:r>
          </w:hyperlink>
        </w:p>
        <w:p w14:paraId="0B572FB3" w14:textId="12DDD2F0" w:rsidR="00497FEF" w:rsidRDefault="00000000">
          <w:pPr>
            <w:pStyle w:val="TOC3"/>
            <w:rPr>
              <w:rFonts w:asciiTheme="minorHAnsi" w:eastAsiaTheme="minorEastAsia" w:hAnsiTheme="minorHAnsi" w:cstheme="minorBidi"/>
              <w:noProof/>
              <w:sz w:val="22"/>
              <w:szCs w:val="22"/>
            </w:rPr>
          </w:pPr>
          <w:hyperlink w:anchor="_Toc132924209" w:history="1">
            <w:r w:rsidR="00497FEF" w:rsidRPr="00587851">
              <w:rPr>
                <w:rStyle w:val="Hyperlink"/>
                <w:iCs/>
                <w:noProof/>
              </w:rPr>
              <w:t>3.3.2 Catalytic Activity and Diffusion Discussions</w:t>
            </w:r>
            <w:r w:rsidR="00497FEF">
              <w:rPr>
                <w:noProof/>
                <w:webHidden/>
              </w:rPr>
              <w:tab/>
            </w:r>
            <w:r w:rsidR="00497FEF">
              <w:rPr>
                <w:noProof/>
                <w:webHidden/>
              </w:rPr>
              <w:fldChar w:fldCharType="begin"/>
            </w:r>
            <w:r w:rsidR="00497FEF">
              <w:rPr>
                <w:noProof/>
                <w:webHidden/>
              </w:rPr>
              <w:instrText xml:space="preserve"> PAGEREF _Toc132924209 \h </w:instrText>
            </w:r>
            <w:r w:rsidR="00497FEF">
              <w:rPr>
                <w:noProof/>
                <w:webHidden/>
              </w:rPr>
            </w:r>
            <w:r w:rsidR="00497FEF">
              <w:rPr>
                <w:noProof/>
                <w:webHidden/>
              </w:rPr>
              <w:fldChar w:fldCharType="separate"/>
            </w:r>
            <w:r w:rsidR="001F4741">
              <w:rPr>
                <w:noProof/>
                <w:webHidden/>
              </w:rPr>
              <w:t>94</w:t>
            </w:r>
            <w:r w:rsidR="00497FEF">
              <w:rPr>
                <w:noProof/>
                <w:webHidden/>
              </w:rPr>
              <w:fldChar w:fldCharType="end"/>
            </w:r>
          </w:hyperlink>
        </w:p>
        <w:p w14:paraId="2ACD96A8" w14:textId="7AAAE83E" w:rsidR="00497FEF" w:rsidRDefault="00000000">
          <w:pPr>
            <w:pStyle w:val="TOC2"/>
            <w:tabs>
              <w:tab w:val="right" w:leader="dot" w:pos="8630"/>
            </w:tabs>
            <w:rPr>
              <w:rFonts w:asciiTheme="minorHAnsi" w:eastAsiaTheme="minorEastAsia" w:hAnsiTheme="minorHAnsi" w:cstheme="minorBidi"/>
              <w:noProof/>
              <w:sz w:val="22"/>
              <w:szCs w:val="22"/>
            </w:rPr>
          </w:pPr>
          <w:hyperlink w:anchor="_Toc132924210" w:history="1">
            <w:r w:rsidR="00497FEF" w:rsidRPr="00587851">
              <w:rPr>
                <w:rStyle w:val="Hyperlink"/>
                <w:iCs/>
                <w:noProof/>
              </w:rPr>
              <w:t>3.4 Conclusions</w:t>
            </w:r>
            <w:r w:rsidR="00497FEF">
              <w:rPr>
                <w:noProof/>
                <w:webHidden/>
              </w:rPr>
              <w:tab/>
            </w:r>
            <w:r w:rsidR="00497FEF">
              <w:rPr>
                <w:noProof/>
                <w:webHidden/>
              </w:rPr>
              <w:fldChar w:fldCharType="begin"/>
            </w:r>
            <w:r w:rsidR="00497FEF">
              <w:rPr>
                <w:noProof/>
                <w:webHidden/>
              </w:rPr>
              <w:instrText xml:space="preserve"> PAGEREF _Toc132924210 \h </w:instrText>
            </w:r>
            <w:r w:rsidR="00497FEF">
              <w:rPr>
                <w:noProof/>
                <w:webHidden/>
              </w:rPr>
            </w:r>
            <w:r w:rsidR="00497FEF">
              <w:rPr>
                <w:noProof/>
                <w:webHidden/>
              </w:rPr>
              <w:fldChar w:fldCharType="separate"/>
            </w:r>
            <w:r w:rsidR="001F4741">
              <w:rPr>
                <w:noProof/>
                <w:webHidden/>
              </w:rPr>
              <w:t>106</w:t>
            </w:r>
            <w:r w:rsidR="00497FEF">
              <w:rPr>
                <w:noProof/>
                <w:webHidden/>
              </w:rPr>
              <w:fldChar w:fldCharType="end"/>
            </w:r>
          </w:hyperlink>
        </w:p>
        <w:p w14:paraId="2C198073" w14:textId="537CC05C" w:rsidR="00497FEF" w:rsidRDefault="00000000">
          <w:pPr>
            <w:pStyle w:val="TOC1"/>
            <w:rPr>
              <w:rFonts w:asciiTheme="minorHAnsi" w:eastAsiaTheme="minorEastAsia" w:hAnsiTheme="minorHAnsi" w:cstheme="minorBidi"/>
              <w:b w:val="0"/>
              <w:bCs w:val="0"/>
              <w:sz w:val="22"/>
              <w:szCs w:val="22"/>
            </w:rPr>
          </w:pPr>
          <w:hyperlink w:anchor="_Toc132924211" w:history="1">
            <w:r w:rsidR="00497FEF" w:rsidRPr="00587851">
              <w:rPr>
                <w:rStyle w:val="Hyperlink"/>
              </w:rPr>
              <w:t>Chapter 4 – Insights on Hydrocarbon Catalytic Cracking Over Zeolite Y, The Impact of Mesoporosity Introduction</w:t>
            </w:r>
            <w:r w:rsidR="00497FEF">
              <w:rPr>
                <w:webHidden/>
              </w:rPr>
              <w:tab/>
            </w:r>
            <w:r w:rsidR="00497FEF">
              <w:rPr>
                <w:webHidden/>
              </w:rPr>
              <w:fldChar w:fldCharType="begin"/>
            </w:r>
            <w:r w:rsidR="00497FEF">
              <w:rPr>
                <w:webHidden/>
              </w:rPr>
              <w:instrText xml:space="preserve"> PAGEREF _Toc132924211 \h </w:instrText>
            </w:r>
            <w:r w:rsidR="00497FEF">
              <w:rPr>
                <w:webHidden/>
              </w:rPr>
            </w:r>
            <w:r w:rsidR="00497FEF">
              <w:rPr>
                <w:webHidden/>
              </w:rPr>
              <w:fldChar w:fldCharType="separate"/>
            </w:r>
            <w:r w:rsidR="001F4741">
              <w:rPr>
                <w:webHidden/>
              </w:rPr>
              <w:t>108</w:t>
            </w:r>
            <w:r w:rsidR="00497FEF">
              <w:rPr>
                <w:webHidden/>
              </w:rPr>
              <w:fldChar w:fldCharType="end"/>
            </w:r>
          </w:hyperlink>
        </w:p>
        <w:p w14:paraId="69619850" w14:textId="4D9D7F0A" w:rsidR="00497FEF" w:rsidRDefault="00000000">
          <w:pPr>
            <w:pStyle w:val="TOC2"/>
            <w:tabs>
              <w:tab w:val="right" w:leader="dot" w:pos="8630"/>
            </w:tabs>
            <w:rPr>
              <w:rFonts w:asciiTheme="minorHAnsi" w:eastAsiaTheme="minorEastAsia" w:hAnsiTheme="minorHAnsi" w:cstheme="minorBidi"/>
              <w:noProof/>
              <w:sz w:val="22"/>
              <w:szCs w:val="22"/>
            </w:rPr>
          </w:pPr>
          <w:hyperlink w:anchor="_Toc132924212" w:history="1">
            <w:r w:rsidR="00497FEF" w:rsidRPr="00587851">
              <w:rPr>
                <w:rStyle w:val="Hyperlink"/>
                <w:iCs/>
                <w:noProof/>
              </w:rPr>
              <w:t>4.1 Introduction and Literature Review</w:t>
            </w:r>
            <w:r w:rsidR="00497FEF">
              <w:rPr>
                <w:noProof/>
                <w:webHidden/>
              </w:rPr>
              <w:tab/>
            </w:r>
            <w:r w:rsidR="00497FEF">
              <w:rPr>
                <w:noProof/>
                <w:webHidden/>
              </w:rPr>
              <w:fldChar w:fldCharType="begin"/>
            </w:r>
            <w:r w:rsidR="00497FEF">
              <w:rPr>
                <w:noProof/>
                <w:webHidden/>
              </w:rPr>
              <w:instrText xml:space="preserve"> PAGEREF _Toc132924212 \h </w:instrText>
            </w:r>
            <w:r w:rsidR="00497FEF">
              <w:rPr>
                <w:noProof/>
                <w:webHidden/>
              </w:rPr>
            </w:r>
            <w:r w:rsidR="00497FEF">
              <w:rPr>
                <w:noProof/>
                <w:webHidden/>
              </w:rPr>
              <w:fldChar w:fldCharType="separate"/>
            </w:r>
            <w:r w:rsidR="001F4741">
              <w:rPr>
                <w:noProof/>
                <w:webHidden/>
              </w:rPr>
              <w:t>108</w:t>
            </w:r>
            <w:r w:rsidR="00497FEF">
              <w:rPr>
                <w:noProof/>
                <w:webHidden/>
              </w:rPr>
              <w:fldChar w:fldCharType="end"/>
            </w:r>
          </w:hyperlink>
        </w:p>
        <w:p w14:paraId="601D1B6A" w14:textId="08DA40ED" w:rsidR="00497FEF" w:rsidRDefault="00000000">
          <w:pPr>
            <w:pStyle w:val="TOC2"/>
            <w:tabs>
              <w:tab w:val="right" w:leader="dot" w:pos="8630"/>
            </w:tabs>
            <w:rPr>
              <w:rFonts w:asciiTheme="minorHAnsi" w:eastAsiaTheme="minorEastAsia" w:hAnsiTheme="minorHAnsi" w:cstheme="minorBidi"/>
              <w:noProof/>
              <w:sz w:val="22"/>
              <w:szCs w:val="22"/>
            </w:rPr>
          </w:pPr>
          <w:hyperlink w:anchor="_Toc132924213" w:history="1">
            <w:r w:rsidR="00497FEF" w:rsidRPr="00587851">
              <w:rPr>
                <w:rStyle w:val="Hyperlink"/>
                <w:iCs/>
                <w:noProof/>
              </w:rPr>
              <w:t>4.2 Experimental Methods</w:t>
            </w:r>
            <w:r w:rsidR="00497FEF">
              <w:rPr>
                <w:noProof/>
                <w:webHidden/>
              </w:rPr>
              <w:tab/>
            </w:r>
            <w:r w:rsidR="00497FEF">
              <w:rPr>
                <w:noProof/>
                <w:webHidden/>
              </w:rPr>
              <w:fldChar w:fldCharType="begin"/>
            </w:r>
            <w:r w:rsidR="00497FEF">
              <w:rPr>
                <w:noProof/>
                <w:webHidden/>
              </w:rPr>
              <w:instrText xml:space="preserve"> PAGEREF _Toc132924213 \h </w:instrText>
            </w:r>
            <w:r w:rsidR="00497FEF">
              <w:rPr>
                <w:noProof/>
                <w:webHidden/>
              </w:rPr>
            </w:r>
            <w:r w:rsidR="00497FEF">
              <w:rPr>
                <w:noProof/>
                <w:webHidden/>
              </w:rPr>
              <w:fldChar w:fldCharType="separate"/>
            </w:r>
            <w:r w:rsidR="001F4741">
              <w:rPr>
                <w:noProof/>
                <w:webHidden/>
              </w:rPr>
              <w:t>114</w:t>
            </w:r>
            <w:r w:rsidR="00497FEF">
              <w:rPr>
                <w:noProof/>
                <w:webHidden/>
              </w:rPr>
              <w:fldChar w:fldCharType="end"/>
            </w:r>
          </w:hyperlink>
        </w:p>
        <w:p w14:paraId="57B18FFE" w14:textId="78C90FEF" w:rsidR="00497FEF" w:rsidRDefault="00000000">
          <w:pPr>
            <w:pStyle w:val="TOC3"/>
            <w:rPr>
              <w:rFonts w:asciiTheme="minorHAnsi" w:eastAsiaTheme="minorEastAsia" w:hAnsiTheme="minorHAnsi" w:cstheme="minorBidi"/>
              <w:noProof/>
              <w:sz w:val="22"/>
              <w:szCs w:val="22"/>
            </w:rPr>
          </w:pPr>
          <w:hyperlink w:anchor="_Toc132924214" w:history="1">
            <w:r w:rsidR="00497FEF" w:rsidRPr="00587851">
              <w:rPr>
                <w:rStyle w:val="Hyperlink"/>
                <w:noProof/>
              </w:rPr>
              <w:t>4.2.1 Chemicals and Materials</w:t>
            </w:r>
            <w:r w:rsidR="00497FEF">
              <w:rPr>
                <w:noProof/>
                <w:webHidden/>
              </w:rPr>
              <w:tab/>
            </w:r>
            <w:r w:rsidR="00497FEF">
              <w:rPr>
                <w:noProof/>
                <w:webHidden/>
              </w:rPr>
              <w:fldChar w:fldCharType="begin"/>
            </w:r>
            <w:r w:rsidR="00497FEF">
              <w:rPr>
                <w:noProof/>
                <w:webHidden/>
              </w:rPr>
              <w:instrText xml:space="preserve"> PAGEREF _Toc132924214 \h </w:instrText>
            </w:r>
            <w:r w:rsidR="00497FEF">
              <w:rPr>
                <w:noProof/>
                <w:webHidden/>
              </w:rPr>
            </w:r>
            <w:r w:rsidR="00497FEF">
              <w:rPr>
                <w:noProof/>
                <w:webHidden/>
              </w:rPr>
              <w:fldChar w:fldCharType="separate"/>
            </w:r>
            <w:r w:rsidR="001F4741">
              <w:rPr>
                <w:noProof/>
                <w:webHidden/>
              </w:rPr>
              <w:t>114</w:t>
            </w:r>
            <w:r w:rsidR="00497FEF">
              <w:rPr>
                <w:noProof/>
                <w:webHidden/>
              </w:rPr>
              <w:fldChar w:fldCharType="end"/>
            </w:r>
          </w:hyperlink>
        </w:p>
        <w:p w14:paraId="51EDDEFC" w14:textId="2F2A7009" w:rsidR="00497FEF" w:rsidRDefault="00000000">
          <w:pPr>
            <w:pStyle w:val="TOC3"/>
            <w:rPr>
              <w:rFonts w:asciiTheme="minorHAnsi" w:eastAsiaTheme="minorEastAsia" w:hAnsiTheme="minorHAnsi" w:cstheme="minorBidi"/>
              <w:noProof/>
              <w:sz w:val="22"/>
              <w:szCs w:val="22"/>
            </w:rPr>
          </w:pPr>
          <w:hyperlink w:anchor="_Toc132924215" w:history="1">
            <w:r w:rsidR="00497FEF" w:rsidRPr="00587851">
              <w:rPr>
                <w:rStyle w:val="Hyperlink"/>
                <w:noProof/>
              </w:rPr>
              <w:t>4.2.2 Site Density Counting</w:t>
            </w:r>
            <w:r w:rsidR="00497FEF">
              <w:rPr>
                <w:noProof/>
                <w:webHidden/>
              </w:rPr>
              <w:tab/>
            </w:r>
            <w:r w:rsidR="00497FEF">
              <w:rPr>
                <w:noProof/>
                <w:webHidden/>
              </w:rPr>
              <w:fldChar w:fldCharType="begin"/>
            </w:r>
            <w:r w:rsidR="00497FEF">
              <w:rPr>
                <w:noProof/>
                <w:webHidden/>
              </w:rPr>
              <w:instrText xml:space="preserve"> PAGEREF _Toc132924215 \h </w:instrText>
            </w:r>
            <w:r w:rsidR="00497FEF">
              <w:rPr>
                <w:noProof/>
                <w:webHidden/>
              </w:rPr>
            </w:r>
            <w:r w:rsidR="00497FEF">
              <w:rPr>
                <w:noProof/>
                <w:webHidden/>
              </w:rPr>
              <w:fldChar w:fldCharType="separate"/>
            </w:r>
            <w:r w:rsidR="001F4741">
              <w:rPr>
                <w:noProof/>
                <w:webHidden/>
              </w:rPr>
              <w:t>114</w:t>
            </w:r>
            <w:r w:rsidR="00497FEF">
              <w:rPr>
                <w:noProof/>
                <w:webHidden/>
              </w:rPr>
              <w:fldChar w:fldCharType="end"/>
            </w:r>
          </w:hyperlink>
        </w:p>
        <w:p w14:paraId="2D904FFA" w14:textId="771862FD" w:rsidR="00497FEF" w:rsidRDefault="00000000">
          <w:pPr>
            <w:pStyle w:val="TOC3"/>
            <w:rPr>
              <w:rFonts w:asciiTheme="minorHAnsi" w:eastAsiaTheme="minorEastAsia" w:hAnsiTheme="minorHAnsi" w:cstheme="minorBidi"/>
              <w:noProof/>
              <w:sz w:val="22"/>
              <w:szCs w:val="22"/>
            </w:rPr>
          </w:pPr>
          <w:hyperlink w:anchor="_Toc132924216" w:history="1">
            <w:r w:rsidR="00497FEF" w:rsidRPr="00587851">
              <w:rPr>
                <w:rStyle w:val="Hyperlink"/>
                <w:noProof/>
              </w:rPr>
              <w:t>4.2.3 Gas-Phase Catalytic Reactions</w:t>
            </w:r>
            <w:r w:rsidR="00497FEF">
              <w:rPr>
                <w:noProof/>
                <w:webHidden/>
              </w:rPr>
              <w:tab/>
            </w:r>
            <w:r w:rsidR="00497FEF">
              <w:rPr>
                <w:noProof/>
                <w:webHidden/>
              </w:rPr>
              <w:fldChar w:fldCharType="begin"/>
            </w:r>
            <w:r w:rsidR="00497FEF">
              <w:rPr>
                <w:noProof/>
                <w:webHidden/>
              </w:rPr>
              <w:instrText xml:space="preserve"> PAGEREF _Toc132924216 \h </w:instrText>
            </w:r>
            <w:r w:rsidR="00497FEF">
              <w:rPr>
                <w:noProof/>
                <w:webHidden/>
              </w:rPr>
            </w:r>
            <w:r w:rsidR="00497FEF">
              <w:rPr>
                <w:noProof/>
                <w:webHidden/>
              </w:rPr>
              <w:fldChar w:fldCharType="separate"/>
            </w:r>
            <w:r w:rsidR="001F4741">
              <w:rPr>
                <w:noProof/>
                <w:webHidden/>
              </w:rPr>
              <w:t>114</w:t>
            </w:r>
            <w:r w:rsidR="00497FEF">
              <w:rPr>
                <w:noProof/>
                <w:webHidden/>
              </w:rPr>
              <w:fldChar w:fldCharType="end"/>
            </w:r>
          </w:hyperlink>
        </w:p>
        <w:p w14:paraId="1458E8EA" w14:textId="2A63CE86" w:rsidR="00497FEF" w:rsidRDefault="00000000">
          <w:pPr>
            <w:pStyle w:val="TOC2"/>
            <w:tabs>
              <w:tab w:val="right" w:leader="dot" w:pos="8630"/>
            </w:tabs>
            <w:rPr>
              <w:rFonts w:asciiTheme="minorHAnsi" w:eastAsiaTheme="minorEastAsia" w:hAnsiTheme="minorHAnsi" w:cstheme="minorBidi"/>
              <w:noProof/>
              <w:sz w:val="22"/>
              <w:szCs w:val="22"/>
            </w:rPr>
          </w:pPr>
          <w:hyperlink w:anchor="_Toc132924217" w:history="1">
            <w:r w:rsidR="00497FEF" w:rsidRPr="00587851">
              <w:rPr>
                <w:rStyle w:val="Hyperlink"/>
                <w:iCs/>
                <w:noProof/>
              </w:rPr>
              <w:t>4.3 Results and Discussions</w:t>
            </w:r>
            <w:r w:rsidR="00497FEF">
              <w:rPr>
                <w:noProof/>
                <w:webHidden/>
              </w:rPr>
              <w:tab/>
            </w:r>
            <w:r w:rsidR="00497FEF">
              <w:rPr>
                <w:noProof/>
                <w:webHidden/>
              </w:rPr>
              <w:fldChar w:fldCharType="begin"/>
            </w:r>
            <w:r w:rsidR="00497FEF">
              <w:rPr>
                <w:noProof/>
                <w:webHidden/>
              </w:rPr>
              <w:instrText xml:space="preserve"> PAGEREF _Toc132924217 \h </w:instrText>
            </w:r>
            <w:r w:rsidR="00497FEF">
              <w:rPr>
                <w:noProof/>
                <w:webHidden/>
              </w:rPr>
            </w:r>
            <w:r w:rsidR="00497FEF">
              <w:rPr>
                <w:noProof/>
                <w:webHidden/>
              </w:rPr>
              <w:fldChar w:fldCharType="separate"/>
            </w:r>
            <w:r w:rsidR="001F4741">
              <w:rPr>
                <w:noProof/>
                <w:webHidden/>
              </w:rPr>
              <w:t>116</w:t>
            </w:r>
            <w:r w:rsidR="00497FEF">
              <w:rPr>
                <w:noProof/>
                <w:webHidden/>
              </w:rPr>
              <w:fldChar w:fldCharType="end"/>
            </w:r>
          </w:hyperlink>
        </w:p>
        <w:p w14:paraId="31EC0A3D" w14:textId="019C027A" w:rsidR="00497FEF" w:rsidRDefault="00000000">
          <w:pPr>
            <w:pStyle w:val="TOC3"/>
            <w:rPr>
              <w:rFonts w:asciiTheme="minorHAnsi" w:eastAsiaTheme="minorEastAsia" w:hAnsiTheme="minorHAnsi" w:cstheme="minorBidi"/>
              <w:noProof/>
              <w:sz w:val="22"/>
              <w:szCs w:val="22"/>
            </w:rPr>
          </w:pPr>
          <w:hyperlink w:anchor="_Toc132924218" w:history="1">
            <w:r w:rsidR="00497FEF" w:rsidRPr="00587851">
              <w:rPr>
                <w:rStyle w:val="Hyperlink"/>
                <w:noProof/>
              </w:rPr>
              <w:t>4.3.1 Isooctane Cracking Mechanism over Acid Sites in Zeolites</w:t>
            </w:r>
            <w:r w:rsidR="00497FEF">
              <w:rPr>
                <w:noProof/>
                <w:webHidden/>
              </w:rPr>
              <w:tab/>
            </w:r>
            <w:r w:rsidR="00497FEF">
              <w:rPr>
                <w:noProof/>
                <w:webHidden/>
              </w:rPr>
              <w:fldChar w:fldCharType="begin"/>
            </w:r>
            <w:r w:rsidR="00497FEF">
              <w:rPr>
                <w:noProof/>
                <w:webHidden/>
              </w:rPr>
              <w:instrText xml:space="preserve"> PAGEREF _Toc132924218 \h </w:instrText>
            </w:r>
            <w:r w:rsidR="00497FEF">
              <w:rPr>
                <w:noProof/>
                <w:webHidden/>
              </w:rPr>
            </w:r>
            <w:r w:rsidR="00497FEF">
              <w:rPr>
                <w:noProof/>
                <w:webHidden/>
              </w:rPr>
              <w:fldChar w:fldCharType="separate"/>
            </w:r>
            <w:r w:rsidR="001F4741">
              <w:rPr>
                <w:noProof/>
                <w:webHidden/>
              </w:rPr>
              <w:t>116</w:t>
            </w:r>
            <w:r w:rsidR="00497FEF">
              <w:rPr>
                <w:noProof/>
                <w:webHidden/>
              </w:rPr>
              <w:fldChar w:fldCharType="end"/>
            </w:r>
          </w:hyperlink>
        </w:p>
        <w:p w14:paraId="47518699" w14:textId="7DC2E37C" w:rsidR="00497FEF" w:rsidRDefault="00000000">
          <w:pPr>
            <w:pStyle w:val="TOC3"/>
            <w:rPr>
              <w:rFonts w:asciiTheme="minorHAnsi" w:eastAsiaTheme="minorEastAsia" w:hAnsiTheme="minorHAnsi" w:cstheme="minorBidi"/>
              <w:noProof/>
              <w:sz w:val="22"/>
              <w:szCs w:val="22"/>
            </w:rPr>
          </w:pPr>
          <w:hyperlink w:anchor="_Toc132924219" w:history="1">
            <w:r w:rsidR="00497FEF" w:rsidRPr="00587851">
              <w:rPr>
                <w:rStyle w:val="Hyperlink"/>
                <w:noProof/>
              </w:rPr>
              <w:t>4.3.2 Catalytic Cracking Differences Between Non-Steamed and Steamed Commercial Zeolite Y</w:t>
            </w:r>
            <w:r w:rsidR="00497FEF">
              <w:rPr>
                <w:noProof/>
                <w:webHidden/>
              </w:rPr>
              <w:tab/>
            </w:r>
            <w:r w:rsidR="00497FEF">
              <w:rPr>
                <w:noProof/>
                <w:webHidden/>
              </w:rPr>
              <w:fldChar w:fldCharType="begin"/>
            </w:r>
            <w:r w:rsidR="00497FEF">
              <w:rPr>
                <w:noProof/>
                <w:webHidden/>
              </w:rPr>
              <w:instrText xml:space="preserve"> PAGEREF _Toc132924219 \h </w:instrText>
            </w:r>
            <w:r w:rsidR="00497FEF">
              <w:rPr>
                <w:noProof/>
                <w:webHidden/>
              </w:rPr>
            </w:r>
            <w:r w:rsidR="00497FEF">
              <w:rPr>
                <w:noProof/>
                <w:webHidden/>
              </w:rPr>
              <w:fldChar w:fldCharType="separate"/>
            </w:r>
            <w:r w:rsidR="001F4741">
              <w:rPr>
                <w:noProof/>
                <w:webHidden/>
              </w:rPr>
              <w:t>120</w:t>
            </w:r>
            <w:r w:rsidR="00497FEF">
              <w:rPr>
                <w:noProof/>
                <w:webHidden/>
              </w:rPr>
              <w:fldChar w:fldCharType="end"/>
            </w:r>
          </w:hyperlink>
        </w:p>
        <w:p w14:paraId="1DA57D84" w14:textId="238216D4" w:rsidR="00497FEF" w:rsidRDefault="00000000">
          <w:pPr>
            <w:pStyle w:val="TOC3"/>
            <w:rPr>
              <w:rFonts w:asciiTheme="minorHAnsi" w:eastAsiaTheme="minorEastAsia" w:hAnsiTheme="minorHAnsi" w:cstheme="minorBidi"/>
              <w:noProof/>
              <w:sz w:val="22"/>
              <w:szCs w:val="22"/>
            </w:rPr>
          </w:pPr>
          <w:hyperlink w:anchor="_Toc132924220" w:history="1">
            <w:r w:rsidR="00497FEF" w:rsidRPr="00587851">
              <w:rPr>
                <w:rStyle w:val="Hyperlink"/>
                <w:noProof/>
              </w:rPr>
              <w:t>4.3.3 Na-Titration over Commercial Zeolite Y</w:t>
            </w:r>
            <w:r w:rsidR="00497FEF">
              <w:rPr>
                <w:noProof/>
                <w:webHidden/>
              </w:rPr>
              <w:tab/>
            </w:r>
            <w:r w:rsidR="00497FEF">
              <w:rPr>
                <w:noProof/>
                <w:webHidden/>
              </w:rPr>
              <w:fldChar w:fldCharType="begin"/>
            </w:r>
            <w:r w:rsidR="00497FEF">
              <w:rPr>
                <w:noProof/>
                <w:webHidden/>
              </w:rPr>
              <w:instrText xml:space="preserve"> PAGEREF _Toc132924220 \h </w:instrText>
            </w:r>
            <w:r w:rsidR="00497FEF">
              <w:rPr>
                <w:noProof/>
                <w:webHidden/>
              </w:rPr>
            </w:r>
            <w:r w:rsidR="00497FEF">
              <w:rPr>
                <w:noProof/>
                <w:webHidden/>
              </w:rPr>
              <w:fldChar w:fldCharType="separate"/>
            </w:r>
            <w:r w:rsidR="001F4741">
              <w:rPr>
                <w:noProof/>
                <w:webHidden/>
              </w:rPr>
              <w:t>126</w:t>
            </w:r>
            <w:r w:rsidR="00497FEF">
              <w:rPr>
                <w:noProof/>
                <w:webHidden/>
              </w:rPr>
              <w:fldChar w:fldCharType="end"/>
            </w:r>
          </w:hyperlink>
        </w:p>
        <w:p w14:paraId="70CCF3F0" w14:textId="6B139EF3" w:rsidR="00497FEF" w:rsidRDefault="00000000">
          <w:pPr>
            <w:pStyle w:val="TOC3"/>
            <w:rPr>
              <w:rFonts w:asciiTheme="minorHAnsi" w:eastAsiaTheme="minorEastAsia" w:hAnsiTheme="minorHAnsi" w:cstheme="minorBidi"/>
              <w:noProof/>
              <w:sz w:val="22"/>
              <w:szCs w:val="22"/>
            </w:rPr>
          </w:pPr>
          <w:hyperlink w:anchor="_Toc132924221" w:history="1">
            <w:r w:rsidR="00497FEF" w:rsidRPr="00587851">
              <w:rPr>
                <w:rStyle w:val="Hyperlink"/>
                <w:noProof/>
              </w:rPr>
              <w:t>4.3.4 Pair-Acid Site Study over Y15: A Product Selectivity Analysis</w:t>
            </w:r>
            <w:r w:rsidR="00497FEF">
              <w:rPr>
                <w:noProof/>
                <w:webHidden/>
              </w:rPr>
              <w:tab/>
            </w:r>
            <w:r w:rsidR="00497FEF">
              <w:rPr>
                <w:noProof/>
                <w:webHidden/>
              </w:rPr>
              <w:fldChar w:fldCharType="begin"/>
            </w:r>
            <w:r w:rsidR="00497FEF">
              <w:rPr>
                <w:noProof/>
                <w:webHidden/>
              </w:rPr>
              <w:instrText xml:space="preserve"> PAGEREF _Toc132924221 \h </w:instrText>
            </w:r>
            <w:r w:rsidR="00497FEF">
              <w:rPr>
                <w:noProof/>
                <w:webHidden/>
              </w:rPr>
            </w:r>
            <w:r w:rsidR="00497FEF">
              <w:rPr>
                <w:noProof/>
                <w:webHidden/>
              </w:rPr>
              <w:fldChar w:fldCharType="separate"/>
            </w:r>
            <w:r w:rsidR="001F4741">
              <w:rPr>
                <w:noProof/>
                <w:webHidden/>
              </w:rPr>
              <w:t>132</w:t>
            </w:r>
            <w:r w:rsidR="00497FEF">
              <w:rPr>
                <w:noProof/>
                <w:webHidden/>
              </w:rPr>
              <w:fldChar w:fldCharType="end"/>
            </w:r>
          </w:hyperlink>
        </w:p>
        <w:p w14:paraId="01B726DE" w14:textId="3FB6C90F" w:rsidR="00497FEF" w:rsidRDefault="00000000">
          <w:pPr>
            <w:pStyle w:val="TOC2"/>
            <w:tabs>
              <w:tab w:val="right" w:leader="dot" w:pos="8630"/>
            </w:tabs>
            <w:rPr>
              <w:rFonts w:asciiTheme="minorHAnsi" w:eastAsiaTheme="minorEastAsia" w:hAnsiTheme="minorHAnsi" w:cstheme="minorBidi"/>
              <w:noProof/>
              <w:sz w:val="22"/>
              <w:szCs w:val="22"/>
            </w:rPr>
          </w:pPr>
          <w:hyperlink w:anchor="_Toc132924222" w:history="1">
            <w:r w:rsidR="00497FEF" w:rsidRPr="00587851">
              <w:rPr>
                <w:rStyle w:val="Hyperlink"/>
                <w:iCs/>
                <w:noProof/>
              </w:rPr>
              <w:t>4.4 Conclusion</w:t>
            </w:r>
            <w:r w:rsidR="00497FEF">
              <w:rPr>
                <w:noProof/>
                <w:webHidden/>
              </w:rPr>
              <w:tab/>
            </w:r>
            <w:r w:rsidR="00497FEF">
              <w:rPr>
                <w:noProof/>
                <w:webHidden/>
              </w:rPr>
              <w:fldChar w:fldCharType="begin"/>
            </w:r>
            <w:r w:rsidR="00497FEF">
              <w:rPr>
                <w:noProof/>
                <w:webHidden/>
              </w:rPr>
              <w:instrText xml:space="preserve"> PAGEREF _Toc132924222 \h </w:instrText>
            </w:r>
            <w:r w:rsidR="00497FEF">
              <w:rPr>
                <w:noProof/>
                <w:webHidden/>
              </w:rPr>
            </w:r>
            <w:r w:rsidR="00497FEF">
              <w:rPr>
                <w:noProof/>
                <w:webHidden/>
              </w:rPr>
              <w:fldChar w:fldCharType="separate"/>
            </w:r>
            <w:r w:rsidR="001F4741">
              <w:rPr>
                <w:noProof/>
                <w:webHidden/>
              </w:rPr>
              <w:t>139</w:t>
            </w:r>
            <w:r w:rsidR="00497FEF">
              <w:rPr>
                <w:noProof/>
                <w:webHidden/>
              </w:rPr>
              <w:fldChar w:fldCharType="end"/>
            </w:r>
          </w:hyperlink>
        </w:p>
        <w:p w14:paraId="6A5ABCAE" w14:textId="1A5E6F26" w:rsidR="00497FEF" w:rsidRDefault="00000000">
          <w:pPr>
            <w:pStyle w:val="TOC1"/>
            <w:rPr>
              <w:rFonts w:asciiTheme="minorHAnsi" w:eastAsiaTheme="minorEastAsia" w:hAnsiTheme="minorHAnsi" w:cstheme="minorBidi"/>
              <w:b w:val="0"/>
              <w:bCs w:val="0"/>
              <w:sz w:val="22"/>
              <w:szCs w:val="22"/>
            </w:rPr>
          </w:pPr>
          <w:hyperlink w:anchor="_Toc132924223" w:history="1">
            <w:r w:rsidR="00497FEF" w:rsidRPr="00587851">
              <w:rPr>
                <w:rStyle w:val="Hyperlink"/>
              </w:rPr>
              <w:t>References</w:t>
            </w:r>
            <w:r w:rsidR="00497FEF">
              <w:rPr>
                <w:webHidden/>
              </w:rPr>
              <w:tab/>
            </w:r>
            <w:r w:rsidR="00497FEF">
              <w:rPr>
                <w:webHidden/>
              </w:rPr>
              <w:fldChar w:fldCharType="begin"/>
            </w:r>
            <w:r w:rsidR="00497FEF">
              <w:rPr>
                <w:webHidden/>
              </w:rPr>
              <w:instrText xml:space="preserve"> PAGEREF _Toc132924223 \h </w:instrText>
            </w:r>
            <w:r w:rsidR="00497FEF">
              <w:rPr>
                <w:webHidden/>
              </w:rPr>
            </w:r>
            <w:r w:rsidR="00497FEF">
              <w:rPr>
                <w:webHidden/>
              </w:rPr>
              <w:fldChar w:fldCharType="separate"/>
            </w:r>
            <w:r w:rsidR="001F4741">
              <w:rPr>
                <w:webHidden/>
              </w:rPr>
              <w:t>141</w:t>
            </w:r>
            <w:r w:rsidR="00497FEF">
              <w:rPr>
                <w:webHidden/>
              </w:rPr>
              <w:fldChar w:fldCharType="end"/>
            </w:r>
          </w:hyperlink>
        </w:p>
        <w:p w14:paraId="0DDE73AF" w14:textId="36055B98" w:rsidR="00E205FA" w:rsidRDefault="00E205FA" w:rsidP="00121A4B">
          <w:pPr>
            <w:spacing w:line="360" w:lineRule="auto"/>
            <w:rPr>
              <w:b/>
              <w:bCs/>
              <w:noProof/>
            </w:rPr>
          </w:pPr>
          <w:r w:rsidRPr="00073E7F">
            <w:rPr>
              <w:b/>
              <w:bCs/>
              <w:noProof/>
            </w:rPr>
            <w:fldChar w:fldCharType="end"/>
          </w:r>
        </w:p>
      </w:sdtContent>
    </w:sdt>
    <w:p w14:paraId="3AAEDD2B" w14:textId="05B055D3" w:rsidR="00350C86" w:rsidRPr="0048189E" w:rsidRDefault="00350C86" w:rsidP="0048189E">
      <w:pPr>
        <w:pStyle w:val="Heading1"/>
        <w:rPr>
          <w:sz w:val="32"/>
          <w:szCs w:val="40"/>
        </w:rPr>
      </w:pPr>
      <w:bookmarkStart w:id="1" w:name="_Toc132924171"/>
      <w:r w:rsidRPr="0048189E">
        <w:rPr>
          <w:sz w:val="32"/>
          <w:szCs w:val="40"/>
        </w:rPr>
        <w:lastRenderedPageBreak/>
        <w:t>List of Tables</w:t>
      </w:r>
      <w:bookmarkEnd w:id="1"/>
    </w:p>
    <w:p w14:paraId="6B817BE0" w14:textId="031946DC" w:rsidR="00D307FA" w:rsidRDefault="006205D3">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131948652" w:history="1">
        <w:r w:rsidR="00D307FA" w:rsidRPr="001545EC">
          <w:rPr>
            <w:rStyle w:val="Hyperlink"/>
            <w:rFonts w:eastAsiaTheme="majorEastAsia"/>
            <w:b/>
            <w:bCs/>
            <w:noProof/>
          </w:rPr>
          <w:t>Table 1:</w:t>
        </w:r>
        <w:r w:rsidR="00D307FA" w:rsidRPr="001545EC">
          <w:rPr>
            <w:rStyle w:val="Hyperlink"/>
            <w:rFonts w:eastAsiaTheme="majorEastAsia"/>
            <w:noProof/>
          </w:rPr>
          <w:t xml:space="preserve"> Bronsted acid site density of Y and ZSM5 partially Na-exchanged series.</w:t>
        </w:r>
        <w:r w:rsidR="00D307FA">
          <w:rPr>
            <w:noProof/>
            <w:webHidden/>
          </w:rPr>
          <w:tab/>
        </w:r>
        <w:r w:rsidR="00D307FA">
          <w:rPr>
            <w:noProof/>
            <w:webHidden/>
          </w:rPr>
          <w:fldChar w:fldCharType="begin"/>
        </w:r>
        <w:r w:rsidR="00D307FA">
          <w:rPr>
            <w:noProof/>
            <w:webHidden/>
          </w:rPr>
          <w:instrText xml:space="preserve"> PAGEREF _Toc131948652 \h </w:instrText>
        </w:r>
        <w:r w:rsidR="00D307FA">
          <w:rPr>
            <w:noProof/>
            <w:webHidden/>
          </w:rPr>
        </w:r>
        <w:r w:rsidR="00D307FA">
          <w:rPr>
            <w:noProof/>
            <w:webHidden/>
          </w:rPr>
          <w:fldChar w:fldCharType="separate"/>
        </w:r>
        <w:r w:rsidR="001F4741">
          <w:rPr>
            <w:noProof/>
            <w:webHidden/>
          </w:rPr>
          <w:t>45</w:t>
        </w:r>
        <w:r w:rsidR="00D307FA">
          <w:rPr>
            <w:noProof/>
            <w:webHidden/>
          </w:rPr>
          <w:fldChar w:fldCharType="end"/>
        </w:r>
      </w:hyperlink>
    </w:p>
    <w:p w14:paraId="617A2274" w14:textId="1195C703" w:rsidR="00D307FA" w:rsidRDefault="00000000">
      <w:pPr>
        <w:pStyle w:val="TableofFigures"/>
        <w:tabs>
          <w:tab w:val="right" w:leader="dot" w:pos="8630"/>
        </w:tabs>
        <w:rPr>
          <w:rFonts w:asciiTheme="minorHAnsi" w:eastAsiaTheme="minorEastAsia" w:hAnsiTheme="minorHAnsi" w:cstheme="minorBidi"/>
          <w:noProof/>
          <w:sz w:val="22"/>
          <w:szCs w:val="22"/>
        </w:rPr>
      </w:pPr>
      <w:hyperlink w:anchor="_Toc131948653" w:history="1">
        <w:r w:rsidR="00D307FA" w:rsidRPr="001545EC">
          <w:rPr>
            <w:rStyle w:val="Hyperlink"/>
            <w:rFonts w:eastAsiaTheme="majorEastAsia"/>
            <w:b/>
            <w:bCs/>
            <w:noProof/>
          </w:rPr>
          <w:t>Table 2:</w:t>
        </w:r>
        <w:r w:rsidR="00D307FA" w:rsidRPr="001545EC">
          <w:rPr>
            <w:rStyle w:val="Hyperlink"/>
            <w:rFonts w:eastAsiaTheme="majorEastAsia"/>
            <w:noProof/>
          </w:rPr>
          <w:t xml:space="preserve"> Reaction-diffusion parameters obtained from fitting the titration model.</w:t>
        </w:r>
        <w:r w:rsidR="00D307FA">
          <w:rPr>
            <w:noProof/>
            <w:webHidden/>
          </w:rPr>
          <w:tab/>
        </w:r>
        <w:r w:rsidR="00D307FA">
          <w:rPr>
            <w:noProof/>
            <w:webHidden/>
          </w:rPr>
          <w:fldChar w:fldCharType="begin"/>
        </w:r>
        <w:r w:rsidR="00D307FA">
          <w:rPr>
            <w:noProof/>
            <w:webHidden/>
          </w:rPr>
          <w:instrText xml:space="preserve"> PAGEREF _Toc131948653 \h </w:instrText>
        </w:r>
        <w:r w:rsidR="00D307FA">
          <w:rPr>
            <w:noProof/>
            <w:webHidden/>
          </w:rPr>
        </w:r>
        <w:r w:rsidR="00D307FA">
          <w:rPr>
            <w:noProof/>
            <w:webHidden/>
          </w:rPr>
          <w:fldChar w:fldCharType="separate"/>
        </w:r>
        <w:r w:rsidR="001F4741">
          <w:rPr>
            <w:noProof/>
            <w:webHidden/>
          </w:rPr>
          <w:t>50</w:t>
        </w:r>
        <w:r w:rsidR="00D307FA">
          <w:rPr>
            <w:noProof/>
            <w:webHidden/>
          </w:rPr>
          <w:fldChar w:fldCharType="end"/>
        </w:r>
      </w:hyperlink>
    </w:p>
    <w:p w14:paraId="2588B381" w14:textId="3DA45E43" w:rsidR="00D307FA" w:rsidRDefault="00000000">
      <w:pPr>
        <w:pStyle w:val="TableofFigures"/>
        <w:tabs>
          <w:tab w:val="right" w:leader="dot" w:pos="8630"/>
        </w:tabs>
        <w:rPr>
          <w:rFonts w:asciiTheme="minorHAnsi" w:eastAsiaTheme="minorEastAsia" w:hAnsiTheme="minorHAnsi" w:cstheme="minorBidi"/>
          <w:noProof/>
          <w:sz w:val="22"/>
          <w:szCs w:val="22"/>
        </w:rPr>
      </w:pPr>
      <w:hyperlink w:anchor="_Toc131948654" w:history="1">
        <w:r w:rsidR="00D307FA" w:rsidRPr="001545EC">
          <w:rPr>
            <w:rStyle w:val="Hyperlink"/>
            <w:rFonts w:eastAsiaTheme="majorEastAsia"/>
            <w:b/>
            <w:bCs/>
            <w:noProof/>
          </w:rPr>
          <w:t>Table 3:</w:t>
        </w:r>
        <w:r w:rsidR="00D307FA" w:rsidRPr="001545EC">
          <w:rPr>
            <w:rStyle w:val="Hyperlink"/>
            <w:rFonts w:eastAsiaTheme="majorEastAsia"/>
            <w:noProof/>
          </w:rPr>
          <w:t xml:space="preserve"> Dimer and trimer selectivity comparison in self-condensation of both ACE and CPO</w:t>
        </w:r>
        <w:r w:rsidR="00D307FA">
          <w:rPr>
            <w:noProof/>
            <w:webHidden/>
          </w:rPr>
          <w:tab/>
        </w:r>
        <w:r w:rsidR="00D307FA">
          <w:rPr>
            <w:noProof/>
            <w:webHidden/>
          </w:rPr>
          <w:fldChar w:fldCharType="begin"/>
        </w:r>
        <w:r w:rsidR="00D307FA">
          <w:rPr>
            <w:noProof/>
            <w:webHidden/>
          </w:rPr>
          <w:instrText xml:space="preserve"> PAGEREF _Toc131948654 \h </w:instrText>
        </w:r>
        <w:r w:rsidR="00D307FA">
          <w:rPr>
            <w:noProof/>
            <w:webHidden/>
          </w:rPr>
        </w:r>
        <w:r w:rsidR="00D307FA">
          <w:rPr>
            <w:noProof/>
            <w:webHidden/>
          </w:rPr>
          <w:fldChar w:fldCharType="separate"/>
        </w:r>
        <w:r w:rsidR="001F4741">
          <w:rPr>
            <w:noProof/>
            <w:webHidden/>
          </w:rPr>
          <w:t>53</w:t>
        </w:r>
        <w:r w:rsidR="00D307FA">
          <w:rPr>
            <w:noProof/>
            <w:webHidden/>
          </w:rPr>
          <w:fldChar w:fldCharType="end"/>
        </w:r>
      </w:hyperlink>
    </w:p>
    <w:p w14:paraId="085B1CE8" w14:textId="3A17D3BA" w:rsidR="00D307FA" w:rsidRDefault="00000000">
      <w:pPr>
        <w:pStyle w:val="TableofFigures"/>
        <w:tabs>
          <w:tab w:val="right" w:leader="dot" w:pos="8630"/>
        </w:tabs>
        <w:rPr>
          <w:rFonts w:asciiTheme="minorHAnsi" w:eastAsiaTheme="minorEastAsia" w:hAnsiTheme="minorHAnsi" w:cstheme="minorBidi"/>
          <w:noProof/>
          <w:sz w:val="22"/>
          <w:szCs w:val="22"/>
        </w:rPr>
      </w:pPr>
      <w:hyperlink w:anchor="_Toc131948655" w:history="1">
        <w:r w:rsidR="00D307FA" w:rsidRPr="001545EC">
          <w:rPr>
            <w:rStyle w:val="Hyperlink"/>
            <w:rFonts w:eastAsiaTheme="majorEastAsia"/>
            <w:b/>
            <w:bCs/>
            <w:noProof/>
          </w:rPr>
          <w:t>Table 4:</w:t>
        </w:r>
        <w:r w:rsidR="00D307FA" w:rsidRPr="001545EC">
          <w:rPr>
            <w:rStyle w:val="Hyperlink"/>
            <w:rFonts w:eastAsiaTheme="majorEastAsia"/>
            <w:noProof/>
          </w:rPr>
          <w:t xml:space="preserve"> Calculated reaction and adsorption constant for CPO self-aldol condensation over Y30 from the reaction equations.</w:t>
        </w:r>
        <w:r w:rsidR="00D307FA">
          <w:rPr>
            <w:noProof/>
            <w:webHidden/>
          </w:rPr>
          <w:tab/>
        </w:r>
        <w:r w:rsidR="00D307FA">
          <w:rPr>
            <w:noProof/>
            <w:webHidden/>
          </w:rPr>
          <w:fldChar w:fldCharType="begin"/>
        </w:r>
        <w:r w:rsidR="00D307FA">
          <w:rPr>
            <w:noProof/>
            <w:webHidden/>
          </w:rPr>
          <w:instrText xml:space="preserve"> PAGEREF _Toc131948655 \h </w:instrText>
        </w:r>
        <w:r w:rsidR="00D307FA">
          <w:rPr>
            <w:noProof/>
            <w:webHidden/>
          </w:rPr>
        </w:r>
        <w:r w:rsidR="00D307FA">
          <w:rPr>
            <w:noProof/>
            <w:webHidden/>
          </w:rPr>
          <w:fldChar w:fldCharType="separate"/>
        </w:r>
        <w:r w:rsidR="001F4741">
          <w:rPr>
            <w:noProof/>
            <w:webHidden/>
          </w:rPr>
          <w:t>58</w:t>
        </w:r>
        <w:r w:rsidR="00D307FA">
          <w:rPr>
            <w:noProof/>
            <w:webHidden/>
          </w:rPr>
          <w:fldChar w:fldCharType="end"/>
        </w:r>
      </w:hyperlink>
    </w:p>
    <w:p w14:paraId="2A7096DF" w14:textId="258BA5CD" w:rsidR="00D307FA" w:rsidRDefault="00000000">
      <w:pPr>
        <w:pStyle w:val="TableofFigures"/>
        <w:tabs>
          <w:tab w:val="right" w:leader="dot" w:pos="8630"/>
        </w:tabs>
        <w:rPr>
          <w:rFonts w:asciiTheme="minorHAnsi" w:eastAsiaTheme="minorEastAsia" w:hAnsiTheme="minorHAnsi" w:cstheme="minorBidi"/>
          <w:noProof/>
          <w:sz w:val="22"/>
          <w:szCs w:val="22"/>
        </w:rPr>
      </w:pPr>
      <w:hyperlink w:anchor="_Toc131948656" w:history="1">
        <w:r w:rsidR="00D307FA" w:rsidRPr="001545EC">
          <w:rPr>
            <w:rStyle w:val="Hyperlink"/>
            <w:rFonts w:eastAsiaTheme="majorEastAsia"/>
            <w:b/>
            <w:bCs/>
            <w:noProof/>
          </w:rPr>
          <w:t>Table 5:</w:t>
        </w:r>
        <w:r w:rsidR="00D307FA" w:rsidRPr="001545EC">
          <w:rPr>
            <w:rStyle w:val="Hyperlink"/>
            <w:rFonts w:eastAsiaTheme="majorEastAsia"/>
            <w:noProof/>
          </w:rPr>
          <w:t xml:space="preserve"> Cross condensation reaction result outputs in Z140.</w:t>
        </w:r>
        <w:r w:rsidR="00D307FA">
          <w:rPr>
            <w:noProof/>
            <w:webHidden/>
          </w:rPr>
          <w:tab/>
        </w:r>
        <w:r w:rsidR="00D307FA">
          <w:rPr>
            <w:noProof/>
            <w:webHidden/>
          </w:rPr>
          <w:fldChar w:fldCharType="begin"/>
        </w:r>
        <w:r w:rsidR="00D307FA">
          <w:rPr>
            <w:noProof/>
            <w:webHidden/>
          </w:rPr>
          <w:instrText xml:space="preserve"> PAGEREF _Toc131948656 \h </w:instrText>
        </w:r>
        <w:r w:rsidR="00D307FA">
          <w:rPr>
            <w:noProof/>
            <w:webHidden/>
          </w:rPr>
        </w:r>
        <w:r w:rsidR="00D307FA">
          <w:rPr>
            <w:noProof/>
            <w:webHidden/>
          </w:rPr>
          <w:fldChar w:fldCharType="separate"/>
        </w:r>
        <w:r w:rsidR="001F4741">
          <w:rPr>
            <w:noProof/>
            <w:webHidden/>
          </w:rPr>
          <w:t>61</w:t>
        </w:r>
        <w:r w:rsidR="00D307FA">
          <w:rPr>
            <w:noProof/>
            <w:webHidden/>
          </w:rPr>
          <w:fldChar w:fldCharType="end"/>
        </w:r>
      </w:hyperlink>
    </w:p>
    <w:p w14:paraId="3C58B165" w14:textId="1C31923A" w:rsidR="00D307FA" w:rsidRDefault="00000000">
      <w:pPr>
        <w:pStyle w:val="TableofFigures"/>
        <w:tabs>
          <w:tab w:val="right" w:leader="dot" w:pos="8630"/>
        </w:tabs>
        <w:rPr>
          <w:rFonts w:asciiTheme="minorHAnsi" w:eastAsiaTheme="minorEastAsia" w:hAnsiTheme="minorHAnsi" w:cstheme="minorBidi"/>
          <w:noProof/>
          <w:sz w:val="22"/>
          <w:szCs w:val="22"/>
        </w:rPr>
      </w:pPr>
      <w:hyperlink w:anchor="_Toc131948657" w:history="1">
        <w:r w:rsidR="00D307FA" w:rsidRPr="001545EC">
          <w:rPr>
            <w:rStyle w:val="Hyperlink"/>
            <w:rFonts w:eastAsiaTheme="majorEastAsia"/>
            <w:b/>
            <w:bCs/>
            <w:noProof/>
          </w:rPr>
          <w:t>Table 6:</w:t>
        </w:r>
        <w:r w:rsidR="00D307FA" w:rsidRPr="001545EC">
          <w:rPr>
            <w:rStyle w:val="Hyperlink"/>
            <w:rFonts w:eastAsiaTheme="majorEastAsia"/>
            <w:noProof/>
          </w:rPr>
          <w:t xml:space="preserve"> Cross condensation reaction result outputs in Z40.</w:t>
        </w:r>
        <w:r w:rsidR="00D307FA">
          <w:rPr>
            <w:noProof/>
            <w:webHidden/>
          </w:rPr>
          <w:tab/>
        </w:r>
        <w:r w:rsidR="00D307FA">
          <w:rPr>
            <w:noProof/>
            <w:webHidden/>
          </w:rPr>
          <w:fldChar w:fldCharType="begin"/>
        </w:r>
        <w:r w:rsidR="00D307FA">
          <w:rPr>
            <w:noProof/>
            <w:webHidden/>
          </w:rPr>
          <w:instrText xml:space="preserve"> PAGEREF _Toc131948657 \h </w:instrText>
        </w:r>
        <w:r w:rsidR="00D307FA">
          <w:rPr>
            <w:noProof/>
            <w:webHidden/>
          </w:rPr>
        </w:r>
        <w:r w:rsidR="00D307FA">
          <w:rPr>
            <w:noProof/>
            <w:webHidden/>
          </w:rPr>
          <w:fldChar w:fldCharType="separate"/>
        </w:r>
        <w:r w:rsidR="001F4741">
          <w:rPr>
            <w:noProof/>
            <w:webHidden/>
          </w:rPr>
          <w:t>62</w:t>
        </w:r>
        <w:r w:rsidR="00D307FA">
          <w:rPr>
            <w:noProof/>
            <w:webHidden/>
          </w:rPr>
          <w:fldChar w:fldCharType="end"/>
        </w:r>
      </w:hyperlink>
    </w:p>
    <w:p w14:paraId="319A3500" w14:textId="48244627" w:rsidR="00D307FA" w:rsidRDefault="00000000">
      <w:pPr>
        <w:pStyle w:val="TableofFigures"/>
        <w:tabs>
          <w:tab w:val="right" w:leader="dot" w:pos="8630"/>
        </w:tabs>
        <w:rPr>
          <w:rFonts w:asciiTheme="minorHAnsi" w:eastAsiaTheme="minorEastAsia" w:hAnsiTheme="minorHAnsi" w:cstheme="minorBidi"/>
          <w:noProof/>
          <w:sz w:val="22"/>
          <w:szCs w:val="22"/>
        </w:rPr>
      </w:pPr>
      <w:hyperlink w:anchor="_Toc131948658" w:history="1">
        <w:r w:rsidR="00D307FA" w:rsidRPr="001545EC">
          <w:rPr>
            <w:rStyle w:val="Hyperlink"/>
            <w:rFonts w:eastAsiaTheme="majorEastAsia"/>
            <w:b/>
            <w:bCs/>
            <w:noProof/>
          </w:rPr>
          <w:t>Table 7:</w:t>
        </w:r>
        <w:r w:rsidR="00D307FA" w:rsidRPr="001545EC">
          <w:rPr>
            <w:rStyle w:val="Hyperlink"/>
            <w:rFonts w:eastAsiaTheme="majorEastAsia"/>
            <w:noProof/>
          </w:rPr>
          <w:t xml:space="preserve"> Parameters obtained by fitting experimental data of cross-aldol condensation on the NaHY(Si/Al:30) series with the reaction-diffusion model.</w:t>
        </w:r>
        <w:r w:rsidR="00D307FA">
          <w:rPr>
            <w:noProof/>
            <w:webHidden/>
          </w:rPr>
          <w:tab/>
        </w:r>
        <w:r w:rsidR="00D307FA">
          <w:rPr>
            <w:noProof/>
            <w:webHidden/>
          </w:rPr>
          <w:fldChar w:fldCharType="begin"/>
        </w:r>
        <w:r w:rsidR="00D307FA">
          <w:rPr>
            <w:noProof/>
            <w:webHidden/>
          </w:rPr>
          <w:instrText xml:space="preserve"> PAGEREF _Toc131948658 \h </w:instrText>
        </w:r>
        <w:r w:rsidR="00D307FA">
          <w:rPr>
            <w:noProof/>
            <w:webHidden/>
          </w:rPr>
        </w:r>
        <w:r w:rsidR="00D307FA">
          <w:rPr>
            <w:noProof/>
            <w:webHidden/>
          </w:rPr>
          <w:fldChar w:fldCharType="separate"/>
        </w:r>
        <w:r w:rsidR="001F4741">
          <w:rPr>
            <w:noProof/>
            <w:webHidden/>
          </w:rPr>
          <w:t>64</w:t>
        </w:r>
        <w:r w:rsidR="00D307FA">
          <w:rPr>
            <w:noProof/>
            <w:webHidden/>
          </w:rPr>
          <w:fldChar w:fldCharType="end"/>
        </w:r>
      </w:hyperlink>
    </w:p>
    <w:p w14:paraId="03F01B84" w14:textId="5D66FEA8" w:rsidR="00D307FA" w:rsidRDefault="00000000">
      <w:pPr>
        <w:pStyle w:val="TableofFigures"/>
        <w:tabs>
          <w:tab w:val="right" w:leader="dot" w:pos="8630"/>
        </w:tabs>
        <w:rPr>
          <w:rFonts w:asciiTheme="minorHAnsi" w:eastAsiaTheme="minorEastAsia" w:hAnsiTheme="minorHAnsi" w:cstheme="minorBidi"/>
          <w:noProof/>
          <w:sz w:val="22"/>
          <w:szCs w:val="22"/>
        </w:rPr>
      </w:pPr>
      <w:hyperlink w:anchor="_Toc131948659" w:history="1">
        <w:r w:rsidR="00D307FA" w:rsidRPr="001545EC">
          <w:rPr>
            <w:rStyle w:val="Hyperlink"/>
            <w:rFonts w:eastAsiaTheme="majorEastAsia"/>
            <w:b/>
            <w:bCs/>
            <w:noProof/>
          </w:rPr>
          <w:t>Table 8:</w:t>
        </w:r>
        <w:r w:rsidR="00D307FA" w:rsidRPr="001545EC">
          <w:rPr>
            <w:rStyle w:val="Hyperlink"/>
            <w:rFonts w:eastAsiaTheme="majorEastAsia"/>
            <w:noProof/>
          </w:rPr>
          <w:t xml:space="preserve"> Classification of chemi- and physisorbed pyridine on acidic solids. Adapted from Ref [158].</w:t>
        </w:r>
        <w:r w:rsidR="00D307FA">
          <w:rPr>
            <w:noProof/>
            <w:webHidden/>
          </w:rPr>
          <w:tab/>
        </w:r>
        <w:r w:rsidR="00D307FA">
          <w:rPr>
            <w:noProof/>
            <w:webHidden/>
          </w:rPr>
          <w:fldChar w:fldCharType="begin"/>
        </w:r>
        <w:r w:rsidR="00D307FA">
          <w:rPr>
            <w:noProof/>
            <w:webHidden/>
          </w:rPr>
          <w:instrText xml:space="preserve"> PAGEREF _Toc131948659 \h </w:instrText>
        </w:r>
        <w:r w:rsidR="00D307FA">
          <w:rPr>
            <w:noProof/>
            <w:webHidden/>
          </w:rPr>
        </w:r>
        <w:r w:rsidR="00D307FA">
          <w:rPr>
            <w:noProof/>
            <w:webHidden/>
          </w:rPr>
          <w:fldChar w:fldCharType="separate"/>
        </w:r>
        <w:r w:rsidR="001F4741">
          <w:rPr>
            <w:noProof/>
            <w:webHidden/>
          </w:rPr>
          <w:t>71</w:t>
        </w:r>
        <w:r w:rsidR="00D307FA">
          <w:rPr>
            <w:noProof/>
            <w:webHidden/>
          </w:rPr>
          <w:fldChar w:fldCharType="end"/>
        </w:r>
      </w:hyperlink>
    </w:p>
    <w:p w14:paraId="2D5C5A9D" w14:textId="7F70CB3B" w:rsidR="00D307FA" w:rsidRDefault="00000000">
      <w:pPr>
        <w:pStyle w:val="TableofFigures"/>
        <w:tabs>
          <w:tab w:val="right" w:leader="dot" w:pos="8630"/>
        </w:tabs>
        <w:rPr>
          <w:rFonts w:asciiTheme="minorHAnsi" w:eastAsiaTheme="minorEastAsia" w:hAnsiTheme="minorHAnsi" w:cstheme="minorBidi"/>
          <w:noProof/>
          <w:sz w:val="22"/>
          <w:szCs w:val="22"/>
        </w:rPr>
      </w:pPr>
      <w:hyperlink w:anchor="_Toc131948660" w:history="1">
        <w:r w:rsidR="00D307FA" w:rsidRPr="001545EC">
          <w:rPr>
            <w:rStyle w:val="Hyperlink"/>
            <w:rFonts w:eastAsiaTheme="majorEastAsia"/>
            <w:b/>
            <w:bCs/>
            <w:noProof/>
          </w:rPr>
          <w:t>Table 9</w:t>
        </w:r>
        <w:r w:rsidR="00D307FA" w:rsidRPr="001545EC">
          <w:rPr>
            <w:rStyle w:val="Hyperlink"/>
            <w:rFonts w:eastAsiaTheme="majorEastAsia"/>
            <w:noProof/>
          </w:rPr>
          <w:t>: Site density and average particle size of the synthesized ZSM5 zeolites.</w:t>
        </w:r>
        <w:r w:rsidR="00D307FA">
          <w:rPr>
            <w:noProof/>
            <w:webHidden/>
          </w:rPr>
          <w:tab/>
        </w:r>
        <w:r w:rsidR="00D307FA">
          <w:rPr>
            <w:noProof/>
            <w:webHidden/>
          </w:rPr>
          <w:fldChar w:fldCharType="begin"/>
        </w:r>
        <w:r w:rsidR="00D307FA">
          <w:rPr>
            <w:noProof/>
            <w:webHidden/>
          </w:rPr>
          <w:instrText xml:space="preserve"> PAGEREF _Toc131948660 \h </w:instrText>
        </w:r>
        <w:r w:rsidR="00D307FA">
          <w:rPr>
            <w:noProof/>
            <w:webHidden/>
          </w:rPr>
        </w:r>
        <w:r w:rsidR="00D307FA">
          <w:rPr>
            <w:noProof/>
            <w:webHidden/>
          </w:rPr>
          <w:fldChar w:fldCharType="separate"/>
        </w:r>
        <w:r w:rsidR="001F4741">
          <w:rPr>
            <w:noProof/>
            <w:webHidden/>
          </w:rPr>
          <w:t>93</w:t>
        </w:r>
        <w:r w:rsidR="00D307FA">
          <w:rPr>
            <w:noProof/>
            <w:webHidden/>
          </w:rPr>
          <w:fldChar w:fldCharType="end"/>
        </w:r>
      </w:hyperlink>
    </w:p>
    <w:p w14:paraId="4B0D13B3" w14:textId="795E891D" w:rsidR="00D307FA" w:rsidRDefault="00000000">
      <w:pPr>
        <w:pStyle w:val="TableofFigures"/>
        <w:tabs>
          <w:tab w:val="right" w:leader="dot" w:pos="8630"/>
        </w:tabs>
        <w:rPr>
          <w:rFonts w:asciiTheme="minorHAnsi" w:eastAsiaTheme="minorEastAsia" w:hAnsiTheme="minorHAnsi" w:cstheme="minorBidi"/>
          <w:noProof/>
          <w:sz w:val="22"/>
          <w:szCs w:val="22"/>
        </w:rPr>
      </w:pPr>
      <w:hyperlink w:anchor="_Toc131948661" w:history="1">
        <w:r w:rsidR="00D307FA" w:rsidRPr="001545EC">
          <w:rPr>
            <w:rStyle w:val="Hyperlink"/>
            <w:rFonts w:eastAsiaTheme="majorEastAsia"/>
            <w:b/>
            <w:bCs/>
            <w:noProof/>
          </w:rPr>
          <w:t>Table 10</w:t>
        </w:r>
        <w:r w:rsidR="00D307FA" w:rsidRPr="001545EC">
          <w:rPr>
            <w:rStyle w:val="Hyperlink"/>
            <w:rFonts w:eastAsiaTheme="majorEastAsia"/>
            <w:noProof/>
          </w:rPr>
          <w:t xml:space="preserve">: Site density and consumption rates of Na-titrated S-ZSM5 150 </w:t>
        </w:r>
        <w:r w:rsidR="00D307FA" w:rsidRPr="001545EC">
          <w:rPr>
            <w:rStyle w:val="Hyperlink"/>
            <w:rFonts w:eastAsiaTheme="majorEastAsia"/>
            <w:noProof/>
            <w:vertAlign w:val="superscript"/>
          </w:rPr>
          <w:t>o</w:t>
        </w:r>
        <w:r w:rsidR="00D307FA" w:rsidRPr="001545EC">
          <w:rPr>
            <w:rStyle w:val="Hyperlink"/>
            <w:rFonts w:eastAsiaTheme="majorEastAsia"/>
            <w:noProof/>
          </w:rPr>
          <w:t>C.</w:t>
        </w:r>
        <w:r w:rsidR="00D307FA">
          <w:rPr>
            <w:noProof/>
            <w:webHidden/>
          </w:rPr>
          <w:tab/>
        </w:r>
        <w:r w:rsidR="00D307FA">
          <w:rPr>
            <w:noProof/>
            <w:webHidden/>
          </w:rPr>
          <w:fldChar w:fldCharType="begin"/>
        </w:r>
        <w:r w:rsidR="00D307FA">
          <w:rPr>
            <w:noProof/>
            <w:webHidden/>
          </w:rPr>
          <w:instrText xml:space="preserve"> PAGEREF _Toc131948661 \h </w:instrText>
        </w:r>
        <w:r w:rsidR="00D307FA">
          <w:rPr>
            <w:noProof/>
            <w:webHidden/>
          </w:rPr>
        </w:r>
        <w:r w:rsidR="00D307FA">
          <w:rPr>
            <w:noProof/>
            <w:webHidden/>
          </w:rPr>
          <w:fldChar w:fldCharType="separate"/>
        </w:r>
        <w:r w:rsidR="001F4741">
          <w:rPr>
            <w:noProof/>
            <w:webHidden/>
          </w:rPr>
          <w:t>97</w:t>
        </w:r>
        <w:r w:rsidR="00D307FA">
          <w:rPr>
            <w:noProof/>
            <w:webHidden/>
          </w:rPr>
          <w:fldChar w:fldCharType="end"/>
        </w:r>
      </w:hyperlink>
    </w:p>
    <w:p w14:paraId="4FB98BA0" w14:textId="526E7B9D" w:rsidR="00D307FA" w:rsidRDefault="00000000">
      <w:pPr>
        <w:pStyle w:val="TableofFigures"/>
        <w:tabs>
          <w:tab w:val="right" w:leader="dot" w:pos="8630"/>
        </w:tabs>
        <w:rPr>
          <w:rFonts w:asciiTheme="minorHAnsi" w:eastAsiaTheme="minorEastAsia" w:hAnsiTheme="minorHAnsi" w:cstheme="minorBidi"/>
          <w:noProof/>
          <w:sz w:val="22"/>
          <w:szCs w:val="22"/>
        </w:rPr>
      </w:pPr>
      <w:hyperlink w:anchor="_Toc131948662" w:history="1">
        <w:r w:rsidR="00D307FA" w:rsidRPr="001545EC">
          <w:rPr>
            <w:rStyle w:val="Hyperlink"/>
            <w:rFonts w:eastAsiaTheme="majorEastAsia"/>
            <w:b/>
            <w:bCs/>
            <w:noProof/>
          </w:rPr>
          <w:t>Table 11:</w:t>
        </w:r>
        <w:r w:rsidR="00D307FA" w:rsidRPr="001545EC">
          <w:rPr>
            <w:rStyle w:val="Hyperlink"/>
            <w:rFonts w:eastAsiaTheme="majorEastAsia"/>
            <w:noProof/>
          </w:rPr>
          <w:t xml:space="preserve"> Calculated Thiele moduli and effectiveness factors for the S-ZSM5 series.</w:t>
        </w:r>
        <w:r w:rsidR="00D307FA">
          <w:rPr>
            <w:noProof/>
            <w:webHidden/>
          </w:rPr>
          <w:tab/>
        </w:r>
        <w:r w:rsidR="00D307FA">
          <w:rPr>
            <w:noProof/>
            <w:webHidden/>
          </w:rPr>
          <w:fldChar w:fldCharType="begin"/>
        </w:r>
        <w:r w:rsidR="00D307FA">
          <w:rPr>
            <w:noProof/>
            <w:webHidden/>
          </w:rPr>
          <w:instrText xml:space="preserve"> PAGEREF _Toc131948662 \h </w:instrText>
        </w:r>
        <w:r w:rsidR="00D307FA">
          <w:rPr>
            <w:noProof/>
            <w:webHidden/>
          </w:rPr>
        </w:r>
        <w:r w:rsidR="00D307FA">
          <w:rPr>
            <w:noProof/>
            <w:webHidden/>
          </w:rPr>
          <w:fldChar w:fldCharType="separate"/>
        </w:r>
        <w:r w:rsidR="001F4741">
          <w:rPr>
            <w:noProof/>
            <w:webHidden/>
          </w:rPr>
          <w:t>98</w:t>
        </w:r>
        <w:r w:rsidR="00D307FA">
          <w:rPr>
            <w:noProof/>
            <w:webHidden/>
          </w:rPr>
          <w:fldChar w:fldCharType="end"/>
        </w:r>
      </w:hyperlink>
    </w:p>
    <w:p w14:paraId="1C2E4B8C" w14:textId="6DC26411" w:rsidR="00D307FA" w:rsidRDefault="00000000">
      <w:pPr>
        <w:pStyle w:val="TableofFigures"/>
        <w:tabs>
          <w:tab w:val="right" w:leader="dot" w:pos="8630"/>
        </w:tabs>
        <w:rPr>
          <w:rFonts w:asciiTheme="minorHAnsi" w:eastAsiaTheme="minorEastAsia" w:hAnsiTheme="minorHAnsi" w:cstheme="minorBidi"/>
          <w:noProof/>
          <w:sz w:val="22"/>
          <w:szCs w:val="22"/>
        </w:rPr>
      </w:pPr>
      <w:hyperlink w:anchor="_Toc131948663" w:history="1">
        <w:r w:rsidR="00D307FA" w:rsidRPr="001545EC">
          <w:rPr>
            <w:rStyle w:val="Hyperlink"/>
            <w:rFonts w:eastAsiaTheme="majorEastAsia"/>
            <w:b/>
            <w:bCs/>
            <w:noProof/>
          </w:rPr>
          <w:t>Table 12:</w:t>
        </w:r>
        <w:r w:rsidR="00D307FA" w:rsidRPr="001545EC">
          <w:rPr>
            <w:rStyle w:val="Hyperlink"/>
            <w:rFonts w:eastAsiaTheme="majorEastAsia"/>
            <w:noProof/>
          </w:rPr>
          <w:t xml:space="preserve"> Product selectivity distribution on isobutane cracking over zeolite Y with varying Si/Al.</w:t>
        </w:r>
        <w:r w:rsidR="00D307FA">
          <w:rPr>
            <w:noProof/>
            <w:webHidden/>
          </w:rPr>
          <w:tab/>
        </w:r>
        <w:r w:rsidR="00D307FA">
          <w:rPr>
            <w:noProof/>
            <w:webHidden/>
          </w:rPr>
          <w:fldChar w:fldCharType="begin"/>
        </w:r>
        <w:r w:rsidR="00D307FA">
          <w:rPr>
            <w:noProof/>
            <w:webHidden/>
          </w:rPr>
          <w:instrText xml:space="preserve"> PAGEREF _Toc131948663 \h </w:instrText>
        </w:r>
        <w:r w:rsidR="00D307FA">
          <w:rPr>
            <w:noProof/>
            <w:webHidden/>
          </w:rPr>
        </w:r>
        <w:r w:rsidR="00D307FA">
          <w:rPr>
            <w:noProof/>
            <w:webHidden/>
          </w:rPr>
          <w:fldChar w:fldCharType="separate"/>
        </w:r>
        <w:r w:rsidR="001F4741">
          <w:rPr>
            <w:noProof/>
            <w:webHidden/>
          </w:rPr>
          <w:t>117</w:t>
        </w:r>
        <w:r w:rsidR="00D307FA">
          <w:rPr>
            <w:noProof/>
            <w:webHidden/>
          </w:rPr>
          <w:fldChar w:fldCharType="end"/>
        </w:r>
      </w:hyperlink>
    </w:p>
    <w:p w14:paraId="37150C35" w14:textId="0C53F71C" w:rsidR="00D307FA" w:rsidRDefault="00000000">
      <w:pPr>
        <w:pStyle w:val="TableofFigures"/>
        <w:tabs>
          <w:tab w:val="right" w:leader="dot" w:pos="8630"/>
        </w:tabs>
        <w:rPr>
          <w:rFonts w:asciiTheme="minorHAnsi" w:eastAsiaTheme="minorEastAsia" w:hAnsiTheme="minorHAnsi" w:cstheme="minorBidi"/>
          <w:noProof/>
          <w:sz w:val="22"/>
          <w:szCs w:val="22"/>
        </w:rPr>
      </w:pPr>
      <w:hyperlink w:anchor="_Toc131948664" w:history="1">
        <w:r w:rsidR="00D307FA" w:rsidRPr="001545EC">
          <w:rPr>
            <w:rStyle w:val="Hyperlink"/>
            <w:rFonts w:eastAsiaTheme="majorEastAsia"/>
            <w:b/>
            <w:bCs/>
            <w:noProof/>
          </w:rPr>
          <w:t>Table 13</w:t>
        </w:r>
        <w:r w:rsidR="00D307FA" w:rsidRPr="001545EC">
          <w:rPr>
            <w:rStyle w:val="Hyperlink"/>
            <w:rFonts w:eastAsiaTheme="majorEastAsia"/>
            <w:noProof/>
          </w:rPr>
          <w:t>: Concentration of Brønsted acid sites on the commercial zeolite Y samples with different Si/Al ratios from Zeolyst International.</w:t>
        </w:r>
        <w:r w:rsidR="00D307FA">
          <w:rPr>
            <w:noProof/>
            <w:webHidden/>
          </w:rPr>
          <w:tab/>
        </w:r>
        <w:r w:rsidR="00D307FA">
          <w:rPr>
            <w:noProof/>
            <w:webHidden/>
          </w:rPr>
          <w:fldChar w:fldCharType="begin"/>
        </w:r>
        <w:r w:rsidR="00D307FA">
          <w:rPr>
            <w:noProof/>
            <w:webHidden/>
          </w:rPr>
          <w:instrText xml:space="preserve"> PAGEREF _Toc131948664 \h </w:instrText>
        </w:r>
        <w:r w:rsidR="00D307FA">
          <w:rPr>
            <w:noProof/>
            <w:webHidden/>
          </w:rPr>
        </w:r>
        <w:r w:rsidR="00D307FA">
          <w:rPr>
            <w:noProof/>
            <w:webHidden/>
          </w:rPr>
          <w:fldChar w:fldCharType="separate"/>
        </w:r>
        <w:r w:rsidR="001F4741">
          <w:rPr>
            <w:noProof/>
            <w:webHidden/>
          </w:rPr>
          <w:t>120</w:t>
        </w:r>
        <w:r w:rsidR="00D307FA">
          <w:rPr>
            <w:noProof/>
            <w:webHidden/>
          </w:rPr>
          <w:fldChar w:fldCharType="end"/>
        </w:r>
      </w:hyperlink>
    </w:p>
    <w:p w14:paraId="7F41DF6C" w14:textId="3D8218A2" w:rsidR="001F5FA8" w:rsidRDefault="006205D3" w:rsidP="00606D30">
      <w:pPr>
        <w:spacing w:line="360" w:lineRule="auto"/>
        <w:jc w:val="both"/>
      </w:pPr>
      <w:r>
        <w:fldChar w:fldCharType="end"/>
      </w:r>
    </w:p>
    <w:p w14:paraId="74BAEBF9" w14:textId="77777777" w:rsidR="00934C91" w:rsidRDefault="00934C91" w:rsidP="00606D30">
      <w:pPr>
        <w:spacing w:line="360" w:lineRule="auto"/>
        <w:jc w:val="both"/>
      </w:pPr>
    </w:p>
    <w:p w14:paraId="70E1E8E1" w14:textId="77777777" w:rsidR="00934C91" w:rsidRDefault="00934C91" w:rsidP="00606D30">
      <w:pPr>
        <w:spacing w:line="360" w:lineRule="auto"/>
        <w:jc w:val="both"/>
      </w:pPr>
    </w:p>
    <w:p w14:paraId="7BFF5ECA" w14:textId="77777777" w:rsidR="00934C91" w:rsidRDefault="00934C91" w:rsidP="00606D30">
      <w:pPr>
        <w:spacing w:line="360" w:lineRule="auto"/>
        <w:jc w:val="both"/>
      </w:pPr>
    </w:p>
    <w:p w14:paraId="5392522F" w14:textId="77777777" w:rsidR="00934C91" w:rsidRDefault="00934C91" w:rsidP="00606D30">
      <w:pPr>
        <w:spacing w:line="360" w:lineRule="auto"/>
        <w:jc w:val="both"/>
      </w:pPr>
    </w:p>
    <w:p w14:paraId="4F770C16" w14:textId="77777777" w:rsidR="00934C91" w:rsidRDefault="00934C91" w:rsidP="00606D30">
      <w:pPr>
        <w:spacing w:line="360" w:lineRule="auto"/>
        <w:jc w:val="both"/>
      </w:pPr>
    </w:p>
    <w:p w14:paraId="7FDF0D38" w14:textId="77777777" w:rsidR="00934C91" w:rsidRDefault="00934C91" w:rsidP="00606D30">
      <w:pPr>
        <w:spacing w:line="360" w:lineRule="auto"/>
        <w:jc w:val="both"/>
      </w:pPr>
    </w:p>
    <w:p w14:paraId="1D9DD349" w14:textId="77777777" w:rsidR="00934C91" w:rsidRPr="006205D3" w:rsidRDefault="00934C91" w:rsidP="00606D30">
      <w:pPr>
        <w:spacing w:line="360" w:lineRule="auto"/>
        <w:jc w:val="both"/>
      </w:pPr>
    </w:p>
    <w:p w14:paraId="15326DE6" w14:textId="0EB7CEB3" w:rsidR="00350C86" w:rsidRPr="0048189E" w:rsidRDefault="00350C86" w:rsidP="0048189E">
      <w:pPr>
        <w:pStyle w:val="Heading1"/>
        <w:rPr>
          <w:sz w:val="32"/>
          <w:szCs w:val="40"/>
        </w:rPr>
      </w:pPr>
      <w:bookmarkStart w:id="2" w:name="_Toc132924172"/>
      <w:r w:rsidRPr="0048189E">
        <w:rPr>
          <w:sz w:val="32"/>
          <w:szCs w:val="40"/>
        </w:rPr>
        <w:lastRenderedPageBreak/>
        <w:t>List of Figures</w:t>
      </w:r>
      <w:bookmarkEnd w:id="2"/>
    </w:p>
    <w:p w14:paraId="5384F332" w14:textId="66413577" w:rsidR="00D307FA" w:rsidRDefault="006205D3" w:rsidP="00D10C54">
      <w:pPr>
        <w:pStyle w:val="TableofFigures"/>
        <w:tabs>
          <w:tab w:val="right" w:leader="dot" w:pos="8630"/>
        </w:tabs>
        <w:jc w:val="both"/>
        <w:rPr>
          <w:rFonts w:asciiTheme="minorHAnsi" w:eastAsiaTheme="minorEastAsia" w:hAnsiTheme="minorHAnsi" w:cstheme="minorBidi"/>
          <w:noProof/>
          <w:sz w:val="22"/>
          <w:szCs w:val="22"/>
        </w:rPr>
      </w:pPr>
      <w:r w:rsidRPr="00F80203">
        <w:rPr>
          <w:b/>
          <w:bCs/>
        </w:rPr>
        <w:fldChar w:fldCharType="begin"/>
      </w:r>
      <w:r w:rsidRPr="00F80203">
        <w:rPr>
          <w:b/>
          <w:bCs/>
        </w:rPr>
        <w:instrText xml:space="preserve"> TOC \h \z \c "Figure" </w:instrText>
      </w:r>
      <w:r w:rsidRPr="00F80203">
        <w:rPr>
          <w:b/>
          <w:bCs/>
        </w:rPr>
        <w:fldChar w:fldCharType="separate"/>
      </w:r>
      <w:hyperlink w:anchor="_Toc131948665" w:history="1">
        <w:r w:rsidR="00D307FA" w:rsidRPr="00726C87">
          <w:rPr>
            <w:rStyle w:val="Hyperlink"/>
            <w:rFonts w:eastAsiaTheme="majorEastAsia"/>
            <w:b/>
            <w:bCs/>
            <w:noProof/>
          </w:rPr>
          <w:t>Figure 1:</w:t>
        </w:r>
        <w:r w:rsidR="00D307FA" w:rsidRPr="00726C87">
          <w:rPr>
            <w:rStyle w:val="Hyperlink"/>
            <w:rFonts w:eastAsiaTheme="majorEastAsia"/>
            <w:noProof/>
          </w:rPr>
          <w:t xml:space="preserve"> Brønsted acid site in zeolite catalysts, the reacting environment in which reaction frequently occurs. An elementary representation.</w:t>
        </w:r>
        <w:r w:rsidR="00D307FA">
          <w:rPr>
            <w:noProof/>
            <w:webHidden/>
          </w:rPr>
          <w:tab/>
        </w:r>
        <w:r w:rsidR="00D307FA">
          <w:rPr>
            <w:noProof/>
            <w:webHidden/>
          </w:rPr>
          <w:fldChar w:fldCharType="begin"/>
        </w:r>
        <w:r w:rsidR="00D307FA">
          <w:rPr>
            <w:noProof/>
            <w:webHidden/>
          </w:rPr>
          <w:instrText xml:space="preserve"> PAGEREF _Toc131948665 \h </w:instrText>
        </w:r>
        <w:r w:rsidR="00D307FA">
          <w:rPr>
            <w:noProof/>
            <w:webHidden/>
          </w:rPr>
        </w:r>
        <w:r w:rsidR="00D307FA">
          <w:rPr>
            <w:noProof/>
            <w:webHidden/>
          </w:rPr>
          <w:fldChar w:fldCharType="separate"/>
        </w:r>
        <w:r w:rsidR="001F4741">
          <w:rPr>
            <w:noProof/>
            <w:webHidden/>
          </w:rPr>
          <w:t>4</w:t>
        </w:r>
        <w:r w:rsidR="00D307FA">
          <w:rPr>
            <w:noProof/>
            <w:webHidden/>
          </w:rPr>
          <w:fldChar w:fldCharType="end"/>
        </w:r>
      </w:hyperlink>
    </w:p>
    <w:p w14:paraId="2E72B0EA" w14:textId="009E995F"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66" w:history="1">
        <w:r w:rsidR="00D307FA" w:rsidRPr="00726C87">
          <w:rPr>
            <w:rStyle w:val="Hyperlink"/>
            <w:rFonts w:eastAsiaTheme="majorEastAsia"/>
            <w:b/>
            <w:bCs/>
            <w:noProof/>
          </w:rPr>
          <w:t>Figure 2:</w:t>
        </w:r>
        <w:r w:rsidR="00D307FA" w:rsidRPr="00726C87">
          <w:rPr>
            <w:rStyle w:val="Hyperlink"/>
            <w:rFonts w:eastAsiaTheme="majorEastAsia"/>
            <w:noProof/>
          </w:rPr>
          <w:t xml:space="preserve"> Scheme of the structure of zeolite Y. Reproduced from Ref [43].</w:t>
        </w:r>
        <w:r w:rsidR="00D307FA">
          <w:rPr>
            <w:noProof/>
            <w:webHidden/>
          </w:rPr>
          <w:tab/>
        </w:r>
        <w:r w:rsidR="00D307FA">
          <w:rPr>
            <w:noProof/>
            <w:webHidden/>
          </w:rPr>
          <w:fldChar w:fldCharType="begin"/>
        </w:r>
        <w:r w:rsidR="00D307FA">
          <w:rPr>
            <w:noProof/>
            <w:webHidden/>
          </w:rPr>
          <w:instrText xml:space="preserve"> PAGEREF _Toc131948666 \h </w:instrText>
        </w:r>
        <w:r w:rsidR="00D307FA">
          <w:rPr>
            <w:noProof/>
            <w:webHidden/>
          </w:rPr>
        </w:r>
        <w:r w:rsidR="00D307FA">
          <w:rPr>
            <w:noProof/>
            <w:webHidden/>
          </w:rPr>
          <w:fldChar w:fldCharType="separate"/>
        </w:r>
        <w:r w:rsidR="001F4741">
          <w:rPr>
            <w:noProof/>
            <w:webHidden/>
          </w:rPr>
          <w:t>7</w:t>
        </w:r>
        <w:r w:rsidR="00D307FA">
          <w:rPr>
            <w:noProof/>
            <w:webHidden/>
          </w:rPr>
          <w:fldChar w:fldCharType="end"/>
        </w:r>
      </w:hyperlink>
    </w:p>
    <w:p w14:paraId="00F9BC21" w14:textId="2E976815"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67" w:history="1">
        <w:r w:rsidR="00D307FA" w:rsidRPr="00726C87">
          <w:rPr>
            <w:rStyle w:val="Hyperlink"/>
            <w:rFonts w:eastAsiaTheme="majorEastAsia"/>
            <w:b/>
            <w:bCs/>
            <w:noProof/>
          </w:rPr>
          <w:t>Figure 3:</w:t>
        </w:r>
        <w:r w:rsidR="00D307FA" w:rsidRPr="00726C87">
          <w:rPr>
            <w:rStyle w:val="Hyperlink"/>
            <w:rFonts w:eastAsiaTheme="majorEastAsia"/>
            <w:noProof/>
          </w:rPr>
          <w:t xml:space="preserve"> XRD patterns of H-Y zeolite as changed by hydrothermal treatment at different temperatures: (a) initial H-Y zeolite, 298 K; (b) H-Y zeolite treated at 403 K; (c) H-Y zeolite treated at 423 K; (d) H-Y zeolite treated at 443 K; (e) H-Y zeolite treated at 473 K. Reproduced from Ref [47].</w:t>
        </w:r>
        <w:r w:rsidR="00D307FA">
          <w:rPr>
            <w:noProof/>
            <w:webHidden/>
          </w:rPr>
          <w:tab/>
        </w:r>
        <w:r w:rsidR="00D307FA">
          <w:rPr>
            <w:noProof/>
            <w:webHidden/>
          </w:rPr>
          <w:fldChar w:fldCharType="begin"/>
        </w:r>
        <w:r w:rsidR="00D307FA">
          <w:rPr>
            <w:noProof/>
            <w:webHidden/>
          </w:rPr>
          <w:instrText xml:space="preserve"> PAGEREF _Toc131948667 \h </w:instrText>
        </w:r>
        <w:r w:rsidR="00D307FA">
          <w:rPr>
            <w:noProof/>
            <w:webHidden/>
          </w:rPr>
        </w:r>
        <w:r w:rsidR="00D307FA">
          <w:rPr>
            <w:noProof/>
            <w:webHidden/>
          </w:rPr>
          <w:fldChar w:fldCharType="separate"/>
        </w:r>
        <w:r w:rsidR="001F4741">
          <w:rPr>
            <w:noProof/>
            <w:webHidden/>
          </w:rPr>
          <w:t>8</w:t>
        </w:r>
        <w:r w:rsidR="00D307FA">
          <w:rPr>
            <w:noProof/>
            <w:webHidden/>
          </w:rPr>
          <w:fldChar w:fldCharType="end"/>
        </w:r>
      </w:hyperlink>
    </w:p>
    <w:p w14:paraId="07B2FD88" w14:textId="44C47484"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68" w:history="1">
        <w:r w:rsidR="00D307FA" w:rsidRPr="00726C87">
          <w:rPr>
            <w:rStyle w:val="Hyperlink"/>
            <w:rFonts w:eastAsiaTheme="majorEastAsia"/>
            <w:b/>
            <w:bCs/>
            <w:noProof/>
          </w:rPr>
          <w:t>Figure 4:</w:t>
        </w:r>
        <w:r w:rsidR="00D307FA" w:rsidRPr="00726C87">
          <w:rPr>
            <w:rStyle w:val="Hyperlink"/>
            <w:rFonts w:eastAsiaTheme="majorEastAsia"/>
            <w:noProof/>
          </w:rPr>
          <w:t xml:space="preserve"> Experimental (A) and deconvoluted (B) and </w:t>
        </w:r>
        <w:r w:rsidR="00D307FA" w:rsidRPr="00726C87">
          <w:rPr>
            <w:rStyle w:val="Hyperlink"/>
            <w:rFonts w:eastAsiaTheme="majorEastAsia"/>
            <w:noProof/>
            <w:vertAlign w:val="superscript"/>
          </w:rPr>
          <w:t>27</w:t>
        </w:r>
        <w:r w:rsidR="00D307FA" w:rsidRPr="00726C87">
          <w:rPr>
            <w:rStyle w:val="Hyperlink"/>
            <w:rFonts w:eastAsiaTheme="majorEastAsia"/>
            <w:noProof/>
          </w:rPr>
          <w:t>A1 MAS NMR spectra of hydrated (Hyd) and acac-treated (Acac) Sample 1. Reproduced from Ref [49].</w:t>
        </w:r>
        <w:r w:rsidR="00D307FA">
          <w:rPr>
            <w:noProof/>
            <w:webHidden/>
          </w:rPr>
          <w:tab/>
        </w:r>
        <w:r w:rsidR="00D307FA">
          <w:rPr>
            <w:noProof/>
            <w:webHidden/>
          </w:rPr>
          <w:fldChar w:fldCharType="begin"/>
        </w:r>
        <w:r w:rsidR="00D307FA">
          <w:rPr>
            <w:noProof/>
            <w:webHidden/>
          </w:rPr>
          <w:instrText xml:space="preserve"> PAGEREF _Toc131948668 \h </w:instrText>
        </w:r>
        <w:r w:rsidR="00D307FA">
          <w:rPr>
            <w:noProof/>
            <w:webHidden/>
          </w:rPr>
        </w:r>
        <w:r w:rsidR="00D307FA">
          <w:rPr>
            <w:noProof/>
            <w:webHidden/>
          </w:rPr>
          <w:fldChar w:fldCharType="separate"/>
        </w:r>
        <w:r w:rsidR="001F4741">
          <w:rPr>
            <w:noProof/>
            <w:webHidden/>
          </w:rPr>
          <w:t>9</w:t>
        </w:r>
        <w:r w:rsidR="00D307FA">
          <w:rPr>
            <w:noProof/>
            <w:webHidden/>
          </w:rPr>
          <w:fldChar w:fldCharType="end"/>
        </w:r>
      </w:hyperlink>
    </w:p>
    <w:p w14:paraId="78B4FF14" w14:textId="61140249"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69" w:history="1">
        <w:r w:rsidR="00D307FA" w:rsidRPr="00726C87">
          <w:rPr>
            <w:rStyle w:val="Hyperlink"/>
            <w:rFonts w:eastAsiaTheme="majorEastAsia"/>
            <w:b/>
            <w:bCs/>
            <w:noProof/>
          </w:rPr>
          <w:t>Figure 5:</w:t>
        </w:r>
        <w:r w:rsidR="00D307FA" w:rsidRPr="00726C87">
          <w:rPr>
            <w:rStyle w:val="Hyperlink"/>
            <w:rFonts w:eastAsiaTheme="majorEastAsia"/>
            <w:noProof/>
          </w:rPr>
          <w:t xml:space="preserve"> Perpendicular and regular channels in ZSM-5 lattice. Adapted from Ref [59].</w:t>
        </w:r>
        <w:r w:rsidR="00D307FA">
          <w:rPr>
            <w:noProof/>
            <w:webHidden/>
          </w:rPr>
          <w:tab/>
        </w:r>
        <w:r w:rsidR="00D307FA">
          <w:rPr>
            <w:noProof/>
            <w:webHidden/>
          </w:rPr>
          <w:fldChar w:fldCharType="begin"/>
        </w:r>
        <w:r w:rsidR="00D307FA">
          <w:rPr>
            <w:noProof/>
            <w:webHidden/>
          </w:rPr>
          <w:instrText xml:space="preserve"> PAGEREF _Toc131948669 \h </w:instrText>
        </w:r>
        <w:r w:rsidR="00D307FA">
          <w:rPr>
            <w:noProof/>
            <w:webHidden/>
          </w:rPr>
        </w:r>
        <w:r w:rsidR="00D307FA">
          <w:rPr>
            <w:noProof/>
            <w:webHidden/>
          </w:rPr>
          <w:fldChar w:fldCharType="separate"/>
        </w:r>
        <w:r w:rsidR="001F4741">
          <w:rPr>
            <w:noProof/>
            <w:webHidden/>
          </w:rPr>
          <w:t>11</w:t>
        </w:r>
        <w:r w:rsidR="00D307FA">
          <w:rPr>
            <w:noProof/>
            <w:webHidden/>
          </w:rPr>
          <w:fldChar w:fldCharType="end"/>
        </w:r>
      </w:hyperlink>
    </w:p>
    <w:p w14:paraId="52AAA234" w14:textId="7B4B9CA7"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70" w:history="1">
        <w:r w:rsidR="00D307FA" w:rsidRPr="00726C87">
          <w:rPr>
            <w:rStyle w:val="Hyperlink"/>
            <w:rFonts w:eastAsiaTheme="majorEastAsia"/>
            <w:b/>
            <w:bCs/>
            <w:noProof/>
          </w:rPr>
          <w:t>Figure 6:</w:t>
        </w:r>
        <w:r w:rsidR="00D307FA" w:rsidRPr="00726C87">
          <w:rPr>
            <w:rStyle w:val="Hyperlink"/>
            <w:rFonts w:eastAsiaTheme="majorEastAsia"/>
            <w:noProof/>
          </w:rPr>
          <w:t xml:space="preserve"> Desorption of isooctane at 428 K from small and large H-ZSM5-5 crystals in parent and mesoporous forms. Reproduced from Ref [89].</w:t>
        </w:r>
        <w:r w:rsidR="00D307FA">
          <w:rPr>
            <w:noProof/>
            <w:webHidden/>
          </w:rPr>
          <w:tab/>
        </w:r>
        <w:r w:rsidR="00D307FA">
          <w:rPr>
            <w:noProof/>
            <w:webHidden/>
          </w:rPr>
          <w:fldChar w:fldCharType="begin"/>
        </w:r>
        <w:r w:rsidR="00D307FA">
          <w:rPr>
            <w:noProof/>
            <w:webHidden/>
          </w:rPr>
          <w:instrText xml:space="preserve"> PAGEREF _Toc131948670 \h </w:instrText>
        </w:r>
        <w:r w:rsidR="00D307FA">
          <w:rPr>
            <w:noProof/>
            <w:webHidden/>
          </w:rPr>
        </w:r>
        <w:r w:rsidR="00D307FA">
          <w:rPr>
            <w:noProof/>
            <w:webHidden/>
          </w:rPr>
          <w:fldChar w:fldCharType="separate"/>
        </w:r>
        <w:r w:rsidR="001F4741">
          <w:rPr>
            <w:noProof/>
            <w:webHidden/>
          </w:rPr>
          <w:t>16</w:t>
        </w:r>
        <w:r w:rsidR="00D307FA">
          <w:rPr>
            <w:noProof/>
            <w:webHidden/>
          </w:rPr>
          <w:fldChar w:fldCharType="end"/>
        </w:r>
      </w:hyperlink>
    </w:p>
    <w:p w14:paraId="771D97C1" w14:textId="21F5E08E"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71" w:history="1">
        <w:r w:rsidR="00D307FA" w:rsidRPr="00726C87">
          <w:rPr>
            <w:rStyle w:val="Hyperlink"/>
            <w:rFonts w:eastAsiaTheme="majorEastAsia"/>
            <w:b/>
            <w:bCs/>
            <w:noProof/>
          </w:rPr>
          <w:t>Figure 7:</w:t>
        </w:r>
        <w:r w:rsidR="00D307FA" w:rsidRPr="00726C87">
          <w:rPr>
            <w:rStyle w:val="Hyperlink"/>
            <w:rFonts w:eastAsiaTheme="majorEastAsia"/>
            <w:noProof/>
          </w:rPr>
          <w:t xml:space="preserve"> Measured selectivities to (a) methylhexane products as a function of the methylhexane Thiele modulus, (ϕ</w:t>
        </w:r>
        <w:r w:rsidR="00D307FA" w:rsidRPr="00726C87">
          <w:rPr>
            <w:rStyle w:val="Hyperlink"/>
            <w:rFonts w:eastAsiaTheme="majorEastAsia"/>
            <w:noProof/>
            <w:vertAlign w:val="subscript"/>
          </w:rPr>
          <w:t>MH=</w:t>
        </w:r>
        <w:r w:rsidR="00D307FA" w:rsidRPr="00726C87">
          <w:rPr>
            <w:rStyle w:val="Hyperlink"/>
            <w:rFonts w:eastAsiaTheme="majorEastAsia"/>
            <w:noProof/>
          </w:rPr>
          <w:t>) and (b) b-scission products as a function of the dimethylpentane Thiele modulus (ϕ</w:t>
        </w:r>
        <w:r w:rsidR="00D307FA" w:rsidRPr="00726C87">
          <w:rPr>
            <w:rStyle w:val="Hyperlink"/>
            <w:rFonts w:eastAsiaTheme="majorEastAsia"/>
            <w:noProof/>
            <w:vertAlign w:val="subscript"/>
          </w:rPr>
          <w:t>DMP=</w:t>
        </w:r>
        <w:r w:rsidR="00D307FA" w:rsidRPr="00726C87">
          <w:rPr>
            <w:rStyle w:val="Hyperlink"/>
            <w:rFonts w:eastAsiaTheme="majorEastAsia"/>
            <w:noProof/>
          </w:rPr>
          <w:t>) during nC7 isomerization on physical mixtures of Pt/SiO</w:t>
        </w:r>
        <w:r w:rsidR="00D307FA" w:rsidRPr="00726C87">
          <w:rPr>
            <w:rStyle w:val="Hyperlink"/>
            <w:rFonts w:eastAsiaTheme="majorEastAsia"/>
            <w:noProof/>
            <w:vertAlign w:val="subscript"/>
          </w:rPr>
          <w:t>2</w:t>
        </w:r>
        <w:r w:rsidR="00D307FA" w:rsidRPr="00726C87">
          <w:rPr>
            <w:rStyle w:val="Hyperlink"/>
            <w:rFonts w:eastAsiaTheme="majorEastAsia"/>
            <w:noProof/>
          </w:rPr>
          <w:t xml:space="preserve"> and acid catalysts. Reproduced and adapted from Ref. [17].</w:t>
        </w:r>
        <w:r w:rsidR="00D307FA">
          <w:rPr>
            <w:noProof/>
            <w:webHidden/>
          </w:rPr>
          <w:tab/>
        </w:r>
        <w:r w:rsidR="00D307FA">
          <w:rPr>
            <w:noProof/>
            <w:webHidden/>
          </w:rPr>
          <w:fldChar w:fldCharType="begin"/>
        </w:r>
        <w:r w:rsidR="00D307FA">
          <w:rPr>
            <w:noProof/>
            <w:webHidden/>
          </w:rPr>
          <w:instrText xml:space="preserve"> PAGEREF _Toc131948671 \h </w:instrText>
        </w:r>
        <w:r w:rsidR="00D307FA">
          <w:rPr>
            <w:noProof/>
            <w:webHidden/>
          </w:rPr>
        </w:r>
        <w:r w:rsidR="00D307FA">
          <w:rPr>
            <w:noProof/>
            <w:webHidden/>
          </w:rPr>
          <w:fldChar w:fldCharType="separate"/>
        </w:r>
        <w:r w:rsidR="001F4741">
          <w:rPr>
            <w:noProof/>
            <w:webHidden/>
          </w:rPr>
          <w:t>17</w:t>
        </w:r>
        <w:r w:rsidR="00D307FA">
          <w:rPr>
            <w:noProof/>
            <w:webHidden/>
          </w:rPr>
          <w:fldChar w:fldCharType="end"/>
        </w:r>
      </w:hyperlink>
    </w:p>
    <w:p w14:paraId="4553B269" w14:textId="522A6594"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72" w:history="1">
        <w:r w:rsidR="00D307FA" w:rsidRPr="00726C87">
          <w:rPr>
            <w:rStyle w:val="Hyperlink"/>
            <w:rFonts w:eastAsiaTheme="majorEastAsia"/>
            <w:b/>
            <w:bCs/>
            <w:noProof/>
          </w:rPr>
          <w:t>Figure 8:</w:t>
        </w:r>
        <w:r w:rsidR="00D307FA" w:rsidRPr="00726C87">
          <w:rPr>
            <w:rStyle w:val="Hyperlink"/>
            <w:rFonts w:eastAsiaTheme="majorEastAsia"/>
            <w:noProof/>
          </w:rPr>
          <w:t xml:space="preserve"> Acid catalyzed ketone aldol condensation reaction mechanism. An illustration.</w:t>
        </w:r>
        <w:r w:rsidR="00D307FA">
          <w:rPr>
            <w:noProof/>
            <w:webHidden/>
          </w:rPr>
          <w:tab/>
        </w:r>
        <w:r w:rsidR="00D307FA">
          <w:rPr>
            <w:noProof/>
            <w:webHidden/>
          </w:rPr>
          <w:fldChar w:fldCharType="begin"/>
        </w:r>
        <w:r w:rsidR="00D307FA">
          <w:rPr>
            <w:noProof/>
            <w:webHidden/>
          </w:rPr>
          <w:instrText xml:space="preserve"> PAGEREF _Toc131948672 \h </w:instrText>
        </w:r>
        <w:r w:rsidR="00D307FA">
          <w:rPr>
            <w:noProof/>
            <w:webHidden/>
          </w:rPr>
        </w:r>
        <w:r w:rsidR="00D307FA">
          <w:rPr>
            <w:noProof/>
            <w:webHidden/>
          </w:rPr>
          <w:fldChar w:fldCharType="separate"/>
        </w:r>
        <w:r w:rsidR="001F4741">
          <w:rPr>
            <w:noProof/>
            <w:webHidden/>
          </w:rPr>
          <w:t>19</w:t>
        </w:r>
        <w:r w:rsidR="00D307FA">
          <w:rPr>
            <w:noProof/>
            <w:webHidden/>
          </w:rPr>
          <w:fldChar w:fldCharType="end"/>
        </w:r>
      </w:hyperlink>
    </w:p>
    <w:p w14:paraId="36F0442E" w14:textId="56209434"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73" w:history="1">
        <w:r w:rsidR="00D307FA" w:rsidRPr="00726C87">
          <w:rPr>
            <w:rStyle w:val="Hyperlink"/>
            <w:rFonts w:eastAsiaTheme="majorEastAsia"/>
            <w:b/>
            <w:bCs/>
            <w:noProof/>
          </w:rPr>
          <w:t>Figure 9:</w:t>
        </w:r>
        <w:r w:rsidR="00D307FA" w:rsidRPr="00726C87">
          <w:rPr>
            <w:rStyle w:val="Hyperlink"/>
            <w:rFonts w:eastAsiaTheme="majorEastAsia"/>
            <w:noProof/>
          </w:rPr>
          <w:t xml:space="preserve"> a) classical cracking mechanism for an alkane molecule (RH) consisting of a H-transfer step to an absorbed carbenium ion (R1</w:t>
        </w:r>
        <w:r w:rsidR="00D307FA" w:rsidRPr="00726C87">
          <w:rPr>
            <w:rStyle w:val="Hyperlink"/>
            <w:rFonts w:eastAsiaTheme="majorEastAsia"/>
            <w:noProof/>
            <w:vertAlign w:val="superscript"/>
          </w:rPr>
          <w:t>+</w:t>
        </w:r>
        <w:r w:rsidR="00D307FA" w:rsidRPr="00726C87">
          <w:rPr>
            <w:rStyle w:val="Hyperlink"/>
            <w:rFonts w:eastAsiaTheme="majorEastAsia"/>
            <w:noProof/>
          </w:rPr>
          <w:t xml:space="preserve"> followed by β-scission; b) cracking mechanism for an alkane molecule (HR) proceeding via carbonium ion route. Adapted from Ref [101].</w:t>
        </w:r>
        <w:r w:rsidR="00D307FA">
          <w:rPr>
            <w:noProof/>
            <w:webHidden/>
          </w:rPr>
          <w:tab/>
        </w:r>
        <w:r w:rsidR="00D307FA">
          <w:rPr>
            <w:noProof/>
            <w:webHidden/>
          </w:rPr>
          <w:fldChar w:fldCharType="begin"/>
        </w:r>
        <w:r w:rsidR="00D307FA">
          <w:rPr>
            <w:noProof/>
            <w:webHidden/>
          </w:rPr>
          <w:instrText xml:space="preserve"> PAGEREF _Toc131948673 \h </w:instrText>
        </w:r>
        <w:r w:rsidR="00D307FA">
          <w:rPr>
            <w:noProof/>
            <w:webHidden/>
          </w:rPr>
        </w:r>
        <w:r w:rsidR="00D307FA">
          <w:rPr>
            <w:noProof/>
            <w:webHidden/>
          </w:rPr>
          <w:fldChar w:fldCharType="separate"/>
        </w:r>
        <w:r w:rsidR="001F4741">
          <w:rPr>
            <w:noProof/>
            <w:webHidden/>
          </w:rPr>
          <w:t>22</w:t>
        </w:r>
        <w:r w:rsidR="00D307FA">
          <w:rPr>
            <w:noProof/>
            <w:webHidden/>
          </w:rPr>
          <w:fldChar w:fldCharType="end"/>
        </w:r>
      </w:hyperlink>
    </w:p>
    <w:p w14:paraId="3A7470FA" w14:textId="1A2C275E"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74" w:history="1">
        <w:r w:rsidR="00D307FA" w:rsidRPr="00726C87">
          <w:rPr>
            <w:rStyle w:val="Hyperlink"/>
            <w:rFonts w:eastAsiaTheme="minorHAnsi"/>
            <w:b/>
            <w:bCs/>
            <w:noProof/>
          </w:rPr>
          <w:t xml:space="preserve">Figure 10: </w:t>
        </w:r>
        <w:r w:rsidR="00D307FA" w:rsidRPr="00726C87">
          <w:rPr>
            <w:rStyle w:val="Hyperlink"/>
            <w:rFonts w:eastAsiaTheme="majorEastAsia"/>
            <w:noProof/>
          </w:rPr>
          <w:t>Spectra of hydroxyl region of various exchanged mordenites. Reproduced from Ref [130].</w:t>
        </w:r>
        <w:r w:rsidR="00D307FA">
          <w:rPr>
            <w:noProof/>
            <w:webHidden/>
          </w:rPr>
          <w:tab/>
        </w:r>
        <w:r w:rsidR="00D307FA">
          <w:rPr>
            <w:noProof/>
            <w:webHidden/>
          </w:rPr>
          <w:fldChar w:fldCharType="begin"/>
        </w:r>
        <w:r w:rsidR="00D307FA">
          <w:rPr>
            <w:noProof/>
            <w:webHidden/>
          </w:rPr>
          <w:instrText xml:space="preserve"> PAGEREF _Toc131948674 \h </w:instrText>
        </w:r>
        <w:r w:rsidR="00D307FA">
          <w:rPr>
            <w:noProof/>
            <w:webHidden/>
          </w:rPr>
        </w:r>
        <w:r w:rsidR="00D307FA">
          <w:rPr>
            <w:noProof/>
            <w:webHidden/>
          </w:rPr>
          <w:fldChar w:fldCharType="separate"/>
        </w:r>
        <w:r w:rsidR="001F4741">
          <w:rPr>
            <w:noProof/>
            <w:webHidden/>
          </w:rPr>
          <w:t>28</w:t>
        </w:r>
        <w:r w:rsidR="00D307FA">
          <w:rPr>
            <w:noProof/>
            <w:webHidden/>
          </w:rPr>
          <w:fldChar w:fldCharType="end"/>
        </w:r>
      </w:hyperlink>
    </w:p>
    <w:p w14:paraId="201EFF9D" w14:textId="2EA99316"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75" w:history="1">
        <w:r w:rsidR="00D307FA" w:rsidRPr="00726C87">
          <w:rPr>
            <w:rStyle w:val="Hyperlink"/>
            <w:rFonts w:eastAsiaTheme="majorEastAsia"/>
            <w:b/>
            <w:bCs/>
            <w:noProof/>
          </w:rPr>
          <w:t>Figure 11:</w:t>
        </w:r>
        <w:r w:rsidR="00D307FA" w:rsidRPr="00726C87">
          <w:rPr>
            <w:rStyle w:val="Hyperlink"/>
            <w:rFonts w:eastAsiaTheme="majorEastAsia"/>
            <w:noProof/>
          </w:rPr>
          <w:t xml:space="preserve"> Catalytic titration of W30Z-14.8: 2-butanol dehydration rate as a function of the cumulative amount of titrant (2,6-di-tert-butyl-pyridine or pyridine) adsorbed during reaction. Reproduced from Ref [141].</w:t>
        </w:r>
        <w:r w:rsidR="00D307FA">
          <w:rPr>
            <w:noProof/>
            <w:webHidden/>
          </w:rPr>
          <w:tab/>
        </w:r>
        <w:r w:rsidR="00D307FA">
          <w:rPr>
            <w:noProof/>
            <w:webHidden/>
          </w:rPr>
          <w:fldChar w:fldCharType="begin"/>
        </w:r>
        <w:r w:rsidR="00D307FA">
          <w:rPr>
            <w:noProof/>
            <w:webHidden/>
          </w:rPr>
          <w:instrText xml:space="preserve"> PAGEREF _Toc131948675 \h </w:instrText>
        </w:r>
        <w:r w:rsidR="00D307FA">
          <w:rPr>
            <w:noProof/>
            <w:webHidden/>
          </w:rPr>
        </w:r>
        <w:r w:rsidR="00D307FA">
          <w:rPr>
            <w:noProof/>
            <w:webHidden/>
          </w:rPr>
          <w:fldChar w:fldCharType="separate"/>
        </w:r>
        <w:r w:rsidR="001F4741">
          <w:rPr>
            <w:noProof/>
            <w:webHidden/>
          </w:rPr>
          <w:t>29</w:t>
        </w:r>
        <w:r w:rsidR="00D307FA">
          <w:rPr>
            <w:noProof/>
            <w:webHidden/>
          </w:rPr>
          <w:fldChar w:fldCharType="end"/>
        </w:r>
      </w:hyperlink>
    </w:p>
    <w:p w14:paraId="6040E6E0" w14:textId="58028FBD"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76" w:history="1">
        <w:r w:rsidR="00D307FA" w:rsidRPr="00726C87">
          <w:rPr>
            <w:rStyle w:val="Hyperlink"/>
            <w:rFonts w:eastAsiaTheme="majorEastAsia"/>
            <w:b/>
            <w:bCs/>
            <w:noProof/>
          </w:rPr>
          <w:t>Figure 12</w:t>
        </w:r>
        <w:r w:rsidR="00D307FA" w:rsidRPr="00726C87">
          <w:rPr>
            <w:rStyle w:val="Hyperlink"/>
            <w:rFonts w:eastAsiaTheme="majorEastAsia"/>
            <w:noProof/>
          </w:rPr>
          <w:t>: Catalyst spherical controlled volume description. Draw by the author.</w:t>
        </w:r>
        <w:r w:rsidR="00D307FA">
          <w:rPr>
            <w:noProof/>
            <w:webHidden/>
          </w:rPr>
          <w:tab/>
        </w:r>
        <w:r w:rsidR="00D307FA">
          <w:rPr>
            <w:noProof/>
            <w:webHidden/>
          </w:rPr>
          <w:fldChar w:fldCharType="begin"/>
        </w:r>
        <w:r w:rsidR="00D307FA">
          <w:rPr>
            <w:noProof/>
            <w:webHidden/>
          </w:rPr>
          <w:instrText xml:space="preserve"> PAGEREF _Toc131948676 \h </w:instrText>
        </w:r>
        <w:r w:rsidR="00D307FA">
          <w:rPr>
            <w:noProof/>
            <w:webHidden/>
          </w:rPr>
        </w:r>
        <w:r w:rsidR="00D307FA">
          <w:rPr>
            <w:noProof/>
            <w:webHidden/>
          </w:rPr>
          <w:fldChar w:fldCharType="separate"/>
        </w:r>
        <w:r w:rsidR="001F4741">
          <w:rPr>
            <w:noProof/>
            <w:webHidden/>
          </w:rPr>
          <w:t>31</w:t>
        </w:r>
        <w:r w:rsidR="00D307FA">
          <w:rPr>
            <w:noProof/>
            <w:webHidden/>
          </w:rPr>
          <w:fldChar w:fldCharType="end"/>
        </w:r>
      </w:hyperlink>
    </w:p>
    <w:p w14:paraId="34E60C19" w14:textId="45A7F25C"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77" w:history="1">
        <w:r w:rsidR="00D307FA" w:rsidRPr="00726C87">
          <w:rPr>
            <w:rStyle w:val="Hyperlink"/>
            <w:rFonts w:eastAsiaTheme="majorEastAsia"/>
            <w:b/>
            <w:bCs/>
            <w:noProof/>
          </w:rPr>
          <w:t>Figure 13:</w:t>
        </w:r>
        <w:r w:rsidR="00D307FA" w:rsidRPr="00726C87">
          <w:rPr>
            <w:rStyle w:val="Hyperlink"/>
            <w:rFonts w:eastAsiaTheme="majorEastAsia"/>
            <w:noProof/>
          </w:rPr>
          <w:t xml:space="preserve"> Graphical correlation of effectiveness factor as Thiele modulus changes in a spherical catalyst particle. Generated by the author.</w:t>
        </w:r>
        <w:r w:rsidR="00D307FA">
          <w:rPr>
            <w:noProof/>
            <w:webHidden/>
          </w:rPr>
          <w:tab/>
        </w:r>
        <w:r w:rsidR="00D307FA">
          <w:rPr>
            <w:noProof/>
            <w:webHidden/>
          </w:rPr>
          <w:fldChar w:fldCharType="begin"/>
        </w:r>
        <w:r w:rsidR="00D307FA">
          <w:rPr>
            <w:noProof/>
            <w:webHidden/>
          </w:rPr>
          <w:instrText xml:space="preserve"> PAGEREF _Toc131948677 \h </w:instrText>
        </w:r>
        <w:r w:rsidR="00D307FA">
          <w:rPr>
            <w:noProof/>
            <w:webHidden/>
          </w:rPr>
        </w:r>
        <w:r w:rsidR="00D307FA">
          <w:rPr>
            <w:noProof/>
            <w:webHidden/>
          </w:rPr>
          <w:fldChar w:fldCharType="separate"/>
        </w:r>
        <w:r w:rsidR="001F4741">
          <w:rPr>
            <w:noProof/>
            <w:webHidden/>
          </w:rPr>
          <w:t>34</w:t>
        </w:r>
        <w:r w:rsidR="00D307FA">
          <w:rPr>
            <w:noProof/>
            <w:webHidden/>
          </w:rPr>
          <w:fldChar w:fldCharType="end"/>
        </w:r>
      </w:hyperlink>
    </w:p>
    <w:p w14:paraId="786AE40F" w14:textId="249F9376"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78" w:history="1">
        <w:r w:rsidR="00D307FA" w:rsidRPr="00726C87">
          <w:rPr>
            <w:rStyle w:val="Hyperlink"/>
            <w:rFonts w:eastAsiaTheme="majorEastAsia"/>
            <w:b/>
            <w:bCs/>
            <w:noProof/>
          </w:rPr>
          <w:t>Figure 14:</w:t>
        </w:r>
        <w:r w:rsidR="00D307FA" w:rsidRPr="00726C87">
          <w:rPr>
            <w:rStyle w:val="Hyperlink"/>
            <w:rFonts w:eastAsiaTheme="majorEastAsia"/>
            <w:noProof/>
          </w:rPr>
          <w:t xml:space="preserve"> Image representation of a titrated catalyst particle with an inner active volume (‘a)’) and deactivated volume (‘b)’). Drawn by the author.</w:t>
        </w:r>
        <w:r w:rsidR="00D307FA">
          <w:rPr>
            <w:noProof/>
            <w:webHidden/>
          </w:rPr>
          <w:tab/>
        </w:r>
        <w:r w:rsidR="00D307FA">
          <w:rPr>
            <w:noProof/>
            <w:webHidden/>
          </w:rPr>
          <w:fldChar w:fldCharType="begin"/>
        </w:r>
        <w:r w:rsidR="00D307FA">
          <w:rPr>
            <w:noProof/>
            <w:webHidden/>
          </w:rPr>
          <w:instrText xml:space="preserve"> PAGEREF _Toc131948678 \h </w:instrText>
        </w:r>
        <w:r w:rsidR="00D307FA">
          <w:rPr>
            <w:noProof/>
            <w:webHidden/>
          </w:rPr>
        </w:r>
        <w:r w:rsidR="00D307FA">
          <w:rPr>
            <w:noProof/>
            <w:webHidden/>
          </w:rPr>
          <w:fldChar w:fldCharType="separate"/>
        </w:r>
        <w:r w:rsidR="001F4741">
          <w:rPr>
            <w:noProof/>
            <w:webHidden/>
          </w:rPr>
          <w:t>35</w:t>
        </w:r>
        <w:r w:rsidR="00D307FA">
          <w:rPr>
            <w:noProof/>
            <w:webHidden/>
          </w:rPr>
          <w:fldChar w:fldCharType="end"/>
        </w:r>
      </w:hyperlink>
    </w:p>
    <w:p w14:paraId="37BC1081" w14:textId="39861858"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79" w:history="1">
        <w:r w:rsidR="00D307FA" w:rsidRPr="00726C87">
          <w:rPr>
            <w:rStyle w:val="Hyperlink"/>
            <w:rFonts w:eastAsiaTheme="majorEastAsia"/>
            <w:b/>
            <w:bCs/>
            <w:noProof/>
          </w:rPr>
          <w:t>Figure 15:</w:t>
        </w:r>
        <w:r w:rsidR="00D307FA" w:rsidRPr="00726C87">
          <w:rPr>
            <w:rStyle w:val="Hyperlink"/>
            <w:rFonts w:eastAsiaTheme="majorEastAsia"/>
            <w:noProof/>
          </w:rPr>
          <w:t xml:space="preserve"> Reaction rate profile as a function of titrant uptake for Uniform Titration model (‘a)’) and Shrinking Core model (‘b)’). Generated by the author with representative values for Thiele modulus.</w:t>
        </w:r>
        <w:r w:rsidR="00D307FA">
          <w:rPr>
            <w:noProof/>
            <w:webHidden/>
          </w:rPr>
          <w:tab/>
        </w:r>
        <w:r w:rsidR="00D307FA">
          <w:rPr>
            <w:noProof/>
            <w:webHidden/>
          </w:rPr>
          <w:fldChar w:fldCharType="begin"/>
        </w:r>
        <w:r w:rsidR="00D307FA">
          <w:rPr>
            <w:noProof/>
            <w:webHidden/>
          </w:rPr>
          <w:instrText xml:space="preserve"> PAGEREF _Toc131948679 \h </w:instrText>
        </w:r>
        <w:r w:rsidR="00D307FA">
          <w:rPr>
            <w:noProof/>
            <w:webHidden/>
          </w:rPr>
        </w:r>
        <w:r w:rsidR="00D307FA">
          <w:rPr>
            <w:noProof/>
            <w:webHidden/>
          </w:rPr>
          <w:fldChar w:fldCharType="separate"/>
        </w:r>
        <w:r w:rsidR="001F4741">
          <w:rPr>
            <w:noProof/>
            <w:webHidden/>
          </w:rPr>
          <w:t>37</w:t>
        </w:r>
        <w:r w:rsidR="00D307FA">
          <w:rPr>
            <w:noProof/>
            <w:webHidden/>
          </w:rPr>
          <w:fldChar w:fldCharType="end"/>
        </w:r>
      </w:hyperlink>
    </w:p>
    <w:p w14:paraId="44D204D9" w14:textId="604612E8"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80" w:history="1">
        <w:r w:rsidR="00D307FA" w:rsidRPr="00726C87">
          <w:rPr>
            <w:rStyle w:val="Hyperlink"/>
            <w:rFonts w:eastAsiaTheme="majorEastAsia"/>
            <w:b/>
            <w:bCs/>
            <w:noProof/>
          </w:rPr>
          <w:t>Figure 16:</w:t>
        </w:r>
        <w:r w:rsidR="00D307FA" w:rsidRPr="00726C87">
          <w:rPr>
            <w:rStyle w:val="Hyperlink"/>
            <w:rFonts w:eastAsiaTheme="majorEastAsia"/>
            <w:noProof/>
          </w:rPr>
          <w:t xml:space="preserve"> Isopropyl amine Hofmann elimination reaction representation.</w:t>
        </w:r>
        <w:r w:rsidR="00D307FA">
          <w:rPr>
            <w:noProof/>
            <w:webHidden/>
          </w:rPr>
          <w:tab/>
        </w:r>
        <w:r w:rsidR="00D307FA">
          <w:rPr>
            <w:noProof/>
            <w:webHidden/>
          </w:rPr>
          <w:fldChar w:fldCharType="begin"/>
        </w:r>
        <w:r w:rsidR="00D307FA">
          <w:rPr>
            <w:noProof/>
            <w:webHidden/>
          </w:rPr>
          <w:instrText xml:space="preserve"> PAGEREF _Toc131948680 \h </w:instrText>
        </w:r>
        <w:r w:rsidR="00D307FA">
          <w:rPr>
            <w:noProof/>
            <w:webHidden/>
          </w:rPr>
        </w:r>
        <w:r w:rsidR="00D307FA">
          <w:rPr>
            <w:noProof/>
            <w:webHidden/>
          </w:rPr>
          <w:fldChar w:fldCharType="separate"/>
        </w:r>
        <w:r w:rsidR="001F4741">
          <w:rPr>
            <w:noProof/>
            <w:webHidden/>
          </w:rPr>
          <w:t>39</w:t>
        </w:r>
        <w:r w:rsidR="00D307FA">
          <w:rPr>
            <w:noProof/>
            <w:webHidden/>
          </w:rPr>
          <w:fldChar w:fldCharType="end"/>
        </w:r>
      </w:hyperlink>
    </w:p>
    <w:p w14:paraId="4810C675" w14:textId="518C8BFA"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81" w:history="1">
        <w:r w:rsidR="00D307FA" w:rsidRPr="00726C87">
          <w:rPr>
            <w:rStyle w:val="Hyperlink"/>
            <w:rFonts w:eastAsiaTheme="majorEastAsia"/>
            <w:b/>
            <w:bCs/>
            <w:noProof/>
          </w:rPr>
          <w:t>Figure 17:</w:t>
        </w:r>
        <w:r w:rsidR="00D307FA" w:rsidRPr="00726C87">
          <w:rPr>
            <w:rStyle w:val="Hyperlink"/>
            <w:rFonts w:eastAsiaTheme="majorEastAsia"/>
            <w:noProof/>
          </w:rPr>
          <w:t xml:space="preserve"> Graphical representation of a high pressure batch reactor used for the catalytic measurements.</w:t>
        </w:r>
        <w:r w:rsidR="00D307FA">
          <w:rPr>
            <w:noProof/>
            <w:webHidden/>
          </w:rPr>
          <w:tab/>
        </w:r>
        <w:r w:rsidR="00D307FA">
          <w:rPr>
            <w:noProof/>
            <w:webHidden/>
          </w:rPr>
          <w:fldChar w:fldCharType="begin"/>
        </w:r>
        <w:r w:rsidR="00D307FA">
          <w:rPr>
            <w:noProof/>
            <w:webHidden/>
          </w:rPr>
          <w:instrText xml:space="preserve"> PAGEREF _Toc131948681 \h </w:instrText>
        </w:r>
        <w:r w:rsidR="00D307FA">
          <w:rPr>
            <w:noProof/>
            <w:webHidden/>
          </w:rPr>
        </w:r>
        <w:r w:rsidR="00D307FA">
          <w:rPr>
            <w:noProof/>
            <w:webHidden/>
          </w:rPr>
          <w:fldChar w:fldCharType="separate"/>
        </w:r>
        <w:r w:rsidR="001F4741">
          <w:rPr>
            <w:noProof/>
            <w:webHidden/>
          </w:rPr>
          <w:t>40</w:t>
        </w:r>
        <w:r w:rsidR="00D307FA">
          <w:rPr>
            <w:noProof/>
            <w:webHidden/>
          </w:rPr>
          <w:fldChar w:fldCharType="end"/>
        </w:r>
      </w:hyperlink>
    </w:p>
    <w:p w14:paraId="469A573C" w14:textId="7716AC18"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82" w:history="1">
        <w:r w:rsidR="00D307FA" w:rsidRPr="00726C87">
          <w:rPr>
            <w:rStyle w:val="Hyperlink"/>
            <w:rFonts w:eastAsiaTheme="majorEastAsia"/>
            <w:b/>
            <w:bCs/>
            <w:noProof/>
          </w:rPr>
          <w:t>Figure 18:</w:t>
        </w:r>
        <w:r w:rsidR="00D307FA" w:rsidRPr="00726C87">
          <w:rPr>
            <w:rStyle w:val="Hyperlink"/>
            <w:rFonts w:eastAsiaTheme="majorEastAsia"/>
            <w:noProof/>
          </w:rPr>
          <w:t xml:space="preserve"> Scanning Electron Microscope pictures of ZSM5 (Si/Al =140 &amp; 40) and Y.</w:t>
        </w:r>
        <w:r w:rsidR="00D307FA">
          <w:rPr>
            <w:noProof/>
            <w:webHidden/>
          </w:rPr>
          <w:tab/>
        </w:r>
        <w:r w:rsidR="00D307FA">
          <w:rPr>
            <w:noProof/>
            <w:webHidden/>
          </w:rPr>
          <w:fldChar w:fldCharType="begin"/>
        </w:r>
        <w:r w:rsidR="00D307FA">
          <w:rPr>
            <w:noProof/>
            <w:webHidden/>
          </w:rPr>
          <w:instrText xml:space="preserve"> PAGEREF _Toc131948682 \h </w:instrText>
        </w:r>
        <w:r w:rsidR="00D307FA">
          <w:rPr>
            <w:noProof/>
            <w:webHidden/>
          </w:rPr>
        </w:r>
        <w:r w:rsidR="00D307FA">
          <w:rPr>
            <w:noProof/>
            <w:webHidden/>
          </w:rPr>
          <w:fldChar w:fldCharType="separate"/>
        </w:r>
        <w:r w:rsidR="001F4741">
          <w:rPr>
            <w:noProof/>
            <w:webHidden/>
          </w:rPr>
          <w:t>42</w:t>
        </w:r>
        <w:r w:rsidR="00D307FA">
          <w:rPr>
            <w:noProof/>
            <w:webHidden/>
          </w:rPr>
          <w:fldChar w:fldCharType="end"/>
        </w:r>
      </w:hyperlink>
    </w:p>
    <w:p w14:paraId="2A1185BF" w14:textId="757CD6EA"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83" w:history="1">
        <w:r w:rsidR="00D307FA" w:rsidRPr="00726C87">
          <w:rPr>
            <w:rStyle w:val="Hyperlink"/>
            <w:rFonts w:eastAsiaTheme="majorEastAsia"/>
            <w:b/>
            <w:bCs/>
            <w:noProof/>
          </w:rPr>
          <w:t>Figure 19:</w:t>
        </w:r>
        <w:r w:rsidR="00D307FA" w:rsidRPr="00726C87">
          <w:rPr>
            <w:rStyle w:val="Hyperlink"/>
            <w:rFonts w:eastAsiaTheme="majorEastAsia"/>
            <w:noProof/>
          </w:rPr>
          <w:t xml:space="preserve"> X-ray diffraction patterns for the synthesized ZSM5 and commercial samples of ZSM5 and Y zeolites.</w:t>
        </w:r>
        <w:r w:rsidR="00D307FA">
          <w:rPr>
            <w:noProof/>
            <w:webHidden/>
          </w:rPr>
          <w:tab/>
        </w:r>
        <w:r w:rsidR="00D307FA">
          <w:rPr>
            <w:noProof/>
            <w:webHidden/>
          </w:rPr>
          <w:fldChar w:fldCharType="begin"/>
        </w:r>
        <w:r w:rsidR="00D307FA">
          <w:rPr>
            <w:noProof/>
            <w:webHidden/>
          </w:rPr>
          <w:instrText xml:space="preserve"> PAGEREF _Toc131948683 \h </w:instrText>
        </w:r>
        <w:r w:rsidR="00D307FA">
          <w:rPr>
            <w:noProof/>
            <w:webHidden/>
          </w:rPr>
        </w:r>
        <w:r w:rsidR="00D307FA">
          <w:rPr>
            <w:noProof/>
            <w:webHidden/>
          </w:rPr>
          <w:fldChar w:fldCharType="separate"/>
        </w:r>
        <w:r w:rsidR="001F4741">
          <w:rPr>
            <w:noProof/>
            <w:webHidden/>
          </w:rPr>
          <w:t>43</w:t>
        </w:r>
        <w:r w:rsidR="00D307FA">
          <w:rPr>
            <w:noProof/>
            <w:webHidden/>
          </w:rPr>
          <w:fldChar w:fldCharType="end"/>
        </w:r>
      </w:hyperlink>
    </w:p>
    <w:p w14:paraId="7D44A7E8" w14:textId="2ECB968B"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84" w:history="1">
        <w:r w:rsidR="00D307FA" w:rsidRPr="00726C87">
          <w:rPr>
            <w:rStyle w:val="Hyperlink"/>
            <w:rFonts w:eastAsiaTheme="majorEastAsia"/>
            <w:b/>
            <w:bCs/>
            <w:noProof/>
          </w:rPr>
          <w:t>Figure 20:</w:t>
        </w:r>
        <w:r w:rsidR="00D307FA" w:rsidRPr="00726C87">
          <w:rPr>
            <w:rStyle w:val="Hyperlink"/>
            <w:rFonts w:eastAsiaTheme="majorEastAsia"/>
            <w:noProof/>
          </w:rPr>
          <w:t xml:space="preserve"> Temperature programmed decomposition of adsorbed isopropylamine (IPA-TPD) on the two Na-partially exchanged series of ZSM5 and Y zeolites. Propylene evolution in a 10 K/min heating ramp from IPA-saturated samples.</w:t>
        </w:r>
        <w:r w:rsidR="00D307FA">
          <w:rPr>
            <w:noProof/>
            <w:webHidden/>
          </w:rPr>
          <w:tab/>
        </w:r>
        <w:r w:rsidR="00D307FA">
          <w:rPr>
            <w:noProof/>
            <w:webHidden/>
          </w:rPr>
          <w:fldChar w:fldCharType="begin"/>
        </w:r>
        <w:r w:rsidR="00D307FA">
          <w:rPr>
            <w:noProof/>
            <w:webHidden/>
          </w:rPr>
          <w:instrText xml:space="preserve"> PAGEREF _Toc131948684 \h </w:instrText>
        </w:r>
        <w:r w:rsidR="00D307FA">
          <w:rPr>
            <w:noProof/>
            <w:webHidden/>
          </w:rPr>
        </w:r>
        <w:r w:rsidR="00D307FA">
          <w:rPr>
            <w:noProof/>
            <w:webHidden/>
          </w:rPr>
          <w:fldChar w:fldCharType="separate"/>
        </w:r>
        <w:r w:rsidR="001F4741">
          <w:rPr>
            <w:noProof/>
            <w:webHidden/>
          </w:rPr>
          <w:t>44</w:t>
        </w:r>
        <w:r w:rsidR="00D307FA">
          <w:rPr>
            <w:noProof/>
            <w:webHidden/>
          </w:rPr>
          <w:fldChar w:fldCharType="end"/>
        </w:r>
      </w:hyperlink>
    </w:p>
    <w:p w14:paraId="4DEA5FF9" w14:textId="6A92DE7E"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85" w:history="1">
        <w:r w:rsidR="00D307FA" w:rsidRPr="00726C87">
          <w:rPr>
            <w:rStyle w:val="Hyperlink"/>
            <w:rFonts w:eastAsiaTheme="majorEastAsia"/>
            <w:b/>
            <w:bCs/>
            <w:noProof/>
          </w:rPr>
          <w:t>Figure 21:</w:t>
        </w:r>
        <w:r w:rsidR="00D307FA" w:rsidRPr="00726C87">
          <w:rPr>
            <w:rStyle w:val="Hyperlink"/>
            <w:rFonts w:eastAsiaTheme="majorEastAsia"/>
            <w:noProof/>
          </w:rPr>
          <w:t xml:space="preserve"> Carbonyl consumption rate as a function of concentration; a) acetone condensation on zeolite H-Z140 and b) cyclopentanone on H-Y30.</w:t>
        </w:r>
        <w:r w:rsidR="00D307FA">
          <w:rPr>
            <w:noProof/>
            <w:webHidden/>
          </w:rPr>
          <w:tab/>
        </w:r>
        <w:r w:rsidR="00D307FA">
          <w:rPr>
            <w:noProof/>
            <w:webHidden/>
          </w:rPr>
          <w:fldChar w:fldCharType="begin"/>
        </w:r>
        <w:r w:rsidR="00D307FA">
          <w:rPr>
            <w:noProof/>
            <w:webHidden/>
          </w:rPr>
          <w:instrText xml:space="preserve"> PAGEREF _Toc131948685 \h </w:instrText>
        </w:r>
        <w:r w:rsidR="00D307FA">
          <w:rPr>
            <w:noProof/>
            <w:webHidden/>
          </w:rPr>
        </w:r>
        <w:r w:rsidR="00D307FA">
          <w:rPr>
            <w:noProof/>
            <w:webHidden/>
          </w:rPr>
          <w:fldChar w:fldCharType="separate"/>
        </w:r>
        <w:r w:rsidR="001F4741">
          <w:rPr>
            <w:noProof/>
            <w:webHidden/>
          </w:rPr>
          <w:t>46</w:t>
        </w:r>
        <w:r w:rsidR="00D307FA">
          <w:rPr>
            <w:noProof/>
            <w:webHidden/>
          </w:rPr>
          <w:fldChar w:fldCharType="end"/>
        </w:r>
      </w:hyperlink>
    </w:p>
    <w:p w14:paraId="3370B47E" w14:textId="6A2D63FD"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86" w:history="1">
        <w:r w:rsidR="00D307FA" w:rsidRPr="00726C87">
          <w:rPr>
            <w:rStyle w:val="Hyperlink"/>
            <w:rFonts w:eastAsiaTheme="majorEastAsia"/>
            <w:b/>
            <w:bCs/>
            <w:noProof/>
          </w:rPr>
          <w:t>Figure 22:</w:t>
        </w:r>
        <w:r w:rsidR="00D307FA" w:rsidRPr="00726C87">
          <w:rPr>
            <w:rStyle w:val="Hyperlink"/>
            <w:rFonts w:eastAsiaTheme="majorEastAsia"/>
            <w:noProof/>
          </w:rPr>
          <w:t xml:space="preserve"> Self-condensation rates of CPO and ACE as a function of titrated site density in series of Na-exchange ZSM5 zeolite with Si/Al of 140.</w:t>
        </w:r>
        <w:r w:rsidR="00D307FA">
          <w:rPr>
            <w:noProof/>
            <w:webHidden/>
          </w:rPr>
          <w:tab/>
        </w:r>
        <w:r w:rsidR="00D307FA">
          <w:rPr>
            <w:noProof/>
            <w:webHidden/>
          </w:rPr>
          <w:fldChar w:fldCharType="begin"/>
        </w:r>
        <w:r w:rsidR="00D307FA">
          <w:rPr>
            <w:noProof/>
            <w:webHidden/>
          </w:rPr>
          <w:instrText xml:space="preserve"> PAGEREF _Toc131948686 \h </w:instrText>
        </w:r>
        <w:r w:rsidR="00D307FA">
          <w:rPr>
            <w:noProof/>
            <w:webHidden/>
          </w:rPr>
        </w:r>
        <w:r w:rsidR="00D307FA">
          <w:rPr>
            <w:noProof/>
            <w:webHidden/>
          </w:rPr>
          <w:fldChar w:fldCharType="separate"/>
        </w:r>
        <w:r w:rsidR="001F4741">
          <w:rPr>
            <w:noProof/>
            <w:webHidden/>
          </w:rPr>
          <w:t>47</w:t>
        </w:r>
        <w:r w:rsidR="00D307FA">
          <w:rPr>
            <w:noProof/>
            <w:webHidden/>
          </w:rPr>
          <w:fldChar w:fldCharType="end"/>
        </w:r>
      </w:hyperlink>
    </w:p>
    <w:p w14:paraId="05C901DF" w14:textId="43D5B772"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87" w:history="1">
        <w:r w:rsidR="00D307FA" w:rsidRPr="00726C87">
          <w:rPr>
            <w:rStyle w:val="Hyperlink"/>
            <w:rFonts w:eastAsiaTheme="majorEastAsia"/>
            <w:b/>
            <w:bCs/>
            <w:noProof/>
          </w:rPr>
          <w:t>Figure 23:</w:t>
        </w:r>
        <w:r w:rsidR="00D307FA" w:rsidRPr="00726C87">
          <w:rPr>
            <w:rStyle w:val="Hyperlink"/>
            <w:rFonts w:eastAsiaTheme="majorEastAsia"/>
            <w:noProof/>
          </w:rPr>
          <w:t xml:space="preserve"> High Na-loadings exchanged samples in comparison with simulated trend in cyclopentanone self-aldol condensation in Z140.</w:t>
        </w:r>
        <w:r w:rsidR="00D307FA">
          <w:rPr>
            <w:noProof/>
            <w:webHidden/>
          </w:rPr>
          <w:tab/>
        </w:r>
        <w:r w:rsidR="00D307FA">
          <w:rPr>
            <w:noProof/>
            <w:webHidden/>
          </w:rPr>
          <w:fldChar w:fldCharType="begin"/>
        </w:r>
        <w:r w:rsidR="00D307FA">
          <w:rPr>
            <w:noProof/>
            <w:webHidden/>
          </w:rPr>
          <w:instrText xml:space="preserve"> PAGEREF _Toc131948687 \h </w:instrText>
        </w:r>
        <w:r w:rsidR="00D307FA">
          <w:rPr>
            <w:noProof/>
            <w:webHidden/>
          </w:rPr>
        </w:r>
        <w:r w:rsidR="00D307FA">
          <w:rPr>
            <w:noProof/>
            <w:webHidden/>
          </w:rPr>
          <w:fldChar w:fldCharType="separate"/>
        </w:r>
        <w:r w:rsidR="001F4741">
          <w:rPr>
            <w:noProof/>
            <w:webHidden/>
          </w:rPr>
          <w:t>47</w:t>
        </w:r>
        <w:r w:rsidR="00D307FA">
          <w:rPr>
            <w:noProof/>
            <w:webHidden/>
          </w:rPr>
          <w:fldChar w:fldCharType="end"/>
        </w:r>
      </w:hyperlink>
    </w:p>
    <w:p w14:paraId="0B596F0E" w14:textId="7AAB6D88"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88" w:history="1">
        <w:r w:rsidR="00D307FA" w:rsidRPr="00726C87">
          <w:rPr>
            <w:rStyle w:val="Hyperlink"/>
            <w:rFonts w:eastAsiaTheme="majorEastAsia"/>
            <w:b/>
            <w:bCs/>
            <w:noProof/>
          </w:rPr>
          <w:t>Figure 24:</w:t>
        </w:r>
        <w:r w:rsidR="00D307FA" w:rsidRPr="00726C87">
          <w:rPr>
            <w:rStyle w:val="Hyperlink"/>
            <w:rFonts w:eastAsiaTheme="majorEastAsia"/>
            <w:noProof/>
          </w:rPr>
          <w:t xml:space="preserve"> Self-condensation rates of CPO and ACE as a function of titrated site density in series of Na-exchange ZSM5 zeolite with Si/Al of 140.</w:t>
        </w:r>
        <w:r w:rsidR="00D307FA">
          <w:rPr>
            <w:noProof/>
            <w:webHidden/>
          </w:rPr>
          <w:tab/>
        </w:r>
        <w:r w:rsidR="00D307FA">
          <w:rPr>
            <w:noProof/>
            <w:webHidden/>
          </w:rPr>
          <w:fldChar w:fldCharType="begin"/>
        </w:r>
        <w:r w:rsidR="00D307FA">
          <w:rPr>
            <w:noProof/>
            <w:webHidden/>
          </w:rPr>
          <w:instrText xml:space="preserve"> PAGEREF _Toc131948688 \h </w:instrText>
        </w:r>
        <w:r w:rsidR="00D307FA">
          <w:rPr>
            <w:noProof/>
            <w:webHidden/>
          </w:rPr>
        </w:r>
        <w:r w:rsidR="00D307FA">
          <w:rPr>
            <w:noProof/>
            <w:webHidden/>
          </w:rPr>
          <w:fldChar w:fldCharType="separate"/>
        </w:r>
        <w:r w:rsidR="001F4741">
          <w:rPr>
            <w:noProof/>
            <w:webHidden/>
          </w:rPr>
          <w:t>48</w:t>
        </w:r>
        <w:r w:rsidR="00D307FA">
          <w:rPr>
            <w:noProof/>
            <w:webHidden/>
          </w:rPr>
          <w:fldChar w:fldCharType="end"/>
        </w:r>
      </w:hyperlink>
    </w:p>
    <w:p w14:paraId="0106118E" w14:textId="1D040CB3"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89" w:history="1">
        <w:r w:rsidR="00D307FA" w:rsidRPr="00726C87">
          <w:rPr>
            <w:rStyle w:val="Hyperlink"/>
            <w:rFonts w:eastAsiaTheme="majorEastAsia"/>
            <w:b/>
            <w:bCs/>
            <w:noProof/>
          </w:rPr>
          <w:t>Figure 25:</w:t>
        </w:r>
        <w:r w:rsidR="00D307FA" w:rsidRPr="00726C87">
          <w:rPr>
            <w:rStyle w:val="Hyperlink"/>
            <w:rFonts w:eastAsiaTheme="majorEastAsia"/>
            <w:noProof/>
          </w:rPr>
          <w:t xml:space="preserve"> Self-condensation rates of CPO and ACE as a function of titrated site density in a series of Na-exchange FAU zeolite.</w:t>
        </w:r>
        <w:r w:rsidR="00D307FA">
          <w:rPr>
            <w:noProof/>
            <w:webHidden/>
          </w:rPr>
          <w:tab/>
        </w:r>
        <w:r w:rsidR="00D307FA">
          <w:rPr>
            <w:noProof/>
            <w:webHidden/>
          </w:rPr>
          <w:fldChar w:fldCharType="begin"/>
        </w:r>
        <w:r w:rsidR="00D307FA">
          <w:rPr>
            <w:noProof/>
            <w:webHidden/>
          </w:rPr>
          <w:instrText xml:space="preserve"> PAGEREF _Toc131948689 \h </w:instrText>
        </w:r>
        <w:r w:rsidR="00D307FA">
          <w:rPr>
            <w:noProof/>
            <w:webHidden/>
          </w:rPr>
        </w:r>
        <w:r w:rsidR="00D307FA">
          <w:rPr>
            <w:noProof/>
            <w:webHidden/>
          </w:rPr>
          <w:fldChar w:fldCharType="separate"/>
        </w:r>
        <w:r w:rsidR="001F4741">
          <w:rPr>
            <w:noProof/>
            <w:webHidden/>
          </w:rPr>
          <w:t>49</w:t>
        </w:r>
        <w:r w:rsidR="00D307FA">
          <w:rPr>
            <w:noProof/>
            <w:webHidden/>
          </w:rPr>
          <w:fldChar w:fldCharType="end"/>
        </w:r>
      </w:hyperlink>
    </w:p>
    <w:p w14:paraId="60DC212B" w14:textId="0FAB5D90"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90" w:history="1">
        <w:r w:rsidR="00D307FA" w:rsidRPr="00726C87">
          <w:rPr>
            <w:rStyle w:val="Hyperlink"/>
            <w:rFonts w:eastAsiaTheme="majorEastAsia"/>
            <w:b/>
            <w:bCs/>
            <w:noProof/>
          </w:rPr>
          <w:t xml:space="preserve">Figure 26: </w:t>
        </w:r>
        <w:r w:rsidR="00D307FA" w:rsidRPr="00726C87">
          <w:rPr>
            <w:rStyle w:val="Hyperlink"/>
            <w:rFonts w:eastAsiaTheme="majorEastAsia"/>
            <w:noProof/>
          </w:rPr>
          <w:t>Trimer total product selectivity second order dependence on ACE conversion in the self-aldol condensation in Y30 zeolite.</w:t>
        </w:r>
        <w:r w:rsidR="00D307FA">
          <w:rPr>
            <w:noProof/>
            <w:webHidden/>
          </w:rPr>
          <w:tab/>
        </w:r>
        <w:r w:rsidR="00D307FA">
          <w:rPr>
            <w:noProof/>
            <w:webHidden/>
          </w:rPr>
          <w:fldChar w:fldCharType="begin"/>
        </w:r>
        <w:r w:rsidR="00D307FA">
          <w:rPr>
            <w:noProof/>
            <w:webHidden/>
          </w:rPr>
          <w:instrText xml:space="preserve"> PAGEREF _Toc131948690 \h </w:instrText>
        </w:r>
        <w:r w:rsidR="00D307FA">
          <w:rPr>
            <w:noProof/>
            <w:webHidden/>
          </w:rPr>
        </w:r>
        <w:r w:rsidR="00D307FA">
          <w:rPr>
            <w:noProof/>
            <w:webHidden/>
          </w:rPr>
          <w:fldChar w:fldCharType="separate"/>
        </w:r>
        <w:r w:rsidR="001F4741">
          <w:rPr>
            <w:noProof/>
            <w:webHidden/>
          </w:rPr>
          <w:t>54</w:t>
        </w:r>
        <w:r w:rsidR="00D307FA">
          <w:rPr>
            <w:noProof/>
            <w:webHidden/>
          </w:rPr>
          <w:fldChar w:fldCharType="end"/>
        </w:r>
      </w:hyperlink>
    </w:p>
    <w:p w14:paraId="77F14B61" w14:textId="4457A4C9"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91" w:history="1">
        <w:r w:rsidR="00D307FA" w:rsidRPr="00726C87">
          <w:rPr>
            <w:rStyle w:val="Hyperlink"/>
            <w:rFonts w:eastAsiaTheme="majorEastAsia"/>
            <w:b/>
            <w:bCs/>
            <w:noProof/>
          </w:rPr>
          <w:t>Figure 27:</w:t>
        </w:r>
        <w:r w:rsidR="00D307FA" w:rsidRPr="00726C87">
          <w:rPr>
            <w:rStyle w:val="Hyperlink"/>
            <w:rFonts w:eastAsiaTheme="majorEastAsia"/>
            <w:noProof/>
          </w:rPr>
          <w:t xml:space="preserve"> </w:t>
        </w:r>
        <w:r w:rsidR="00D307FA" w:rsidRPr="00726C87">
          <w:rPr>
            <w:rStyle w:val="Hyperlink"/>
            <w:rFonts w:eastAsiaTheme="majorEastAsia"/>
            <w:b/>
            <w:bCs/>
            <w:noProof/>
          </w:rPr>
          <w:t>a)</w:t>
        </w:r>
        <w:r w:rsidR="00D307FA" w:rsidRPr="00726C87">
          <w:rPr>
            <w:rStyle w:val="Hyperlink"/>
            <w:rFonts w:eastAsiaTheme="majorEastAsia"/>
            <w:noProof/>
          </w:rPr>
          <w:t xml:space="preserve"> Experimental set of data for the studied zeolites and </w:t>
        </w:r>
        <w:r w:rsidR="00D307FA" w:rsidRPr="00726C87">
          <w:rPr>
            <w:rStyle w:val="Hyperlink"/>
            <w:rFonts w:eastAsiaTheme="majorEastAsia"/>
            <w:b/>
            <w:bCs/>
            <w:noProof/>
          </w:rPr>
          <w:t>b)</w:t>
        </w:r>
        <w:r w:rsidR="00D307FA" w:rsidRPr="00726C87">
          <w:rPr>
            <w:rStyle w:val="Hyperlink"/>
            <w:rFonts w:eastAsiaTheme="majorEastAsia"/>
            <w:noProof/>
          </w:rPr>
          <w:t xml:space="preserve"> parity plot comparing the effectiveness factor calculated from Eq (1) and that obtained from the experimentally observed self-condensation rates relative to the maximum rate (no MTL).</w:t>
        </w:r>
        <w:r w:rsidR="00D307FA">
          <w:rPr>
            <w:noProof/>
            <w:webHidden/>
          </w:rPr>
          <w:tab/>
        </w:r>
        <w:r w:rsidR="00D307FA">
          <w:rPr>
            <w:noProof/>
            <w:webHidden/>
          </w:rPr>
          <w:fldChar w:fldCharType="begin"/>
        </w:r>
        <w:r w:rsidR="00D307FA">
          <w:rPr>
            <w:noProof/>
            <w:webHidden/>
          </w:rPr>
          <w:instrText xml:space="preserve"> PAGEREF _Toc131948691 \h </w:instrText>
        </w:r>
        <w:r w:rsidR="00D307FA">
          <w:rPr>
            <w:noProof/>
            <w:webHidden/>
          </w:rPr>
        </w:r>
        <w:r w:rsidR="00D307FA">
          <w:rPr>
            <w:noProof/>
            <w:webHidden/>
          </w:rPr>
          <w:fldChar w:fldCharType="separate"/>
        </w:r>
        <w:r w:rsidR="001F4741">
          <w:rPr>
            <w:noProof/>
            <w:webHidden/>
          </w:rPr>
          <w:t>55</w:t>
        </w:r>
        <w:r w:rsidR="00D307FA">
          <w:rPr>
            <w:noProof/>
            <w:webHidden/>
          </w:rPr>
          <w:fldChar w:fldCharType="end"/>
        </w:r>
      </w:hyperlink>
    </w:p>
    <w:p w14:paraId="7EE5CEF5" w14:textId="10BD6548"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92" w:history="1">
        <w:r w:rsidR="00D307FA" w:rsidRPr="00726C87">
          <w:rPr>
            <w:rStyle w:val="Hyperlink"/>
            <w:rFonts w:eastAsiaTheme="majorEastAsia"/>
            <w:b/>
            <w:bCs/>
            <w:noProof/>
          </w:rPr>
          <w:t>Figure 28:</w:t>
        </w:r>
        <w:r w:rsidR="00D307FA" w:rsidRPr="00726C87">
          <w:rPr>
            <w:rStyle w:val="Hyperlink"/>
            <w:rFonts w:eastAsiaTheme="majorEastAsia"/>
            <w:noProof/>
          </w:rPr>
          <w:t xml:space="preserve"> Linearized plot of each kinetic model for the CPO self-aldol condensation in Y30.</w:t>
        </w:r>
        <w:r w:rsidR="00D307FA">
          <w:rPr>
            <w:noProof/>
            <w:webHidden/>
          </w:rPr>
          <w:tab/>
        </w:r>
        <w:r w:rsidR="00D307FA">
          <w:rPr>
            <w:noProof/>
            <w:webHidden/>
          </w:rPr>
          <w:fldChar w:fldCharType="begin"/>
        </w:r>
        <w:r w:rsidR="00D307FA">
          <w:rPr>
            <w:noProof/>
            <w:webHidden/>
          </w:rPr>
          <w:instrText xml:space="preserve"> PAGEREF _Toc131948692 \h </w:instrText>
        </w:r>
        <w:r w:rsidR="00D307FA">
          <w:rPr>
            <w:noProof/>
            <w:webHidden/>
          </w:rPr>
        </w:r>
        <w:r w:rsidR="00D307FA">
          <w:rPr>
            <w:noProof/>
            <w:webHidden/>
          </w:rPr>
          <w:fldChar w:fldCharType="separate"/>
        </w:r>
        <w:r w:rsidR="001F4741">
          <w:rPr>
            <w:noProof/>
            <w:webHidden/>
          </w:rPr>
          <w:t>57</w:t>
        </w:r>
        <w:r w:rsidR="00D307FA">
          <w:rPr>
            <w:noProof/>
            <w:webHidden/>
          </w:rPr>
          <w:fldChar w:fldCharType="end"/>
        </w:r>
      </w:hyperlink>
    </w:p>
    <w:p w14:paraId="51417D9F" w14:textId="4446FA17"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93" w:history="1">
        <w:r w:rsidR="00D307FA" w:rsidRPr="00726C87">
          <w:rPr>
            <w:rStyle w:val="Hyperlink"/>
            <w:rFonts w:eastAsiaTheme="majorEastAsia"/>
            <w:b/>
            <w:bCs/>
            <w:noProof/>
          </w:rPr>
          <w:t>Figure 29:</w:t>
        </w:r>
        <w:r w:rsidR="00D307FA" w:rsidRPr="00726C87">
          <w:rPr>
            <w:rStyle w:val="Hyperlink"/>
            <w:rFonts w:eastAsiaTheme="majorEastAsia"/>
            <w:noProof/>
          </w:rPr>
          <w:t xml:space="preserve"> Linearized plot of each kinetic model for the CPO self-aldol condensation in Y30.</w:t>
        </w:r>
        <w:r w:rsidR="00D307FA">
          <w:rPr>
            <w:noProof/>
            <w:webHidden/>
          </w:rPr>
          <w:tab/>
        </w:r>
        <w:r w:rsidR="00D307FA">
          <w:rPr>
            <w:noProof/>
            <w:webHidden/>
          </w:rPr>
          <w:fldChar w:fldCharType="begin"/>
        </w:r>
        <w:r w:rsidR="00D307FA">
          <w:rPr>
            <w:noProof/>
            <w:webHidden/>
          </w:rPr>
          <w:instrText xml:space="preserve"> PAGEREF _Toc131948693 \h </w:instrText>
        </w:r>
        <w:r w:rsidR="00D307FA">
          <w:rPr>
            <w:noProof/>
            <w:webHidden/>
          </w:rPr>
        </w:r>
        <w:r w:rsidR="00D307FA">
          <w:rPr>
            <w:noProof/>
            <w:webHidden/>
          </w:rPr>
          <w:fldChar w:fldCharType="separate"/>
        </w:r>
        <w:r w:rsidR="001F4741">
          <w:rPr>
            <w:noProof/>
            <w:webHidden/>
          </w:rPr>
          <w:t>58</w:t>
        </w:r>
        <w:r w:rsidR="00D307FA">
          <w:rPr>
            <w:noProof/>
            <w:webHidden/>
          </w:rPr>
          <w:fldChar w:fldCharType="end"/>
        </w:r>
      </w:hyperlink>
    </w:p>
    <w:p w14:paraId="587D16E6" w14:textId="63AB34CD"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94" w:history="1">
        <w:r w:rsidR="00D307FA" w:rsidRPr="00726C87">
          <w:rPr>
            <w:rStyle w:val="Hyperlink"/>
            <w:rFonts w:eastAsiaTheme="majorEastAsia"/>
            <w:b/>
            <w:bCs/>
            <w:noProof/>
          </w:rPr>
          <w:t>Figure 30:</w:t>
        </w:r>
        <w:r w:rsidR="00D307FA" w:rsidRPr="00726C87">
          <w:rPr>
            <w:rStyle w:val="Hyperlink"/>
            <w:rFonts w:eastAsiaTheme="majorEastAsia"/>
            <w:noProof/>
          </w:rPr>
          <w:t xml:space="preserve"> Linearized plot of the Transition State Theory versus the inverse of reaction temperature. C</w:t>
        </w:r>
        <w:r w:rsidR="00D307FA" w:rsidRPr="00726C87">
          <w:rPr>
            <w:rStyle w:val="Hyperlink"/>
            <w:rFonts w:eastAsiaTheme="majorEastAsia"/>
            <w:noProof/>
            <w:vertAlign w:val="subscript"/>
          </w:rPr>
          <w:t>CPO</w:t>
        </w:r>
        <w:r w:rsidR="00D307FA" w:rsidRPr="00726C87">
          <w:rPr>
            <w:rStyle w:val="Hyperlink"/>
            <w:rFonts w:eastAsiaTheme="majorEastAsia"/>
            <w:noProof/>
          </w:rPr>
          <w:t xml:space="preserve"> = 1 mol/L.</w:t>
        </w:r>
        <w:r w:rsidR="00D307FA">
          <w:rPr>
            <w:noProof/>
            <w:webHidden/>
          </w:rPr>
          <w:tab/>
        </w:r>
        <w:r w:rsidR="00D307FA">
          <w:rPr>
            <w:noProof/>
            <w:webHidden/>
          </w:rPr>
          <w:fldChar w:fldCharType="begin"/>
        </w:r>
        <w:r w:rsidR="00D307FA">
          <w:rPr>
            <w:noProof/>
            <w:webHidden/>
          </w:rPr>
          <w:instrText xml:space="preserve"> PAGEREF _Toc131948694 \h </w:instrText>
        </w:r>
        <w:r w:rsidR="00D307FA">
          <w:rPr>
            <w:noProof/>
            <w:webHidden/>
          </w:rPr>
        </w:r>
        <w:r w:rsidR="00D307FA">
          <w:rPr>
            <w:noProof/>
            <w:webHidden/>
          </w:rPr>
          <w:fldChar w:fldCharType="separate"/>
        </w:r>
        <w:r w:rsidR="001F4741">
          <w:rPr>
            <w:noProof/>
            <w:webHidden/>
          </w:rPr>
          <w:t>59</w:t>
        </w:r>
        <w:r w:rsidR="00D307FA">
          <w:rPr>
            <w:noProof/>
            <w:webHidden/>
          </w:rPr>
          <w:fldChar w:fldCharType="end"/>
        </w:r>
      </w:hyperlink>
    </w:p>
    <w:p w14:paraId="51E46319" w14:textId="652C23F0"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95" w:history="1">
        <w:r w:rsidR="00D307FA" w:rsidRPr="00726C87">
          <w:rPr>
            <w:rStyle w:val="Hyperlink"/>
            <w:rFonts w:eastAsiaTheme="majorEastAsia"/>
            <w:b/>
            <w:bCs/>
            <w:noProof/>
          </w:rPr>
          <w:t>Figure 31:</w:t>
        </w:r>
        <w:r w:rsidR="00D307FA" w:rsidRPr="00726C87">
          <w:rPr>
            <w:rStyle w:val="Hyperlink"/>
            <w:rFonts w:eastAsiaTheme="majorEastAsia"/>
            <w:noProof/>
          </w:rPr>
          <w:t xml:space="preserve"> Selectivity distribution of cross-aldol condensation of Ace-CPO in NaHY 30 series.</w:t>
        </w:r>
        <w:r w:rsidR="00D307FA">
          <w:rPr>
            <w:noProof/>
            <w:webHidden/>
          </w:rPr>
          <w:tab/>
        </w:r>
        <w:r w:rsidR="00D307FA">
          <w:rPr>
            <w:noProof/>
            <w:webHidden/>
          </w:rPr>
          <w:fldChar w:fldCharType="begin"/>
        </w:r>
        <w:r w:rsidR="00D307FA">
          <w:rPr>
            <w:noProof/>
            <w:webHidden/>
          </w:rPr>
          <w:instrText xml:space="preserve"> PAGEREF _Toc131948695 \h </w:instrText>
        </w:r>
        <w:r w:rsidR="00D307FA">
          <w:rPr>
            <w:noProof/>
            <w:webHidden/>
          </w:rPr>
        </w:r>
        <w:r w:rsidR="00D307FA">
          <w:rPr>
            <w:noProof/>
            <w:webHidden/>
          </w:rPr>
          <w:fldChar w:fldCharType="separate"/>
        </w:r>
        <w:r w:rsidR="001F4741">
          <w:rPr>
            <w:noProof/>
            <w:webHidden/>
          </w:rPr>
          <w:t>63</w:t>
        </w:r>
        <w:r w:rsidR="00D307FA">
          <w:rPr>
            <w:noProof/>
            <w:webHidden/>
          </w:rPr>
          <w:fldChar w:fldCharType="end"/>
        </w:r>
      </w:hyperlink>
    </w:p>
    <w:p w14:paraId="41BAA55A" w14:textId="613C58F3"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96" w:history="1">
        <w:r w:rsidR="00D307FA" w:rsidRPr="00726C87">
          <w:rPr>
            <w:rStyle w:val="Hyperlink"/>
            <w:rFonts w:eastAsiaTheme="majorEastAsia"/>
            <w:b/>
            <w:bCs/>
            <w:noProof/>
          </w:rPr>
          <w:t>Figure 32:</w:t>
        </w:r>
        <w:r w:rsidR="00D307FA" w:rsidRPr="00726C87">
          <w:rPr>
            <w:rStyle w:val="Hyperlink"/>
            <w:rFonts w:eastAsiaTheme="majorEastAsia"/>
            <w:noProof/>
          </w:rPr>
          <w:t xml:space="preserve"> Rates of products formation as a function of Na-titrated site density in the NaHY (Si/Al:30) zeolite series (symbols) compared to calculated rates derived from the reaction-diffusion model.</w:t>
        </w:r>
        <w:r w:rsidR="00D307FA">
          <w:rPr>
            <w:noProof/>
            <w:webHidden/>
          </w:rPr>
          <w:tab/>
        </w:r>
        <w:r w:rsidR="00D307FA">
          <w:rPr>
            <w:noProof/>
            <w:webHidden/>
          </w:rPr>
          <w:fldChar w:fldCharType="begin"/>
        </w:r>
        <w:r w:rsidR="00D307FA">
          <w:rPr>
            <w:noProof/>
            <w:webHidden/>
          </w:rPr>
          <w:instrText xml:space="preserve"> PAGEREF _Toc131948696 \h </w:instrText>
        </w:r>
        <w:r w:rsidR="00D307FA">
          <w:rPr>
            <w:noProof/>
            <w:webHidden/>
          </w:rPr>
        </w:r>
        <w:r w:rsidR="00D307FA">
          <w:rPr>
            <w:noProof/>
            <w:webHidden/>
          </w:rPr>
          <w:fldChar w:fldCharType="separate"/>
        </w:r>
        <w:r w:rsidR="001F4741">
          <w:rPr>
            <w:noProof/>
            <w:webHidden/>
          </w:rPr>
          <w:t>64</w:t>
        </w:r>
        <w:r w:rsidR="00D307FA">
          <w:rPr>
            <w:noProof/>
            <w:webHidden/>
          </w:rPr>
          <w:fldChar w:fldCharType="end"/>
        </w:r>
      </w:hyperlink>
    </w:p>
    <w:p w14:paraId="30663D6C" w14:textId="5BA702B4"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97" w:history="1">
        <w:r w:rsidR="00D307FA" w:rsidRPr="00726C87">
          <w:rPr>
            <w:rStyle w:val="Hyperlink"/>
            <w:rFonts w:eastAsiaTheme="majorEastAsia"/>
            <w:b/>
            <w:bCs/>
            <w:noProof/>
          </w:rPr>
          <w:t>Figure 33:</w:t>
        </w:r>
        <w:r w:rsidR="00D307FA" w:rsidRPr="00726C87">
          <w:rPr>
            <w:rStyle w:val="Hyperlink"/>
            <w:rFonts w:eastAsiaTheme="majorEastAsia"/>
            <w:noProof/>
          </w:rPr>
          <w:t xml:space="preserve"> Self-condensation rates of CPO and ACE as a function of in-situ pyridine uptake in ZSM5 zeolite with Si/Al of 140. The black point over the graph points to at zero rate at the measured IPA-TPD BAS density relative to Z140.</w:t>
        </w:r>
        <w:r w:rsidR="00D307FA">
          <w:rPr>
            <w:noProof/>
            <w:webHidden/>
          </w:rPr>
          <w:tab/>
        </w:r>
        <w:r w:rsidR="00D307FA">
          <w:rPr>
            <w:noProof/>
            <w:webHidden/>
          </w:rPr>
          <w:fldChar w:fldCharType="begin"/>
        </w:r>
        <w:r w:rsidR="00D307FA">
          <w:rPr>
            <w:noProof/>
            <w:webHidden/>
          </w:rPr>
          <w:instrText xml:space="preserve"> PAGEREF _Toc131948697 \h </w:instrText>
        </w:r>
        <w:r w:rsidR="00D307FA">
          <w:rPr>
            <w:noProof/>
            <w:webHidden/>
          </w:rPr>
        </w:r>
        <w:r w:rsidR="00D307FA">
          <w:rPr>
            <w:noProof/>
            <w:webHidden/>
          </w:rPr>
          <w:fldChar w:fldCharType="separate"/>
        </w:r>
        <w:r w:rsidR="001F4741">
          <w:rPr>
            <w:noProof/>
            <w:webHidden/>
          </w:rPr>
          <w:t>66</w:t>
        </w:r>
        <w:r w:rsidR="00D307FA">
          <w:rPr>
            <w:noProof/>
            <w:webHidden/>
          </w:rPr>
          <w:fldChar w:fldCharType="end"/>
        </w:r>
      </w:hyperlink>
    </w:p>
    <w:p w14:paraId="5D4F15E6" w14:textId="255F80BE"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98" w:history="1">
        <w:r w:rsidR="00D307FA" w:rsidRPr="00726C87">
          <w:rPr>
            <w:rStyle w:val="Hyperlink"/>
            <w:rFonts w:eastAsiaTheme="majorEastAsia"/>
            <w:b/>
            <w:bCs/>
            <w:noProof/>
          </w:rPr>
          <w:t>Figure 34:</w:t>
        </w:r>
        <w:r w:rsidR="00D307FA" w:rsidRPr="00726C87">
          <w:rPr>
            <w:rStyle w:val="Hyperlink"/>
            <w:rFonts w:eastAsiaTheme="majorEastAsia"/>
            <w:noProof/>
          </w:rPr>
          <w:t xml:space="preserve"> Comparison between experimental rates on pyridine with modeled Na-titration rates in ZSM5 zeolite with Si/Al of 140.</w:t>
        </w:r>
        <w:r w:rsidR="00D307FA">
          <w:rPr>
            <w:noProof/>
            <w:webHidden/>
          </w:rPr>
          <w:tab/>
        </w:r>
        <w:r w:rsidR="00D307FA">
          <w:rPr>
            <w:noProof/>
            <w:webHidden/>
          </w:rPr>
          <w:fldChar w:fldCharType="begin"/>
        </w:r>
        <w:r w:rsidR="00D307FA">
          <w:rPr>
            <w:noProof/>
            <w:webHidden/>
          </w:rPr>
          <w:instrText xml:space="preserve"> PAGEREF _Toc131948698 \h </w:instrText>
        </w:r>
        <w:r w:rsidR="00D307FA">
          <w:rPr>
            <w:noProof/>
            <w:webHidden/>
          </w:rPr>
        </w:r>
        <w:r w:rsidR="00D307FA">
          <w:rPr>
            <w:noProof/>
            <w:webHidden/>
          </w:rPr>
          <w:fldChar w:fldCharType="separate"/>
        </w:r>
        <w:r w:rsidR="001F4741">
          <w:rPr>
            <w:noProof/>
            <w:webHidden/>
          </w:rPr>
          <w:t>66</w:t>
        </w:r>
        <w:r w:rsidR="00D307FA">
          <w:rPr>
            <w:noProof/>
            <w:webHidden/>
          </w:rPr>
          <w:fldChar w:fldCharType="end"/>
        </w:r>
      </w:hyperlink>
    </w:p>
    <w:p w14:paraId="3E080533" w14:textId="70AAEA10"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699" w:history="1">
        <w:r w:rsidR="00D307FA" w:rsidRPr="00726C87">
          <w:rPr>
            <w:rStyle w:val="Hyperlink"/>
            <w:rFonts w:eastAsiaTheme="majorEastAsia"/>
            <w:b/>
            <w:bCs/>
            <w:noProof/>
          </w:rPr>
          <w:t>Figure 35:</w:t>
        </w:r>
        <w:r w:rsidR="00D307FA" w:rsidRPr="00726C87">
          <w:rPr>
            <w:rStyle w:val="Hyperlink"/>
            <w:rFonts w:eastAsiaTheme="majorEastAsia"/>
            <w:noProof/>
          </w:rPr>
          <w:t xml:space="preserve"> Self-condensation rates of CPO and ACE as a function of in-situ pyridine uptake in ZSM5 zeolite with Si/Al of 40.</w:t>
        </w:r>
        <w:r w:rsidR="00D307FA">
          <w:rPr>
            <w:noProof/>
            <w:webHidden/>
          </w:rPr>
          <w:tab/>
        </w:r>
        <w:r w:rsidR="00D307FA">
          <w:rPr>
            <w:noProof/>
            <w:webHidden/>
          </w:rPr>
          <w:fldChar w:fldCharType="begin"/>
        </w:r>
        <w:r w:rsidR="00D307FA">
          <w:rPr>
            <w:noProof/>
            <w:webHidden/>
          </w:rPr>
          <w:instrText xml:space="preserve"> PAGEREF _Toc131948699 \h </w:instrText>
        </w:r>
        <w:r w:rsidR="00D307FA">
          <w:rPr>
            <w:noProof/>
            <w:webHidden/>
          </w:rPr>
        </w:r>
        <w:r w:rsidR="00D307FA">
          <w:rPr>
            <w:noProof/>
            <w:webHidden/>
          </w:rPr>
          <w:fldChar w:fldCharType="separate"/>
        </w:r>
        <w:r w:rsidR="001F4741">
          <w:rPr>
            <w:noProof/>
            <w:webHidden/>
          </w:rPr>
          <w:t>67</w:t>
        </w:r>
        <w:r w:rsidR="00D307FA">
          <w:rPr>
            <w:noProof/>
            <w:webHidden/>
          </w:rPr>
          <w:fldChar w:fldCharType="end"/>
        </w:r>
      </w:hyperlink>
    </w:p>
    <w:p w14:paraId="54BC5DE7" w14:textId="7372768F"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00" w:history="1">
        <w:r w:rsidR="00D307FA" w:rsidRPr="00726C87">
          <w:rPr>
            <w:rStyle w:val="Hyperlink"/>
            <w:rFonts w:eastAsiaTheme="majorEastAsia"/>
            <w:b/>
            <w:bCs/>
            <w:noProof/>
          </w:rPr>
          <w:t xml:space="preserve">Figure 36: </w:t>
        </w:r>
        <w:r w:rsidR="00D307FA" w:rsidRPr="00726C87">
          <w:rPr>
            <w:rStyle w:val="Hyperlink"/>
            <w:rFonts w:eastAsiaTheme="majorEastAsia"/>
            <w:noProof/>
          </w:rPr>
          <w:t>Comparison between experimental rates on pyridine with modeled Na-titration rates in ZSM5 zeolite with Si/Al of 40.</w:t>
        </w:r>
        <w:r w:rsidR="00D307FA">
          <w:rPr>
            <w:noProof/>
            <w:webHidden/>
          </w:rPr>
          <w:tab/>
        </w:r>
        <w:r w:rsidR="00D307FA">
          <w:rPr>
            <w:noProof/>
            <w:webHidden/>
          </w:rPr>
          <w:fldChar w:fldCharType="begin"/>
        </w:r>
        <w:r w:rsidR="00D307FA">
          <w:rPr>
            <w:noProof/>
            <w:webHidden/>
          </w:rPr>
          <w:instrText xml:space="preserve"> PAGEREF _Toc131948700 \h </w:instrText>
        </w:r>
        <w:r w:rsidR="00D307FA">
          <w:rPr>
            <w:noProof/>
            <w:webHidden/>
          </w:rPr>
        </w:r>
        <w:r w:rsidR="00D307FA">
          <w:rPr>
            <w:noProof/>
            <w:webHidden/>
          </w:rPr>
          <w:fldChar w:fldCharType="separate"/>
        </w:r>
        <w:r w:rsidR="001F4741">
          <w:rPr>
            <w:noProof/>
            <w:webHidden/>
          </w:rPr>
          <w:t>68</w:t>
        </w:r>
        <w:r w:rsidR="00D307FA">
          <w:rPr>
            <w:noProof/>
            <w:webHidden/>
          </w:rPr>
          <w:fldChar w:fldCharType="end"/>
        </w:r>
      </w:hyperlink>
    </w:p>
    <w:p w14:paraId="596B41BB" w14:textId="42AEA84C"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01" w:history="1">
        <w:r w:rsidR="00D307FA" w:rsidRPr="00726C87">
          <w:rPr>
            <w:rStyle w:val="Hyperlink"/>
            <w:rFonts w:eastAsiaTheme="majorEastAsia"/>
            <w:b/>
            <w:bCs/>
            <w:noProof/>
          </w:rPr>
          <w:t>Figure 37:</w:t>
        </w:r>
        <w:r w:rsidR="00D307FA" w:rsidRPr="00726C87">
          <w:rPr>
            <w:rStyle w:val="Hyperlink"/>
            <w:rFonts w:eastAsiaTheme="majorEastAsia"/>
            <w:noProof/>
          </w:rPr>
          <w:t xml:space="preserve"> Self-condensation rates of CPO and ACE as a function of in-situ pyridine uptake in Y zeolite with Si/Al of 30.</w:t>
        </w:r>
        <w:r w:rsidR="00D307FA">
          <w:rPr>
            <w:noProof/>
            <w:webHidden/>
          </w:rPr>
          <w:tab/>
        </w:r>
        <w:r w:rsidR="00D307FA">
          <w:rPr>
            <w:noProof/>
            <w:webHidden/>
          </w:rPr>
          <w:fldChar w:fldCharType="begin"/>
        </w:r>
        <w:r w:rsidR="00D307FA">
          <w:rPr>
            <w:noProof/>
            <w:webHidden/>
          </w:rPr>
          <w:instrText xml:space="preserve"> PAGEREF _Toc131948701 \h </w:instrText>
        </w:r>
        <w:r w:rsidR="00D307FA">
          <w:rPr>
            <w:noProof/>
            <w:webHidden/>
          </w:rPr>
        </w:r>
        <w:r w:rsidR="00D307FA">
          <w:rPr>
            <w:noProof/>
            <w:webHidden/>
          </w:rPr>
          <w:fldChar w:fldCharType="separate"/>
        </w:r>
        <w:r w:rsidR="001F4741">
          <w:rPr>
            <w:noProof/>
            <w:webHidden/>
          </w:rPr>
          <w:t>68</w:t>
        </w:r>
        <w:r w:rsidR="00D307FA">
          <w:rPr>
            <w:noProof/>
            <w:webHidden/>
          </w:rPr>
          <w:fldChar w:fldCharType="end"/>
        </w:r>
      </w:hyperlink>
    </w:p>
    <w:p w14:paraId="02C58279" w14:textId="314F3C83"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02" w:history="1">
        <w:r w:rsidR="00D307FA" w:rsidRPr="00726C87">
          <w:rPr>
            <w:rStyle w:val="Hyperlink"/>
            <w:rFonts w:eastAsiaTheme="majorEastAsia"/>
            <w:b/>
            <w:bCs/>
            <w:noProof/>
          </w:rPr>
          <w:t>Figure 38:</w:t>
        </w:r>
        <w:r w:rsidR="00D307FA" w:rsidRPr="00726C87">
          <w:rPr>
            <w:rStyle w:val="Hyperlink"/>
            <w:rFonts w:eastAsiaTheme="majorEastAsia"/>
            <w:noProof/>
          </w:rPr>
          <w:t xml:space="preserve"> Comparison between experimental rates on pyridine with modeled Na-titration rates in Y zeolite with Si/Al of 30.</w:t>
        </w:r>
        <w:r w:rsidR="00D307FA">
          <w:rPr>
            <w:noProof/>
            <w:webHidden/>
          </w:rPr>
          <w:tab/>
        </w:r>
        <w:r w:rsidR="00D307FA">
          <w:rPr>
            <w:noProof/>
            <w:webHidden/>
          </w:rPr>
          <w:fldChar w:fldCharType="begin"/>
        </w:r>
        <w:r w:rsidR="00D307FA">
          <w:rPr>
            <w:noProof/>
            <w:webHidden/>
          </w:rPr>
          <w:instrText xml:space="preserve"> PAGEREF _Toc131948702 \h </w:instrText>
        </w:r>
        <w:r w:rsidR="00D307FA">
          <w:rPr>
            <w:noProof/>
            <w:webHidden/>
          </w:rPr>
        </w:r>
        <w:r w:rsidR="00D307FA">
          <w:rPr>
            <w:noProof/>
            <w:webHidden/>
          </w:rPr>
          <w:fldChar w:fldCharType="separate"/>
        </w:r>
        <w:r w:rsidR="001F4741">
          <w:rPr>
            <w:noProof/>
            <w:webHidden/>
          </w:rPr>
          <w:t>69</w:t>
        </w:r>
        <w:r w:rsidR="00D307FA">
          <w:rPr>
            <w:noProof/>
            <w:webHidden/>
          </w:rPr>
          <w:fldChar w:fldCharType="end"/>
        </w:r>
      </w:hyperlink>
    </w:p>
    <w:p w14:paraId="6E2AFFC5" w14:textId="3F1921E3"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03" w:history="1">
        <w:r w:rsidR="00D307FA" w:rsidRPr="00726C87">
          <w:rPr>
            <w:rStyle w:val="Hyperlink"/>
            <w:rFonts w:eastAsiaTheme="majorEastAsia"/>
            <w:b/>
            <w:bCs/>
            <w:noProof/>
          </w:rPr>
          <w:t>Figure 39:</w:t>
        </w:r>
        <w:r w:rsidR="00D307FA" w:rsidRPr="00726C87">
          <w:rPr>
            <w:rStyle w:val="Hyperlink"/>
            <w:rFonts w:eastAsiaTheme="majorEastAsia"/>
            <w:noProof/>
          </w:rPr>
          <w:t xml:space="preserve"> Relative activity drop as titrant agent is added in ZSM5 zeolite with Si/Al of 140 with </w:t>
        </w:r>
        <w:r w:rsidR="00D307FA" w:rsidRPr="00726C87">
          <w:rPr>
            <w:rStyle w:val="Hyperlink"/>
            <w:rFonts w:eastAsiaTheme="majorEastAsia"/>
            <w:b/>
            <w:bCs/>
            <w:noProof/>
          </w:rPr>
          <w:t>a)</w:t>
        </w:r>
        <w:r w:rsidR="00D307FA" w:rsidRPr="00726C87">
          <w:rPr>
            <w:rStyle w:val="Hyperlink"/>
            <w:rFonts w:eastAsiaTheme="majorEastAsia"/>
            <w:noProof/>
          </w:rPr>
          <w:t xml:space="preserve"> pyridine addition, and </w:t>
        </w:r>
        <w:r w:rsidR="00D307FA" w:rsidRPr="00726C87">
          <w:rPr>
            <w:rStyle w:val="Hyperlink"/>
            <w:rFonts w:eastAsiaTheme="majorEastAsia"/>
            <w:b/>
            <w:bCs/>
            <w:noProof/>
          </w:rPr>
          <w:t>b)</w:t>
        </w:r>
        <w:r w:rsidR="00D307FA" w:rsidRPr="00726C87">
          <w:rPr>
            <w:rStyle w:val="Hyperlink"/>
            <w:rFonts w:eastAsiaTheme="majorEastAsia"/>
            <w:noProof/>
          </w:rPr>
          <w:t xml:space="preserve"> Na-titration.</w:t>
        </w:r>
        <w:r w:rsidR="00D307FA">
          <w:rPr>
            <w:noProof/>
            <w:webHidden/>
          </w:rPr>
          <w:tab/>
        </w:r>
        <w:r w:rsidR="00D307FA">
          <w:rPr>
            <w:noProof/>
            <w:webHidden/>
          </w:rPr>
          <w:fldChar w:fldCharType="begin"/>
        </w:r>
        <w:r w:rsidR="00D307FA">
          <w:rPr>
            <w:noProof/>
            <w:webHidden/>
          </w:rPr>
          <w:instrText xml:space="preserve"> PAGEREF _Toc131948703 \h </w:instrText>
        </w:r>
        <w:r w:rsidR="00D307FA">
          <w:rPr>
            <w:noProof/>
            <w:webHidden/>
          </w:rPr>
        </w:r>
        <w:r w:rsidR="00D307FA">
          <w:rPr>
            <w:noProof/>
            <w:webHidden/>
          </w:rPr>
          <w:fldChar w:fldCharType="separate"/>
        </w:r>
        <w:r w:rsidR="001F4741">
          <w:rPr>
            <w:noProof/>
            <w:webHidden/>
          </w:rPr>
          <w:t>70</w:t>
        </w:r>
        <w:r w:rsidR="00D307FA">
          <w:rPr>
            <w:noProof/>
            <w:webHidden/>
          </w:rPr>
          <w:fldChar w:fldCharType="end"/>
        </w:r>
      </w:hyperlink>
    </w:p>
    <w:p w14:paraId="02A32208" w14:textId="28A3A011"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04" w:history="1">
        <w:r w:rsidR="00D307FA" w:rsidRPr="00726C87">
          <w:rPr>
            <w:rStyle w:val="Hyperlink"/>
            <w:rFonts w:eastAsiaTheme="majorEastAsia"/>
            <w:b/>
            <w:bCs/>
            <w:noProof/>
          </w:rPr>
          <w:t>Figure 40:</w:t>
        </w:r>
        <w:r w:rsidR="00D307FA" w:rsidRPr="00726C87">
          <w:rPr>
            <w:rStyle w:val="Hyperlink"/>
            <w:rFonts w:eastAsiaTheme="majorEastAsia"/>
            <w:noProof/>
          </w:rPr>
          <w:t xml:space="preserve"> Relative activity drop as titrant agent is added in ZSM5 zeolite with Si/Al of 40 with </w:t>
        </w:r>
        <w:r w:rsidR="00D307FA" w:rsidRPr="00726C87">
          <w:rPr>
            <w:rStyle w:val="Hyperlink"/>
            <w:rFonts w:eastAsiaTheme="majorEastAsia"/>
            <w:b/>
            <w:bCs/>
            <w:noProof/>
          </w:rPr>
          <w:t>a)</w:t>
        </w:r>
        <w:r w:rsidR="00D307FA" w:rsidRPr="00726C87">
          <w:rPr>
            <w:rStyle w:val="Hyperlink"/>
            <w:rFonts w:eastAsiaTheme="majorEastAsia"/>
            <w:noProof/>
          </w:rPr>
          <w:t xml:space="preserve"> pyridine addition, and </w:t>
        </w:r>
        <w:r w:rsidR="00D307FA" w:rsidRPr="00726C87">
          <w:rPr>
            <w:rStyle w:val="Hyperlink"/>
            <w:rFonts w:eastAsiaTheme="majorEastAsia"/>
            <w:b/>
            <w:bCs/>
            <w:noProof/>
          </w:rPr>
          <w:t>b)</w:t>
        </w:r>
        <w:r w:rsidR="00D307FA" w:rsidRPr="00726C87">
          <w:rPr>
            <w:rStyle w:val="Hyperlink"/>
            <w:rFonts w:eastAsiaTheme="majorEastAsia"/>
            <w:noProof/>
          </w:rPr>
          <w:t xml:space="preserve"> Na-titration.</w:t>
        </w:r>
        <w:r w:rsidR="00D307FA">
          <w:rPr>
            <w:noProof/>
            <w:webHidden/>
          </w:rPr>
          <w:tab/>
        </w:r>
        <w:r w:rsidR="00D307FA">
          <w:rPr>
            <w:noProof/>
            <w:webHidden/>
          </w:rPr>
          <w:fldChar w:fldCharType="begin"/>
        </w:r>
        <w:r w:rsidR="00D307FA">
          <w:rPr>
            <w:noProof/>
            <w:webHidden/>
          </w:rPr>
          <w:instrText xml:space="preserve"> PAGEREF _Toc131948704 \h </w:instrText>
        </w:r>
        <w:r w:rsidR="00D307FA">
          <w:rPr>
            <w:noProof/>
            <w:webHidden/>
          </w:rPr>
        </w:r>
        <w:r w:rsidR="00D307FA">
          <w:rPr>
            <w:noProof/>
            <w:webHidden/>
          </w:rPr>
          <w:fldChar w:fldCharType="separate"/>
        </w:r>
        <w:r w:rsidR="001F4741">
          <w:rPr>
            <w:noProof/>
            <w:webHidden/>
          </w:rPr>
          <w:t>70</w:t>
        </w:r>
        <w:r w:rsidR="00D307FA">
          <w:rPr>
            <w:noProof/>
            <w:webHidden/>
          </w:rPr>
          <w:fldChar w:fldCharType="end"/>
        </w:r>
      </w:hyperlink>
    </w:p>
    <w:p w14:paraId="475D41E1" w14:textId="4DE67EAF"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05" w:history="1">
        <w:r w:rsidR="00D307FA" w:rsidRPr="00726C87">
          <w:rPr>
            <w:rStyle w:val="Hyperlink"/>
            <w:rFonts w:eastAsiaTheme="majorEastAsia"/>
            <w:b/>
            <w:bCs/>
            <w:noProof/>
          </w:rPr>
          <w:t>Figure 41:</w:t>
        </w:r>
        <w:r w:rsidR="00D307FA" w:rsidRPr="00726C87">
          <w:rPr>
            <w:rStyle w:val="Hyperlink"/>
            <w:rFonts w:eastAsiaTheme="majorEastAsia"/>
            <w:noProof/>
          </w:rPr>
          <w:t xml:space="preserve"> Relative activity drop as titrant agent is added in ZSM5 zeolite with Si/Al of 40 with </w:t>
        </w:r>
        <w:r w:rsidR="00D307FA" w:rsidRPr="00726C87">
          <w:rPr>
            <w:rStyle w:val="Hyperlink"/>
            <w:rFonts w:eastAsiaTheme="majorEastAsia"/>
            <w:b/>
            <w:bCs/>
            <w:noProof/>
          </w:rPr>
          <w:t>a)</w:t>
        </w:r>
        <w:r w:rsidR="00D307FA" w:rsidRPr="00726C87">
          <w:rPr>
            <w:rStyle w:val="Hyperlink"/>
            <w:rFonts w:eastAsiaTheme="majorEastAsia"/>
            <w:noProof/>
          </w:rPr>
          <w:t xml:space="preserve"> pyridine addition, and </w:t>
        </w:r>
        <w:r w:rsidR="00D307FA" w:rsidRPr="00726C87">
          <w:rPr>
            <w:rStyle w:val="Hyperlink"/>
            <w:rFonts w:eastAsiaTheme="majorEastAsia"/>
            <w:b/>
            <w:bCs/>
            <w:noProof/>
          </w:rPr>
          <w:t>b)</w:t>
        </w:r>
        <w:r w:rsidR="00D307FA" w:rsidRPr="00726C87">
          <w:rPr>
            <w:rStyle w:val="Hyperlink"/>
            <w:rFonts w:eastAsiaTheme="majorEastAsia"/>
            <w:noProof/>
          </w:rPr>
          <w:t xml:space="preserve"> Na-titration.</w:t>
        </w:r>
        <w:r w:rsidR="00D307FA">
          <w:rPr>
            <w:noProof/>
            <w:webHidden/>
          </w:rPr>
          <w:tab/>
        </w:r>
        <w:r w:rsidR="00D307FA">
          <w:rPr>
            <w:noProof/>
            <w:webHidden/>
          </w:rPr>
          <w:fldChar w:fldCharType="begin"/>
        </w:r>
        <w:r w:rsidR="00D307FA">
          <w:rPr>
            <w:noProof/>
            <w:webHidden/>
          </w:rPr>
          <w:instrText xml:space="preserve"> PAGEREF _Toc131948705 \h </w:instrText>
        </w:r>
        <w:r w:rsidR="00D307FA">
          <w:rPr>
            <w:noProof/>
            <w:webHidden/>
          </w:rPr>
        </w:r>
        <w:r w:rsidR="00D307FA">
          <w:rPr>
            <w:noProof/>
            <w:webHidden/>
          </w:rPr>
          <w:fldChar w:fldCharType="separate"/>
        </w:r>
        <w:r w:rsidR="001F4741">
          <w:rPr>
            <w:noProof/>
            <w:webHidden/>
          </w:rPr>
          <w:t>70</w:t>
        </w:r>
        <w:r w:rsidR="00D307FA">
          <w:rPr>
            <w:noProof/>
            <w:webHidden/>
          </w:rPr>
          <w:fldChar w:fldCharType="end"/>
        </w:r>
      </w:hyperlink>
    </w:p>
    <w:p w14:paraId="5FB53EB0" w14:textId="1F9D80F6"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06" w:history="1">
        <w:r w:rsidR="00D307FA" w:rsidRPr="00726C87">
          <w:rPr>
            <w:rStyle w:val="Hyperlink"/>
            <w:rFonts w:eastAsiaTheme="majorEastAsia"/>
            <w:b/>
            <w:bCs/>
            <w:noProof/>
          </w:rPr>
          <w:t>Figure 42:</w:t>
        </w:r>
        <w:r w:rsidR="00D307FA" w:rsidRPr="00726C87">
          <w:rPr>
            <w:rStyle w:val="Hyperlink"/>
            <w:rFonts w:eastAsiaTheme="majorEastAsia"/>
            <w:noProof/>
          </w:rPr>
          <w:t xml:space="preserve"> R spectrum of sorbed pyridine on the surface of zeolite Y (10 mg/cm</w:t>
        </w:r>
        <w:r w:rsidR="00D307FA" w:rsidRPr="00726C87">
          <w:rPr>
            <w:rStyle w:val="Hyperlink"/>
            <w:rFonts w:eastAsiaTheme="majorEastAsia"/>
            <w:noProof/>
            <w:vertAlign w:val="superscript"/>
          </w:rPr>
          <w:t>2</w:t>
        </w:r>
        <w:r w:rsidR="00D307FA" w:rsidRPr="00726C87">
          <w:rPr>
            <w:rStyle w:val="Hyperlink"/>
            <w:rFonts w:eastAsiaTheme="majorEastAsia"/>
            <w:noProof/>
          </w:rPr>
          <w:t>) before heating (trace a) and after heating at 250 ◦C for 15 min (trace b) recorded in parallel mode with the FPA detector. The spectra are for the same sample at the same position in the cell. Reproduced from Ref [158].</w:t>
        </w:r>
        <w:r w:rsidR="00D307FA">
          <w:rPr>
            <w:noProof/>
            <w:webHidden/>
          </w:rPr>
          <w:tab/>
        </w:r>
        <w:r w:rsidR="00D307FA">
          <w:rPr>
            <w:noProof/>
            <w:webHidden/>
          </w:rPr>
          <w:fldChar w:fldCharType="begin"/>
        </w:r>
        <w:r w:rsidR="00D307FA">
          <w:rPr>
            <w:noProof/>
            <w:webHidden/>
          </w:rPr>
          <w:instrText xml:space="preserve"> PAGEREF _Toc131948706 \h </w:instrText>
        </w:r>
        <w:r w:rsidR="00D307FA">
          <w:rPr>
            <w:noProof/>
            <w:webHidden/>
          </w:rPr>
        </w:r>
        <w:r w:rsidR="00D307FA">
          <w:rPr>
            <w:noProof/>
            <w:webHidden/>
          </w:rPr>
          <w:fldChar w:fldCharType="separate"/>
        </w:r>
        <w:r w:rsidR="001F4741">
          <w:rPr>
            <w:noProof/>
            <w:webHidden/>
          </w:rPr>
          <w:t>72</w:t>
        </w:r>
        <w:r w:rsidR="00D307FA">
          <w:rPr>
            <w:noProof/>
            <w:webHidden/>
          </w:rPr>
          <w:fldChar w:fldCharType="end"/>
        </w:r>
      </w:hyperlink>
    </w:p>
    <w:p w14:paraId="4732D0A3" w14:textId="750DB9BA"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07" w:history="1">
        <w:r w:rsidR="00D307FA" w:rsidRPr="00726C87">
          <w:rPr>
            <w:rStyle w:val="Hyperlink"/>
            <w:rFonts w:eastAsiaTheme="majorEastAsia"/>
            <w:b/>
            <w:bCs/>
            <w:noProof/>
          </w:rPr>
          <w:t>Figure 43:</w:t>
        </w:r>
        <w:r w:rsidR="00D307FA" w:rsidRPr="00726C87">
          <w:rPr>
            <w:rStyle w:val="Hyperlink"/>
            <w:rFonts w:eastAsiaTheme="majorEastAsia"/>
            <w:noProof/>
          </w:rPr>
          <w:t xml:space="preserve"> IR spectrum of sorbed pyridine on the surface of H-ZSM-5 (10 mg/cm</w:t>
        </w:r>
        <w:r w:rsidR="00D307FA" w:rsidRPr="00726C87">
          <w:rPr>
            <w:rStyle w:val="Hyperlink"/>
            <w:rFonts w:eastAsiaTheme="majorEastAsia"/>
            <w:noProof/>
            <w:vertAlign w:val="superscript"/>
          </w:rPr>
          <w:t>2</w:t>
        </w:r>
        <w:r w:rsidR="00D307FA" w:rsidRPr="00726C87">
          <w:rPr>
            <w:rStyle w:val="Hyperlink"/>
            <w:rFonts w:eastAsiaTheme="majorEastAsia"/>
            <w:noProof/>
          </w:rPr>
          <w:t>) before heating (trace a) and after heating at 250 ◦C for 15 min (trace b) recorded in parallel mode with the FPA detector. The spectra are for the same sample at the same position in the cell. Reproduced from Ref [158].</w:t>
        </w:r>
        <w:r w:rsidR="00D307FA">
          <w:rPr>
            <w:noProof/>
            <w:webHidden/>
          </w:rPr>
          <w:tab/>
        </w:r>
        <w:r w:rsidR="00D307FA">
          <w:rPr>
            <w:noProof/>
            <w:webHidden/>
          </w:rPr>
          <w:fldChar w:fldCharType="begin"/>
        </w:r>
        <w:r w:rsidR="00D307FA">
          <w:rPr>
            <w:noProof/>
            <w:webHidden/>
          </w:rPr>
          <w:instrText xml:space="preserve"> PAGEREF _Toc131948707 \h </w:instrText>
        </w:r>
        <w:r w:rsidR="00D307FA">
          <w:rPr>
            <w:noProof/>
            <w:webHidden/>
          </w:rPr>
        </w:r>
        <w:r w:rsidR="00D307FA">
          <w:rPr>
            <w:noProof/>
            <w:webHidden/>
          </w:rPr>
          <w:fldChar w:fldCharType="separate"/>
        </w:r>
        <w:r w:rsidR="001F4741">
          <w:rPr>
            <w:noProof/>
            <w:webHidden/>
          </w:rPr>
          <w:t>72</w:t>
        </w:r>
        <w:r w:rsidR="00D307FA">
          <w:rPr>
            <w:noProof/>
            <w:webHidden/>
          </w:rPr>
          <w:fldChar w:fldCharType="end"/>
        </w:r>
      </w:hyperlink>
    </w:p>
    <w:p w14:paraId="037AC9DF" w14:textId="1AF73BFD"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08" w:history="1">
        <w:r w:rsidR="00D307FA" w:rsidRPr="00726C87">
          <w:rPr>
            <w:rStyle w:val="Hyperlink"/>
            <w:rFonts w:eastAsiaTheme="majorEastAsia"/>
            <w:b/>
            <w:bCs/>
            <w:noProof/>
          </w:rPr>
          <w:t>Figure 44:</w:t>
        </w:r>
        <w:r w:rsidR="00D307FA" w:rsidRPr="00726C87">
          <w:rPr>
            <w:rStyle w:val="Hyperlink"/>
            <w:rFonts w:eastAsiaTheme="majorEastAsia"/>
            <w:noProof/>
          </w:rPr>
          <w:t xml:space="preserve"> Ultraviolet visible light spectra of a mixture containing 400 mg of catalyst (‘a)’ respective to zeolite ZSM5, and ‘b)’ to zeolite Y) in 100 mL of cyclohexane as solvent with 0.20 mmol/g</w:t>
        </w:r>
        <w:r w:rsidR="00D307FA" w:rsidRPr="00726C87">
          <w:rPr>
            <w:rStyle w:val="Hyperlink"/>
            <w:rFonts w:eastAsiaTheme="majorEastAsia"/>
            <w:noProof/>
            <w:vertAlign w:val="subscript"/>
          </w:rPr>
          <w:t>cat</w:t>
        </w:r>
        <w:r w:rsidR="00D307FA" w:rsidRPr="00726C87">
          <w:rPr>
            <w:rStyle w:val="Hyperlink"/>
            <w:rFonts w:eastAsiaTheme="majorEastAsia"/>
            <w:noProof/>
          </w:rPr>
          <w:t xml:space="preserve"> of pyridine added.</w:t>
        </w:r>
        <w:r w:rsidR="00D307FA">
          <w:rPr>
            <w:noProof/>
            <w:webHidden/>
          </w:rPr>
          <w:tab/>
        </w:r>
        <w:r w:rsidR="00D307FA">
          <w:rPr>
            <w:noProof/>
            <w:webHidden/>
          </w:rPr>
          <w:fldChar w:fldCharType="begin"/>
        </w:r>
        <w:r w:rsidR="00D307FA">
          <w:rPr>
            <w:noProof/>
            <w:webHidden/>
          </w:rPr>
          <w:instrText xml:space="preserve"> PAGEREF _Toc131948708 \h </w:instrText>
        </w:r>
        <w:r w:rsidR="00D307FA">
          <w:rPr>
            <w:noProof/>
            <w:webHidden/>
          </w:rPr>
        </w:r>
        <w:r w:rsidR="00D307FA">
          <w:rPr>
            <w:noProof/>
            <w:webHidden/>
          </w:rPr>
          <w:fldChar w:fldCharType="separate"/>
        </w:r>
        <w:r w:rsidR="001F4741">
          <w:rPr>
            <w:noProof/>
            <w:webHidden/>
          </w:rPr>
          <w:t>74</w:t>
        </w:r>
        <w:r w:rsidR="00D307FA">
          <w:rPr>
            <w:noProof/>
            <w:webHidden/>
          </w:rPr>
          <w:fldChar w:fldCharType="end"/>
        </w:r>
      </w:hyperlink>
    </w:p>
    <w:p w14:paraId="189F1C86" w14:textId="3A058648"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09" w:history="1">
        <w:r w:rsidR="00D307FA" w:rsidRPr="00726C87">
          <w:rPr>
            <w:rStyle w:val="Hyperlink"/>
            <w:rFonts w:eastAsiaTheme="majorEastAsia"/>
            <w:b/>
            <w:bCs/>
            <w:noProof/>
          </w:rPr>
          <w:t>Figure 45:</w:t>
        </w:r>
        <w:r w:rsidR="00D307FA" w:rsidRPr="00726C87">
          <w:rPr>
            <w:rStyle w:val="Hyperlink"/>
            <w:rFonts w:eastAsiaTheme="majorEastAsia"/>
            <w:noProof/>
          </w:rPr>
          <w:t xml:space="preserve"> Ultraviolet visible light spectra of a mixture containing 400 mg of zeolite ZSM5 in 100 mL of cyclohexane as solvent with 0.20 (‘W Py’), 0.40 (‘W Py2x’) and 0.60 (‘W Py3x’) mmol/g</w:t>
        </w:r>
        <w:r w:rsidR="00D307FA" w:rsidRPr="00726C87">
          <w:rPr>
            <w:rStyle w:val="Hyperlink"/>
            <w:rFonts w:eastAsiaTheme="majorEastAsia"/>
            <w:noProof/>
            <w:vertAlign w:val="subscript"/>
          </w:rPr>
          <w:t>cat</w:t>
        </w:r>
        <w:r w:rsidR="00D307FA" w:rsidRPr="00726C87">
          <w:rPr>
            <w:rStyle w:val="Hyperlink"/>
            <w:rFonts w:eastAsiaTheme="majorEastAsia"/>
            <w:noProof/>
          </w:rPr>
          <w:t xml:space="preserve"> of pyridine added.</w:t>
        </w:r>
        <w:r w:rsidR="00D307FA">
          <w:rPr>
            <w:noProof/>
            <w:webHidden/>
          </w:rPr>
          <w:tab/>
        </w:r>
        <w:r w:rsidR="00D307FA">
          <w:rPr>
            <w:noProof/>
            <w:webHidden/>
          </w:rPr>
          <w:fldChar w:fldCharType="begin"/>
        </w:r>
        <w:r w:rsidR="00D307FA">
          <w:rPr>
            <w:noProof/>
            <w:webHidden/>
          </w:rPr>
          <w:instrText xml:space="preserve"> PAGEREF _Toc131948709 \h </w:instrText>
        </w:r>
        <w:r w:rsidR="00D307FA">
          <w:rPr>
            <w:noProof/>
            <w:webHidden/>
          </w:rPr>
        </w:r>
        <w:r w:rsidR="00D307FA">
          <w:rPr>
            <w:noProof/>
            <w:webHidden/>
          </w:rPr>
          <w:fldChar w:fldCharType="separate"/>
        </w:r>
        <w:r w:rsidR="001F4741">
          <w:rPr>
            <w:noProof/>
            <w:webHidden/>
          </w:rPr>
          <w:t>75</w:t>
        </w:r>
        <w:r w:rsidR="00D307FA">
          <w:rPr>
            <w:noProof/>
            <w:webHidden/>
          </w:rPr>
          <w:fldChar w:fldCharType="end"/>
        </w:r>
      </w:hyperlink>
    </w:p>
    <w:p w14:paraId="2B15F01C" w14:textId="0EF7EF91"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10" w:history="1">
        <w:r w:rsidR="00D307FA" w:rsidRPr="00726C87">
          <w:rPr>
            <w:rStyle w:val="Hyperlink"/>
            <w:rFonts w:eastAsiaTheme="majorEastAsia"/>
            <w:b/>
            <w:bCs/>
            <w:noProof/>
          </w:rPr>
          <w:t>Figure 46:</w:t>
        </w:r>
        <w:r w:rsidR="00D307FA" w:rsidRPr="00726C87">
          <w:rPr>
            <w:rStyle w:val="Hyperlink"/>
            <w:rFonts w:eastAsiaTheme="majorEastAsia"/>
            <w:noProof/>
          </w:rPr>
          <w:t xml:space="preserve"> Rates of products formation as a function of pyridine uptake in Y30 zeolite in respect to [A] products (‘a)’) and [C] products ('b)’).</w:t>
        </w:r>
        <w:r w:rsidR="00D307FA">
          <w:rPr>
            <w:noProof/>
            <w:webHidden/>
          </w:rPr>
          <w:tab/>
        </w:r>
        <w:r w:rsidR="00D307FA">
          <w:rPr>
            <w:noProof/>
            <w:webHidden/>
          </w:rPr>
          <w:fldChar w:fldCharType="begin"/>
        </w:r>
        <w:r w:rsidR="00D307FA">
          <w:rPr>
            <w:noProof/>
            <w:webHidden/>
          </w:rPr>
          <w:instrText xml:space="preserve"> PAGEREF _Toc131948710 \h </w:instrText>
        </w:r>
        <w:r w:rsidR="00D307FA">
          <w:rPr>
            <w:noProof/>
            <w:webHidden/>
          </w:rPr>
        </w:r>
        <w:r w:rsidR="00D307FA">
          <w:rPr>
            <w:noProof/>
            <w:webHidden/>
          </w:rPr>
          <w:fldChar w:fldCharType="separate"/>
        </w:r>
        <w:r w:rsidR="001F4741">
          <w:rPr>
            <w:noProof/>
            <w:webHidden/>
          </w:rPr>
          <w:t>77</w:t>
        </w:r>
        <w:r w:rsidR="00D307FA">
          <w:rPr>
            <w:noProof/>
            <w:webHidden/>
          </w:rPr>
          <w:fldChar w:fldCharType="end"/>
        </w:r>
      </w:hyperlink>
    </w:p>
    <w:p w14:paraId="03A93B31" w14:textId="2ED87FEC"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11" w:history="1">
        <w:r w:rsidR="00D307FA" w:rsidRPr="00726C87">
          <w:rPr>
            <w:rStyle w:val="Hyperlink"/>
            <w:rFonts w:eastAsiaTheme="majorEastAsia"/>
            <w:b/>
            <w:bCs/>
            <w:noProof/>
          </w:rPr>
          <w:t>Figure 47:</w:t>
        </w:r>
        <w:r w:rsidR="00D307FA" w:rsidRPr="00726C87">
          <w:rPr>
            <w:rStyle w:val="Hyperlink"/>
            <w:rFonts w:eastAsiaTheme="majorEastAsia"/>
            <w:noProof/>
          </w:rPr>
          <w:t xml:space="preserve"> Selectivity distribution of cross-aldol condensation of ACE-CPO in Y30 through in-situ pyridine titration.</w:t>
        </w:r>
        <w:r w:rsidR="00D307FA">
          <w:rPr>
            <w:noProof/>
            <w:webHidden/>
          </w:rPr>
          <w:tab/>
        </w:r>
        <w:r w:rsidR="00D307FA">
          <w:rPr>
            <w:noProof/>
            <w:webHidden/>
          </w:rPr>
          <w:fldChar w:fldCharType="begin"/>
        </w:r>
        <w:r w:rsidR="00D307FA">
          <w:rPr>
            <w:noProof/>
            <w:webHidden/>
          </w:rPr>
          <w:instrText xml:space="preserve"> PAGEREF _Toc131948711 \h </w:instrText>
        </w:r>
        <w:r w:rsidR="00D307FA">
          <w:rPr>
            <w:noProof/>
            <w:webHidden/>
          </w:rPr>
        </w:r>
        <w:r w:rsidR="00D307FA">
          <w:rPr>
            <w:noProof/>
            <w:webHidden/>
          </w:rPr>
          <w:fldChar w:fldCharType="separate"/>
        </w:r>
        <w:r w:rsidR="001F4741">
          <w:rPr>
            <w:noProof/>
            <w:webHidden/>
          </w:rPr>
          <w:t>77</w:t>
        </w:r>
        <w:r w:rsidR="00D307FA">
          <w:rPr>
            <w:noProof/>
            <w:webHidden/>
          </w:rPr>
          <w:fldChar w:fldCharType="end"/>
        </w:r>
      </w:hyperlink>
    </w:p>
    <w:p w14:paraId="0E507230" w14:textId="008D023A"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12" w:history="1">
        <w:r w:rsidR="00D307FA" w:rsidRPr="00726C87">
          <w:rPr>
            <w:rStyle w:val="Hyperlink"/>
            <w:rFonts w:eastAsiaTheme="majorEastAsia"/>
            <w:b/>
            <w:bCs/>
            <w:noProof/>
          </w:rPr>
          <w:t>Figure 48:</w:t>
        </w:r>
        <w:r w:rsidR="00D307FA" w:rsidRPr="00726C87">
          <w:rPr>
            <w:rStyle w:val="Hyperlink"/>
            <w:rFonts w:eastAsiaTheme="majorEastAsia"/>
            <w:noProof/>
          </w:rPr>
          <w:t xml:space="preserve"> Transmission electron microscopy images of nano ZSM-5 samples Z-2 and Z-3. Reproduced from Ref [183].</w:t>
        </w:r>
        <w:r w:rsidR="00D307FA">
          <w:rPr>
            <w:noProof/>
            <w:webHidden/>
          </w:rPr>
          <w:tab/>
        </w:r>
        <w:r w:rsidR="00D307FA">
          <w:rPr>
            <w:noProof/>
            <w:webHidden/>
          </w:rPr>
          <w:fldChar w:fldCharType="begin"/>
        </w:r>
        <w:r w:rsidR="00D307FA">
          <w:rPr>
            <w:noProof/>
            <w:webHidden/>
          </w:rPr>
          <w:instrText xml:space="preserve"> PAGEREF _Toc131948712 \h </w:instrText>
        </w:r>
        <w:r w:rsidR="00D307FA">
          <w:rPr>
            <w:noProof/>
            <w:webHidden/>
          </w:rPr>
        </w:r>
        <w:r w:rsidR="00D307FA">
          <w:rPr>
            <w:noProof/>
            <w:webHidden/>
          </w:rPr>
          <w:fldChar w:fldCharType="separate"/>
        </w:r>
        <w:r w:rsidR="001F4741">
          <w:rPr>
            <w:noProof/>
            <w:webHidden/>
          </w:rPr>
          <w:t>84</w:t>
        </w:r>
        <w:r w:rsidR="00D307FA">
          <w:rPr>
            <w:noProof/>
            <w:webHidden/>
          </w:rPr>
          <w:fldChar w:fldCharType="end"/>
        </w:r>
      </w:hyperlink>
    </w:p>
    <w:p w14:paraId="3F39556F" w14:textId="272EC42E"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13" w:history="1">
        <w:r w:rsidR="00D307FA" w:rsidRPr="00726C87">
          <w:rPr>
            <w:rStyle w:val="Hyperlink"/>
            <w:rFonts w:eastAsiaTheme="majorEastAsia"/>
            <w:b/>
            <w:bCs/>
            <w:noProof/>
          </w:rPr>
          <w:t>Figure 49:</w:t>
        </w:r>
        <w:r w:rsidR="00D307FA" w:rsidRPr="00726C87">
          <w:rPr>
            <w:rStyle w:val="Hyperlink"/>
            <w:rFonts w:eastAsiaTheme="majorEastAsia"/>
            <w:noProof/>
          </w:rPr>
          <w:t xml:space="preserve"> Synthesized ZSM-5 zeolites FE-SEM images in various template ratios. Adapted from Ref [183].</w:t>
        </w:r>
        <w:r w:rsidR="00D307FA">
          <w:rPr>
            <w:noProof/>
            <w:webHidden/>
          </w:rPr>
          <w:tab/>
        </w:r>
        <w:r w:rsidR="00D307FA">
          <w:rPr>
            <w:noProof/>
            <w:webHidden/>
          </w:rPr>
          <w:fldChar w:fldCharType="begin"/>
        </w:r>
        <w:r w:rsidR="00D307FA">
          <w:rPr>
            <w:noProof/>
            <w:webHidden/>
          </w:rPr>
          <w:instrText xml:space="preserve"> PAGEREF _Toc131948713 \h </w:instrText>
        </w:r>
        <w:r w:rsidR="00D307FA">
          <w:rPr>
            <w:noProof/>
            <w:webHidden/>
          </w:rPr>
        </w:r>
        <w:r w:rsidR="00D307FA">
          <w:rPr>
            <w:noProof/>
            <w:webHidden/>
          </w:rPr>
          <w:fldChar w:fldCharType="separate"/>
        </w:r>
        <w:r w:rsidR="001F4741">
          <w:rPr>
            <w:noProof/>
            <w:webHidden/>
          </w:rPr>
          <w:t>85</w:t>
        </w:r>
        <w:r w:rsidR="00D307FA">
          <w:rPr>
            <w:noProof/>
            <w:webHidden/>
          </w:rPr>
          <w:fldChar w:fldCharType="end"/>
        </w:r>
      </w:hyperlink>
    </w:p>
    <w:p w14:paraId="158F4D6E" w14:textId="6244C70E"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14" w:history="1">
        <w:r w:rsidR="00D307FA" w:rsidRPr="00726C87">
          <w:rPr>
            <w:rStyle w:val="Hyperlink"/>
            <w:rFonts w:eastAsiaTheme="majorEastAsia"/>
            <w:b/>
            <w:bCs/>
            <w:noProof/>
          </w:rPr>
          <w:t>Figure 50:</w:t>
        </w:r>
        <w:r w:rsidR="00D307FA" w:rsidRPr="00726C87">
          <w:rPr>
            <w:rStyle w:val="Hyperlink"/>
            <w:rFonts w:eastAsiaTheme="majorEastAsia"/>
            <w:noProof/>
          </w:rPr>
          <w:t xml:space="preserve"> Idealized schematic of a finned zeolite in which the fins have the same crystallographic registry as the seed (left image). Illustration of a finned zeolite that comprises continuous channels throughout the seed (size β) and fins (size α) with characteristic fin dimensions of α×α×α. Adapted from Ref [193].</w:t>
        </w:r>
        <w:r w:rsidR="00D307FA">
          <w:rPr>
            <w:noProof/>
            <w:webHidden/>
          </w:rPr>
          <w:tab/>
        </w:r>
        <w:r w:rsidR="00D307FA">
          <w:rPr>
            <w:noProof/>
            <w:webHidden/>
          </w:rPr>
          <w:fldChar w:fldCharType="begin"/>
        </w:r>
        <w:r w:rsidR="00D307FA">
          <w:rPr>
            <w:noProof/>
            <w:webHidden/>
          </w:rPr>
          <w:instrText xml:space="preserve"> PAGEREF _Toc131948714 \h </w:instrText>
        </w:r>
        <w:r w:rsidR="00D307FA">
          <w:rPr>
            <w:noProof/>
            <w:webHidden/>
          </w:rPr>
        </w:r>
        <w:r w:rsidR="00D307FA">
          <w:rPr>
            <w:noProof/>
            <w:webHidden/>
          </w:rPr>
          <w:fldChar w:fldCharType="separate"/>
        </w:r>
        <w:r w:rsidR="001F4741">
          <w:rPr>
            <w:noProof/>
            <w:webHidden/>
          </w:rPr>
          <w:t>86</w:t>
        </w:r>
        <w:r w:rsidR="00D307FA">
          <w:rPr>
            <w:noProof/>
            <w:webHidden/>
          </w:rPr>
          <w:fldChar w:fldCharType="end"/>
        </w:r>
      </w:hyperlink>
    </w:p>
    <w:p w14:paraId="359A4117" w14:textId="0F80FE41"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15" w:history="1">
        <w:r w:rsidR="00D307FA" w:rsidRPr="00726C87">
          <w:rPr>
            <w:rStyle w:val="Hyperlink"/>
            <w:rFonts w:eastAsiaTheme="majorEastAsia"/>
            <w:b/>
            <w:bCs/>
            <w:noProof/>
          </w:rPr>
          <w:t>Figure 51:</w:t>
        </w:r>
        <w:r w:rsidR="00D307FA" w:rsidRPr="00726C87">
          <w:rPr>
            <w:rStyle w:val="Hyperlink"/>
            <w:rFonts w:eastAsiaTheme="majorEastAsia"/>
            <w:noProof/>
          </w:rPr>
          <w:t xml:space="preserve"> X-ray diffraction spectrum of synthesized ZSM5 zeolites and commercial ZSM5 sample.</w:t>
        </w:r>
        <w:r w:rsidR="00D307FA">
          <w:rPr>
            <w:noProof/>
            <w:webHidden/>
          </w:rPr>
          <w:tab/>
        </w:r>
        <w:r w:rsidR="00D307FA">
          <w:rPr>
            <w:noProof/>
            <w:webHidden/>
          </w:rPr>
          <w:fldChar w:fldCharType="begin"/>
        </w:r>
        <w:r w:rsidR="00D307FA">
          <w:rPr>
            <w:noProof/>
            <w:webHidden/>
          </w:rPr>
          <w:instrText xml:space="preserve"> PAGEREF _Toc131948715 \h </w:instrText>
        </w:r>
        <w:r w:rsidR="00D307FA">
          <w:rPr>
            <w:noProof/>
            <w:webHidden/>
          </w:rPr>
        </w:r>
        <w:r w:rsidR="00D307FA">
          <w:rPr>
            <w:noProof/>
            <w:webHidden/>
          </w:rPr>
          <w:fldChar w:fldCharType="separate"/>
        </w:r>
        <w:r w:rsidR="001F4741">
          <w:rPr>
            <w:noProof/>
            <w:webHidden/>
          </w:rPr>
          <w:t>89</w:t>
        </w:r>
        <w:r w:rsidR="00D307FA">
          <w:rPr>
            <w:noProof/>
            <w:webHidden/>
          </w:rPr>
          <w:fldChar w:fldCharType="end"/>
        </w:r>
      </w:hyperlink>
    </w:p>
    <w:p w14:paraId="79BFD7CF" w14:textId="3400DA0B"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16" w:history="1">
        <w:r w:rsidR="00D307FA" w:rsidRPr="00726C87">
          <w:rPr>
            <w:rStyle w:val="Hyperlink"/>
            <w:rFonts w:eastAsiaTheme="majorEastAsia"/>
            <w:b/>
            <w:bCs/>
            <w:noProof/>
          </w:rPr>
          <w:t>Figure 52:</w:t>
        </w:r>
        <w:r w:rsidR="00D307FA" w:rsidRPr="00726C87">
          <w:rPr>
            <w:rStyle w:val="Hyperlink"/>
            <w:rFonts w:eastAsiaTheme="majorEastAsia"/>
            <w:noProof/>
          </w:rPr>
          <w:t xml:space="preserve"> X-ray diffraction spectrum of synthesized ZSM5 zeolites at 150 </w:t>
        </w:r>
        <w:r w:rsidR="00D307FA" w:rsidRPr="00726C87">
          <w:rPr>
            <w:rStyle w:val="Hyperlink"/>
            <w:rFonts w:eastAsiaTheme="majorEastAsia"/>
            <w:noProof/>
            <w:vertAlign w:val="superscript"/>
          </w:rPr>
          <w:t>o</w:t>
        </w:r>
        <w:r w:rsidR="00D307FA" w:rsidRPr="00726C87">
          <w:rPr>
            <w:rStyle w:val="Hyperlink"/>
            <w:rFonts w:eastAsiaTheme="majorEastAsia"/>
            <w:noProof/>
          </w:rPr>
          <w:t>C with different crystallization periods.</w:t>
        </w:r>
        <w:r w:rsidR="00D307FA">
          <w:rPr>
            <w:noProof/>
            <w:webHidden/>
          </w:rPr>
          <w:tab/>
        </w:r>
        <w:r w:rsidR="00D307FA">
          <w:rPr>
            <w:noProof/>
            <w:webHidden/>
          </w:rPr>
          <w:fldChar w:fldCharType="begin"/>
        </w:r>
        <w:r w:rsidR="00D307FA">
          <w:rPr>
            <w:noProof/>
            <w:webHidden/>
          </w:rPr>
          <w:instrText xml:space="preserve"> PAGEREF _Toc131948716 \h </w:instrText>
        </w:r>
        <w:r w:rsidR="00D307FA">
          <w:rPr>
            <w:noProof/>
            <w:webHidden/>
          </w:rPr>
        </w:r>
        <w:r w:rsidR="00D307FA">
          <w:rPr>
            <w:noProof/>
            <w:webHidden/>
          </w:rPr>
          <w:fldChar w:fldCharType="separate"/>
        </w:r>
        <w:r w:rsidR="001F4741">
          <w:rPr>
            <w:noProof/>
            <w:webHidden/>
          </w:rPr>
          <w:t>90</w:t>
        </w:r>
        <w:r w:rsidR="00D307FA">
          <w:rPr>
            <w:noProof/>
            <w:webHidden/>
          </w:rPr>
          <w:fldChar w:fldCharType="end"/>
        </w:r>
      </w:hyperlink>
    </w:p>
    <w:p w14:paraId="4FC712D7" w14:textId="2DAF610B"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17" w:history="1">
        <w:r w:rsidR="00D307FA" w:rsidRPr="00726C87">
          <w:rPr>
            <w:rStyle w:val="Hyperlink"/>
            <w:rFonts w:eastAsiaTheme="majorEastAsia"/>
            <w:b/>
            <w:bCs/>
            <w:noProof/>
          </w:rPr>
          <w:t>Figure 53:</w:t>
        </w:r>
        <w:r w:rsidR="00D307FA" w:rsidRPr="00726C87">
          <w:rPr>
            <w:rStyle w:val="Hyperlink"/>
            <w:rFonts w:eastAsiaTheme="majorEastAsia"/>
            <w:noProof/>
          </w:rPr>
          <w:t xml:space="preserve"> Temperature programmed decomposition of adsorbed isopropylamine (IPA-TPD) on four synthesized ZSM5 samples. Propylene evolution in a 10 K/min heating ramp from IPA-saturated samples.</w:t>
        </w:r>
        <w:r w:rsidR="00D307FA">
          <w:rPr>
            <w:noProof/>
            <w:webHidden/>
          </w:rPr>
          <w:tab/>
        </w:r>
        <w:r w:rsidR="00D307FA">
          <w:rPr>
            <w:noProof/>
            <w:webHidden/>
          </w:rPr>
          <w:fldChar w:fldCharType="begin"/>
        </w:r>
        <w:r w:rsidR="00D307FA">
          <w:rPr>
            <w:noProof/>
            <w:webHidden/>
          </w:rPr>
          <w:instrText xml:space="preserve"> PAGEREF _Toc131948717 \h </w:instrText>
        </w:r>
        <w:r w:rsidR="00D307FA">
          <w:rPr>
            <w:noProof/>
            <w:webHidden/>
          </w:rPr>
        </w:r>
        <w:r w:rsidR="00D307FA">
          <w:rPr>
            <w:noProof/>
            <w:webHidden/>
          </w:rPr>
          <w:fldChar w:fldCharType="separate"/>
        </w:r>
        <w:r w:rsidR="001F4741">
          <w:rPr>
            <w:noProof/>
            <w:webHidden/>
          </w:rPr>
          <w:t>91</w:t>
        </w:r>
        <w:r w:rsidR="00D307FA">
          <w:rPr>
            <w:noProof/>
            <w:webHidden/>
          </w:rPr>
          <w:fldChar w:fldCharType="end"/>
        </w:r>
      </w:hyperlink>
    </w:p>
    <w:p w14:paraId="232A98A6" w14:textId="4B09188A"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18" w:history="1">
        <w:r w:rsidR="00D307FA" w:rsidRPr="00726C87">
          <w:rPr>
            <w:rStyle w:val="Hyperlink"/>
            <w:rFonts w:eastAsiaTheme="majorEastAsia"/>
            <w:b/>
            <w:bCs/>
            <w:noProof/>
          </w:rPr>
          <w:t>Figure 54:</w:t>
        </w:r>
        <w:r w:rsidR="00D307FA" w:rsidRPr="00726C87">
          <w:rPr>
            <w:rStyle w:val="Hyperlink"/>
            <w:rFonts w:eastAsiaTheme="majorEastAsia"/>
            <w:noProof/>
          </w:rPr>
          <w:t xml:space="preserve"> Scanning Electron Microscope pictures of four S-ZSM5 (Si/Al =80) at similar magnification (27 KX).</w:t>
        </w:r>
        <w:r w:rsidR="00D307FA">
          <w:rPr>
            <w:noProof/>
            <w:webHidden/>
          </w:rPr>
          <w:tab/>
        </w:r>
        <w:r w:rsidR="00D307FA">
          <w:rPr>
            <w:noProof/>
            <w:webHidden/>
          </w:rPr>
          <w:fldChar w:fldCharType="begin"/>
        </w:r>
        <w:r w:rsidR="00D307FA">
          <w:rPr>
            <w:noProof/>
            <w:webHidden/>
          </w:rPr>
          <w:instrText xml:space="preserve"> PAGEREF _Toc131948718 \h </w:instrText>
        </w:r>
        <w:r w:rsidR="00D307FA">
          <w:rPr>
            <w:noProof/>
            <w:webHidden/>
          </w:rPr>
        </w:r>
        <w:r w:rsidR="00D307FA">
          <w:rPr>
            <w:noProof/>
            <w:webHidden/>
          </w:rPr>
          <w:fldChar w:fldCharType="separate"/>
        </w:r>
        <w:r w:rsidR="001F4741">
          <w:rPr>
            <w:noProof/>
            <w:webHidden/>
          </w:rPr>
          <w:t>92</w:t>
        </w:r>
        <w:r w:rsidR="00D307FA">
          <w:rPr>
            <w:noProof/>
            <w:webHidden/>
          </w:rPr>
          <w:fldChar w:fldCharType="end"/>
        </w:r>
      </w:hyperlink>
    </w:p>
    <w:p w14:paraId="342EEA47" w14:textId="7A207B4C"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19" w:history="1">
        <w:r w:rsidR="00D307FA" w:rsidRPr="00726C87">
          <w:rPr>
            <w:rStyle w:val="Hyperlink"/>
            <w:rFonts w:eastAsiaTheme="majorEastAsia"/>
            <w:b/>
            <w:bCs/>
            <w:noProof/>
          </w:rPr>
          <w:t>Figure 55:</w:t>
        </w:r>
        <w:r w:rsidR="00D307FA" w:rsidRPr="00726C87">
          <w:rPr>
            <w:rStyle w:val="Hyperlink"/>
            <w:rFonts w:eastAsiaTheme="majorEastAsia"/>
            <w:noProof/>
          </w:rPr>
          <w:t xml:space="preserve"> Scanning Electron Microscope pictures of four S-ZSM5 (Si/Al =80) at similar magnification (120 KX).</w:t>
        </w:r>
        <w:r w:rsidR="00D307FA">
          <w:rPr>
            <w:noProof/>
            <w:webHidden/>
          </w:rPr>
          <w:tab/>
        </w:r>
        <w:r w:rsidR="00D307FA">
          <w:rPr>
            <w:noProof/>
            <w:webHidden/>
          </w:rPr>
          <w:fldChar w:fldCharType="begin"/>
        </w:r>
        <w:r w:rsidR="00D307FA">
          <w:rPr>
            <w:noProof/>
            <w:webHidden/>
          </w:rPr>
          <w:instrText xml:space="preserve"> PAGEREF _Toc131948719 \h </w:instrText>
        </w:r>
        <w:r w:rsidR="00D307FA">
          <w:rPr>
            <w:noProof/>
            <w:webHidden/>
          </w:rPr>
        </w:r>
        <w:r w:rsidR="00D307FA">
          <w:rPr>
            <w:noProof/>
            <w:webHidden/>
          </w:rPr>
          <w:fldChar w:fldCharType="separate"/>
        </w:r>
        <w:r w:rsidR="001F4741">
          <w:rPr>
            <w:noProof/>
            <w:webHidden/>
          </w:rPr>
          <w:t>93</w:t>
        </w:r>
        <w:r w:rsidR="00D307FA">
          <w:rPr>
            <w:noProof/>
            <w:webHidden/>
          </w:rPr>
          <w:fldChar w:fldCharType="end"/>
        </w:r>
      </w:hyperlink>
    </w:p>
    <w:p w14:paraId="06DE74B2" w14:textId="3406D2F3"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20" w:history="1">
        <w:r w:rsidR="00D307FA" w:rsidRPr="00726C87">
          <w:rPr>
            <w:rStyle w:val="Hyperlink"/>
            <w:rFonts w:eastAsiaTheme="majorEastAsia"/>
            <w:b/>
            <w:bCs/>
            <w:noProof/>
          </w:rPr>
          <w:t>Figure 56:</w:t>
        </w:r>
        <w:r w:rsidR="00D307FA" w:rsidRPr="00726C87">
          <w:rPr>
            <w:rStyle w:val="Hyperlink"/>
            <w:rFonts w:eastAsiaTheme="majorEastAsia"/>
            <w:noProof/>
          </w:rPr>
          <w:t xml:space="preserve"> Scanning Electron Microscope pictures of S-ZSM5 150 </w:t>
        </w:r>
        <w:r w:rsidR="00D307FA" w:rsidRPr="00726C87">
          <w:rPr>
            <w:rStyle w:val="Hyperlink"/>
            <w:rFonts w:eastAsiaTheme="majorEastAsia"/>
            <w:noProof/>
            <w:vertAlign w:val="superscript"/>
          </w:rPr>
          <w:t>o</w:t>
        </w:r>
        <w:r w:rsidR="00D307FA" w:rsidRPr="00726C87">
          <w:rPr>
            <w:rStyle w:val="Hyperlink"/>
            <w:rFonts w:eastAsiaTheme="majorEastAsia"/>
            <w:noProof/>
          </w:rPr>
          <w:t>C (Si/Al =80) at different crystallization periods (72 and 120hrs).</w:t>
        </w:r>
        <w:r w:rsidR="00D307FA">
          <w:rPr>
            <w:noProof/>
            <w:webHidden/>
          </w:rPr>
          <w:tab/>
        </w:r>
        <w:r w:rsidR="00D307FA">
          <w:rPr>
            <w:noProof/>
            <w:webHidden/>
          </w:rPr>
          <w:fldChar w:fldCharType="begin"/>
        </w:r>
        <w:r w:rsidR="00D307FA">
          <w:rPr>
            <w:noProof/>
            <w:webHidden/>
          </w:rPr>
          <w:instrText xml:space="preserve"> PAGEREF _Toc131948720 \h </w:instrText>
        </w:r>
        <w:r w:rsidR="00D307FA">
          <w:rPr>
            <w:noProof/>
            <w:webHidden/>
          </w:rPr>
        </w:r>
        <w:r w:rsidR="00D307FA">
          <w:rPr>
            <w:noProof/>
            <w:webHidden/>
          </w:rPr>
          <w:fldChar w:fldCharType="separate"/>
        </w:r>
        <w:r w:rsidR="001F4741">
          <w:rPr>
            <w:noProof/>
            <w:webHidden/>
          </w:rPr>
          <w:t>94</w:t>
        </w:r>
        <w:r w:rsidR="00D307FA">
          <w:rPr>
            <w:noProof/>
            <w:webHidden/>
          </w:rPr>
          <w:fldChar w:fldCharType="end"/>
        </w:r>
      </w:hyperlink>
    </w:p>
    <w:p w14:paraId="1F2F8E68" w14:textId="5B85514E"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21" w:history="1">
        <w:r w:rsidR="00D307FA" w:rsidRPr="00726C87">
          <w:rPr>
            <w:rStyle w:val="Hyperlink"/>
            <w:rFonts w:eastAsiaTheme="majorEastAsia"/>
            <w:b/>
            <w:bCs/>
            <w:noProof/>
          </w:rPr>
          <w:t>Figure 57:</w:t>
        </w:r>
        <w:r w:rsidR="00D307FA" w:rsidRPr="00726C87">
          <w:rPr>
            <w:rStyle w:val="Hyperlink"/>
            <w:rFonts w:eastAsiaTheme="majorEastAsia"/>
            <w:noProof/>
          </w:rPr>
          <w:t xml:space="preserve"> Self-aldol condensation rates of acetone and cyclopentanone over S-ZSM5s. Reaction conditions: 250 </w:t>
        </w:r>
        <w:r w:rsidR="00D307FA" w:rsidRPr="00726C87">
          <w:rPr>
            <w:rStyle w:val="Hyperlink"/>
            <w:rFonts w:eastAsiaTheme="majorEastAsia"/>
            <w:noProof/>
            <w:vertAlign w:val="superscript"/>
          </w:rPr>
          <w:t>o</w:t>
        </w:r>
        <w:r w:rsidR="00D307FA" w:rsidRPr="00726C87">
          <w:rPr>
            <w:rStyle w:val="Hyperlink"/>
            <w:rFonts w:eastAsiaTheme="majorEastAsia"/>
            <w:noProof/>
          </w:rPr>
          <w:t>C, 1 mol/L feeding reactant, 1 hour of reaction time. 250 mg of catalyst.</w:t>
        </w:r>
        <w:r w:rsidR="00D307FA">
          <w:rPr>
            <w:noProof/>
            <w:webHidden/>
          </w:rPr>
          <w:tab/>
        </w:r>
        <w:r w:rsidR="00D307FA">
          <w:rPr>
            <w:noProof/>
            <w:webHidden/>
          </w:rPr>
          <w:fldChar w:fldCharType="begin"/>
        </w:r>
        <w:r w:rsidR="00D307FA">
          <w:rPr>
            <w:noProof/>
            <w:webHidden/>
          </w:rPr>
          <w:instrText xml:space="preserve"> PAGEREF _Toc131948721 \h </w:instrText>
        </w:r>
        <w:r w:rsidR="00D307FA">
          <w:rPr>
            <w:noProof/>
            <w:webHidden/>
          </w:rPr>
        </w:r>
        <w:r w:rsidR="00D307FA">
          <w:rPr>
            <w:noProof/>
            <w:webHidden/>
          </w:rPr>
          <w:fldChar w:fldCharType="separate"/>
        </w:r>
        <w:r w:rsidR="001F4741">
          <w:rPr>
            <w:noProof/>
            <w:webHidden/>
          </w:rPr>
          <w:t>95</w:t>
        </w:r>
        <w:r w:rsidR="00D307FA">
          <w:rPr>
            <w:noProof/>
            <w:webHidden/>
          </w:rPr>
          <w:fldChar w:fldCharType="end"/>
        </w:r>
      </w:hyperlink>
    </w:p>
    <w:p w14:paraId="7E76F907" w14:textId="4E66715B"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22" w:history="1">
        <w:r w:rsidR="00D307FA" w:rsidRPr="00726C87">
          <w:rPr>
            <w:rStyle w:val="Hyperlink"/>
            <w:rFonts w:eastAsiaTheme="majorEastAsia"/>
            <w:b/>
            <w:bCs/>
            <w:noProof/>
          </w:rPr>
          <w:t>Figure 58:</w:t>
        </w:r>
        <w:r w:rsidR="00D307FA" w:rsidRPr="00726C87">
          <w:rPr>
            <w:rStyle w:val="Hyperlink"/>
            <w:rFonts w:eastAsiaTheme="majorEastAsia"/>
            <w:noProof/>
          </w:rPr>
          <w:t xml:space="preserve"> Self-aldol condensation rates of acetone and cyclopentanone over S-ZSM5s with different crystallization periods. Reaction conditions: 250 </w:t>
        </w:r>
        <w:r w:rsidR="00D307FA" w:rsidRPr="00726C87">
          <w:rPr>
            <w:rStyle w:val="Hyperlink"/>
            <w:rFonts w:eastAsiaTheme="majorEastAsia"/>
            <w:noProof/>
            <w:vertAlign w:val="superscript"/>
          </w:rPr>
          <w:t>o</w:t>
        </w:r>
        <w:r w:rsidR="00D307FA" w:rsidRPr="00726C87">
          <w:rPr>
            <w:rStyle w:val="Hyperlink"/>
            <w:rFonts w:eastAsiaTheme="majorEastAsia"/>
            <w:noProof/>
          </w:rPr>
          <w:t>C, 1 mol/L feeding reactant, 1 hour of reaction time. 250 mg of catalyst.</w:t>
        </w:r>
        <w:r w:rsidR="00D307FA">
          <w:rPr>
            <w:noProof/>
            <w:webHidden/>
          </w:rPr>
          <w:tab/>
        </w:r>
        <w:r w:rsidR="00D307FA">
          <w:rPr>
            <w:noProof/>
            <w:webHidden/>
          </w:rPr>
          <w:fldChar w:fldCharType="begin"/>
        </w:r>
        <w:r w:rsidR="00D307FA">
          <w:rPr>
            <w:noProof/>
            <w:webHidden/>
          </w:rPr>
          <w:instrText xml:space="preserve"> PAGEREF _Toc131948722 \h </w:instrText>
        </w:r>
        <w:r w:rsidR="00D307FA">
          <w:rPr>
            <w:noProof/>
            <w:webHidden/>
          </w:rPr>
        </w:r>
        <w:r w:rsidR="00D307FA">
          <w:rPr>
            <w:noProof/>
            <w:webHidden/>
          </w:rPr>
          <w:fldChar w:fldCharType="separate"/>
        </w:r>
        <w:r w:rsidR="001F4741">
          <w:rPr>
            <w:noProof/>
            <w:webHidden/>
          </w:rPr>
          <w:t>96</w:t>
        </w:r>
        <w:r w:rsidR="00D307FA">
          <w:rPr>
            <w:noProof/>
            <w:webHidden/>
          </w:rPr>
          <w:fldChar w:fldCharType="end"/>
        </w:r>
      </w:hyperlink>
    </w:p>
    <w:p w14:paraId="353C8C29" w14:textId="6284DD8B"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23" w:history="1">
        <w:r w:rsidR="00D307FA" w:rsidRPr="00726C87">
          <w:rPr>
            <w:rStyle w:val="Hyperlink"/>
            <w:rFonts w:eastAsiaTheme="majorEastAsia"/>
            <w:b/>
            <w:bCs/>
            <w:noProof/>
          </w:rPr>
          <w:t>Figure 59:</w:t>
        </w:r>
        <w:r w:rsidR="00D307FA" w:rsidRPr="00726C87">
          <w:rPr>
            <w:rStyle w:val="Hyperlink"/>
            <w:rFonts w:eastAsiaTheme="majorEastAsia"/>
            <w:noProof/>
          </w:rPr>
          <w:t xml:space="preserve"> Self-aldol condensation rates of acetone and cyclopentanone over Na-titrated S-ZSM5 150 </w:t>
        </w:r>
        <w:r w:rsidR="00D307FA" w:rsidRPr="00726C87">
          <w:rPr>
            <w:rStyle w:val="Hyperlink"/>
            <w:rFonts w:eastAsiaTheme="majorEastAsia"/>
            <w:noProof/>
            <w:vertAlign w:val="superscript"/>
          </w:rPr>
          <w:t>o</w:t>
        </w:r>
        <w:r w:rsidR="00D307FA" w:rsidRPr="00726C87">
          <w:rPr>
            <w:rStyle w:val="Hyperlink"/>
            <w:rFonts w:eastAsiaTheme="majorEastAsia"/>
            <w:noProof/>
          </w:rPr>
          <w:t xml:space="preserve">C samples as a function of titrated acid sites. Reaction conditions: 250 </w:t>
        </w:r>
        <w:r w:rsidR="00D307FA" w:rsidRPr="00726C87">
          <w:rPr>
            <w:rStyle w:val="Hyperlink"/>
            <w:rFonts w:eastAsiaTheme="majorEastAsia"/>
            <w:noProof/>
            <w:vertAlign w:val="superscript"/>
          </w:rPr>
          <w:t>o</w:t>
        </w:r>
        <w:r w:rsidR="00D307FA" w:rsidRPr="00726C87">
          <w:rPr>
            <w:rStyle w:val="Hyperlink"/>
            <w:rFonts w:eastAsiaTheme="majorEastAsia"/>
            <w:noProof/>
          </w:rPr>
          <w:t>C, 1 mol/L feeding reactant, 1 hour of reaction time. 250 mg of catalyst.</w:t>
        </w:r>
        <w:r w:rsidR="00D307FA">
          <w:rPr>
            <w:noProof/>
            <w:webHidden/>
          </w:rPr>
          <w:tab/>
        </w:r>
        <w:r w:rsidR="00D307FA">
          <w:rPr>
            <w:noProof/>
            <w:webHidden/>
          </w:rPr>
          <w:fldChar w:fldCharType="begin"/>
        </w:r>
        <w:r w:rsidR="00D307FA">
          <w:rPr>
            <w:noProof/>
            <w:webHidden/>
          </w:rPr>
          <w:instrText xml:space="preserve"> PAGEREF _Toc131948723 \h </w:instrText>
        </w:r>
        <w:r w:rsidR="00D307FA">
          <w:rPr>
            <w:noProof/>
            <w:webHidden/>
          </w:rPr>
        </w:r>
        <w:r w:rsidR="00D307FA">
          <w:rPr>
            <w:noProof/>
            <w:webHidden/>
          </w:rPr>
          <w:fldChar w:fldCharType="separate"/>
        </w:r>
        <w:r w:rsidR="001F4741">
          <w:rPr>
            <w:noProof/>
            <w:webHidden/>
          </w:rPr>
          <w:t>97</w:t>
        </w:r>
        <w:r w:rsidR="00D307FA">
          <w:rPr>
            <w:noProof/>
            <w:webHidden/>
          </w:rPr>
          <w:fldChar w:fldCharType="end"/>
        </w:r>
      </w:hyperlink>
    </w:p>
    <w:p w14:paraId="6ED9DC3B" w14:textId="4B650740"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24" w:history="1">
        <w:r w:rsidR="00D307FA" w:rsidRPr="00726C87">
          <w:rPr>
            <w:rStyle w:val="Hyperlink"/>
            <w:rFonts w:eastAsiaTheme="majorEastAsia"/>
            <w:b/>
            <w:bCs/>
            <w:noProof/>
          </w:rPr>
          <w:t>Figure 60:</w:t>
        </w:r>
        <w:r w:rsidR="00D307FA" w:rsidRPr="00726C87">
          <w:rPr>
            <w:rStyle w:val="Hyperlink"/>
            <w:rFonts w:eastAsiaTheme="majorEastAsia"/>
            <w:noProof/>
          </w:rPr>
          <w:t xml:space="preserve"> Theoretical Thiele modulus and correspondent effectiveness factor calculated based on consumption catalytic rates of acetone and cyclopentanone.</w:t>
        </w:r>
        <w:r w:rsidR="00D307FA">
          <w:rPr>
            <w:noProof/>
            <w:webHidden/>
          </w:rPr>
          <w:tab/>
        </w:r>
        <w:r w:rsidR="00D307FA">
          <w:rPr>
            <w:noProof/>
            <w:webHidden/>
          </w:rPr>
          <w:fldChar w:fldCharType="begin"/>
        </w:r>
        <w:r w:rsidR="00D307FA">
          <w:rPr>
            <w:noProof/>
            <w:webHidden/>
          </w:rPr>
          <w:instrText xml:space="preserve"> PAGEREF _Toc131948724 \h </w:instrText>
        </w:r>
        <w:r w:rsidR="00D307FA">
          <w:rPr>
            <w:noProof/>
            <w:webHidden/>
          </w:rPr>
        </w:r>
        <w:r w:rsidR="00D307FA">
          <w:rPr>
            <w:noProof/>
            <w:webHidden/>
          </w:rPr>
          <w:fldChar w:fldCharType="separate"/>
        </w:r>
        <w:r w:rsidR="001F4741">
          <w:rPr>
            <w:noProof/>
            <w:webHidden/>
          </w:rPr>
          <w:t>98</w:t>
        </w:r>
        <w:r w:rsidR="00D307FA">
          <w:rPr>
            <w:noProof/>
            <w:webHidden/>
          </w:rPr>
          <w:fldChar w:fldCharType="end"/>
        </w:r>
      </w:hyperlink>
    </w:p>
    <w:p w14:paraId="36E2AD62" w14:textId="47473DDD"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25" w:history="1">
        <w:r w:rsidR="00D307FA" w:rsidRPr="00726C87">
          <w:rPr>
            <w:rStyle w:val="Hyperlink"/>
            <w:rFonts w:eastAsiaTheme="majorEastAsia"/>
            <w:b/>
            <w:bCs/>
            <w:noProof/>
          </w:rPr>
          <w:t>Figure 61:</w:t>
        </w:r>
        <w:r w:rsidR="00D307FA" w:rsidRPr="00726C87">
          <w:rPr>
            <w:rStyle w:val="Hyperlink"/>
            <w:rFonts w:eastAsiaTheme="majorEastAsia"/>
            <w:noProof/>
          </w:rPr>
          <w:t xml:space="preserve"> Self-aldol condensation rates of acetone and cyclopentanone over Na-titrated S-ZSM5 160 </w:t>
        </w:r>
        <w:r w:rsidR="00D307FA" w:rsidRPr="00726C87">
          <w:rPr>
            <w:rStyle w:val="Hyperlink"/>
            <w:rFonts w:eastAsiaTheme="majorEastAsia"/>
            <w:noProof/>
            <w:vertAlign w:val="superscript"/>
          </w:rPr>
          <w:t>o</w:t>
        </w:r>
        <w:r w:rsidR="00D307FA" w:rsidRPr="00726C87">
          <w:rPr>
            <w:rStyle w:val="Hyperlink"/>
            <w:rFonts w:eastAsiaTheme="majorEastAsia"/>
            <w:noProof/>
          </w:rPr>
          <w:t xml:space="preserve">C samples as a function of titrated acid sites. Reaction conditions: 250 </w:t>
        </w:r>
        <w:r w:rsidR="00D307FA" w:rsidRPr="00726C87">
          <w:rPr>
            <w:rStyle w:val="Hyperlink"/>
            <w:rFonts w:eastAsiaTheme="majorEastAsia"/>
            <w:noProof/>
            <w:vertAlign w:val="superscript"/>
          </w:rPr>
          <w:t>o</w:t>
        </w:r>
        <w:r w:rsidR="00D307FA" w:rsidRPr="00726C87">
          <w:rPr>
            <w:rStyle w:val="Hyperlink"/>
            <w:rFonts w:eastAsiaTheme="majorEastAsia"/>
            <w:noProof/>
          </w:rPr>
          <w:t>C, 1 mol/L feeding reactant, 1 hour of reaction time, 250 mg of catalyst.</w:t>
        </w:r>
        <w:r w:rsidR="00D307FA">
          <w:rPr>
            <w:noProof/>
            <w:webHidden/>
          </w:rPr>
          <w:tab/>
        </w:r>
        <w:r w:rsidR="00D307FA">
          <w:rPr>
            <w:noProof/>
            <w:webHidden/>
          </w:rPr>
          <w:fldChar w:fldCharType="begin"/>
        </w:r>
        <w:r w:rsidR="00D307FA">
          <w:rPr>
            <w:noProof/>
            <w:webHidden/>
          </w:rPr>
          <w:instrText xml:space="preserve"> PAGEREF _Toc131948725 \h </w:instrText>
        </w:r>
        <w:r w:rsidR="00D307FA">
          <w:rPr>
            <w:noProof/>
            <w:webHidden/>
          </w:rPr>
        </w:r>
        <w:r w:rsidR="00D307FA">
          <w:rPr>
            <w:noProof/>
            <w:webHidden/>
          </w:rPr>
          <w:fldChar w:fldCharType="separate"/>
        </w:r>
        <w:r w:rsidR="001F4741">
          <w:rPr>
            <w:noProof/>
            <w:webHidden/>
          </w:rPr>
          <w:t>99</w:t>
        </w:r>
        <w:r w:rsidR="00D307FA">
          <w:rPr>
            <w:noProof/>
            <w:webHidden/>
          </w:rPr>
          <w:fldChar w:fldCharType="end"/>
        </w:r>
      </w:hyperlink>
    </w:p>
    <w:p w14:paraId="31225C73" w14:textId="62557A39"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26" w:history="1">
        <w:r w:rsidR="00D307FA" w:rsidRPr="00726C87">
          <w:rPr>
            <w:rStyle w:val="Hyperlink"/>
            <w:rFonts w:eastAsiaTheme="majorEastAsia"/>
            <w:b/>
            <w:bCs/>
            <w:noProof/>
          </w:rPr>
          <w:t>Figure 62:</w:t>
        </w:r>
        <w:r w:rsidR="00D307FA" w:rsidRPr="00726C87">
          <w:rPr>
            <w:rStyle w:val="Hyperlink"/>
            <w:rFonts w:eastAsiaTheme="majorEastAsia"/>
            <w:noProof/>
          </w:rPr>
          <w:t xml:space="preserve"> Scanning Electron Microscope pictures of S-ZSM5 150 </w:t>
        </w:r>
        <w:r w:rsidR="00D307FA" w:rsidRPr="00726C87">
          <w:rPr>
            <w:rStyle w:val="Hyperlink"/>
            <w:rFonts w:eastAsiaTheme="majorEastAsia"/>
            <w:noProof/>
            <w:vertAlign w:val="superscript"/>
          </w:rPr>
          <w:t>o</w:t>
        </w:r>
        <w:r w:rsidR="00D307FA" w:rsidRPr="00726C87">
          <w:rPr>
            <w:rStyle w:val="Hyperlink"/>
            <w:rFonts w:eastAsiaTheme="majorEastAsia"/>
            <w:noProof/>
          </w:rPr>
          <w:t>C (Si/Al =80) with different Na loadings (Na0.0625 and Na0.25) calculated based on a TPAOH molar amount.</w:t>
        </w:r>
        <w:r w:rsidR="00D307FA">
          <w:rPr>
            <w:noProof/>
            <w:webHidden/>
          </w:rPr>
          <w:tab/>
        </w:r>
        <w:r w:rsidR="00D307FA">
          <w:rPr>
            <w:noProof/>
            <w:webHidden/>
          </w:rPr>
          <w:fldChar w:fldCharType="begin"/>
        </w:r>
        <w:r w:rsidR="00D307FA">
          <w:rPr>
            <w:noProof/>
            <w:webHidden/>
          </w:rPr>
          <w:instrText xml:space="preserve"> PAGEREF _Toc131948726 \h </w:instrText>
        </w:r>
        <w:r w:rsidR="00D307FA">
          <w:rPr>
            <w:noProof/>
            <w:webHidden/>
          </w:rPr>
        </w:r>
        <w:r w:rsidR="00D307FA">
          <w:rPr>
            <w:noProof/>
            <w:webHidden/>
          </w:rPr>
          <w:fldChar w:fldCharType="separate"/>
        </w:r>
        <w:r w:rsidR="001F4741">
          <w:rPr>
            <w:noProof/>
            <w:webHidden/>
          </w:rPr>
          <w:t>101</w:t>
        </w:r>
        <w:r w:rsidR="00D307FA">
          <w:rPr>
            <w:noProof/>
            <w:webHidden/>
          </w:rPr>
          <w:fldChar w:fldCharType="end"/>
        </w:r>
      </w:hyperlink>
    </w:p>
    <w:p w14:paraId="0E416512" w14:textId="76ED9382"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27" w:history="1">
        <w:r w:rsidR="00D307FA" w:rsidRPr="00726C87">
          <w:rPr>
            <w:rStyle w:val="Hyperlink"/>
            <w:rFonts w:eastAsiaTheme="majorEastAsia"/>
            <w:b/>
            <w:bCs/>
            <w:noProof/>
          </w:rPr>
          <w:t>Figure 63:</w:t>
        </w:r>
        <w:r w:rsidR="00D307FA" w:rsidRPr="00726C87">
          <w:rPr>
            <w:rStyle w:val="Hyperlink"/>
            <w:rFonts w:eastAsiaTheme="majorEastAsia"/>
            <w:noProof/>
          </w:rPr>
          <w:t xml:space="preserve"> Catalytic measurements of the self-aldol condensation rates of acetone and cyclopentanone with Na-added during synthesis compared to Na-titrated S-ZSM5 150 </w:t>
        </w:r>
        <w:r w:rsidR="00D307FA" w:rsidRPr="00726C87">
          <w:rPr>
            <w:rStyle w:val="Hyperlink"/>
            <w:rFonts w:eastAsiaTheme="majorEastAsia"/>
            <w:noProof/>
            <w:vertAlign w:val="superscript"/>
          </w:rPr>
          <w:t>o</w:t>
        </w:r>
        <w:r w:rsidR="00D307FA" w:rsidRPr="00726C87">
          <w:rPr>
            <w:rStyle w:val="Hyperlink"/>
            <w:rFonts w:eastAsiaTheme="majorEastAsia"/>
            <w:noProof/>
          </w:rPr>
          <w:t xml:space="preserve">C samples as a function of titrated acid sites. Reaction conditions: 250 </w:t>
        </w:r>
        <w:r w:rsidR="00D307FA" w:rsidRPr="00726C87">
          <w:rPr>
            <w:rStyle w:val="Hyperlink"/>
            <w:rFonts w:eastAsiaTheme="majorEastAsia"/>
            <w:noProof/>
            <w:vertAlign w:val="superscript"/>
          </w:rPr>
          <w:t>o</w:t>
        </w:r>
        <w:r w:rsidR="00D307FA" w:rsidRPr="00726C87">
          <w:rPr>
            <w:rStyle w:val="Hyperlink"/>
            <w:rFonts w:eastAsiaTheme="majorEastAsia"/>
            <w:noProof/>
          </w:rPr>
          <w:t>C, 1 mol/L feeding reactant, 1 hour of reaction time. 250 mg of catalyst.</w:t>
        </w:r>
        <w:r w:rsidR="00D307FA">
          <w:rPr>
            <w:noProof/>
            <w:webHidden/>
          </w:rPr>
          <w:tab/>
        </w:r>
        <w:r w:rsidR="00D307FA">
          <w:rPr>
            <w:noProof/>
            <w:webHidden/>
          </w:rPr>
          <w:fldChar w:fldCharType="begin"/>
        </w:r>
        <w:r w:rsidR="00D307FA">
          <w:rPr>
            <w:noProof/>
            <w:webHidden/>
          </w:rPr>
          <w:instrText xml:space="preserve"> PAGEREF _Toc131948727 \h </w:instrText>
        </w:r>
        <w:r w:rsidR="00D307FA">
          <w:rPr>
            <w:noProof/>
            <w:webHidden/>
          </w:rPr>
        </w:r>
        <w:r w:rsidR="00D307FA">
          <w:rPr>
            <w:noProof/>
            <w:webHidden/>
          </w:rPr>
          <w:fldChar w:fldCharType="separate"/>
        </w:r>
        <w:r w:rsidR="001F4741">
          <w:rPr>
            <w:noProof/>
            <w:webHidden/>
          </w:rPr>
          <w:t>102</w:t>
        </w:r>
        <w:r w:rsidR="00D307FA">
          <w:rPr>
            <w:noProof/>
            <w:webHidden/>
          </w:rPr>
          <w:fldChar w:fldCharType="end"/>
        </w:r>
      </w:hyperlink>
    </w:p>
    <w:p w14:paraId="7DCF2D57" w14:textId="3A77F081"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28" w:history="1">
        <w:r w:rsidR="00D307FA" w:rsidRPr="00726C87">
          <w:rPr>
            <w:rStyle w:val="Hyperlink"/>
            <w:rFonts w:eastAsiaTheme="majorEastAsia"/>
            <w:b/>
            <w:bCs/>
            <w:noProof/>
          </w:rPr>
          <w:t>Figure 64:</w:t>
        </w:r>
        <w:r w:rsidR="00D307FA" w:rsidRPr="00726C87">
          <w:rPr>
            <w:rStyle w:val="Hyperlink"/>
            <w:rFonts w:eastAsiaTheme="majorEastAsia"/>
            <w:noProof/>
          </w:rPr>
          <w:t xml:space="preserve"> Scanning Electron Microscope pictures of 0.5TPAOH S-ZSM5 150 </w:t>
        </w:r>
        <w:r w:rsidR="00D307FA" w:rsidRPr="00726C87">
          <w:rPr>
            <w:rStyle w:val="Hyperlink"/>
            <w:rFonts w:eastAsiaTheme="majorEastAsia"/>
            <w:noProof/>
            <w:vertAlign w:val="superscript"/>
          </w:rPr>
          <w:t>o</w:t>
        </w:r>
        <w:r w:rsidR="00D307FA" w:rsidRPr="00726C87">
          <w:rPr>
            <w:rStyle w:val="Hyperlink"/>
            <w:rFonts w:eastAsiaTheme="majorEastAsia"/>
            <w:noProof/>
          </w:rPr>
          <w:t>C (Si/Al =80).</w:t>
        </w:r>
        <w:r w:rsidR="00D307FA">
          <w:rPr>
            <w:noProof/>
            <w:webHidden/>
          </w:rPr>
          <w:tab/>
        </w:r>
        <w:r w:rsidR="00D307FA">
          <w:rPr>
            <w:noProof/>
            <w:webHidden/>
          </w:rPr>
          <w:fldChar w:fldCharType="begin"/>
        </w:r>
        <w:r w:rsidR="00D307FA">
          <w:rPr>
            <w:noProof/>
            <w:webHidden/>
          </w:rPr>
          <w:instrText xml:space="preserve"> PAGEREF _Toc131948728 \h </w:instrText>
        </w:r>
        <w:r w:rsidR="00D307FA">
          <w:rPr>
            <w:noProof/>
            <w:webHidden/>
          </w:rPr>
        </w:r>
        <w:r w:rsidR="00D307FA">
          <w:rPr>
            <w:noProof/>
            <w:webHidden/>
          </w:rPr>
          <w:fldChar w:fldCharType="separate"/>
        </w:r>
        <w:r w:rsidR="001F4741">
          <w:rPr>
            <w:noProof/>
            <w:webHidden/>
          </w:rPr>
          <w:t>104</w:t>
        </w:r>
        <w:r w:rsidR="00D307FA">
          <w:rPr>
            <w:noProof/>
            <w:webHidden/>
          </w:rPr>
          <w:fldChar w:fldCharType="end"/>
        </w:r>
      </w:hyperlink>
    </w:p>
    <w:p w14:paraId="100B5F97" w14:textId="3E02B3DA"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29" w:history="1">
        <w:r w:rsidR="00D307FA" w:rsidRPr="00726C87">
          <w:rPr>
            <w:rStyle w:val="Hyperlink"/>
            <w:rFonts w:eastAsiaTheme="majorEastAsia"/>
            <w:b/>
            <w:bCs/>
            <w:noProof/>
          </w:rPr>
          <w:t xml:space="preserve">Figure 65: </w:t>
        </w:r>
        <w:r w:rsidR="00D307FA" w:rsidRPr="00726C87">
          <w:rPr>
            <w:rStyle w:val="Hyperlink"/>
            <w:rFonts w:eastAsiaTheme="majorEastAsia"/>
            <w:noProof/>
          </w:rPr>
          <w:t>Carbocation initiation in heptane (model molecule), a first elementary step onto catalytic cracking reaction. A model representation.</w:t>
        </w:r>
        <w:r w:rsidR="00D307FA">
          <w:rPr>
            <w:noProof/>
            <w:webHidden/>
          </w:rPr>
          <w:tab/>
        </w:r>
        <w:r w:rsidR="00D307FA">
          <w:rPr>
            <w:noProof/>
            <w:webHidden/>
          </w:rPr>
          <w:fldChar w:fldCharType="begin"/>
        </w:r>
        <w:r w:rsidR="00D307FA">
          <w:rPr>
            <w:noProof/>
            <w:webHidden/>
          </w:rPr>
          <w:instrText xml:space="preserve"> PAGEREF _Toc131948729 \h </w:instrText>
        </w:r>
        <w:r w:rsidR="00D307FA">
          <w:rPr>
            <w:noProof/>
            <w:webHidden/>
          </w:rPr>
        </w:r>
        <w:r w:rsidR="00D307FA">
          <w:rPr>
            <w:noProof/>
            <w:webHidden/>
          </w:rPr>
          <w:fldChar w:fldCharType="separate"/>
        </w:r>
        <w:r w:rsidR="001F4741">
          <w:rPr>
            <w:noProof/>
            <w:webHidden/>
          </w:rPr>
          <w:t>109</w:t>
        </w:r>
        <w:r w:rsidR="00D307FA">
          <w:rPr>
            <w:noProof/>
            <w:webHidden/>
          </w:rPr>
          <w:fldChar w:fldCharType="end"/>
        </w:r>
      </w:hyperlink>
    </w:p>
    <w:p w14:paraId="1F5ED66F" w14:textId="76F16E92"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30" w:history="1">
        <w:r w:rsidR="00D307FA" w:rsidRPr="00726C87">
          <w:rPr>
            <w:rStyle w:val="Hyperlink"/>
            <w:rFonts w:eastAsiaTheme="majorEastAsia"/>
            <w:b/>
            <w:bCs/>
            <w:noProof/>
          </w:rPr>
          <w:t>Figure 66:</w:t>
        </w:r>
        <w:r w:rsidR="00D307FA" w:rsidRPr="00726C87">
          <w:rPr>
            <w:rStyle w:val="Hyperlink"/>
            <w:rFonts w:eastAsiaTheme="majorEastAsia"/>
            <w:noProof/>
          </w:rPr>
          <w:t xml:space="preserve"> Conventional TEM images of severely steamed and subsequently acid-leached zeolite Y crystals with Si/Al ratios 15 (a) and 30 (b), commercially available as CBV-720 and CBV-760, respectively, from Zeolyst. Reproduced from Ref [214].</w:t>
        </w:r>
        <w:r w:rsidR="00D307FA">
          <w:rPr>
            <w:noProof/>
            <w:webHidden/>
          </w:rPr>
          <w:tab/>
        </w:r>
        <w:r w:rsidR="00D307FA">
          <w:rPr>
            <w:noProof/>
            <w:webHidden/>
          </w:rPr>
          <w:fldChar w:fldCharType="begin"/>
        </w:r>
        <w:r w:rsidR="00D307FA">
          <w:rPr>
            <w:noProof/>
            <w:webHidden/>
          </w:rPr>
          <w:instrText xml:space="preserve"> PAGEREF _Toc131948730 \h </w:instrText>
        </w:r>
        <w:r w:rsidR="00D307FA">
          <w:rPr>
            <w:noProof/>
            <w:webHidden/>
          </w:rPr>
        </w:r>
        <w:r w:rsidR="00D307FA">
          <w:rPr>
            <w:noProof/>
            <w:webHidden/>
          </w:rPr>
          <w:fldChar w:fldCharType="separate"/>
        </w:r>
        <w:r w:rsidR="001F4741">
          <w:rPr>
            <w:noProof/>
            <w:webHidden/>
          </w:rPr>
          <w:t>112</w:t>
        </w:r>
        <w:r w:rsidR="00D307FA">
          <w:rPr>
            <w:noProof/>
            <w:webHidden/>
          </w:rPr>
          <w:fldChar w:fldCharType="end"/>
        </w:r>
      </w:hyperlink>
    </w:p>
    <w:p w14:paraId="14552B1B" w14:textId="540D83F6"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31" w:history="1">
        <w:r w:rsidR="00D307FA" w:rsidRPr="00726C87">
          <w:rPr>
            <w:rStyle w:val="Hyperlink"/>
            <w:rFonts w:eastAsiaTheme="majorEastAsia"/>
            <w:b/>
            <w:bCs/>
            <w:noProof/>
          </w:rPr>
          <w:t>Figure 67:</w:t>
        </w:r>
        <w:r w:rsidR="00D307FA" w:rsidRPr="00726C87">
          <w:rPr>
            <w:rStyle w:val="Hyperlink"/>
            <w:rFonts w:eastAsiaTheme="majorEastAsia"/>
            <w:noProof/>
          </w:rPr>
          <w:t xml:space="preserve"> </w:t>
        </w:r>
        <w:r w:rsidR="00D307FA" w:rsidRPr="00726C87">
          <w:rPr>
            <w:rStyle w:val="Hyperlink"/>
            <w:rFonts w:eastAsiaTheme="majorEastAsia"/>
            <w:b/>
            <w:bCs/>
            <w:noProof/>
          </w:rPr>
          <w:t>a)</w:t>
        </w:r>
        <w:r w:rsidR="00D307FA" w:rsidRPr="00726C87">
          <w:rPr>
            <w:rStyle w:val="Hyperlink"/>
            <w:rFonts w:eastAsiaTheme="majorEastAsia"/>
            <w:noProof/>
          </w:rPr>
          <w:t xml:space="preserve"> Product distribution of 2,5-dimethylhexane catalytic cracking over zeolite Y15 in flow mode. Bar representation is relative to product distribution within progressing reactant time on stream. Reaction conditions: 400 </w:t>
        </w:r>
        <w:r w:rsidR="00D307FA" w:rsidRPr="00726C87">
          <w:rPr>
            <w:rStyle w:val="Hyperlink"/>
            <w:rFonts w:eastAsiaTheme="majorEastAsia"/>
            <w:noProof/>
            <w:vertAlign w:val="superscript"/>
          </w:rPr>
          <w:t>o</w:t>
        </w:r>
        <w:r w:rsidR="00D307FA" w:rsidRPr="00726C87">
          <w:rPr>
            <w:rStyle w:val="Hyperlink"/>
            <w:rFonts w:eastAsiaTheme="majorEastAsia"/>
            <w:noProof/>
          </w:rPr>
          <w:t>C, 50 mg, 0.5 mL of reactant injected per hour, 100 mL/min of N</w:t>
        </w:r>
        <w:r w:rsidR="00D307FA" w:rsidRPr="00726C87">
          <w:rPr>
            <w:rStyle w:val="Hyperlink"/>
            <w:rFonts w:eastAsiaTheme="majorEastAsia"/>
            <w:noProof/>
            <w:vertAlign w:val="subscript"/>
          </w:rPr>
          <w:t>2</w:t>
        </w:r>
        <w:r w:rsidR="00D307FA" w:rsidRPr="00726C87">
          <w:rPr>
            <w:rStyle w:val="Hyperlink"/>
            <w:rFonts w:eastAsiaTheme="majorEastAsia"/>
            <w:noProof/>
          </w:rPr>
          <w:t xml:space="preserve"> inert flow. Pretreatment under N</w:t>
        </w:r>
        <w:r w:rsidR="00D307FA" w:rsidRPr="00726C87">
          <w:rPr>
            <w:rStyle w:val="Hyperlink"/>
            <w:rFonts w:eastAsiaTheme="majorEastAsia"/>
            <w:noProof/>
            <w:vertAlign w:val="subscript"/>
          </w:rPr>
          <w:t>2</w:t>
        </w:r>
        <w:r w:rsidR="00D307FA" w:rsidRPr="00726C87">
          <w:rPr>
            <w:rStyle w:val="Hyperlink"/>
            <w:rFonts w:eastAsiaTheme="majorEastAsia"/>
            <w:noProof/>
          </w:rPr>
          <w:t xml:space="preserve"> at 300 </w:t>
        </w:r>
        <w:r w:rsidR="00D307FA" w:rsidRPr="00726C87">
          <w:rPr>
            <w:rStyle w:val="Hyperlink"/>
            <w:rFonts w:eastAsiaTheme="majorEastAsia"/>
            <w:noProof/>
            <w:vertAlign w:val="superscript"/>
          </w:rPr>
          <w:t>o</w:t>
        </w:r>
        <w:r w:rsidR="00D307FA" w:rsidRPr="00726C87">
          <w:rPr>
            <w:rStyle w:val="Hyperlink"/>
            <w:rFonts w:eastAsiaTheme="majorEastAsia"/>
            <w:noProof/>
          </w:rPr>
          <w:t xml:space="preserve">C for 2 hours prior injection. </w:t>
        </w:r>
        <w:r w:rsidR="00D307FA" w:rsidRPr="00726C87">
          <w:rPr>
            <w:rStyle w:val="Hyperlink"/>
            <w:rFonts w:eastAsiaTheme="majorEastAsia"/>
            <w:b/>
            <w:bCs/>
            <w:noProof/>
          </w:rPr>
          <w:t>b)</w:t>
        </w:r>
        <w:r w:rsidR="00D307FA" w:rsidRPr="00726C87">
          <w:rPr>
            <w:rStyle w:val="Hyperlink"/>
            <w:rFonts w:eastAsiaTheme="majorEastAsia"/>
            <w:noProof/>
          </w:rPr>
          <w:t xml:space="preserve"> 2,5-dimethyl hexane carbon positioning notation.</w:t>
        </w:r>
        <w:r w:rsidR="00D307FA">
          <w:rPr>
            <w:noProof/>
            <w:webHidden/>
          </w:rPr>
          <w:tab/>
        </w:r>
        <w:r w:rsidR="00D307FA">
          <w:rPr>
            <w:noProof/>
            <w:webHidden/>
          </w:rPr>
          <w:fldChar w:fldCharType="begin"/>
        </w:r>
        <w:r w:rsidR="00D307FA">
          <w:rPr>
            <w:noProof/>
            <w:webHidden/>
          </w:rPr>
          <w:instrText xml:space="preserve"> PAGEREF _Toc131948731 \h </w:instrText>
        </w:r>
        <w:r w:rsidR="00D307FA">
          <w:rPr>
            <w:noProof/>
            <w:webHidden/>
          </w:rPr>
        </w:r>
        <w:r w:rsidR="00D307FA">
          <w:rPr>
            <w:noProof/>
            <w:webHidden/>
          </w:rPr>
          <w:fldChar w:fldCharType="separate"/>
        </w:r>
        <w:r w:rsidR="001F4741">
          <w:rPr>
            <w:noProof/>
            <w:webHidden/>
          </w:rPr>
          <w:t>118</w:t>
        </w:r>
        <w:r w:rsidR="00D307FA">
          <w:rPr>
            <w:noProof/>
            <w:webHidden/>
          </w:rPr>
          <w:fldChar w:fldCharType="end"/>
        </w:r>
      </w:hyperlink>
    </w:p>
    <w:p w14:paraId="226368ED" w14:textId="14FF9DA4"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32" w:history="1">
        <w:r w:rsidR="00D307FA" w:rsidRPr="00726C87">
          <w:rPr>
            <w:rStyle w:val="Hyperlink"/>
            <w:rFonts w:eastAsiaTheme="majorEastAsia"/>
            <w:b/>
            <w:bCs/>
            <w:noProof/>
          </w:rPr>
          <w:t xml:space="preserve">Figure 68: </w:t>
        </w:r>
        <w:r w:rsidR="00D307FA" w:rsidRPr="00726C87">
          <w:rPr>
            <w:rStyle w:val="Hyperlink"/>
            <w:rFonts w:eastAsiaTheme="majorEastAsia"/>
            <w:noProof/>
          </w:rPr>
          <w:t xml:space="preserve">Isooctane cracking conversion comparison among the commercial zeolite Y samples. Reaction conditions: 400 </w:t>
        </w:r>
        <w:r w:rsidR="00D307FA" w:rsidRPr="00726C87">
          <w:rPr>
            <w:rStyle w:val="Hyperlink"/>
            <w:rFonts w:eastAsiaTheme="majorEastAsia"/>
            <w:noProof/>
            <w:vertAlign w:val="superscript"/>
          </w:rPr>
          <w:t>o</w:t>
        </w:r>
        <w:r w:rsidR="00D307FA" w:rsidRPr="00726C87">
          <w:rPr>
            <w:rStyle w:val="Hyperlink"/>
            <w:rFonts w:eastAsiaTheme="majorEastAsia"/>
            <w:noProof/>
          </w:rPr>
          <w:t>C, 50 mg, 0.5 mL of reactant injected per hour, 100 mL/min of N</w:t>
        </w:r>
        <w:r w:rsidR="00D307FA" w:rsidRPr="00726C87">
          <w:rPr>
            <w:rStyle w:val="Hyperlink"/>
            <w:rFonts w:eastAsiaTheme="majorEastAsia"/>
            <w:noProof/>
            <w:vertAlign w:val="subscript"/>
          </w:rPr>
          <w:t>2</w:t>
        </w:r>
        <w:r w:rsidR="00D307FA" w:rsidRPr="00726C87">
          <w:rPr>
            <w:rStyle w:val="Hyperlink"/>
            <w:rFonts w:eastAsiaTheme="majorEastAsia"/>
            <w:noProof/>
          </w:rPr>
          <w:t xml:space="preserve"> inert flow. Pretreatment under N</w:t>
        </w:r>
        <w:r w:rsidR="00D307FA" w:rsidRPr="00726C87">
          <w:rPr>
            <w:rStyle w:val="Hyperlink"/>
            <w:rFonts w:eastAsiaTheme="majorEastAsia"/>
            <w:noProof/>
            <w:vertAlign w:val="subscript"/>
          </w:rPr>
          <w:t>2</w:t>
        </w:r>
        <w:r w:rsidR="00D307FA" w:rsidRPr="00726C87">
          <w:rPr>
            <w:rStyle w:val="Hyperlink"/>
            <w:rFonts w:eastAsiaTheme="majorEastAsia"/>
            <w:noProof/>
          </w:rPr>
          <w:t xml:space="preserve"> at 300 </w:t>
        </w:r>
        <w:r w:rsidR="00D307FA" w:rsidRPr="00726C87">
          <w:rPr>
            <w:rStyle w:val="Hyperlink"/>
            <w:rFonts w:eastAsiaTheme="majorEastAsia"/>
            <w:noProof/>
            <w:vertAlign w:val="superscript"/>
          </w:rPr>
          <w:t>o</w:t>
        </w:r>
        <w:r w:rsidR="00D307FA" w:rsidRPr="00726C87">
          <w:rPr>
            <w:rStyle w:val="Hyperlink"/>
            <w:rFonts w:eastAsiaTheme="majorEastAsia"/>
            <w:noProof/>
          </w:rPr>
          <w:t>C for 2 hours prior injection.</w:t>
        </w:r>
        <w:r w:rsidR="00D307FA">
          <w:rPr>
            <w:noProof/>
            <w:webHidden/>
          </w:rPr>
          <w:tab/>
        </w:r>
        <w:r w:rsidR="00D307FA">
          <w:rPr>
            <w:noProof/>
            <w:webHidden/>
          </w:rPr>
          <w:fldChar w:fldCharType="begin"/>
        </w:r>
        <w:r w:rsidR="00D307FA">
          <w:rPr>
            <w:noProof/>
            <w:webHidden/>
          </w:rPr>
          <w:instrText xml:space="preserve"> PAGEREF _Toc131948732 \h </w:instrText>
        </w:r>
        <w:r w:rsidR="00D307FA">
          <w:rPr>
            <w:noProof/>
            <w:webHidden/>
          </w:rPr>
        </w:r>
        <w:r w:rsidR="00D307FA">
          <w:rPr>
            <w:noProof/>
            <w:webHidden/>
          </w:rPr>
          <w:fldChar w:fldCharType="separate"/>
        </w:r>
        <w:r w:rsidR="001F4741">
          <w:rPr>
            <w:noProof/>
            <w:webHidden/>
          </w:rPr>
          <w:t>121</w:t>
        </w:r>
        <w:r w:rsidR="00D307FA">
          <w:rPr>
            <w:noProof/>
            <w:webHidden/>
          </w:rPr>
          <w:fldChar w:fldCharType="end"/>
        </w:r>
      </w:hyperlink>
    </w:p>
    <w:p w14:paraId="5ABD15D3" w14:textId="5899456B"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33" w:history="1">
        <w:r w:rsidR="00D307FA" w:rsidRPr="00726C87">
          <w:rPr>
            <w:rStyle w:val="Hyperlink"/>
            <w:rFonts w:eastAsiaTheme="majorEastAsia"/>
            <w:b/>
            <w:bCs/>
            <w:noProof/>
          </w:rPr>
          <w:t>Figure 69:</w:t>
        </w:r>
        <w:r w:rsidR="00D307FA" w:rsidRPr="00726C87">
          <w:rPr>
            <w:rStyle w:val="Hyperlink"/>
            <w:rFonts w:eastAsiaTheme="majorEastAsia"/>
            <w:noProof/>
          </w:rPr>
          <w:t xml:space="preserve"> Product selectivity of isooctane cracking over zeolite Y2.6 (a and b), Y15 (c and d) and Y30 (e and f). Reaction conditions: 400 </w:t>
        </w:r>
        <w:r w:rsidR="00D307FA" w:rsidRPr="00726C87">
          <w:rPr>
            <w:rStyle w:val="Hyperlink"/>
            <w:rFonts w:eastAsiaTheme="majorEastAsia"/>
            <w:noProof/>
            <w:vertAlign w:val="superscript"/>
          </w:rPr>
          <w:t>o</w:t>
        </w:r>
        <w:r w:rsidR="00D307FA" w:rsidRPr="00726C87">
          <w:rPr>
            <w:rStyle w:val="Hyperlink"/>
            <w:rFonts w:eastAsiaTheme="majorEastAsia"/>
            <w:noProof/>
          </w:rPr>
          <w:t>C, 0.5 mL of reactant injected per hour, 100 mL/min of N</w:t>
        </w:r>
        <w:r w:rsidR="00D307FA" w:rsidRPr="00726C87">
          <w:rPr>
            <w:rStyle w:val="Hyperlink"/>
            <w:rFonts w:eastAsiaTheme="majorEastAsia"/>
            <w:noProof/>
            <w:vertAlign w:val="subscript"/>
          </w:rPr>
          <w:t>2</w:t>
        </w:r>
        <w:r w:rsidR="00D307FA" w:rsidRPr="00726C87">
          <w:rPr>
            <w:rStyle w:val="Hyperlink"/>
            <w:rFonts w:eastAsiaTheme="majorEastAsia"/>
            <w:noProof/>
          </w:rPr>
          <w:t xml:space="preserve"> inert flow. Pretreatment under N</w:t>
        </w:r>
        <w:r w:rsidR="00D307FA" w:rsidRPr="00726C87">
          <w:rPr>
            <w:rStyle w:val="Hyperlink"/>
            <w:rFonts w:eastAsiaTheme="majorEastAsia"/>
            <w:noProof/>
            <w:vertAlign w:val="subscript"/>
          </w:rPr>
          <w:t>2</w:t>
        </w:r>
        <w:r w:rsidR="00D307FA" w:rsidRPr="00726C87">
          <w:rPr>
            <w:rStyle w:val="Hyperlink"/>
            <w:rFonts w:eastAsiaTheme="majorEastAsia"/>
            <w:noProof/>
          </w:rPr>
          <w:t xml:space="preserve"> at 300 </w:t>
        </w:r>
        <w:r w:rsidR="00D307FA" w:rsidRPr="00726C87">
          <w:rPr>
            <w:rStyle w:val="Hyperlink"/>
            <w:rFonts w:eastAsiaTheme="majorEastAsia"/>
            <w:noProof/>
            <w:vertAlign w:val="superscript"/>
          </w:rPr>
          <w:t>o</w:t>
        </w:r>
        <w:r w:rsidR="00D307FA" w:rsidRPr="00726C87">
          <w:rPr>
            <w:rStyle w:val="Hyperlink"/>
            <w:rFonts w:eastAsiaTheme="majorEastAsia"/>
            <w:noProof/>
          </w:rPr>
          <w:t>C for 2 hours prior injection.</w:t>
        </w:r>
        <w:r w:rsidR="00D307FA">
          <w:rPr>
            <w:noProof/>
            <w:webHidden/>
          </w:rPr>
          <w:tab/>
        </w:r>
        <w:r w:rsidR="00D307FA">
          <w:rPr>
            <w:noProof/>
            <w:webHidden/>
          </w:rPr>
          <w:fldChar w:fldCharType="begin"/>
        </w:r>
        <w:r w:rsidR="00D307FA">
          <w:rPr>
            <w:noProof/>
            <w:webHidden/>
          </w:rPr>
          <w:instrText xml:space="preserve"> PAGEREF _Toc131948733 \h </w:instrText>
        </w:r>
        <w:r w:rsidR="00D307FA">
          <w:rPr>
            <w:noProof/>
            <w:webHidden/>
          </w:rPr>
        </w:r>
        <w:r w:rsidR="00D307FA">
          <w:rPr>
            <w:noProof/>
            <w:webHidden/>
          </w:rPr>
          <w:fldChar w:fldCharType="separate"/>
        </w:r>
        <w:r w:rsidR="001F4741">
          <w:rPr>
            <w:noProof/>
            <w:webHidden/>
          </w:rPr>
          <w:t>123</w:t>
        </w:r>
        <w:r w:rsidR="00D307FA">
          <w:rPr>
            <w:noProof/>
            <w:webHidden/>
          </w:rPr>
          <w:fldChar w:fldCharType="end"/>
        </w:r>
      </w:hyperlink>
    </w:p>
    <w:p w14:paraId="22FB35AB" w14:textId="72FE6D54"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34" w:history="1">
        <w:r w:rsidR="00D307FA" w:rsidRPr="00726C87">
          <w:rPr>
            <w:rStyle w:val="Hyperlink"/>
            <w:rFonts w:eastAsiaTheme="majorEastAsia"/>
            <w:b/>
            <w:bCs/>
            <w:noProof/>
          </w:rPr>
          <w:t>Figure 70:</w:t>
        </w:r>
        <w:r w:rsidR="00D307FA" w:rsidRPr="00726C87">
          <w:rPr>
            <w:rStyle w:val="Hyperlink"/>
            <w:rFonts w:eastAsiaTheme="majorEastAsia"/>
            <w:noProof/>
          </w:rPr>
          <w:t xml:space="preserve"> C</w:t>
        </w:r>
        <w:r w:rsidR="00D307FA" w:rsidRPr="00726C87">
          <w:rPr>
            <w:rStyle w:val="Hyperlink"/>
            <w:rFonts w:eastAsiaTheme="majorEastAsia"/>
            <w:noProof/>
            <w:vertAlign w:val="subscript"/>
          </w:rPr>
          <w:t>1</w:t>
        </w:r>
        <w:r w:rsidR="00D307FA" w:rsidRPr="00726C87">
          <w:rPr>
            <w:rStyle w:val="Hyperlink"/>
            <w:rFonts w:eastAsiaTheme="majorEastAsia"/>
            <w:noProof/>
          </w:rPr>
          <w:t xml:space="preserve"> selectivity as a function of isooctane conversion over zeolite Y2.6, Y15, and Y30 in pulse mode. Reaction conditions: 400 </w:t>
        </w:r>
        <w:r w:rsidR="00D307FA" w:rsidRPr="00726C87">
          <w:rPr>
            <w:rStyle w:val="Hyperlink"/>
            <w:rFonts w:eastAsiaTheme="majorEastAsia"/>
            <w:noProof/>
            <w:vertAlign w:val="superscript"/>
          </w:rPr>
          <w:t>o</w:t>
        </w:r>
        <w:r w:rsidR="00D307FA" w:rsidRPr="00726C87">
          <w:rPr>
            <w:rStyle w:val="Hyperlink"/>
            <w:rFonts w:eastAsiaTheme="majorEastAsia"/>
            <w:noProof/>
          </w:rPr>
          <w:t>C, 0.5 mL of reactant injected per hour, 100 mL/min of N</w:t>
        </w:r>
        <w:r w:rsidR="00D307FA" w:rsidRPr="00726C87">
          <w:rPr>
            <w:rStyle w:val="Hyperlink"/>
            <w:rFonts w:eastAsiaTheme="majorEastAsia"/>
            <w:noProof/>
            <w:vertAlign w:val="subscript"/>
          </w:rPr>
          <w:t>2</w:t>
        </w:r>
        <w:r w:rsidR="00D307FA" w:rsidRPr="00726C87">
          <w:rPr>
            <w:rStyle w:val="Hyperlink"/>
            <w:rFonts w:eastAsiaTheme="majorEastAsia"/>
            <w:noProof/>
          </w:rPr>
          <w:t xml:space="preserve"> inert flow. Pretreatment under N</w:t>
        </w:r>
        <w:r w:rsidR="00D307FA" w:rsidRPr="00726C87">
          <w:rPr>
            <w:rStyle w:val="Hyperlink"/>
            <w:rFonts w:eastAsiaTheme="majorEastAsia"/>
            <w:noProof/>
            <w:vertAlign w:val="subscript"/>
          </w:rPr>
          <w:t>2</w:t>
        </w:r>
        <w:r w:rsidR="00D307FA" w:rsidRPr="00726C87">
          <w:rPr>
            <w:rStyle w:val="Hyperlink"/>
            <w:rFonts w:eastAsiaTheme="majorEastAsia"/>
            <w:noProof/>
          </w:rPr>
          <w:t xml:space="preserve"> at 300 </w:t>
        </w:r>
        <w:r w:rsidR="00D307FA" w:rsidRPr="00726C87">
          <w:rPr>
            <w:rStyle w:val="Hyperlink"/>
            <w:rFonts w:eastAsiaTheme="majorEastAsia"/>
            <w:noProof/>
            <w:vertAlign w:val="superscript"/>
          </w:rPr>
          <w:t>o</w:t>
        </w:r>
        <w:r w:rsidR="00D307FA" w:rsidRPr="00726C87">
          <w:rPr>
            <w:rStyle w:val="Hyperlink"/>
            <w:rFonts w:eastAsiaTheme="majorEastAsia"/>
            <w:noProof/>
          </w:rPr>
          <w:t>C for 2 hours prior injection.</w:t>
        </w:r>
        <w:r w:rsidR="00D307FA">
          <w:rPr>
            <w:noProof/>
            <w:webHidden/>
          </w:rPr>
          <w:tab/>
        </w:r>
        <w:r w:rsidR="00D307FA">
          <w:rPr>
            <w:noProof/>
            <w:webHidden/>
          </w:rPr>
          <w:fldChar w:fldCharType="begin"/>
        </w:r>
        <w:r w:rsidR="00D307FA">
          <w:rPr>
            <w:noProof/>
            <w:webHidden/>
          </w:rPr>
          <w:instrText xml:space="preserve"> PAGEREF _Toc131948734 \h </w:instrText>
        </w:r>
        <w:r w:rsidR="00D307FA">
          <w:rPr>
            <w:noProof/>
            <w:webHidden/>
          </w:rPr>
        </w:r>
        <w:r w:rsidR="00D307FA">
          <w:rPr>
            <w:noProof/>
            <w:webHidden/>
          </w:rPr>
          <w:fldChar w:fldCharType="separate"/>
        </w:r>
        <w:r w:rsidR="001F4741">
          <w:rPr>
            <w:noProof/>
            <w:webHidden/>
          </w:rPr>
          <w:t>124</w:t>
        </w:r>
        <w:r w:rsidR="00D307FA">
          <w:rPr>
            <w:noProof/>
            <w:webHidden/>
          </w:rPr>
          <w:fldChar w:fldCharType="end"/>
        </w:r>
      </w:hyperlink>
    </w:p>
    <w:p w14:paraId="1A4697D2" w14:textId="30007988"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35" w:history="1">
        <w:r w:rsidR="00D307FA" w:rsidRPr="00726C87">
          <w:rPr>
            <w:rStyle w:val="Hyperlink"/>
            <w:rFonts w:eastAsiaTheme="majorEastAsia"/>
            <w:b/>
            <w:bCs/>
            <w:noProof/>
          </w:rPr>
          <w:t>Figure 71:</w:t>
        </w:r>
        <w:r w:rsidR="00D307FA" w:rsidRPr="00726C87">
          <w:rPr>
            <w:rStyle w:val="Hyperlink"/>
            <w:rFonts w:eastAsiaTheme="majorEastAsia"/>
            <w:noProof/>
          </w:rPr>
          <w:t xml:space="preserve"> H-transfer ratio at low isooctane conversions over zeolite Y2.6, Y15, and Y30. Reaction conditions: 400 </w:t>
        </w:r>
        <w:r w:rsidR="00D307FA" w:rsidRPr="00726C87">
          <w:rPr>
            <w:rStyle w:val="Hyperlink"/>
            <w:rFonts w:eastAsiaTheme="majorEastAsia"/>
            <w:noProof/>
            <w:vertAlign w:val="superscript"/>
          </w:rPr>
          <w:t>o</w:t>
        </w:r>
        <w:r w:rsidR="00D307FA" w:rsidRPr="00726C87">
          <w:rPr>
            <w:rStyle w:val="Hyperlink"/>
            <w:rFonts w:eastAsiaTheme="majorEastAsia"/>
            <w:noProof/>
          </w:rPr>
          <w:t>C, 0.5 mL of reactant injected per hour, 100 mL/min of N</w:t>
        </w:r>
        <w:r w:rsidR="00D307FA" w:rsidRPr="00726C87">
          <w:rPr>
            <w:rStyle w:val="Hyperlink"/>
            <w:rFonts w:eastAsiaTheme="majorEastAsia"/>
            <w:noProof/>
            <w:vertAlign w:val="subscript"/>
          </w:rPr>
          <w:t>2</w:t>
        </w:r>
        <w:r w:rsidR="00D307FA" w:rsidRPr="00726C87">
          <w:rPr>
            <w:rStyle w:val="Hyperlink"/>
            <w:rFonts w:eastAsiaTheme="majorEastAsia"/>
            <w:noProof/>
          </w:rPr>
          <w:t xml:space="preserve"> inert flow. Pretreatment under N</w:t>
        </w:r>
        <w:r w:rsidR="00D307FA" w:rsidRPr="00726C87">
          <w:rPr>
            <w:rStyle w:val="Hyperlink"/>
            <w:rFonts w:eastAsiaTheme="majorEastAsia"/>
            <w:noProof/>
            <w:vertAlign w:val="subscript"/>
          </w:rPr>
          <w:t>2</w:t>
        </w:r>
        <w:r w:rsidR="00D307FA" w:rsidRPr="00726C87">
          <w:rPr>
            <w:rStyle w:val="Hyperlink"/>
            <w:rFonts w:eastAsiaTheme="majorEastAsia"/>
            <w:noProof/>
          </w:rPr>
          <w:t xml:space="preserve"> at 300 </w:t>
        </w:r>
        <w:r w:rsidR="00D307FA" w:rsidRPr="00726C87">
          <w:rPr>
            <w:rStyle w:val="Hyperlink"/>
            <w:rFonts w:eastAsiaTheme="majorEastAsia"/>
            <w:noProof/>
            <w:vertAlign w:val="superscript"/>
          </w:rPr>
          <w:t>o</w:t>
        </w:r>
        <w:r w:rsidR="00D307FA" w:rsidRPr="00726C87">
          <w:rPr>
            <w:rStyle w:val="Hyperlink"/>
            <w:rFonts w:eastAsiaTheme="majorEastAsia"/>
            <w:noProof/>
          </w:rPr>
          <w:t>C for 2 hours prior injection.</w:t>
        </w:r>
        <w:r w:rsidR="00D307FA">
          <w:rPr>
            <w:noProof/>
            <w:webHidden/>
          </w:rPr>
          <w:tab/>
        </w:r>
        <w:r w:rsidR="00D307FA">
          <w:rPr>
            <w:noProof/>
            <w:webHidden/>
          </w:rPr>
          <w:fldChar w:fldCharType="begin"/>
        </w:r>
        <w:r w:rsidR="00D307FA">
          <w:rPr>
            <w:noProof/>
            <w:webHidden/>
          </w:rPr>
          <w:instrText xml:space="preserve"> PAGEREF _Toc131948735 \h </w:instrText>
        </w:r>
        <w:r w:rsidR="00D307FA">
          <w:rPr>
            <w:noProof/>
            <w:webHidden/>
          </w:rPr>
        </w:r>
        <w:r w:rsidR="00D307FA">
          <w:rPr>
            <w:noProof/>
            <w:webHidden/>
          </w:rPr>
          <w:fldChar w:fldCharType="separate"/>
        </w:r>
        <w:r w:rsidR="001F4741">
          <w:rPr>
            <w:noProof/>
            <w:webHidden/>
          </w:rPr>
          <w:t>126</w:t>
        </w:r>
        <w:r w:rsidR="00D307FA">
          <w:rPr>
            <w:noProof/>
            <w:webHidden/>
          </w:rPr>
          <w:fldChar w:fldCharType="end"/>
        </w:r>
      </w:hyperlink>
    </w:p>
    <w:p w14:paraId="213B1DB2" w14:textId="314084DE"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36" w:history="1">
        <w:r w:rsidR="00D307FA" w:rsidRPr="00726C87">
          <w:rPr>
            <w:rStyle w:val="Hyperlink"/>
            <w:rFonts w:eastAsiaTheme="majorEastAsia"/>
            <w:b/>
            <w:bCs/>
            <w:noProof/>
          </w:rPr>
          <w:t>Figure 72:</w:t>
        </w:r>
        <w:r w:rsidR="00D307FA" w:rsidRPr="00726C87">
          <w:rPr>
            <w:rStyle w:val="Hyperlink"/>
            <w:rFonts w:eastAsiaTheme="majorEastAsia"/>
            <w:noProof/>
          </w:rPr>
          <w:t xml:space="preserve"> Pulse mode catalytic conversion of isooctane as a function of titrated site density in series of Na-exchange Y zeolite with Si/Al of 2.6. The marker color darkens from blue to lack as the number of pulses increases. The red marker over x-axis is relative to the calculated BAS density of the non-exchanged parent Y2.6. For Y2.6 a fixed 50 mg of catalyst is used.</w:t>
        </w:r>
        <w:r w:rsidR="00D307FA">
          <w:rPr>
            <w:noProof/>
            <w:webHidden/>
          </w:rPr>
          <w:tab/>
        </w:r>
        <w:r w:rsidR="00D307FA">
          <w:rPr>
            <w:noProof/>
            <w:webHidden/>
          </w:rPr>
          <w:fldChar w:fldCharType="begin"/>
        </w:r>
        <w:r w:rsidR="00D307FA">
          <w:rPr>
            <w:noProof/>
            <w:webHidden/>
          </w:rPr>
          <w:instrText xml:space="preserve"> PAGEREF _Toc131948736 \h </w:instrText>
        </w:r>
        <w:r w:rsidR="00D307FA">
          <w:rPr>
            <w:noProof/>
            <w:webHidden/>
          </w:rPr>
        </w:r>
        <w:r w:rsidR="00D307FA">
          <w:rPr>
            <w:noProof/>
            <w:webHidden/>
          </w:rPr>
          <w:fldChar w:fldCharType="separate"/>
        </w:r>
        <w:r w:rsidR="001F4741">
          <w:rPr>
            <w:noProof/>
            <w:webHidden/>
          </w:rPr>
          <w:t>127</w:t>
        </w:r>
        <w:r w:rsidR="00D307FA">
          <w:rPr>
            <w:noProof/>
            <w:webHidden/>
          </w:rPr>
          <w:fldChar w:fldCharType="end"/>
        </w:r>
      </w:hyperlink>
    </w:p>
    <w:p w14:paraId="73EEF74C" w14:textId="1B2585F5"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37" w:history="1">
        <w:r w:rsidR="00D307FA" w:rsidRPr="00726C87">
          <w:rPr>
            <w:rStyle w:val="Hyperlink"/>
            <w:rFonts w:eastAsiaTheme="majorEastAsia"/>
            <w:b/>
            <w:bCs/>
            <w:noProof/>
          </w:rPr>
          <w:t>Figure 73:</w:t>
        </w:r>
        <w:r w:rsidR="00D307FA" w:rsidRPr="00726C87">
          <w:rPr>
            <w:rStyle w:val="Hyperlink"/>
            <w:rFonts w:eastAsiaTheme="majorEastAsia"/>
            <w:noProof/>
          </w:rPr>
          <w:t xml:space="preserve"> Pulse mode catalytic conversion of heptane as a function of titrated site density in series of Na-exchange Y zeolite with Si/Al of 2.6. The marker color darkens from blue to black as the number of pulses increases. The red marker over x-axis is relative to the calculated BAS density of the non-exchanged parent Y2.6. For Y2.6 a fixed 50 mg of catalyst is used.</w:t>
        </w:r>
        <w:r w:rsidR="00D307FA">
          <w:rPr>
            <w:noProof/>
            <w:webHidden/>
          </w:rPr>
          <w:tab/>
        </w:r>
        <w:r w:rsidR="00D307FA">
          <w:rPr>
            <w:noProof/>
            <w:webHidden/>
          </w:rPr>
          <w:fldChar w:fldCharType="begin"/>
        </w:r>
        <w:r w:rsidR="00D307FA">
          <w:rPr>
            <w:noProof/>
            <w:webHidden/>
          </w:rPr>
          <w:instrText xml:space="preserve"> PAGEREF _Toc131948737 \h </w:instrText>
        </w:r>
        <w:r w:rsidR="00D307FA">
          <w:rPr>
            <w:noProof/>
            <w:webHidden/>
          </w:rPr>
        </w:r>
        <w:r w:rsidR="00D307FA">
          <w:rPr>
            <w:noProof/>
            <w:webHidden/>
          </w:rPr>
          <w:fldChar w:fldCharType="separate"/>
        </w:r>
        <w:r w:rsidR="001F4741">
          <w:rPr>
            <w:noProof/>
            <w:webHidden/>
          </w:rPr>
          <w:t>128</w:t>
        </w:r>
        <w:r w:rsidR="00D307FA">
          <w:rPr>
            <w:noProof/>
            <w:webHidden/>
          </w:rPr>
          <w:fldChar w:fldCharType="end"/>
        </w:r>
      </w:hyperlink>
    </w:p>
    <w:p w14:paraId="3192234F" w14:textId="126C38BA"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38" w:history="1">
        <w:r w:rsidR="00D307FA" w:rsidRPr="00726C87">
          <w:rPr>
            <w:rStyle w:val="Hyperlink"/>
            <w:rFonts w:eastAsiaTheme="majorEastAsia"/>
            <w:b/>
            <w:bCs/>
            <w:noProof/>
          </w:rPr>
          <w:t>Figure 74:</w:t>
        </w:r>
        <w:r w:rsidR="00D307FA" w:rsidRPr="00726C87">
          <w:rPr>
            <w:rStyle w:val="Hyperlink"/>
            <w:rFonts w:eastAsiaTheme="majorEastAsia"/>
            <w:noProof/>
          </w:rPr>
          <w:t xml:space="preserve"> Pulse mode catalytic conversion of isooctane as a function of titrated site density in series of Na-exchange Y zeolite with Si/Al of 15. The marker blue colors turns darker as the number of pulses increases. The red marker over x-axis is relative to the calculated BAS density of the non-exchanged parent 15. For Y15 a fixed 3.5 mg of catalyst is used.</w:t>
        </w:r>
        <w:r w:rsidR="00D307FA">
          <w:rPr>
            <w:noProof/>
            <w:webHidden/>
          </w:rPr>
          <w:tab/>
        </w:r>
        <w:r w:rsidR="00D307FA">
          <w:rPr>
            <w:noProof/>
            <w:webHidden/>
          </w:rPr>
          <w:fldChar w:fldCharType="begin"/>
        </w:r>
        <w:r w:rsidR="00D307FA">
          <w:rPr>
            <w:noProof/>
            <w:webHidden/>
          </w:rPr>
          <w:instrText xml:space="preserve"> PAGEREF _Toc131948738 \h </w:instrText>
        </w:r>
        <w:r w:rsidR="00D307FA">
          <w:rPr>
            <w:noProof/>
            <w:webHidden/>
          </w:rPr>
        </w:r>
        <w:r w:rsidR="00D307FA">
          <w:rPr>
            <w:noProof/>
            <w:webHidden/>
          </w:rPr>
          <w:fldChar w:fldCharType="separate"/>
        </w:r>
        <w:r w:rsidR="001F4741">
          <w:rPr>
            <w:noProof/>
            <w:webHidden/>
          </w:rPr>
          <w:t>129</w:t>
        </w:r>
        <w:r w:rsidR="00D307FA">
          <w:rPr>
            <w:noProof/>
            <w:webHidden/>
          </w:rPr>
          <w:fldChar w:fldCharType="end"/>
        </w:r>
      </w:hyperlink>
    </w:p>
    <w:p w14:paraId="4E615B8D" w14:textId="2404D07D"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39" w:history="1">
        <w:r w:rsidR="00D307FA" w:rsidRPr="00726C87">
          <w:rPr>
            <w:rStyle w:val="Hyperlink"/>
            <w:rFonts w:eastAsiaTheme="majorEastAsia"/>
            <w:b/>
            <w:bCs/>
            <w:noProof/>
          </w:rPr>
          <w:t>Figure 75:</w:t>
        </w:r>
        <w:r w:rsidR="00D307FA" w:rsidRPr="00726C87">
          <w:rPr>
            <w:rStyle w:val="Hyperlink"/>
            <w:rFonts w:eastAsiaTheme="majorEastAsia"/>
            <w:noProof/>
          </w:rPr>
          <w:t xml:space="preserve"> Pulse mode catalytic conversion of isooctane as a function of titrated site density in series of Na-exchange Y zeolite with Si/Al of 30. The marker blue colors turns darker as the number of pulses increases. The red marker over x-axis is relative to the calculated BAS density of the non-exchanged parent 30. For Y30 a fixed 12.5 mg of catalyst is used.</w:t>
        </w:r>
        <w:r w:rsidR="00D307FA">
          <w:rPr>
            <w:noProof/>
            <w:webHidden/>
          </w:rPr>
          <w:tab/>
        </w:r>
        <w:r w:rsidR="00D307FA">
          <w:rPr>
            <w:noProof/>
            <w:webHidden/>
          </w:rPr>
          <w:fldChar w:fldCharType="begin"/>
        </w:r>
        <w:r w:rsidR="00D307FA">
          <w:rPr>
            <w:noProof/>
            <w:webHidden/>
          </w:rPr>
          <w:instrText xml:space="preserve"> PAGEREF _Toc131948739 \h </w:instrText>
        </w:r>
        <w:r w:rsidR="00D307FA">
          <w:rPr>
            <w:noProof/>
            <w:webHidden/>
          </w:rPr>
        </w:r>
        <w:r w:rsidR="00D307FA">
          <w:rPr>
            <w:noProof/>
            <w:webHidden/>
          </w:rPr>
          <w:fldChar w:fldCharType="separate"/>
        </w:r>
        <w:r w:rsidR="001F4741">
          <w:rPr>
            <w:noProof/>
            <w:webHidden/>
          </w:rPr>
          <w:t>130</w:t>
        </w:r>
        <w:r w:rsidR="00D307FA">
          <w:rPr>
            <w:noProof/>
            <w:webHidden/>
          </w:rPr>
          <w:fldChar w:fldCharType="end"/>
        </w:r>
      </w:hyperlink>
    </w:p>
    <w:p w14:paraId="0801FF80" w14:textId="28899681"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40" w:history="1">
        <w:r w:rsidR="00D307FA" w:rsidRPr="00726C87">
          <w:rPr>
            <w:rStyle w:val="Hyperlink"/>
            <w:rFonts w:eastAsiaTheme="majorEastAsia"/>
            <w:b/>
            <w:bCs/>
            <w:noProof/>
          </w:rPr>
          <w:t>Figure 76:</w:t>
        </w:r>
        <w:r w:rsidR="00D307FA" w:rsidRPr="00726C87">
          <w:rPr>
            <w:rStyle w:val="Hyperlink"/>
            <w:rFonts w:eastAsiaTheme="majorEastAsia"/>
            <w:noProof/>
          </w:rPr>
          <w:t xml:space="preserve"> Relative isooctane conversion activity as a function of percentage of titrates sites in zeolite Y15 and Y30 in pulse mode reactions.</w:t>
        </w:r>
        <w:r w:rsidR="00D307FA">
          <w:rPr>
            <w:noProof/>
            <w:webHidden/>
          </w:rPr>
          <w:tab/>
        </w:r>
        <w:r w:rsidR="00D307FA">
          <w:rPr>
            <w:noProof/>
            <w:webHidden/>
          </w:rPr>
          <w:fldChar w:fldCharType="begin"/>
        </w:r>
        <w:r w:rsidR="00D307FA">
          <w:rPr>
            <w:noProof/>
            <w:webHidden/>
          </w:rPr>
          <w:instrText xml:space="preserve"> PAGEREF _Toc131948740 \h </w:instrText>
        </w:r>
        <w:r w:rsidR="00D307FA">
          <w:rPr>
            <w:noProof/>
            <w:webHidden/>
          </w:rPr>
        </w:r>
        <w:r w:rsidR="00D307FA">
          <w:rPr>
            <w:noProof/>
            <w:webHidden/>
          </w:rPr>
          <w:fldChar w:fldCharType="separate"/>
        </w:r>
        <w:r w:rsidR="001F4741">
          <w:rPr>
            <w:noProof/>
            <w:webHidden/>
          </w:rPr>
          <w:t>131</w:t>
        </w:r>
        <w:r w:rsidR="00D307FA">
          <w:rPr>
            <w:noProof/>
            <w:webHidden/>
          </w:rPr>
          <w:fldChar w:fldCharType="end"/>
        </w:r>
      </w:hyperlink>
    </w:p>
    <w:p w14:paraId="4FB38BB8" w14:textId="0CE1B90B"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41" w:history="1">
        <w:r w:rsidR="00D307FA" w:rsidRPr="00726C87">
          <w:rPr>
            <w:rStyle w:val="Hyperlink"/>
            <w:rFonts w:eastAsiaTheme="majorEastAsia"/>
            <w:b/>
            <w:bCs/>
            <w:noProof/>
          </w:rPr>
          <w:t>Figure 77:</w:t>
        </w:r>
        <w:r w:rsidR="00D307FA" w:rsidRPr="00726C87">
          <w:rPr>
            <w:rStyle w:val="Hyperlink"/>
            <w:rFonts w:eastAsiaTheme="majorEastAsia"/>
            <w:noProof/>
          </w:rPr>
          <w:t xml:space="preserve"> Relative isooctane conversion activity as a function of percentage of titrates sites in zeolite Y15 and Y30 in flow mode reactions.</w:t>
        </w:r>
        <w:r w:rsidR="00D307FA">
          <w:rPr>
            <w:noProof/>
            <w:webHidden/>
          </w:rPr>
          <w:tab/>
        </w:r>
        <w:r w:rsidR="00D307FA">
          <w:rPr>
            <w:noProof/>
            <w:webHidden/>
          </w:rPr>
          <w:fldChar w:fldCharType="begin"/>
        </w:r>
        <w:r w:rsidR="00D307FA">
          <w:rPr>
            <w:noProof/>
            <w:webHidden/>
          </w:rPr>
          <w:instrText xml:space="preserve"> PAGEREF _Toc131948741 \h </w:instrText>
        </w:r>
        <w:r w:rsidR="00D307FA">
          <w:rPr>
            <w:noProof/>
            <w:webHidden/>
          </w:rPr>
        </w:r>
        <w:r w:rsidR="00D307FA">
          <w:rPr>
            <w:noProof/>
            <w:webHidden/>
          </w:rPr>
          <w:fldChar w:fldCharType="separate"/>
        </w:r>
        <w:r w:rsidR="001F4741">
          <w:rPr>
            <w:noProof/>
            <w:webHidden/>
          </w:rPr>
          <w:t>132</w:t>
        </w:r>
        <w:r w:rsidR="00D307FA">
          <w:rPr>
            <w:noProof/>
            <w:webHidden/>
          </w:rPr>
          <w:fldChar w:fldCharType="end"/>
        </w:r>
      </w:hyperlink>
    </w:p>
    <w:p w14:paraId="3603F0DB" w14:textId="59E4AEEE"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42" w:history="1">
        <w:r w:rsidR="00D307FA" w:rsidRPr="00726C87">
          <w:rPr>
            <w:rStyle w:val="Hyperlink"/>
            <w:rFonts w:eastAsiaTheme="majorEastAsia"/>
            <w:b/>
            <w:bCs/>
            <w:noProof/>
          </w:rPr>
          <w:t>Figure 78: a)</w:t>
        </w:r>
        <w:r w:rsidR="00D307FA" w:rsidRPr="00726C87">
          <w:rPr>
            <w:rStyle w:val="Hyperlink"/>
            <w:rFonts w:eastAsiaTheme="majorEastAsia"/>
            <w:noProof/>
          </w:rPr>
          <w:t xml:space="preserve"> H-transfer ratio (C</w:t>
        </w:r>
        <w:r w:rsidR="00D307FA" w:rsidRPr="00726C87">
          <w:rPr>
            <w:rStyle w:val="Hyperlink"/>
            <w:rFonts w:eastAsiaTheme="majorEastAsia"/>
            <w:noProof/>
            <w:vertAlign w:val="subscript"/>
          </w:rPr>
          <w:t>4</w:t>
        </w:r>
        <w:r w:rsidR="00D307FA" w:rsidRPr="00726C87">
          <w:rPr>
            <w:rStyle w:val="Hyperlink"/>
            <w:rFonts w:eastAsiaTheme="majorEastAsia"/>
            <w:noProof/>
          </w:rPr>
          <w:t>/C</w:t>
        </w:r>
        <w:r w:rsidR="00D307FA" w:rsidRPr="00726C87">
          <w:rPr>
            <w:rStyle w:val="Hyperlink"/>
            <w:rFonts w:eastAsiaTheme="majorEastAsia"/>
            <w:noProof/>
            <w:vertAlign w:val="subscript"/>
          </w:rPr>
          <w:t>4=</w:t>
        </w:r>
        <w:r w:rsidR="00D307FA" w:rsidRPr="00726C87">
          <w:rPr>
            <w:rStyle w:val="Hyperlink"/>
            <w:rFonts w:eastAsiaTheme="majorEastAsia"/>
            <w:noProof/>
          </w:rPr>
          <w:t xml:space="preserve">) and </w:t>
        </w:r>
        <w:r w:rsidR="00D307FA" w:rsidRPr="00726C87">
          <w:rPr>
            <w:rStyle w:val="Hyperlink"/>
            <w:rFonts w:eastAsiaTheme="majorEastAsia"/>
            <w:b/>
            <w:bCs/>
            <w:noProof/>
          </w:rPr>
          <w:t>b)</w:t>
        </w:r>
        <w:r w:rsidR="00D307FA" w:rsidRPr="00726C87">
          <w:rPr>
            <w:rStyle w:val="Hyperlink"/>
            <w:rFonts w:eastAsiaTheme="majorEastAsia"/>
            <w:noProof/>
          </w:rPr>
          <w:t xml:space="preserve"> C</w:t>
        </w:r>
        <w:r w:rsidR="00D307FA" w:rsidRPr="00726C87">
          <w:rPr>
            <w:rStyle w:val="Hyperlink"/>
            <w:rFonts w:eastAsiaTheme="majorEastAsia"/>
            <w:noProof/>
            <w:vertAlign w:val="subscript"/>
          </w:rPr>
          <w:t>1</w:t>
        </w:r>
        <w:r w:rsidR="00D307FA" w:rsidRPr="00726C87">
          <w:rPr>
            <w:rStyle w:val="Hyperlink"/>
            <w:rFonts w:eastAsiaTheme="majorEastAsia"/>
            <w:noProof/>
          </w:rPr>
          <w:t xml:space="preserve"> selectivity as a function isooctane conversion in zeolite Y15. A comparison between reaction modes.</w:t>
        </w:r>
        <w:r w:rsidR="00D307FA">
          <w:rPr>
            <w:noProof/>
            <w:webHidden/>
          </w:rPr>
          <w:tab/>
        </w:r>
        <w:r w:rsidR="00D307FA">
          <w:rPr>
            <w:noProof/>
            <w:webHidden/>
          </w:rPr>
          <w:fldChar w:fldCharType="begin"/>
        </w:r>
        <w:r w:rsidR="00D307FA">
          <w:rPr>
            <w:noProof/>
            <w:webHidden/>
          </w:rPr>
          <w:instrText xml:space="preserve"> PAGEREF _Toc131948742 \h </w:instrText>
        </w:r>
        <w:r w:rsidR="00D307FA">
          <w:rPr>
            <w:noProof/>
            <w:webHidden/>
          </w:rPr>
        </w:r>
        <w:r w:rsidR="00D307FA">
          <w:rPr>
            <w:noProof/>
            <w:webHidden/>
          </w:rPr>
          <w:fldChar w:fldCharType="separate"/>
        </w:r>
        <w:r w:rsidR="001F4741">
          <w:rPr>
            <w:noProof/>
            <w:webHidden/>
          </w:rPr>
          <w:t>134</w:t>
        </w:r>
        <w:r w:rsidR="00D307FA">
          <w:rPr>
            <w:noProof/>
            <w:webHidden/>
          </w:rPr>
          <w:fldChar w:fldCharType="end"/>
        </w:r>
      </w:hyperlink>
    </w:p>
    <w:p w14:paraId="503BC152" w14:textId="6C94B3A6"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43" w:history="1">
        <w:r w:rsidR="00D307FA" w:rsidRPr="00726C87">
          <w:rPr>
            <w:rStyle w:val="Hyperlink"/>
            <w:rFonts w:eastAsiaTheme="majorEastAsia"/>
            <w:b/>
            <w:bCs/>
            <w:noProof/>
          </w:rPr>
          <w:t>Figure 79:</w:t>
        </w:r>
        <w:r w:rsidR="00D307FA" w:rsidRPr="00726C87">
          <w:rPr>
            <w:rStyle w:val="Hyperlink"/>
            <w:rFonts w:eastAsiaTheme="majorEastAsia"/>
            <w:noProof/>
          </w:rPr>
          <w:t xml:space="preserve"> Conversion difference between initial Y15 and metal-exchanged zeolites, both as per Brønsted acid site basis gram of catalysis basis.</w:t>
        </w:r>
        <w:r w:rsidR="00D307FA">
          <w:rPr>
            <w:noProof/>
            <w:webHidden/>
          </w:rPr>
          <w:tab/>
        </w:r>
        <w:r w:rsidR="00D307FA">
          <w:rPr>
            <w:noProof/>
            <w:webHidden/>
          </w:rPr>
          <w:fldChar w:fldCharType="begin"/>
        </w:r>
        <w:r w:rsidR="00D307FA">
          <w:rPr>
            <w:noProof/>
            <w:webHidden/>
          </w:rPr>
          <w:instrText xml:space="preserve"> PAGEREF _Toc131948743 \h </w:instrText>
        </w:r>
        <w:r w:rsidR="00D307FA">
          <w:rPr>
            <w:noProof/>
            <w:webHidden/>
          </w:rPr>
        </w:r>
        <w:r w:rsidR="00D307FA">
          <w:rPr>
            <w:noProof/>
            <w:webHidden/>
          </w:rPr>
          <w:fldChar w:fldCharType="separate"/>
        </w:r>
        <w:r w:rsidR="001F4741">
          <w:rPr>
            <w:noProof/>
            <w:webHidden/>
          </w:rPr>
          <w:t>135</w:t>
        </w:r>
        <w:r w:rsidR="00D307FA">
          <w:rPr>
            <w:noProof/>
            <w:webHidden/>
          </w:rPr>
          <w:fldChar w:fldCharType="end"/>
        </w:r>
      </w:hyperlink>
    </w:p>
    <w:p w14:paraId="1F7456BC" w14:textId="29920003"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44" w:history="1">
        <w:r w:rsidR="00D307FA" w:rsidRPr="00726C87">
          <w:rPr>
            <w:rStyle w:val="Hyperlink"/>
            <w:rFonts w:eastAsiaTheme="majorEastAsia"/>
            <w:b/>
            <w:bCs/>
            <w:noProof/>
          </w:rPr>
          <w:t>Figure 80:</w:t>
        </w:r>
        <w:r w:rsidR="00D307FA" w:rsidRPr="00726C87">
          <w:rPr>
            <w:rStyle w:val="Hyperlink"/>
            <w:rFonts w:eastAsiaTheme="majorEastAsia"/>
            <w:noProof/>
          </w:rPr>
          <w:t xml:space="preserve"> H-transfer ratio (C</w:t>
        </w:r>
        <w:r w:rsidR="00D307FA" w:rsidRPr="00726C87">
          <w:rPr>
            <w:rStyle w:val="Hyperlink"/>
            <w:rFonts w:eastAsiaTheme="majorEastAsia"/>
            <w:noProof/>
            <w:vertAlign w:val="subscript"/>
          </w:rPr>
          <w:t>4</w:t>
        </w:r>
        <w:r w:rsidR="00D307FA" w:rsidRPr="00726C87">
          <w:rPr>
            <w:rStyle w:val="Hyperlink"/>
            <w:rFonts w:eastAsiaTheme="majorEastAsia"/>
            <w:noProof/>
          </w:rPr>
          <w:t>/C</w:t>
        </w:r>
        <w:r w:rsidR="00D307FA" w:rsidRPr="00726C87">
          <w:rPr>
            <w:rStyle w:val="Hyperlink"/>
            <w:rFonts w:eastAsiaTheme="majorEastAsia"/>
            <w:noProof/>
            <w:vertAlign w:val="subscript"/>
          </w:rPr>
          <w:t>4=</w:t>
        </w:r>
        <w:r w:rsidR="00D307FA" w:rsidRPr="00726C87">
          <w:rPr>
            <w:rStyle w:val="Hyperlink"/>
            <w:rFonts w:eastAsiaTheme="majorEastAsia"/>
            <w:noProof/>
          </w:rPr>
          <w:t>) as a function isooctane conversion in zeolite Y15 and Na, Ca and Co-exchanged samples in a) pulse and b) flow reaction mode.</w:t>
        </w:r>
        <w:r w:rsidR="00D307FA">
          <w:rPr>
            <w:noProof/>
            <w:webHidden/>
          </w:rPr>
          <w:tab/>
        </w:r>
        <w:r w:rsidR="00D307FA">
          <w:rPr>
            <w:noProof/>
            <w:webHidden/>
          </w:rPr>
          <w:fldChar w:fldCharType="begin"/>
        </w:r>
        <w:r w:rsidR="00D307FA">
          <w:rPr>
            <w:noProof/>
            <w:webHidden/>
          </w:rPr>
          <w:instrText xml:space="preserve"> PAGEREF _Toc131948744 \h </w:instrText>
        </w:r>
        <w:r w:rsidR="00D307FA">
          <w:rPr>
            <w:noProof/>
            <w:webHidden/>
          </w:rPr>
        </w:r>
        <w:r w:rsidR="00D307FA">
          <w:rPr>
            <w:noProof/>
            <w:webHidden/>
          </w:rPr>
          <w:fldChar w:fldCharType="separate"/>
        </w:r>
        <w:r w:rsidR="001F4741">
          <w:rPr>
            <w:noProof/>
            <w:webHidden/>
          </w:rPr>
          <w:t>136</w:t>
        </w:r>
        <w:r w:rsidR="00D307FA">
          <w:rPr>
            <w:noProof/>
            <w:webHidden/>
          </w:rPr>
          <w:fldChar w:fldCharType="end"/>
        </w:r>
      </w:hyperlink>
    </w:p>
    <w:p w14:paraId="4D302C02" w14:textId="53515644"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45" w:history="1">
        <w:r w:rsidR="00D307FA" w:rsidRPr="00726C87">
          <w:rPr>
            <w:rStyle w:val="Hyperlink"/>
            <w:rFonts w:eastAsiaTheme="majorEastAsia"/>
            <w:b/>
            <w:bCs/>
            <w:noProof/>
          </w:rPr>
          <w:t>Figure 81</w:t>
        </w:r>
        <w:r w:rsidR="00D307FA" w:rsidRPr="00726C87">
          <w:rPr>
            <w:rStyle w:val="Hyperlink"/>
            <w:rFonts w:eastAsiaTheme="majorEastAsia"/>
            <w:noProof/>
          </w:rPr>
          <w:t>: C</w:t>
        </w:r>
        <w:r w:rsidR="00D307FA" w:rsidRPr="00726C87">
          <w:rPr>
            <w:rStyle w:val="Hyperlink"/>
            <w:rFonts w:eastAsiaTheme="majorEastAsia"/>
            <w:noProof/>
            <w:vertAlign w:val="subscript"/>
          </w:rPr>
          <w:t>1</w:t>
        </w:r>
        <w:r w:rsidR="00D307FA" w:rsidRPr="00726C87">
          <w:rPr>
            <w:rStyle w:val="Hyperlink"/>
            <w:rFonts w:eastAsiaTheme="majorEastAsia"/>
            <w:noProof/>
          </w:rPr>
          <w:t xml:space="preserve"> selectivity as a function isooctane conversion in zeolite Y15, Na, Ca and Co-exchanged samples in pulse and flow reaction mode.</w:t>
        </w:r>
        <w:r w:rsidR="00D307FA">
          <w:rPr>
            <w:noProof/>
            <w:webHidden/>
          </w:rPr>
          <w:tab/>
        </w:r>
        <w:r w:rsidR="00D307FA">
          <w:rPr>
            <w:noProof/>
            <w:webHidden/>
          </w:rPr>
          <w:fldChar w:fldCharType="begin"/>
        </w:r>
        <w:r w:rsidR="00D307FA">
          <w:rPr>
            <w:noProof/>
            <w:webHidden/>
          </w:rPr>
          <w:instrText xml:space="preserve"> PAGEREF _Toc131948745 \h </w:instrText>
        </w:r>
        <w:r w:rsidR="00D307FA">
          <w:rPr>
            <w:noProof/>
            <w:webHidden/>
          </w:rPr>
        </w:r>
        <w:r w:rsidR="00D307FA">
          <w:rPr>
            <w:noProof/>
            <w:webHidden/>
          </w:rPr>
          <w:fldChar w:fldCharType="separate"/>
        </w:r>
        <w:r w:rsidR="001F4741">
          <w:rPr>
            <w:noProof/>
            <w:webHidden/>
          </w:rPr>
          <w:t>137</w:t>
        </w:r>
        <w:r w:rsidR="00D307FA">
          <w:rPr>
            <w:noProof/>
            <w:webHidden/>
          </w:rPr>
          <w:fldChar w:fldCharType="end"/>
        </w:r>
      </w:hyperlink>
    </w:p>
    <w:p w14:paraId="4C152E07" w14:textId="7F70AD00" w:rsidR="00D307FA" w:rsidRDefault="00000000" w:rsidP="00D10C54">
      <w:pPr>
        <w:pStyle w:val="TableofFigures"/>
        <w:tabs>
          <w:tab w:val="right" w:leader="dot" w:pos="8630"/>
        </w:tabs>
        <w:jc w:val="both"/>
        <w:rPr>
          <w:rFonts w:asciiTheme="minorHAnsi" w:eastAsiaTheme="minorEastAsia" w:hAnsiTheme="minorHAnsi" w:cstheme="minorBidi"/>
          <w:noProof/>
          <w:sz w:val="22"/>
          <w:szCs w:val="22"/>
        </w:rPr>
      </w:pPr>
      <w:hyperlink w:anchor="_Toc131948746" w:history="1">
        <w:r w:rsidR="00D307FA" w:rsidRPr="00726C87">
          <w:rPr>
            <w:rStyle w:val="Hyperlink"/>
            <w:rFonts w:eastAsiaTheme="majorEastAsia"/>
            <w:b/>
            <w:bCs/>
            <w:noProof/>
          </w:rPr>
          <w:t>Figure 82:</w:t>
        </w:r>
        <w:r w:rsidR="00D307FA" w:rsidRPr="00726C87">
          <w:rPr>
            <w:rStyle w:val="Hyperlink"/>
            <w:rFonts w:eastAsiaTheme="majorEastAsia"/>
            <w:noProof/>
          </w:rPr>
          <w:t xml:space="preserve"> The inverse correlation between H-transfer ratio (C</w:t>
        </w:r>
        <w:r w:rsidR="00D307FA" w:rsidRPr="00726C87">
          <w:rPr>
            <w:rStyle w:val="Hyperlink"/>
            <w:rFonts w:eastAsiaTheme="majorEastAsia"/>
            <w:noProof/>
            <w:vertAlign w:val="subscript"/>
          </w:rPr>
          <w:t>4</w:t>
        </w:r>
        <w:r w:rsidR="00D307FA" w:rsidRPr="00726C87">
          <w:rPr>
            <w:rStyle w:val="Hyperlink"/>
            <w:rFonts w:eastAsiaTheme="majorEastAsia"/>
            <w:noProof/>
          </w:rPr>
          <w:t>/C</w:t>
        </w:r>
        <w:r w:rsidR="00D307FA" w:rsidRPr="00726C87">
          <w:rPr>
            <w:rStyle w:val="Hyperlink"/>
            <w:rFonts w:eastAsiaTheme="majorEastAsia"/>
            <w:noProof/>
            <w:vertAlign w:val="subscript"/>
          </w:rPr>
          <w:t>4=</w:t>
        </w:r>
        <w:r w:rsidR="00D307FA" w:rsidRPr="00726C87">
          <w:rPr>
            <w:rStyle w:val="Hyperlink"/>
            <w:rFonts w:eastAsiaTheme="majorEastAsia"/>
            <w:noProof/>
          </w:rPr>
          <w:t>) and C</w:t>
        </w:r>
        <w:r w:rsidR="00D307FA" w:rsidRPr="00726C87">
          <w:rPr>
            <w:rStyle w:val="Hyperlink"/>
            <w:rFonts w:eastAsiaTheme="majorEastAsia"/>
            <w:noProof/>
            <w:vertAlign w:val="subscript"/>
          </w:rPr>
          <w:t>1</w:t>
        </w:r>
        <w:r w:rsidR="00D307FA" w:rsidRPr="00726C87">
          <w:rPr>
            <w:rStyle w:val="Hyperlink"/>
            <w:rFonts w:eastAsiaTheme="majorEastAsia"/>
            <w:noProof/>
          </w:rPr>
          <w:t xml:space="preserve"> selectivity over zeolite Y15, Na and Ca-exchanged samples in both reaction modes.</w:t>
        </w:r>
        <w:r w:rsidR="00D307FA">
          <w:rPr>
            <w:noProof/>
            <w:webHidden/>
          </w:rPr>
          <w:tab/>
        </w:r>
        <w:r w:rsidR="00D307FA">
          <w:rPr>
            <w:noProof/>
            <w:webHidden/>
          </w:rPr>
          <w:fldChar w:fldCharType="begin"/>
        </w:r>
        <w:r w:rsidR="00D307FA">
          <w:rPr>
            <w:noProof/>
            <w:webHidden/>
          </w:rPr>
          <w:instrText xml:space="preserve"> PAGEREF _Toc131948746 \h </w:instrText>
        </w:r>
        <w:r w:rsidR="00D307FA">
          <w:rPr>
            <w:noProof/>
            <w:webHidden/>
          </w:rPr>
        </w:r>
        <w:r w:rsidR="00D307FA">
          <w:rPr>
            <w:noProof/>
            <w:webHidden/>
          </w:rPr>
          <w:fldChar w:fldCharType="separate"/>
        </w:r>
        <w:r w:rsidR="001F4741">
          <w:rPr>
            <w:noProof/>
            <w:webHidden/>
          </w:rPr>
          <w:t>138</w:t>
        </w:r>
        <w:r w:rsidR="00D307FA">
          <w:rPr>
            <w:noProof/>
            <w:webHidden/>
          </w:rPr>
          <w:fldChar w:fldCharType="end"/>
        </w:r>
      </w:hyperlink>
    </w:p>
    <w:p w14:paraId="334463C1" w14:textId="6393B28F" w:rsidR="003A1186" w:rsidRPr="00BD6521" w:rsidRDefault="006205D3" w:rsidP="00D10C54">
      <w:pPr>
        <w:spacing w:line="480" w:lineRule="auto"/>
        <w:jc w:val="both"/>
        <w:rPr>
          <w:b/>
          <w:bCs/>
          <w:sz w:val="36"/>
          <w:szCs w:val="36"/>
        </w:rPr>
      </w:pPr>
      <w:r w:rsidRPr="00F80203">
        <w:fldChar w:fldCharType="end"/>
      </w:r>
    </w:p>
    <w:p w14:paraId="67E8FA8C" w14:textId="17EEC426" w:rsidR="00BD6521" w:rsidRPr="00A97D7B" w:rsidRDefault="00A97D7B" w:rsidP="00A97D7B">
      <w:pPr>
        <w:pStyle w:val="Heading1"/>
        <w:jc w:val="center"/>
        <w:rPr>
          <w:i/>
          <w:iCs/>
          <w:sz w:val="36"/>
          <w:szCs w:val="44"/>
        </w:rPr>
      </w:pPr>
      <w:bookmarkStart w:id="3" w:name="_Toc132924173"/>
      <w:r w:rsidRPr="00A97D7B">
        <w:rPr>
          <w:i/>
          <w:iCs/>
          <w:sz w:val="36"/>
          <w:szCs w:val="44"/>
        </w:rPr>
        <w:lastRenderedPageBreak/>
        <w:t>ABSTRACT</w:t>
      </w:r>
      <w:bookmarkEnd w:id="3"/>
    </w:p>
    <w:p w14:paraId="61F86886" w14:textId="108133D3" w:rsidR="00724E04" w:rsidRDefault="008D1750" w:rsidP="00765C73">
      <w:pPr>
        <w:spacing w:line="480" w:lineRule="auto"/>
        <w:jc w:val="both"/>
      </w:pPr>
      <w:r>
        <w:tab/>
      </w:r>
      <w:r w:rsidR="00724E04" w:rsidRPr="00724E04">
        <w:t xml:space="preserve">The constrained pore structure and catalytic properties of zeolites can occasionally offer diffusion limitations to a molecule during the course of a chemical reaction. These constraints significantly impact the rate of condensation or cracking, either as a result of the spatial conformation of the reacting molecule inside a confined domain or the high catalytic activity of a reacting site. </w:t>
      </w:r>
      <w:r w:rsidR="00D178C9">
        <w:t>It is</w:t>
      </w:r>
      <w:r w:rsidR="00724E04" w:rsidRPr="00724E04">
        <w:t xml:space="preserve"> propose</w:t>
      </w:r>
      <w:r w:rsidR="00D178C9">
        <w:t>d</w:t>
      </w:r>
      <w:r w:rsidR="00724E04" w:rsidRPr="00724E04">
        <w:t xml:space="preserve"> an experimental approach to conveniently control the concentration of acid sites in commercial zeolite samples using the exchange property of that active proton and an alkaline atom such as sodium (Na). By combining this approach with reaction-diffusion modeling, </w:t>
      </w:r>
      <w:r w:rsidR="00D178C9">
        <w:t xml:space="preserve">one </w:t>
      </w:r>
      <w:r w:rsidR="00724E04" w:rsidRPr="00724E04">
        <w:t xml:space="preserve">can measure the extent of mass-transfer limitations </w:t>
      </w:r>
      <w:r w:rsidR="00DF1F6B">
        <w:t xml:space="preserve">(MTL) </w:t>
      </w:r>
      <w:r w:rsidR="00724E04" w:rsidRPr="00724E04">
        <w:t>in different catalytic systems and analyze the change in product selectivity or rate profile as the governing regime changes. In the case of comparing the structural differences between reactants such as acetone and cyclopentanone in restrained environments, a notable impact was observed due to the larger volume of the molecule. As the space voids increase from one constrained zeolite topology to a more accessible structure, a lower degree of mass-transfer limitations is detected. However, for the smaller reacting particle</w:t>
      </w:r>
      <w:r w:rsidR="00124713">
        <w:t xml:space="preserve"> could</w:t>
      </w:r>
      <w:r w:rsidR="00724E04" w:rsidRPr="00724E04">
        <w:t xml:space="preserve"> access hindered sites as compared to the larger reactant, resulting in a higher consumption rate and </w:t>
      </w:r>
      <w:r w:rsidR="00124713">
        <w:t xml:space="preserve">notable </w:t>
      </w:r>
      <w:r w:rsidR="00724E04" w:rsidRPr="00724E04">
        <w:t xml:space="preserve">mass-transfer limitations relative to site activity rather than spatial restraints. Instead of deactivating a site prior to the catalytic reaction, </w:t>
      </w:r>
      <w:r w:rsidR="00321755">
        <w:t>it is</w:t>
      </w:r>
      <w:r w:rsidR="00724E04" w:rsidRPr="00724E04">
        <w:t xml:space="preserve"> also investigated the in-situ addition of an inert-poison specie. While alkaline-exchange was relatively effective in quantitatively determining the extent of MTL, in-situ additions were successful in qualitatively controlling the governing regime properties and affecting the product distribution as a consequence. The structural similarities between the solvent </w:t>
      </w:r>
      <w:r w:rsidR="00724E04" w:rsidRPr="00724E04">
        <w:lastRenderedPageBreak/>
        <w:t>and the titrant molecule resulted in a certain degree of desorption, which was inadequate for ascertaining the concentration of acid sites, as observed in literature.</w:t>
      </w:r>
    </w:p>
    <w:p w14:paraId="4B04A2DD" w14:textId="32FC34C5" w:rsidR="00A96689" w:rsidRDefault="008D1750" w:rsidP="00765C73">
      <w:pPr>
        <w:spacing w:line="480" w:lineRule="auto"/>
        <w:jc w:val="both"/>
      </w:pPr>
      <w:r>
        <w:tab/>
      </w:r>
      <w:r w:rsidR="00DF1F6B" w:rsidRPr="00DF1F6B">
        <w:t xml:space="preserve">To conveniently control the particle size through zeolite synthesis, one can also acknowledge the effect of diffusion on reaction rate. This particle presented an agglomeration of nanoaggregates over the outer surface of a big unchanged particle, in which </w:t>
      </w:r>
      <w:r w:rsidR="001F3332">
        <w:t xml:space="preserve">occurred to </w:t>
      </w:r>
      <w:r w:rsidR="009F55FA">
        <w:t xml:space="preserve">considerably </w:t>
      </w:r>
      <w:r w:rsidR="00DF1F6B" w:rsidRPr="00DF1F6B">
        <w:t>contribut</w:t>
      </w:r>
      <w:r w:rsidR="009F55FA">
        <w:t>e</w:t>
      </w:r>
      <w:r w:rsidR="00DF1F6B" w:rsidRPr="00DF1F6B">
        <w:t xml:space="preserve"> towards the catalytic activity. Na-titration was able to identify mass-transfer limitations in the most active sample, but it was limited in explaining the activity reduction for the larger nanoparticle size sample.</w:t>
      </w:r>
    </w:p>
    <w:p w14:paraId="51BD4AC6" w14:textId="7375838F" w:rsidR="008850A0" w:rsidRDefault="008D1750" w:rsidP="00765C73">
      <w:pPr>
        <w:spacing w:line="480" w:lineRule="auto"/>
        <w:jc w:val="both"/>
      </w:pPr>
      <w:r>
        <w:tab/>
      </w:r>
      <w:r w:rsidR="00A96689" w:rsidRPr="00A96689">
        <w:t xml:space="preserve">While controlling the concentration of acid sites was proven experimentally to diminish the influence of mass-transfer limitations, the presence of mesoporosity </w:t>
      </w:r>
      <w:r w:rsidR="00796317">
        <w:t>is</w:t>
      </w:r>
      <w:r w:rsidR="00A96689" w:rsidRPr="00A96689">
        <w:t xml:space="preserve"> also </w:t>
      </w:r>
      <w:r w:rsidR="00F078BA">
        <w:t xml:space="preserve">another experimental route towards decrease such limitations and it is </w:t>
      </w:r>
      <w:r w:rsidR="00A96689" w:rsidRPr="00A96689">
        <w:t xml:space="preserve">investigated </w:t>
      </w:r>
      <w:r w:rsidR="00F078BA">
        <w:t xml:space="preserve">here </w:t>
      </w:r>
      <w:r w:rsidR="00A96689" w:rsidRPr="00A96689">
        <w:t>for the commercial samples of zeolite Y. The parent form of zeolite Y presented a certain degree of diffusion restraint, but as mesoporous channels were introduced, a boost in activity occurred for hydrocarbon cracking, probably through an exposure of synergistic sites. These were assumed to be either sites located in more active environments or proximate enough to contribute to a higher catalytic rate. Na-titration was adequate in identifying their contribution in activity in mesoporous samples, and decreasing the Bronsted acid density also supports the idea that proximate sites were contributing to the higher catalytic activity. By using different titrant cations, preferential titration over those synergistic sites occurred in all cases, being more effective as a bivalent cation addition. The mechanistic discussion of whether those sites favored cracking via protonation of a saturated or unsaturated hydrocarbon was performed, showing the inverse correlation between the reaction pathways rather than specific features of a catalyst only.</w:t>
      </w:r>
    </w:p>
    <w:p w14:paraId="64390FA2" w14:textId="10B7BA5F" w:rsidR="00BD6521" w:rsidRPr="00A97D7B" w:rsidRDefault="008D1750" w:rsidP="00765C73">
      <w:pPr>
        <w:spacing w:line="480" w:lineRule="auto"/>
        <w:jc w:val="both"/>
      </w:pPr>
      <w:r>
        <w:lastRenderedPageBreak/>
        <w:tab/>
      </w:r>
      <w:r w:rsidR="00B97B42">
        <w:t>The</w:t>
      </w:r>
      <w:r w:rsidR="007854D9" w:rsidRPr="007854D9">
        <w:t xml:space="preserve"> results reveal the complex interplay between the reaction kinetics, diffusion limitations, and product selectivity, and provide insights into how to optimize zeolite catalysts for different applications. Overall, this work contributes to a better understanding of the fundamental mechanisms governing diffusion limitations in zeolites and provides a</w:t>
      </w:r>
      <w:r w:rsidR="00D54601">
        <w:t xml:space="preserve"> feasible experimental approach to </w:t>
      </w:r>
      <w:r w:rsidR="007854D9" w:rsidRPr="007854D9">
        <w:t xml:space="preserve">more efficient </w:t>
      </w:r>
      <w:r w:rsidR="00D54601">
        <w:t xml:space="preserve">design </w:t>
      </w:r>
      <w:r w:rsidR="007854D9" w:rsidRPr="007854D9">
        <w:t xml:space="preserve">and selective </w:t>
      </w:r>
      <w:r w:rsidR="0056425E">
        <w:t>processes results</w:t>
      </w:r>
      <w:r w:rsidR="009A7672">
        <w:t xml:space="preserve">, being controlling the extent of mass-transfer limitations or </w:t>
      </w:r>
      <w:r w:rsidR="00147923">
        <w:t xml:space="preserve">restricting a </w:t>
      </w:r>
      <w:r w:rsidR="008A2B9A">
        <w:t xml:space="preserve">site functioning that favors a specific </w:t>
      </w:r>
      <w:r w:rsidR="00B97B42">
        <w:t>reaction route.</w:t>
      </w:r>
    </w:p>
    <w:p w14:paraId="0199388D" w14:textId="77777777" w:rsidR="00BD6521" w:rsidRPr="00A97D7B" w:rsidRDefault="00BD6521" w:rsidP="005C2487">
      <w:pPr>
        <w:jc w:val="both"/>
      </w:pPr>
    </w:p>
    <w:p w14:paraId="21FC32CF" w14:textId="6DCDCEB0" w:rsidR="00386953" w:rsidRPr="00A97D7B" w:rsidRDefault="00386953">
      <w:pPr>
        <w:spacing w:after="120" w:line="276" w:lineRule="auto"/>
        <w:rPr>
          <w:b/>
          <w:bCs/>
        </w:rPr>
      </w:pPr>
      <w:r w:rsidRPr="00A97D7B">
        <w:rPr>
          <w:b/>
          <w:bCs/>
        </w:rPr>
        <w:br w:type="page"/>
      </w:r>
    </w:p>
    <w:p w14:paraId="769233BD" w14:textId="77777777" w:rsidR="002042C6" w:rsidRPr="00A97D7B" w:rsidRDefault="002042C6" w:rsidP="00BD6521">
      <w:pPr>
        <w:spacing w:line="480" w:lineRule="auto"/>
        <w:jc w:val="center"/>
        <w:rPr>
          <w:b/>
          <w:bCs/>
        </w:rPr>
        <w:sectPr w:rsidR="002042C6" w:rsidRPr="00A97D7B" w:rsidSect="00A125DE">
          <w:footerReference w:type="default" r:id="rId12"/>
          <w:footerReference w:type="first" r:id="rId13"/>
          <w:pgSz w:w="12240" w:h="15840"/>
          <w:pgMar w:top="1440" w:right="1800" w:bottom="1440" w:left="1800" w:header="720" w:footer="720" w:gutter="0"/>
          <w:pgNumType w:fmt="lowerRoman" w:start="3"/>
          <w:cols w:space="720"/>
          <w:titlePg/>
          <w:docGrid w:linePitch="360"/>
        </w:sectPr>
      </w:pPr>
    </w:p>
    <w:p w14:paraId="26C08E3C" w14:textId="5DC45311" w:rsidR="00677AFD" w:rsidRPr="00CC1AB3" w:rsidRDefault="00CA0F0A" w:rsidP="00CC1AB3">
      <w:pPr>
        <w:pStyle w:val="Heading1"/>
        <w:spacing w:line="480" w:lineRule="auto"/>
        <w:jc w:val="center"/>
        <w:rPr>
          <w:sz w:val="36"/>
          <w:szCs w:val="36"/>
        </w:rPr>
      </w:pPr>
      <w:bookmarkStart w:id="4" w:name="_Toc132924174"/>
      <w:r w:rsidRPr="00CC1AB3">
        <w:rPr>
          <w:sz w:val="36"/>
          <w:szCs w:val="36"/>
        </w:rPr>
        <w:lastRenderedPageBreak/>
        <w:t>Chapter 1</w:t>
      </w:r>
      <w:r w:rsidR="00934C91">
        <w:rPr>
          <w:sz w:val="36"/>
          <w:szCs w:val="36"/>
        </w:rPr>
        <w:t xml:space="preserve"> – </w:t>
      </w:r>
      <w:r w:rsidRPr="00CC1AB3">
        <w:rPr>
          <w:sz w:val="36"/>
          <w:szCs w:val="36"/>
        </w:rPr>
        <w:t>Introduction and Research Directio</w:t>
      </w:r>
      <w:r w:rsidR="00677AFD" w:rsidRPr="00CC1AB3">
        <w:rPr>
          <w:sz w:val="36"/>
          <w:szCs w:val="36"/>
        </w:rPr>
        <w:t>n</w:t>
      </w:r>
      <w:bookmarkEnd w:id="4"/>
    </w:p>
    <w:p w14:paraId="4B55AECC" w14:textId="0EFCB249" w:rsidR="00CA0F0A" w:rsidRPr="00AB652F" w:rsidRDefault="00CA0F0A" w:rsidP="00CC1AB3">
      <w:pPr>
        <w:pStyle w:val="Heading2"/>
        <w:rPr>
          <w:i w:val="0"/>
          <w:iCs/>
          <w:sz w:val="28"/>
          <w:szCs w:val="28"/>
        </w:rPr>
      </w:pPr>
      <w:bookmarkStart w:id="5" w:name="_Toc132924175"/>
      <w:r w:rsidRPr="00AB652F">
        <w:rPr>
          <w:i w:val="0"/>
          <w:iCs/>
          <w:sz w:val="28"/>
          <w:szCs w:val="28"/>
        </w:rPr>
        <w:t>1.1 Background and Initial Motivation</w:t>
      </w:r>
      <w:bookmarkEnd w:id="5"/>
    </w:p>
    <w:p w14:paraId="311FAC84" w14:textId="66D09FDC" w:rsidR="00CA0F0A" w:rsidRPr="00CC745D" w:rsidRDefault="00CA0F0A" w:rsidP="00BD6521">
      <w:pPr>
        <w:spacing w:line="480" w:lineRule="auto"/>
        <w:jc w:val="both"/>
      </w:pPr>
      <w:r w:rsidRPr="00CC745D">
        <w:tab/>
        <w:t xml:space="preserve">Zeolites are crystalline materials with a well-defined pore structure that allows them to act as molecular sieves industry </w:t>
      </w:r>
      <w:r w:rsidRPr="00CC745D">
        <w:fldChar w:fldCharType="begin"/>
      </w:r>
      <w:r w:rsidR="00C54D4B">
        <w:instrText xml:space="preserve"> ADDIN EN.CITE &lt;EndNote&gt;&lt;Cite&gt;&lt;Author&gt;Corma&lt;/Author&gt;&lt;Year&gt;2010&lt;/Year&gt;&lt;RecNum&gt;26&lt;/RecNum&gt;&lt;DisplayText&gt;[1, 2]&lt;/DisplayText&gt;&lt;record&gt;&lt;rec-number&gt;26&lt;/rec-number&gt;&lt;foreign-keys&gt;&lt;key app="EN" db-id="59dvwrfdof9dw8exf0kvp0atwazsazeeffsp" timestamp="1671417727"&gt;26&lt;/key&gt;&lt;/foreign-keys&gt;&lt;ref-type name="Book"&gt;6&lt;/ref-type&gt;&lt;contributors&gt;&lt;authors&gt;&lt;author&gt;Avelino Corma&lt;/author&gt;&lt;author&gt;Stacey Zones&lt;/author&gt;&lt;author&gt;Jiri Cejka&lt;/author&gt;&lt;/authors&gt;&lt;/contributors&gt;&lt;titles&gt;&lt;title&gt;Zeolites and Catalysis: Synthesis, Reactions and Applications&lt;/title&gt;&lt;/titles&gt;&lt;section&gt;918&lt;/section&gt;&lt;dates&gt;&lt;year&gt;2010&lt;/year&gt;&lt;/dates&gt;&lt;publisher&gt;John Wiley &amp;amp; Sons&lt;/publisher&gt;&lt;isbn&gt;9783527630295&lt;/isbn&gt;&lt;urls&gt;&lt;/urls&gt;&lt;/record&gt;&lt;/Cite&gt;&lt;Cite&gt;&lt;Author&gt;Weitkamp&lt;/Author&gt;&lt;Year&gt;2000&lt;/Year&gt;&lt;RecNum&gt;11&lt;/RecNum&gt;&lt;record&gt;&lt;rec-number&gt;11&lt;/rec-number&gt;&lt;foreign-keys&gt;&lt;key app="EN" db-id="59dvwrfdof9dw8exf0kvp0atwazsazeeffsp" timestamp="1667538674"&gt;11&lt;/key&gt;&lt;/foreign-keys&gt;&lt;ref-type name="Journal Article"&gt;17&lt;/ref-type&gt;&lt;contributors&gt;&lt;authors&gt;&lt;author&gt;Jens Weitkamp&lt;/author&gt;&lt;/authors&gt;&lt;/contributors&gt;&lt;titles&gt;&lt;title&gt;Zeolites and catalysis&lt;/title&gt;&lt;secondary-title&gt;Solid State Ionics&lt;/secondary-title&gt;&lt;/titles&gt;&lt;periodical&gt;&lt;full-title&gt;Solid State Ionics&lt;/full-title&gt;&lt;/periodical&gt;&lt;pages&gt;175-188&lt;/pages&gt;&lt;volume&gt;131&lt;/volume&gt;&lt;number&gt;1-2&lt;/number&gt;&lt;dates&gt;&lt;year&gt;2000&lt;/year&gt;&lt;/dates&gt;&lt;urls&gt;&lt;/urls&gt;&lt;electronic-resource-num&gt;https://doi.org/10.1016/S0167-2738(00)00632-9&lt;/electronic-resource-num&gt;&lt;/record&gt;&lt;/Cite&gt;&lt;/EndNote&gt;</w:instrText>
      </w:r>
      <w:r w:rsidRPr="00CC745D">
        <w:fldChar w:fldCharType="separate"/>
      </w:r>
      <w:r w:rsidR="00C54D4B">
        <w:rPr>
          <w:noProof/>
        </w:rPr>
        <w:t>[</w:t>
      </w:r>
      <w:hyperlink w:anchor="_ENREF_1" w:tooltip="Corma, 2010 #26" w:history="1">
        <w:r w:rsidR="00D307FA">
          <w:rPr>
            <w:noProof/>
          </w:rPr>
          <w:t>1</w:t>
        </w:r>
      </w:hyperlink>
      <w:r w:rsidR="00C54D4B">
        <w:rPr>
          <w:noProof/>
        </w:rPr>
        <w:t xml:space="preserve">, </w:t>
      </w:r>
      <w:hyperlink w:anchor="_ENREF_2" w:tooltip="Weitkamp, 2000 #11" w:history="1">
        <w:r w:rsidR="00D307FA">
          <w:rPr>
            <w:noProof/>
          </w:rPr>
          <w:t>2</w:t>
        </w:r>
      </w:hyperlink>
      <w:r w:rsidR="00C54D4B">
        <w:rPr>
          <w:noProof/>
        </w:rPr>
        <w:t>]</w:t>
      </w:r>
      <w:r w:rsidRPr="00CC745D">
        <w:fldChar w:fldCharType="end"/>
      </w:r>
      <w:r w:rsidRPr="00CC745D">
        <w:t xml:space="preserve">. These materials are widely used in various industrial applications, including separation, catalysis, and ion exchange. In particular, zeolite catalysts are critical for many important chemical processes, including petrochemical refining, chemical synthesis, and environmental remediation. </w:t>
      </w:r>
    </w:p>
    <w:p w14:paraId="272A06B7" w14:textId="05FDAC54" w:rsidR="00CA0F0A" w:rsidRPr="00CC745D" w:rsidRDefault="00CA0F0A" w:rsidP="00BD6521">
      <w:pPr>
        <w:spacing w:line="480" w:lineRule="auto"/>
        <w:jc w:val="both"/>
      </w:pPr>
      <w:r w:rsidRPr="00CC745D">
        <w:tab/>
        <w:t xml:space="preserve">The first industrial application of zeolites is dated in the 1940s, when an American corporation discovered that synthetic zeolites had an enhanced performance in the production of gasoline and other fuels compared to platinum and palladium catalysts used before </w:t>
      </w:r>
      <w:r w:rsidRPr="00CC745D">
        <w:fldChar w:fldCharType="begin"/>
      </w:r>
      <w:r w:rsidR="00C54D4B">
        <w:instrText xml:space="preserve"> ADDIN EN.CITE &lt;EndNote&gt;&lt;Cite&gt;&lt;Author&gt;Margeta&lt;/Author&gt;&lt;Year&gt;2020&lt;/Year&gt;&lt;RecNum&gt;177&lt;/RecNum&gt;&lt;DisplayText&gt;[3]&lt;/DisplayText&gt;&lt;record&gt;&lt;rec-number&gt;177&lt;/rec-number&gt;&lt;foreign-keys&gt;&lt;key app="EN" db-id="59dvwrfdof9dw8exf0kvp0atwazsazeeffsp" timestamp="1677513679"&gt;177&lt;/key&gt;&lt;/foreign-keys&gt;&lt;ref-type name="Book"&gt;6&lt;/ref-type&gt;&lt;contributors&gt;&lt;authors&gt;&lt;author&gt;Karmen Margeta&lt;/author&gt;&lt;author&gt;&lt;style face="normal" font="default" size="100%"&gt;Anamarija Farka&lt;/style&gt;&lt;style face="normal" font="default" charset="238" size="100%"&gt;š&lt;/style&gt;&lt;/author&gt;&lt;/authors&gt;&lt;/contributors&gt;&lt;titles&gt;&lt;title&gt;&amp;quot;Introductory Chapter: Zeolites - From Discovery to New Applications on the Global Market,” Zeolites - New Challenges&lt;/title&gt;&lt;/titles&gt;&lt;section&gt;150&lt;/section&gt;&lt;dates&gt;&lt;year&gt;2020&lt;/year&gt;&lt;/dates&gt;&lt;urls&gt;&lt;/urls&gt;&lt;electronic-resource-num&gt;10.5772/intechopen.77482&lt;/electronic-resource-num&gt;&lt;/record&gt;&lt;/Cite&gt;&lt;/EndNote&gt;</w:instrText>
      </w:r>
      <w:r w:rsidRPr="00CC745D">
        <w:fldChar w:fldCharType="separate"/>
      </w:r>
      <w:r w:rsidR="00C54D4B">
        <w:rPr>
          <w:noProof/>
        </w:rPr>
        <w:t>[</w:t>
      </w:r>
      <w:hyperlink w:anchor="_ENREF_3" w:tooltip="Margeta, 2020 #177" w:history="1">
        <w:r w:rsidR="00D307FA">
          <w:rPr>
            <w:noProof/>
          </w:rPr>
          <w:t>3</w:t>
        </w:r>
      </w:hyperlink>
      <w:r w:rsidR="00C54D4B">
        <w:rPr>
          <w:noProof/>
        </w:rPr>
        <w:t>]</w:t>
      </w:r>
      <w:r w:rsidRPr="00CC745D">
        <w:fldChar w:fldCharType="end"/>
      </w:r>
      <w:r w:rsidRPr="00CC745D">
        <w:t xml:space="preserve">. These materials are usually found in nature close to volcanic areas, naturally occurring from the reaction of volcanic ashes and alkaline groundwater </w:t>
      </w:r>
      <w:r w:rsidRPr="00CC745D">
        <w:fldChar w:fldCharType="begin"/>
      </w:r>
      <w:r w:rsidR="00C54D4B">
        <w:instrText xml:space="preserve"> ADDIN EN.CITE &lt;EndNote&gt;&lt;Cite&gt;&lt;Author&gt;Hay&lt;/Author&gt;&lt;Year&gt;2001&lt;/Year&gt;&lt;RecNum&gt;178&lt;/RecNum&gt;&lt;DisplayText&gt;[4]&lt;/DisplayText&gt;&lt;record&gt;&lt;rec-number&gt;178&lt;/rec-number&gt;&lt;foreign-keys&gt;&lt;key app="EN" db-id="59dvwrfdof9dw8exf0kvp0atwazsazeeffsp" timestamp="1677513905"&gt;178&lt;/key&gt;&lt;/foreign-keys&gt;&lt;ref-type name="Journal Article"&gt;17&lt;/ref-type&gt;&lt;contributors&gt;&lt;authors&gt;&lt;author&gt;Richard L. Hay&lt;/author&gt;&lt;author&gt;Richard A. Sheppard&lt;/author&gt;&lt;/authors&gt;&lt;/contributors&gt;&lt;titles&gt;&lt;title&gt;Occurrence of Zeolites in Sedimentary Rocks: An Overview&lt;/title&gt;&lt;secondary-title&gt;Reviews in Mineralogy and Geochemistry&lt;/secondary-title&gt;&lt;/titles&gt;&lt;periodical&gt;&lt;full-title&gt;Reviews in Mineralogy and Geochemistry&lt;/full-title&gt;&lt;/periodical&gt;&lt;pages&gt;217-234&lt;/pages&gt;&lt;volume&gt;45&lt;/volume&gt;&lt;dates&gt;&lt;year&gt;2001&lt;/year&gt;&lt;/dates&gt;&lt;urls&gt;&lt;/urls&gt;&lt;electronic-resource-num&gt;https://doi.org/10.2138/rmg.2001.45.6&lt;/electronic-resource-num&gt;&lt;/record&gt;&lt;/Cite&gt;&lt;/EndNote&gt;</w:instrText>
      </w:r>
      <w:r w:rsidRPr="00CC745D">
        <w:fldChar w:fldCharType="separate"/>
      </w:r>
      <w:r w:rsidR="00C54D4B">
        <w:rPr>
          <w:noProof/>
        </w:rPr>
        <w:t>[</w:t>
      </w:r>
      <w:hyperlink w:anchor="_ENREF_4" w:tooltip="Hay, 2001 #178" w:history="1">
        <w:r w:rsidR="00D307FA">
          <w:rPr>
            <w:noProof/>
          </w:rPr>
          <w:t>4</w:t>
        </w:r>
      </w:hyperlink>
      <w:r w:rsidR="00C54D4B">
        <w:rPr>
          <w:noProof/>
        </w:rPr>
        <w:t>]</w:t>
      </w:r>
      <w:r w:rsidRPr="00CC745D">
        <w:fldChar w:fldCharType="end"/>
      </w:r>
      <w:r w:rsidRPr="00CC745D">
        <w:t>. Zeolites as chabazite and natrolite are common types of these natural catalyst each with unique crystal structure and properties. Still, due to the lack of control of the crystal properties, these materials are not used in industry, instead, synthetic zeolites assure the control of purity, uniformity, and specific crystal properties directly related to the application it is design for and thus preferential.</w:t>
      </w:r>
    </w:p>
    <w:p w14:paraId="12506E41" w14:textId="24B5035C" w:rsidR="00CA0F0A" w:rsidRPr="00CC745D" w:rsidRDefault="00CA0F0A" w:rsidP="00DA249E">
      <w:pPr>
        <w:spacing w:line="480" w:lineRule="auto"/>
        <w:jc w:val="both"/>
      </w:pPr>
      <w:r w:rsidRPr="00CC745D">
        <w:tab/>
        <w:t xml:space="preserve">Because of the atoms arrangement in the crystalline structure of the zeolite, it provides improved catalytic properties resulted from the constrained pore pattern </w:t>
      </w:r>
      <w:r w:rsidRPr="00CC745D">
        <w:fldChar w:fldCharType="begin"/>
      </w:r>
      <w:r w:rsidR="00C54D4B">
        <w:instrText xml:space="preserve"> ADDIN EN.CITE &lt;EndNote&gt;&lt;Cite&gt;&lt;Author&gt;Davis&lt;/Author&gt;&lt;Year&gt;2002&lt;/Year&gt;&lt;RecNum&gt;179&lt;/RecNum&gt;&lt;DisplayText&gt;[5]&lt;/DisplayText&gt;&lt;record&gt;&lt;rec-number&gt;179&lt;/rec-number&gt;&lt;foreign-keys&gt;&lt;key app="EN" db-id="59dvwrfdof9dw8exf0kvp0atwazsazeeffsp" timestamp="1677514239"&gt;179&lt;/key&gt;&lt;/foreign-keys&gt;&lt;ref-type name="Journal Article"&gt;17&lt;/ref-type&gt;&lt;contributors&gt;&lt;authors&gt;&lt;author&gt;Mark E. Davis&lt;/author&gt;&lt;/authors&gt;&lt;/contributors&gt;&lt;titles&gt;&lt;title&gt;Ordered porous materials for emerging applications&lt;/title&gt;&lt;secondary-title&gt;Nature&lt;/secondary-title&gt;&lt;/titles&gt;&lt;periodical&gt;&lt;full-title&gt;Nature&lt;/full-title&gt;&lt;/periodical&gt;&lt;pages&gt;813-821&lt;/pages&gt;&lt;volume&gt;417&lt;/volume&gt;&lt;dates&gt;&lt;year&gt;2002&lt;/year&gt;&lt;/dates&gt;&lt;urls&gt;&lt;/urls&gt;&lt;electronic-resource-num&gt;https://doi.org/10.1038/nature00785&lt;/electronic-resource-num&gt;&lt;/record&gt;&lt;/Cite&gt;&lt;/EndNote&gt;</w:instrText>
      </w:r>
      <w:r w:rsidRPr="00CC745D">
        <w:fldChar w:fldCharType="separate"/>
      </w:r>
      <w:r w:rsidR="00C54D4B">
        <w:rPr>
          <w:noProof/>
        </w:rPr>
        <w:t>[</w:t>
      </w:r>
      <w:hyperlink w:anchor="_ENREF_5" w:tooltip="Davis, 2002 #179" w:history="1">
        <w:r w:rsidR="00D307FA">
          <w:rPr>
            <w:noProof/>
          </w:rPr>
          <w:t>5</w:t>
        </w:r>
      </w:hyperlink>
      <w:r w:rsidR="00C54D4B">
        <w:rPr>
          <w:noProof/>
        </w:rPr>
        <w:t>]</w:t>
      </w:r>
      <w:r w:rsidRPr="00CC745D">
        <w:fldChar w:fldCharType="end"/>
      </w:r>
      <w:r w:rsidRPr="00CC745D">
        <w:t xml:space="preserve">. As a consequence of the </w:t>
      </w:r>
      <w:r w:rsidR="005F6061">
        <w:t>constrained</w:t>
      </w:r>
      <w:r w:rsidRPr="00CC745D">
        <w:t xml:space="preserve"> aperture, high energy intermediates are stabilized due to the close contact and interaction with the atoms in the framework; additionally, the constrained aperture creates shape selectivity, determining which molecules can diffuse </w:t>
      </w:r>
      <w:r w:rsidRPr="00CC745D">
        <w:lastRenderedPageBreak/>
        <w:t xml:space="preserve">inside the catalyst volume and influencing the products formed </w:t>
      </w:r>
      <w:r w:rsidRPr="00CC745D">
        <w:fldChar w:fldCharType="begin"/>
      </w:r>
      <w:r w:rsidR="00C54D4B">
        <w:instrText xml:space="preserve"> ADDIN EN.CITE &lt;EndNote&gt;&lt;Cite&gt;&lt;Author&gt;Davis&lt;/Author&gt;&lt;Year&gt;1993&lt;/Year&gt;&lt;RecNum&gt;180&lt;/RecNum&gt;&lt;DisplayText&gt;[6]&lt;/DisplayText&gt;&lt;record&gt;&lt;rec-number&gt;180&lt;/rec-number&gt;&lt;foreign-keys&gt;&lt;key app="EN" db-id="59dvwrfdof9dw8exf0kvp0atwazsazeeffsp" timestamp="1677514377"&gt;180&lt;/key&gt;&lt;/foreign-keys&gt;&lt;ref-type name="Journal Article"&gt;17&lt;/ref-type&gt;&lt;contributors&gt;&lt;authors&gt;&lt;author&gt;Mark E. Davis&lt;/author&gt;&lt;/authors&gt;&lt;/contributors&gt;&lt;titles&gt;&lt;title&gt;New Vistas in Zeolite and Molecular Sieve Catalysis&lt;/title&gt;&lt;secondary-title&gt;Accounts of Chemical Research&lt;/secondary-title&gt;&lt;/titles&gt;&lt;periodical&gt;&lt;full-title&gt;Accounts of Chemical Research&lt;/full-title&gt;&lt;/periodical&gt;&lt;pages&gt;111-115&lt;/pages&gt;&lt;volume&gt;26&lt;/volume&gt;&lt;dates&gt;&lt;year&gt;1993&lt;/year&gt;&lt;/dates&gt;&lt;urls&gt;&lt;/urls&gt;&lt;/record&gt;&lt;/Cite&gt;&lt;/EndNote&gt;</w:instrText>
      </w:r>
      <w:r w:rsidRPr="00CC745D">
        <w:fldChar w:fldCharType="separate"/>
      </w:r>
      <w:r w:rsidR="00C54D4B">
        <w:rPr>
          <w:noProof/>
        </w:rPr>
        <w:t>[</w:t>
      </w:r>
      <w:hyperlink w:anchor="_ENREF_6" w:tooltip="Davis, 1993 #180" w:history="1">
        <w:r w:rsidR="00D307FA">
          <w:rPr>
            <w:noProof/>
          </w:rPr>
          <w:t>6</w:t>
        </w:r>
      </w:hyperlink>
      <w:r w:rsidR="00C54D4B">
        <w:rPr>
          <w:noProof/>
        </w:rPr>
        <w:t>]</w:t>
      </w:r>
      <w:r w:rsidRPr="00CC745D">
        <w:fldChar w:fldCharType="end"/>
      </w:r>
      <w:r w:rsidRPr="00CC745D">
        <w:t xml:space="preserve">. However, the performance of zeolite catalysts can be limited by diffusion limitations, which occur when reactant molecules struggle to access the active sites within the zeolite pores </w:t>
      </w:r>
      <w:r w:rsidRPr="00CC745D">
        <w:fldChar w:fldCharType="begin">
          <w:fldData xml:space="preserve">PEVuZE5vdGU+PENpdGU+PEF1dGhvcj5WYWxsZXQtUmVnaTwvQXV0aG9yPjxZZWFyPjIwMDE8L1ll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</w:fldData>
        </w:fldChar>
      </w:r>
      <w:r w:rsidR="00C54D4B">
        <w:instrText xml:space="preserve"> ADDIN EN.CITE </w:instrText>
      </w:r>
      <w:r w:rsidR="00C54D4B">
        <w:fldChar w:fldCharType="begin">
          <w:fldData xml:space="preserve">PEVuZE5vdGU+PENpdGU+PEF1dGhvcj5WYWxsZXQtUmVnaTwvQXV0aG9yPjxZZWFyPjIwMDE8L1ll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</w:fldData>
        </w:fldChar>
      </w:r>
      <w:r w:rsidR="00C54D4B">
        <w:instrText xml:space="preserve"> ADDIN EN.CITE.DATA </w:instrText>
      </w:r>
      <w:r w:rsidR="00C54D4B">
        <w:fldChar w:fldCharType="end"/>
      </w:r>
      <w:r w:rsidRPr="00CC745D">
        <w:fldChar w:fldCharType="separate"/>
      </w:r>
      <w:r w:rsidR="00C54D4B">
        <w:rPr>
          <w:noProof/>
        </w:rPr>
        <w:t>[</w:t>
      </w:r>
      <w:hyperlink w:anchor="_ENREF_7" w:tooltip="Vallet-Regi, 2001 #27" w:history="1">
        <w:r w:rsidR="00D307FA">
          <w:rPr>
            <w:noProof/>
          </w:rPr>
          <w:t>7-9</w:t>
        </w:r>
      </w:hyperlink>
      <w:r w:rsidR="00C54D4B">
        <w:rPr>
          <w:noProof/>
        </w:rPr>
        <w:t>]</w:t>
      </w:r>
      <w:r w:rsidRPr="00CC745D">
        <w:fldChar w:fldCharType="end"/>
      </w:r>
      <w:r w:rsidRPr="00CC745D">
        <w:t>. These limitations can lead to reduced reaction rates and selectivity, as well as catalyst deactivation due to coke formation. To improve the efficiency and effectiveness of zeolite catalysts, it is crucial to understand and mitigate these diffusion limitations.</w:t>
      </w:r>
    </w:p>
    <w:p w14:paraId="32A269F0" w14:textId="2E9C7ADE" w:rsidR="00CA0F0A" w:rsidRPr="00CC745D" w:rsidRDefault="00CA0F0A" w:rsidP="00DA249E">
      <w:pPr>
        <w:spacing w:line="480" w:lineRule="auto"/>
        <w:jc w:val="both"/>
      </w:pPr>
      <w:r w:rsidRPr="00CC745D">
        <w:tab/>
        <w:t xml:space="preserve">Researchers have used various experimental and theoretical techniques to study diffusion in zeolites, including molecular simulations, and experimental spectroscopy approaches </w:t>
      </w:r>
      <w:r w:rsidRPr="00CC745D">
        <w:fldChar w:fldCharType="begin">
          <w:fldData xml:space="preserve">PEVuZE5vdGU+PENpdGU+PEF1dGhvcj5TYXR0ZXJmaWVsZDwvQXV0aG9yPjxZZWFyPjE5NzA8L1ll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</w:fldData>
        </w:fldChar>
      </w:r>
      <w:r w:rsidR="00C54D4B">
        <w:instrText xml:space="preserve"> ADDIN EN.CITE </w:instrText>
      </w:r>
      <w:r w:rsidR="00C54D4B">
        <w:fldChar w:fldCharType="begin">
          <w:fldData xml:space="preserve">PEVuZE5vdGU+PENpdGU+PEF1dGhvcj5TYXR0ZXJmaWVsZDwvQXV0aG9yPjxZZWFyPjE5NzA8L1ll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</w:fldData>
        </w:fldChar>
      </w:r>
      <w:r w:rsidR="00C54D4B">
        <w:instrText xml:space="preserve"> ADDIN EN.CITE.DATA </w:instrText>
      </w:r>
      <w:r w:rsidR="00C54D4B">
        <w:fldChar w:fldCharType="end"/>
      </w:r>
      <w:r w:rsidRPr="00CC745D">
        <w:fldChar w:fldCharType="separate"/>
      </w:r>
      <w:r w:rsidR="00C54D4B">
        <w:rPr>
          <w:noProof/>
        </w:rPr>
        <w:t>[</w:t>
      </w:r>
      <w:hyperlink w:anchor="_ENREF_10" w:tooltip="Satterfield, 1970 #28" w:history="1">
        <w:r w:rsidR="00D307FA">
          <w:rPr>
            <w:noProof/>
          </w:rPr>
          <w:t>10-12</w:t>
        </w:r>
      </w:hyperlink>
      <w:r w:rsidR="00C54D4B">
        <w:rPr>
          <w:noProof/>
        </w:rPr>
        <w:t>]</w:t>
      </w:r>
      <w:r w:rsidRPr="00CC745D">
        <w:fldChar w:fldCharType="end"/>
      </w:r>
      <w:r w:rsidRPr="00CC745D">
        <w:t xml:space="preserve">. These studies have shown that the transport properties of zeolites, such as the diffusivity and permeability of different species through the zeolite pore structure, can be affected by factors such as pore size, shape, and connectivity, as well as the presence of adsorbates and cations. A recent work by Porter and O’Malley (2021) highlights the importance of considering factors that can influence diffusion in zeolites, including the dynamic effects of adsorbate molecules and the presence of defects in the zeolite structure </w:t>
      </w:r>
      <w:r w:rsidRPr="00CC745D">
        <w:fldChar w:fldCharType="begin"/>
      </w:r>
      <w:r w:rsidR="00C54D4B">
        <w:instrText xml:space="preserve"> ADDIN EN.CITE &lt;EndNote&gt;&lt;Cite&gt;&lt;Author&gt;Porter&lt;/Author&gt;&lt;Year&gt;2021&lt;/Year&gt;&lt;RecNum&gt;163&lt;/RecNum&gt;&lt;DisplayText&gt;[13]&lt;/DisplayText&gt;&lt;record&gt;&lt;rec-number&gt;163&lt;/rec-number&gt;&lt;foreign-keys&gt;&lt;key app="EN" db-id="59dvwrfdof9dw8exf0kvp0atwazsazeeffsp" timestamp="1677190796"&gt;163&lt;/key&gt;&lt;/foreign-keys&gt;&lt;ref-type name="Journal Article"&gt;17&lt;/ref-type&gt;&lt;contributors&gt;&lt;authors&gt;&lt;author&gt;A. J. Porter&lt;/author&gt;&lt;author&gt;A. J. O’Malley&lt;/author&gt;&lt;/authors&gt;&lt;/contributors&gt;&lt;titles&gt;&lt;title&gt;A Classical Molecular Dynamics Study on the Effect of Si/Al Ratio and Silanol Nest Defects on Water Diffusion in Zeolite HY&lt;/title&gt;&lt;secondary-title&gt;Journal of Physical Chemistry C&lt;/secondary-title&gt;&lt;/titles&gt;&lt;periodical&gt;&lt;full-title&gt;Journal of Physical Chemistry C&lt;/full-title&gt;&lt;/periodical&gt;&lt;pages&gt;11567-11579&lt;/pages&gt;&lt;volume&gt;125&lt;/volume&gt;&lt;number&gt;21&lt;/number&gt;&lt;dates&gt;&lt;year&gt;2021&lt;/year&gt;&lt;/dates&gt;&lt;urls&gt;&lt;/urls&gt;&lt;electronic-resource-num&gt;https://doi.org/10.1021/acs.jpcc.1c01094&lt;/electronic-resource-num&gt;&lt;/record&gt;&lt;/Cite&gt;&lt;/EndNote&gt;</w:instrText>
      </w:r>
      <w:r w:rsidRPr="00CC745D">
        <w:fldChar w:fldCharType="separate"/>
      </w:r>
      <w:r w:rsidR="00C54D4B">
        <w:rPr>
          <w:noProof/>
        </w:rPr>
        <w:t>[</w:t>
      </w:r>
      <w:hyperlink w:anchor="_ENREF_13" w:tooltip="Porter, 2021 #163" w:history="1">
        <w:r w:rsidR="00D307FA">
          <w:rPr>
            <w:noProof/>
          </w:rPr>
          <w:t>13</w:t>
        </w:r>
      </w:hyperlink>
      <w:r w:rsidR="00C54D4B">
        <w:rPr>
          <w:noProof/>
        </w:rPr>
        <w:t>]</w:t>
      </w:r>
      <w:r w:rsidRPr="00CC745D">
        <w:fldChar w:fldCharType="end"/>
      </w:r>
      <w:r w:rsidRPr="00CC745D">
        <w:t>. The authors also discuss recent advances in experimental and computational techniques for studying diffusion in zeolites, as well as the potential for using machine learning approaches to develop predictive models of diffusion behavior.</w:t>
      </w:r>
    </w:p>
    <w:p w14:paraId="1BC6EA1E" w14:textId="05539A23" w:rsidR="00CA0F0A" w:rsidRPr="00CC745D" w:rsidRDefault="00CA0F0A" w:rsidP="00DA249E">
      <w:pPr>
        <w:spacing w:line="480" w:lineRule="auto"/>
        <w:jc w:val="both"/>
      </w:pPr>
      <w:r w:rsidRPr="00CC745D">
        <w:tab/>
        <w:t xml:space="preserve">Other recent studies have focused on developing new synthesis strategies for zeolites with tailored pore structures, which can help to optimize catalyst performance by reducing diffusion limitations deactivation </w:t>
      </w:r>
      <w:r w:rsidRPr="00CC745D">
        <w:fldChar w:fldCharType="begin"/>
      </w:r>
      <w:r w:rsidR="00C54D4B">
        <w:instrText xml:space="preserve"> ADDIN EN.CITE &lt;EndNote&gt;&lt;Cite&gt;&lt;Author&gt;Corma&lt;/Author&gt;&lt;Year&gt;1996&lt;/Year&gt;&lt;RecNum&gt;46&lt;/RecNum&gt;&lt;DisplayText&gt;[14, 15]&lt;/DisplayText&gt;&lt;record&gt;&lt;rec-number&gt;46&lt;/rec-number&gt;&lt;foreign-keys&gt;&lt;key app="EN" db-id="59dvwrfdof9dw8exf0kvp0atwazsazeeffsp" timestamp="1671500358"&gt;46&lt;/key&gt;&lt;/foreign-keys&gt;&lt;ref-type name="Journal Article"&gt;17&lt;/ref-type&gt;&lt;contributors&gt;&lt;authors&gt;&lt;author&gt;A. Corma&lt;/author&gt;&lt;author&gt;M. S. Grande&lt;/author&gt;&lt;author&gt;V. Gonzalez-Alfaro&lt;/author&gt;&lt;author&gt;A. V. Orchilles&lt;/author&gt;&lt;/authors&gt;&lt;/contributors&gt;&lt;titles&gt;&lt;title&gt;Cracking Activity and Hydrothermal Stability of MCM-41 and Its Comparison with Amorphous Silica-Alumina and a USY Zeolite&lt;/title&gt;&lt;secondary-title&gt;Journal of Catalysis&lt;/secondary-title&gt;&lt;/titles&gt;&lt;periodical&gt;&lt;full-title&gt;Journal of Catalysis&lt;/full-title&gt;&lt;/periodical&gt;&lt;pages&gt;375-382&lt;/pages&gt;&lt;volume&gt;159&lt;/volume&gt;&lt;number&gt;2&lt;/number&gt;&lt;dates&gt;&lt;year&gt;1996&lt;/year&gt;&lt;/dates&gt;&lt;urls&gt;&lt;/urls&gt;&lt;electronic-resource-num&gt;https://doi.org/10.1006/jcat.1996.0100&lt;/electronic-resource-num&gt;&lt;/record&gt;&lt;/Cite&gt;&lt;Cite&gt;&lt;Author&gt;Srivastava&lt;/Author&gt;&lt;Year&gt;2006&lt;/Year&gt;&lt;RecNum&gt;47&lt;/RecNum&gt;&lt;record&gt;&lt;rec-number&gt;47&lt;/rec-number&gt;&lt;foreign-keys&gt;&lt;key app="EN" db-id="59dvwrfdof9dw8exf0kvp0atwazsazeeffsp" timestamp="1671500586"&gt;47&lt;/key&gt;&lt;/foreign-keys&gt;&lt;ref-type name="Journal Article"&gt;17&lt;/ref-type&gt;&lt;contributors&gt;&lt;authors&gt;&lt;author&gt;Rajendra Srivastava&lt;/author&gt;&lt;author&gt;Minkee Choi&lt;/author&gt;&lt;author&gt;Ryong Ryoo&lt;/author&gt;&lt;/authors&gt;&lt;/contributors&gt;&lt;titles&gt;&lt;title&gt;Mesoporous materials with zeolite framework: remarkable effect of the hierarchical structure for retardation of catalyst deactivation&lt;/title&gt;&lt;secondary-title&gt;Chemical Communications&lt;/secondary-title&gt;&lt;/titles&gt;&lt;periodical&gt;&lt;full-title&gt;Chemical Communications&lt;/full-title&gt;&lt;/periodical&gt;&lt;pages&gt;4489-4491&lt;/pages&gt;&lt;number&gt;43&lt;/number&gt;&lt;dates&gt;&lt;year&gt;2006&lt;/year&gt;&lt;/dates&gt;&lt;urls&gt;&lt;/urls&gt;&lt;/record&gt;&lt;/Cite&gt;&lt;/EndNote&gt;</w:instrText>
      </w:r>
      <w:r w:rsidRPr="00CC745D">
        <w:fldChar w:fldCharType="separate"/>
      </w:r>
      <w:r w:rsidR="00C54D4B">
        <w:rPr>
          <w:noProof/>
        </w:rPr>
        <w:t>[</w:t>
      </w:r>
      <w:hyperlink w:anchor="_ENREF_14" w:tooltip="Corma, 1996 #46" w:history="1">
        <w:r w:rsidR="00D307FA">
          <w:rPr>
            <w:noProof/>
          </w:rPr>
          <w:t>14</w:t>
        </w:r>
      </w:hyperlink>
      <w:r w:rsidR="00C54D4B">
        <w:rPr>
          <w:noProof/>
        </w:rPr>
        <w:t xml:space="preserve">, </w:t>
      </w:r>
      <w:hyperlink w:anchor="_ENREF_15" w:tooltip="Srivastava, 2006 #47" w:history="1">
        <w:r w:rsidR="00D307FA">
          <w:rPr>
            <w:noProof/>
          </w:rPr>
          <w:t>15</w:t>
        </w:r>
      </w:hyperlink>
      <w:r w:rsidR="00C54D4B">
        <w:rPr>
          <w:noProof/>
        </w:rPr>
        <w:t>]</w:t>
      </w:r>
      <w:r w:rsidRPr="00CC745D">
        <w:fldChar w:fldCharType="end"/>
      </w:r>
      <w:r w:rsidRPr="00CC745D">
        <w:t xml:space="preserve">. For example, Zhang et al. reported a new method for synthesizing hierarchical zeolites with a dual-pore structure, which showed improved catalytic activity and selectivity for the conversion of bulky molecules compared to conventional zeolites </w:t>
      </w:r>
      <w:r w:rsidRPr="00CC745D">
        <w:fldChar w:fldCharType="begin"/>
      </w:r>
      <w:r w:rsidR="00C54D4B">
        <w:instrText xml:space="preserve"> ADDIN EN.CITE &lt;EndNote&gt;&lt;Cite&gt;&lt;Author&gt;Zhang&lt;/Author&gt;&lt;Year&gt;2020&lt;/Year&gt;&lt;RecNum&gt;164&lt;/RecNum&gt;&lt;DisplayText&gt;[16]&lt;/DisplayText&gt;&lt;record&gt;&lt;rec-number&gt;164&lt;/rec-number&gt;&lt;foreign-keys&gt;&lt;key app="EN" db-id="59dvwrfdof9dw8exf0kvp0atwazsazeeffsp" timestamp="1677191094"&gt;164&lt;/key&gt;&lt;/foreign-keys&gt;&lt;ref-type name="Journal Article"&gt;17&lt;/ref-type&gt;&lt;contributors&gt;&lt;authors&gt;&lt;author&gt;Ye Zhang&lt;/author&gt;&lt;author&gt;Jian Song&lt;/author&gt;&lt;author&gt;Josue Quispe Mayta&lt;/author&gt;&lt;author&gt;Fusheng Pan&lt;/author&gt;&lt;author&gt;Xue Gao&lt;/author&gt;&lt;author&gt;Mei Li&lt;/author&gt;&lt;author&gt;Yimeng Song&lt;/author&gt;&lt;author&gt;Meidi Wang&lt;/author&gt;&lt;author&gt;Xingzhong Cao&lt;/author&gt;&lt;author&gt;Zhongyi Jiang &lt;/author&gt;&lt;/authors&gt;&lt;/contributors&gt;&lt;titles&gt;&lt;title&gt;Enhanced desulfurization performance of hybrid membranes using embedded hierarchical porous SBA-15&lt;/title&gt;&lt;secondary-title&gt;Frontiers of Chemical Science and Engineering&lt;/secondary-title&gt;&lt;/titles&gt;&lt;periodical&gt;&lt;full-title&gt;Frontiers of Chemical Science and Engineering&lt;/full-title&gt;&lt;/periodical&gt;&lt;pages&gt;661-672&lt;/pages&gt;&lt;volume&gt;14&lt;/volume&gt;&lt;dates&gt;&lt;year&gt;2020&lt;/year&gt;&lt;/dates&gt;&lt;urls&gt;&lt;/urls&gt;&lt;electronic-resource-num&gt;https://doi.org/10.1007/s11705-019-1830-3&lt;/electronic-resource-num&gt;&lt;/record&gt;&lt;/Cite&gt;&lt;/EndNote&gt;</w:instrText>
      </w:r>
      <w:r w:rsidRPr="00CC745D">
        <w:fldChar w:fldCharType="separate"/>
      </w:r>
      <w:r w:rsidR="00C54D4B">
        <w:rPr>
          <w:noProof/>
        </w:rPr>
        <w:t>[</w:t>
      </w:r>
      <w:hyperlink w:anchor="_ENREF_16" w:tooltip="Zhang, 2020 #164" w:history="1">
        <w:r w:rsidR="00D307FA">
          <w:rPr>
            <w:noProof/>
          </w:rPr>
          <w:t>16</w:t>
        </w:r>
      </w:hyperlink>
      <w:r w:rsidR="00C54D4B">
        <w:rPr>
          <w:noProof/>
        </w:rPr>
        <w:t>]</w:t>
      </w:r>
      <w:r w:rsidRPr="00CC745D">
        <w:fldChar w:fldCharType="end"/>
      </w:r>
      <w:r w:rsidRPr="00CC745D">
        <w:t xml:space="preserve">. While the mesopores conferred an enhanced transport inside </w:t>
      </w:r>
      <w:r w:rsidRPr="00CC745D">
        <w:lastRenderedPageBreak/>
        <w:t xml:space="preserve">the catalytic environment, the micropores were responsible for the molecular selectivity and improved catalytic activity. </w:t>
      </w:r>
    </w:p>
    <w:p w14:paraId="391030C7" w14:textId="59307106" w:rsidR="00CA0F0A" w:rsidRPr="00CC745D" w:rsidRDefault="00CA0F0A" w:rsidP="00DA249E">
      <w:pPr>
        <w:spacing w:line="480" w:lineRule="auto"/>
        <w:jc w:val="both"/>
      </w:pPr>
      <w:r w:rsidRPr="00CC745D">
        <w:tab/>
        <w:t>Aforesaid transport constraints generate local concentration gradients of a reacting specie</w:t>
      </w:r>
      <w:r w:rsidR="0039706A">
        <w:t>s</w:t>
      </w:r>
      <w:r w:rsidRPr="00CC745D">
        <w:t xml:space="preserve"> inside of a catalyst volume not only impacting the activity alone, but also product selectivity. A molecule residence time increases inside these porous domains and favor parallel and sequential reactions as a consequence  </w:t>
      </w:r>
      <w:r w:rsidRPr="00CC745D">
        <w:fldChar w:fldCharType="begin"/>
      </w:r>
      <w:r w:rsidR="00C54D4B">
        <w:instrText xml:space="preserve"> ADDIN EN.CITE &lt;EndNote&gt;&lt;Cite&gt;&lt;Author&gt;Noh&lt;/Author&gt;&lt;Year&gt;2018&lt;/Year&gt;&lt;RecNum&gt;12&lt;/RecNum&gt;&lt;DisplayText&gt;[17]&lt;/DisplayText&gt;&lt;record&gt;&lt;rec-number&gt;12&lt;/rec-number&gt;&lt;foreign-keys&gt;&lt;key app="EN" db-id="59dvwrfdof9dw8exf0kvp0atwazsazeeffsp" timestamp="1667538819"&gt;12&lt;/key&gt;&lt;/foreign-keys&gt;&lt;ref-type name="Journal Article"&gt;17&lt;/ref-type&gt;&lt;contributors&gt;&lt;authors&gt;&lt;author&gt;Gina Noh&lt;/author&gt;&lt;author&gt;Enrique Iglesia&lt;/author&gt;&lt;author&gt;Zhichen Shi&lt;/author&gt;&lt;author&gt;Stacey I. Zones&lt;/author&gt;&lt;/authors&gt;&lt;/contributors&gt;&lt;titles&gt;&lt;title&gt;&lt;style face="normal" font="default" size="100%"&gt;Isomerization and &lt;/style&gt;&lt;style face="normal" font="default" charset="161" size="100%"&gt;β-scission reactions of alkanes on bifunctional metal-acid catalysts: Consequences of confinement and diffusional constraints on reactivity and selectivity&lt;/style&gt;&lt;/title&gt;&lt;secondary-title&gt;Journal of Catalysis&lt;/secondary-title&gt;&lt;/titles&gt;&lt;periodical&gt;&lt;full-title&gt;Journal of Catalysis&lt;/full-title&gt;&lt;/periodical&gt;&lt;pages&gt;389-410&lt;/pages&gt;&lt;volume&gt;368&lt;/volume&gt;&lt;dates&gt;&lt;year&gt;2018&lt;/year&gt;&lt;/dates&gt;&lt;urls&gt;&lt;/urls&gt;&lt;electronic-resource-num&gt;https://doi.org/10.1016/j.jcat.2018.03.033&lt;/electronic-resource-num&gt;&lt;/record&gt;&lt;/Cite&gt;&lt;/EndNote&gt;</w:instrText>
      </w:r>
      <w:r w:rsidRPr="00CC745D">
        <w:fldChar w:fldCharType="separate"/>
      </w:r>
      <w:r w:rsidR="00C54D4B">
        <w:rPr>
          <w:noProof/>
        </w:rPr>
        <w:t>[</w:t>
      </w:r>
      <w:hyperlink w:anchor="_ENREF_17" w:tooltip="Noh, 2018 #12" w:history="1">
        <w:r w:rsidR="00D307FA">
          <w:rPr>
            <w:noProof/>
          </w:rPr>
          <w:t>17</w:t>
        </w:r>
      </w:hyperlink>
      <w:r w:rsidR="00C54D4B">
        <w:rPr>
          <w:noProof/>
        </w:rPr>
        <w:t>]</w:t>
      </w:r>
      <w:r w:rsidRPr="00CC745D">
        <w:fldChar w:fldCharType="end"/>
      </w:r>
      <w:r w:rsidRPr="00CC745D">
        <w:t xml:space="preserve">. </w:t>
      </w:r>
    </w:p>
    <w:p w14:paraId="1C185550" w14:textId="77777777" w:rsidR="00677AFD" w:rsidRDefault="00CA0F0A" w:rsidP="00677AFD">
      <w:pPr>
        <w:spacing w:line="480" w:lineRule="auto"/>
        <w:jc w:val="both"/>
      </w:pPr>
      <w:r w:rsidRPr="00CC745D">
        <w:tab/>
        <w:t>The need to better understand the impact of diffusion in zeolitic environments, with the aim of identifying and quantifying its extent, is a key motivation for research. Next, an overview of the current understanding of zeolites and diffusion in heterogeneous catalysis is provided, highlighting opportunities for ongoing contributions to this field and for developing experimental approaches to address current interests.</w:t>
      </w:r>
    </w:p>
    <w:p w14:paraId="11458814" w14:textId="77777777" w:rsidR="00677AFD" w:rsidRDefault="00677AFD" w:rsidP="00677AFD">
      <w:pPr>
        <w:spacing w:line="480" w:lineRule="auto"/>
        <w:jc w:val="both"/>
      </w:pPr>
    </w:p>
    <w:p w14:paraId="017EEAB1" w14:textId="6C8DA6D1" w:rsidR="003512C7" w:rsidRPr="00AB652F" w:rsidRDefault="003512C7" w:rsidP="006C316F">
      <w:pPr>
        <w:pStyle w:val="Heading2"/>
        <w:rPr>
          <w:i w:val="0"/>
          <w:iCs/>
          <w:sz w:val="28"/>
          <w:szCs w:val="28"/>
        </w:rPr>
      </w:pPr>
      <w:bookmarkStart w:id="6" w:name="_Toc132924176"/>
      <w:r w:rsidRPr="00AB652F">
        <w:rPr>
          <w:i w:val="0"/>
          <w:iCs/>
          <w:sz w:val="28"/>
          <w:szCs w:val="28"/>
        </w:rPr>
        <w:t>1.2 Definition and Properties of Zeolites</w:t>
      </w:r>
      <w:bookmarkEnd w:id="6"/>
    </w:p>
    <w:p w14:paraId="293A37BE" w14:textId="0D823756" w:rsidR="00CA0F0A" w:rsidRPr="00CC745D" w:rsidRDefault="00CA0F0A" w:rsidP="00682D8B">
      <w:pPr>
        <w:spacing w:line="480" w:lineRule="auto"/>
        <w:jc w:val="both"/>
      </w:pPr>
      <w:r>
        <w:tab/>
      </w:r>
      <w:r w:rsidRPr="00CC745D">
        <w:t xml:space="preserve">Zeolites are composed of a three-dimensional framework of tetrahedrally coordinated silica and alumina, which are linked together by oxygen atoms to form a porous and well defined crystalline structure </w:t>
      </w:r>
      <w:r w:rsidRPr="00CC745D">
        <w:fldChar w:fldCharType="begin"/>
      </w:r>
      <w:r w:rsidR="00C54D4B">
        <w:instrText xml:space="preserve"> ADDIN EN.CITE &lt;EndNote&gt;&lt;Cite&gt;&lt;Author&gt;Smith&lt;/Author&gt;&lt;Year&gt;1984&lt;/Year&gt;&lt;RecNum&gt;182&lt;/RecNum&gt;&lt;DisplayText&gt;[18]&lt;/DisplayText&gt;&lt;record&gt;&lt;rec-number&gt;182&lt;/rec-number&gt;&lt;foreign-keys&gt;&lt;key app="EN" db-id="59dvwrfdof9dw8exf0kvp0atwazsazeeffsp" timestamp="1677617093"&gt;182&lt;/key&gt;&lt;/foreign-keys&gt;&lt;ref-type name="Journal Article"&gt;17&lt;/ref-type&gt;&lt;contributors&gt;&lt;authors&gt;&lt;author&gt;J.V. Smith&lt;/author&gt;&lt;/authors&gt;&lt;/contributors&gt;&lt;titles&gt;&lt;title&gt;Definition of a zeolite&lt;/title&gt;&lt;secondary-title&gt;Zeolites&lt;/secondary-title&gt;&lt;/titles&gt;&lt;periodical&gt;&lt;full-title&gt;Zeolites&lt;/full-title&gt;&lt;/periodical&gt;&lt;pages&gt;309-310&lt;/pages&gt;&lt;volume&gt;4&lt;/volume&gt;&lt;number&gt;4&lt;/number&gt;&lt;dates&gt;&lt;year&gt;1984&lt;/year&gt;&lt;/dates&gt;&lt;urls&gt;&lt;/urls&gt;&lt;/record&gt;&lt;/Cite&gt;&lt;/EndNote&gt;</w:instrText>
      </w:r>
      <w:r w:rsidRPr="00CC745D">
        <w:fldChar w:fldCharType="separate"/>
      </w:r>
      <w:r w:rsidR="00C54D4B">
        <w:rPr>
          <w:noProof/>
        </w:rPr>
        <w:t>[</w:t>
      </w:r>
      <w:hyperlink w:anchor="_ENREF_18" w:tooltip="Smith, 1984 #182" w:history="1">
        <w:r w:rsidR="00D307FA">
          <w:rPr>
            <w:noProof/>
          </w:rPr>
          <w:t>18</w:t>
        </w:r>
      </w:hyperlink>
      <w:r w:rsidR="00C54D4B">
        <w:rPr>
          <w:noProof/>
        </w:rPr>
        <w:t>]</w:t>
      </w:r>
      <w:r w:rsidRPr="00CC745D">
        <w:fldChar w:fldCharType="end"/>
      </w:r>
      <w:r w:rsidRPr="00CC745D">
        <w:t xml:space="preserve">. One of the most important properties of zeolites is their high surface area and porosity, allowing them to selectively trap and convert small molecules such as water, carbon dioxide, and nitrogen oxides </w:t>
      </w:r>
      <w:r w:rsidRPr="00CC745D">
        <w:fldChar w:fldCharType="begin">
          <w:fldData xml:space="preserve">PEVuZE5vdGU+PENpdGU+PEF1dGhvcj5XYW5nPC9BdXRob3I+PFllYXI+MjAxMDwvWWVhcj48UmVj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</w:fldData>
        </w:fldChar>
      </w:r>
      <w:r w:rsidR="00C54D4B">
        <w:instrText xml:space="preserve"> ADDIN EN.CITE </w:instrText>
      </w:r>
      <w:r w:rsidR="00C54D4B">
        <w:fldChar w:fldCharType="begin">
          <w:fldData xml:space="preserve">PEVuZE5vdGU+PENpdGU+PEF1dGhvcj5XYW5nPC9BdXRob3I+PFllYXI+MjAxMDwvWWVhcj48UmVj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</w:fldData>
        </w:fldChar>
      </w:r>
      <w:r w:rsidR="00C54D4B">
        <w:instrText xml:space="preserve"> ADDIN EN.CITE.DATA </w:instrText>
      </w:r>
      <w:r w:rsidR="00C54D4B">
        <w:fldChar w:fldCharType="end"/>
      </w:r>
      <w:r w:rsidRPr="00CC745D">
        <w:fldChar w:fldCharType="separate"/>
      </w:r>
      <w:r w:rsidR="00C54D4B">
        <w:rPr>
          <w:noProof/>
        </w:rPr>
        <w:t>[</w:t>
      </w:r>
      <w:hyperlink w:anchor="_ENREF_19" w:tooltip="Wang, 2010 #181" w:history="1">
        <w:r w:rsidR="00D307FA">
          <w:rPr>
            <w:noProof/>
          </w:rPr>
          <w:t>19-21</w:t>
        </w:r>
      </w:hyperlink>
      <w:r w:rsidR="00C54D4B">
        <w:rPr>
          <w:noProof/>
        </w:rPr>
        <w:t>]</w:t>
      </w:r>
      <w:r w:rsidRPr="00CC745D">
        <w:fldChar w:fldCharType="end"/>
      </w:r>
      <w:r w:rsidRPr="00CC745D">
        <w:t xml:space="preserve">. The pore size and shape of zeolites can vary depending on the arrangement of the tetrahedra guided by the presence of cations structure directing agents (SDAs) during the zeolite synthesis. Different structural features (cages, and channels) are obtained as a function of synthesis/gel mixture, nucleation and crystal growth conditions, and SDAs used </w:t>
      </w:r>
      <w:r w:rsidRPr="00CC745D">
        <w:fldChar w:fldCharType="begin">
          <w:fldData xml:space="preserve">PEVuZE5vdGU+PENpdGU+PEF1dGhvcj5DdW5keTwvQXV0aG9yPjxZZWFyPjIwMDM8L1llYXI+PFJl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</w:fldData>
        </w:fldChar>
      </w:r>
      <w:r w:rsidR="00C54D4B">
        <w:instrText xml:space="preserve"> ADDIN EN.CITE </w:instrText>
      </w:r>
      <w:r w:rsidR="00C54D4B">
        <w:fldChar w:fldCharType="begin">
          <w:fldData xml:space="preserve">PEVuZE5vdGU+PENpdGU+PEF1dGhvcj5DdW5keTwvQXV0aG9yPjxZZWFyPjIwMDM8L1llYXI+PFJl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</w:fldData>
        </w:fldChar>
      </w:r>
      <w:r w:rsidR="00C54D4B">
        <w:instrText xml:space="preserve"> ADDIN EN.CITE.DATA </w:instrText>
      </w:r>
      <w:r w:rsidR="00C54D4B">
        <w:fldChar w:fldCharType="end"/>
      </w:r>
      <w:r w:rsidRPr="00CC745D">
        <w:fldChar w:fldCharType="separate"/>
      </w:r>
      <w:r w:rsidR="00C54D4B">
        <w:rPr>
          <w:noProof/>
        </w:rPr>
        <w:t>[</w:t>
      </w:r>
      <w:hyperlink w:anchor="_ENREF_22" w:tooltip="Cundy, 2003 #43" w:history="1">
        <w:r w:rsidR="00D307FA">
          <w:rPr>
            <w:noProof/>
          </w:rPr>
          <w:t>22-24</w:t>
        </w:r>
      </w:hyperlink>
      <w:r w:rsidR="00C54D4B">
        <w:rPr>
          <w:noProof/>
        </w:rPr>
        <w:t>]</w:t>
      </w:r>
      <w:r w:rsidRPr="00CC745D">
        <w:fldChar w:fldCharType="end"/>
      </w:r>
      <w:r w:rsidRPr="00CC745D">
        <w:t xml:space="preserve">. </w:t>
      </w:r>
      <w:r w:rsidRPr="00CC745D">
        <w:lastRenderedPageBreak/>
        <w:t>This structural diversity gives rise to a wide range of adsorption and catalytic properties in zeolites, which are exploited in many industrial applications.</w:t>
      </w:r>
    </w:p>
    <w:p w14:paraId="39794F5D" w14:textId="6A8314E9" w:rsidR="00CA0F0A" w:rsidRPr="00C80AAF" w:rsidRDefault="00CA0F0A" w:rsidP="00A15F74">
      <w:pPr>
        <w:spacing w:line="480" w:lineRule="auto"/>
        <w:jc w:val="both"/>
      </w:pPr>
      <w:r w:rsidRPr="00CC745D">
        <w:tab/>
        <w:t>In addition to their high surface area, zeolites also exhibit a unique ion-exchange capacity. The cations within the zeolite structure can be exchanged with other cations in solution, which can be exploited to selectively remove or recover ions from a mixture. This property arises from the nature of that aluminum cation in the framework incorporated in the tetrahedral position. Originally, alumina (Al</w:t>
      </w:r>
      <w:r w:rsidRPr="00CC745D">
        <w:rPr>
          <w:vertAlign w:val="subscript"/>
        </w:rPr>
        <w:t>2</w:t>
      </w:r>
      <w:r w:rsidRPr="00CC745D">
        <w:t>O</w:t>
      </w:r>
      <w:r w:rsidRPr="00CC745D">
        <w:rPr>
          <w:vertAlign w:val="subscript"/>
        </w:rPr>
        <w:t>3</w:t>
      </w:r>
      <w:r w:rsidRPr="00CC745D">
        <w:t xml:space="preserve">) is found in its most stable form as octahedrally coordinated with 4-5 oxygens whereas silica assembles a 3-dimensional structure covalently bonded in a tetrahedral form to 4 oxygen atoms </w:t>
      </w:r>
      <w:r w:rsidRPr="00CC745D">
        <w:fldChar w:fldCharType="begin"/>
      </w:r>
      <w:r w:rsidR="00C54D4B">
        <w:instrText xml:space="preserve"> ADDIN EN.CITE &lt;EndNote&gt;&lt;Cite&gt;&lt;Author&gt;Levin&lt;/Author&gt;&lt;Year&gt;2005&lt;/Year&gt;&lt;RecNum&gt;165&lt;/RecNum&gt;&lt;DisplayText&gt;[25, 26]&lt;/DisplayText&gt;&lt;record&gt;&lt;rec-number&gt;165&lt;/rec-number&gt;&lt;foreign-keys&gt;&lt;key app="EN" db-id="59dvwrfdof9dw8exf0kvp0atwazsazeeffsp" timestamp="1677196264"&gt;165&lt;/key&gt;&lt;/foreign-keys&gt;&lt;ref-type name="Journal Article"&gt;17&lt;/ref-type&gt;&lt;contributors&gt;&lt;authors&gt;&lt;author&gt;Igor Levin&lt;/author&gt;&lt;author&gt;David Brandon&lt;/author&gt;&lt;/authors&gt;&lt;/contributors&gt;&lt;titles&gt;&lt;title&gt;Metastable Alumina Polymorphs: Crystal Structures and Transition Sequences&lt;/title&gt;&lt;secondary-title&gt;Journal of the American Ceramic Society&lt;/secondary-title&gt;&lt;/titles&gt;&lt;periodical&gt;&lt;full-title&gt;Journal of the American Ceramic Society&lt;/full-title&gt;&lt;/periodical&gt;&lt;pages&gt;1995-2012&lt;/pages&gt;&lt;volume&gt;81&lt;/volume&gt;&lt;number&gt;8&lt;/number&gt;&lt;dates&gt;&lt;year&gt;2005&lt;/year&gt;&lt;/dates&gt;&lt;urls&gt;&lt;/urls&gt;&lt;electronic-resource-num&gt;https://doi.org/10.1111/j.1151-2916.1998.tb02581.x&lt;/electronic-resource-num&gt;&lt;/record&gt;&lt;/Cite&gt;&lt;Cite&gt;&lt;Author&gt;Navrotsky&lt;/Author&gt;&lt;Year&gt;1985&lt;/Year&gt;&lt;RecNum&gt;166&lt;/RecNum&gt;&lt;record&gt;&lt;rec-number&gt;166&lt;/rec-number&gt;&lt;foreign-keys&gt;&lt;key app="EN" db-id="59dvwrfdof9dw8exf0kvp0atwazsazeeffsp" timestamp="1677196467"&gt;166&lt;/key&gt;&lt;/foreign-keys&gt;&lt;ref-type name="Journal Article"&gt;17&lt;/ref-type&gt;&lt;contributors&gt;&lt;authors&gt;&lt;author&gt;A. Navrotsky&lt;/author&gt;&lt;author&gt;K. L. Geisinger&lt;/author&gt;&lt;author&gt;P. McMillan&lt;/author&gt;&lt;author&gt;G. V. Gibbs &lt;/author&gt;&lt;/authors&gt;&lt;/contributors&gt;&lt;titles&gt;&lt;title&gt;The tetrahedral framework in glasses and melts — inferences from molecular orbital calculations and implications for structure, thermodynamics, and physical properties&lt;/title&gt;&lt;secondary-title&gt;Physics and Chemistry of Minerals&lt;/secondary-title&gt;&lt;/titles&gt;&lt;periodical&gt;&lt;full-title&gt;Physics and Chemistry of Minerals&lt;/full-title&gt;&lt;/periodical&gt;&lt;pages&gt;284-298&lt;/pages&gt;&lt;volume&gt;11&lt;/volume&gt;&lt;dates&gt;&lt;year&gt;1985&lt;/year&gt;&lt;/dates&gt;&lt;urls&gt;&lt;/urls&gt;&lt;electronic-resource-num&gt;https://doi.org/10.1007/BF00307406&lt;/electronic-resource-num&gt;&lt;/record&gt;&lt;/Cite&gt;&lt;/EndNote&gt;</w:instrText>
      </w:r>
      <w:r w:rsidRPr="00CC745D">
        <w:fldChar w:fldCharType="separate"/>
      </w:r>
      <w:r w:rsidR="00C54D4B">
        <w:rPr>
          <w:noProof/>
        </w:rPr>
        <w:t>[</w:t>
      </w:r>
      <w:hyperlink w:anchor="_ENREF_25" w:tooltip="Levin, 2005 #165" w:history="1">
        <w:r w:rsidR="00D307FA">
          <w:rPr>
            <w:noProof/>
          </w:rPr>
          <w:t>25</w:t>
        </w:r>
      </w:hyperlink>
      <w:r w:rsidR="00C54D4B">
        <w:rPr>
          <w:noProof/>
        </w:rPr>
        <w:t xml:space="preserve">, </w:t>
      </w:r>
      <w:hyperlink w:anchor="_ENREF_26" w:tooltip="Navrotsky, 1985 #166" w:history="1">
        <w:r w:rsidR="00D307FA">
          <w:rPr>
            <w:noProof/>
          </w:rPr>
          <w:t>26</w:t>
        </w:r>
      </w:hyperlink>
      <w:r w:rsidR="00C54D4B">
        <w:rPr>
          <w:noProof/>
        </w:rPr>
        <w:t>]</w:t>
      </w:r>
      <w:r w:rsidRPr="00CC745D">
        <w:fldChar w:fldCharType="end"/>
      </w:r>
      <w:r w:rsidRPr="00CC745D">
        <w:t>. As the primary units of a crystal composed by silica grow</w:t>
      </w:r>
      <w:r w:rsidR="008F76C6">
        <w:t>,</w:t>
      </w:r>
      <w:r w:rsidRPr="00CC745D">
        <w:t xml:space="preserve"> aluminum can substitute that silicon tetrahedral position due to their comparable ionic radii as well as for its considerable presence in the nutrient solution </w:t>
      </w:r>
      <w:r w:rsidRPr="00CC745D">
        <w:fldChar w:fldCharType="begin"/>
      </w:r>
      <w:r w:rsidR="00C54D4B">
        <w:instrText xml:space="preserve"> ADDIN EN.CITE &lt;EndNote&gt;&lt;Cite&gt;&lt;Author&gt;Lu&lt;/Author&gt;&lt;Year&gt;1987&lt;/Year&gt;&lt;RecNum&gt;167&lt;/RecNum&gt;&lt;DisplayText&gt;[27]&lt;/DisplayText&gt;&lt;record&gt;&lt;rec-number&gt;167&lt;/rec-number&gt;&lt;foreign-keys&gt;&lt;key app="EN" db-id="59dvwrfdof9dw8exf0kvp0atwazsazeeffsp" timestamp="1677197427"&gt;167&lt;/key&gt;&lt;/foreign-keys&gt;&lt;ref-type name="Journal Article"&gt;17&lt;/ref-type&gt;&lt;contributors&gt;&lt;authors&gt;&lt;author&gt;Shu-Zu Lu&lt;/author&gt;&lt;author&gt;A. Hellawell &lt;/author&gt;&lt;/authors&gt;&lt;/contributors&gt;&lt;titles&gt;&lt;title&gt;The mechanism of silicon modification in aluminum-silicon alloys: Impurity induced twinning&lt;/title&gt;&lt;secondary-title&gt;Metallurgical Transactions A&lt;/secondary-title&gt;&lt;/titles&gt;&lt;periodical&gt;&lt;full-title&gt;Metallurgical Transactions A&lt;/full-title&gt;&lt;/periodical&gt;&lt;pages&gt;1721-1733&lt;/pages&gt;&lt;volume&gt;18&lt;/volume&gt;&lt;dates&gt;&lt;year&gt;1987&lt;/year&gt;&lt;/dates&gt;&lt;urls&gt;&lt;/urls&gt;&lt;electronic-resource-num&gt;https://doi.org/10.1007/BF02646204&lt;/electronic-resource-num&gt;&lt;/record&gt;&lt;/Cite&gt;&lt;/EndNote&gt;</w:instrText>
      </w:r>
      <w:r w:rsidRPr="00CC745D">
        <w:fldChar w:fldCharType="separate"/>
      </w:r>
      <w:r w:rsidR="00C54D4B">
        <w:rPr>
          <w:noProof/>
        </w:rPr>
        <w:t>[</w:t>
      </w:r>
      <w:hyperlink w:anchor="_ENREF_27" w:tooltip="Lu, 1987 #167" w:history="1">
        <w:r w:rsidR="00D307FA">
          <w:rPr>
            <w:noProof/>
          </w:rPr>
          <w:t>27</w:t>
        </w:r>
      </w:hyperlink>
      <w:r w:rsidR="00C54D4B">
        <w:rPr>
          <w:noProof/>
        </w:rPr>
        <w:t>]</w:t>
      </w:r>
      <w:r w:rsidRPr="00CC745D">
        <w:fldChar w:fldCharType="end"/>
      </w:r>
      <w:r w:rsidRPr="00CC745D">
        <w:t>. This replacement results in a negative charge imbalance in the zeolite structure (Si</w:t>
      </w:r>
      <w:r w:rsidRPr="00CC745D">
        <w:rPr>
          <w:vertAlign w:val="superscript"/>
        </w:rPr>
        <w:t>4+</w:t>
      </w:r>
      <w:r w:rsidRPr="00CC745D">
        <w:t xml:space="preserve"> vs. Al</w:t>
      </w:r>
      <w:r w:rsidRPr="00CC745D">
        <w:rPr>
          <w:vertAlign w:val="superscript"/>
        </w:rPr>
        <w:t>3+</w:t>
      </w:r>
      <w:r w:rsidRPr="00CC745D">
        <w:t xml:space="preserve">), which is compensated for by the presence of cations such as sodium or potassium </w:t>
      </w:r>
      <w:r w:rsidRPr="00CC745D">
        <w:fldChar w:fldCharType="begin"/>
      </w:r>
      <w:r w:rsidR="00C54D4B">
        <w:instrText xml:space="preserve"> ADDIN EN.CITE &lt;EndNote&gt;&lt;Cite&gt;&lt;Author&gt;Corma&lt;/Author&gt;&lt;Year&gt;1995&lt;/Year&gt;&lt;RecNum&gt;48&lt;/RecNum&gt;&lt;DisplayText&gt;[28]&lt;/DisplayText&gt;&lt;record&gt;&lt;rec-number&gt;48&lt;/rec-number&gt;&lt;foreign-keys&gt;&lt;key app="EN" db-id="59dvwrfdof9dw8exf0kvp0atwazsazeeffsp" timestamp="1671576444"&gt;48&lt;/key&gt;&lt;/foreign-keys&gt;&lt;ref-type name="Journal Article"&gt;17&lt;/ref-type&gt;&lt;contributors&gt;&lt;authors&gt;&lt;author&gt;Avelino Corma&lt;/author&gt;&lt;/authors&gt;&lt;/contributors&gt;&lt;titles&gt;&lt;title&gt;Inorganic Solid Acids and Their Use in Acid-Catalyzed Hydrocarbon Reactions&lt;/title&gt;&lt;secondary-title&gt;Chemical Reviews&lt;/secondary-title&gt;&lt;/titles&gt;&lt;periodical&gt;&lt;full-title&gt;Chemical Reviews&lt;/full-title&gt;&lt;/periodical&gt;&lt;pages&gt;559-614&lt;/pages&gt;&lt;volume&gt;95&lt;/volume&gt;&lt;number&gt;3&lt;/number&gt;&lt;dates&gt;&lt;year&gt;1995&lt;/year&gt;&lt;/dates&gt;&lt;urls&gt;&lt;/urls&gt;&lt;electronic-resource-num&gt;https://doi.org/10.1021/cr00035a006&lt;/electronic-resource-num&gt;&lt;/record&gt;&lt;/Cite&gt;&lt;/EndNote&gt;</w:instrText>
      </w:r>
      <w:r w:rsidRPr="00CC745D">
        <w:fldChar w:fldCharType="separate"/>
      </w:r>
      <w:r w:rsidR="00C54D4B">
        <w:rPr>
          <w:noProof/>
        </w:rPr>
        <w:t>[</w:t>
      </w:r>
      <w:hyperlink w:anchor="_ENREF_28" w:tooltip="Corma, 1995 #48" w:history="1">
        <w:r w:rsidR="00D307FA">
          <w:rPr>
            <w:noProof/>
          </w:rPr>
          <w:t>28</w:t>
        </w:r>
      </w:hyperlink>
      <w:r w:rsidR="00C54D4B">
        <w:rPr>
          <w:noProof/>
        </w:rPr>
        <w:t>]</w:t>
      </w:r>
      <w:r w:rsidRPr="00CC745D">
        <w:fldChar w:fldCharType="end"/>
      </w:r>
      <w:r w:rsidRPr="00CC745D">
        <w:t>. Through a cation exchange of these alkali species with a NH</w:t>
      </w:r>
      <w:r w:rsidRPr="00CC745D">
        <w:rPr>
          <w:vertAlign w:val="subscript"/>
        </w:rPr>
        <w:t>4</w:t>
      </w:r>
      <w:r w:rsidRPr="00CC745D">
        <w:rPr>
          <w:vertAlign w:val="superscript"/>
        </w:rPr>
        <w:t>+</w:t>
      </w:r>
      <w:r w:rsidRPr="00CC745D">
        <w:t xml:space="preserve"> salt and additional thermal treatment a bridging hydroxyl emerges from the catalyst surface giving rise to an exposed proton which are known to be the reacti</w:t>
      </w:r>
      <w:r w:rsidRPr="00C80AAF">
        <w:t xml:space="preserve">on sites of the zeolites. This proton is also </w:t>
      </w:r>
      <w:r w:rsidR="00377D79" w:rsidRPr="00C80AAF">
        <w:t>referred</w:t>
      </w:r>
      <w:r w:rsidRPr="00C80AAF">
        <w:t xml:space="preserve"> </w:t>
      </w:r>
      <w:r w:rsidR="00EE2C61">
        <w:t xml:space="preserve">to </w:t>
      </w:r>
      <w:r w:rsidRPr="00C80AAF">
        <w:t>as Brønsted acid site (BAS) (</w:t>
      </w:r>
      <w:r w:rsidRPr="00C80AAF">
        <w:rPr>
          <w:b/>
          <w:bCs/>
        </w:rPr>
        <w:t>Figure 1</w:t>
      </w:r>
      <w:r w:rsidRPr="00C80AAF">
        <w:t>).</w:t>
      </w:r>
    </w:p>
    <w:p w14:paraId="7DE6665E" w14:textId="77777777" w:rsidR="00CA0F0A" w:rsidRPr="00CC745D" w:rsidRDefault="00CA0F0A" w:rsidP="0043164B">
      <w:pPr>
        <w:jc w:val="center"/>
      </w:pPr>
      <w:r w:rsidRPr="00CC745D">
        <w:rPr>
          <w:noProof/>
        </w:rPr>
        <w:drawing>
          <wp:inline distT="0" distB="0" distL="0" distR="0" wp14:anchorId="0AEAE29F" wp14:editId="7004AFFF">
            <wp:extent cx="2153801" cy="1133856"/>
            <wp:effectExtent l="0" t="0" r="0" b="0"/>
            <wp:docPr id="10" name="Picture 10" descr="A picture containing text, gaug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gauge, devic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3801" cy="1133856"/>
                    </a:xfrm>
                    <a:prstGeom prst="rect">
                      <a:avLst/>
                    </a:prstGeom>
                    <a:noFill/>
                  </pic:spPr>
                </pic:pic>
              </a:graphicData>
            </a:graphic>
          </wp:inline>
        </w:drawing>
      </w:r>
    </w:p>
    <w:p w14:paraId="0AF21E36" w14:textId="16E03465" w:rsidR="00CA0F0A" w:rsidRDefault="00CA0F0A" w:rsidP="0043164B">
      <w:pPr>
        <w:jc w:val="both"/>
      </w:pPr>
      <w:bookmarkStart w:id="7" w:name="_Toc131948665"/>
      <w:r w:rsidRPr="00CC745D">
        <w:rPr>
          <w:b/>
          <w:bCs/>
        </w:rPr>
        <w:t xml:space="preserve">Figure </w:t>
      </w:r>
      <w:r w:rsidRPr="00CC745D">
        <w:rPr>
          <w:b/>
          <w:bCs/>
          <w:i/>
          <w:iCs/>
        </w:rPr>
        <w:fldChar w:fldCharType="begin"/>
      </w:r>
      <w:r w:rsidRPr="00CC745D">
        <w:rPr>
          <w:b/>
          <w:bCs/>
        </w:rPr>
        <w:instrText xml:space="preserve"> SEQ Figure \* ARABIC </w:instrText>
      </w:r>
      <w:r w:rsidRPr="00CC745D">
        <w:rPr>
          <w:b/>
          <w:bCs/>
          <w:i/>
          <w:iCs/>
        </w:rPr>
        <w:fldChar w:fldCharType="separate"/>
      </w:r>
      <w:r w:rsidR="001F4741">
        <w:rPr>
          <w:b/>
          <w:bCs/>
          <w:noProof/>
        </w:rPr>
        <w:t>1</w:t>
      </w:r>
      <w:r w:rsidRPr="00CC745D">
        <w:rPr>
          <w:b/>
          <w:bCs/>
          <w:i/>
          <w:iCs/>
        </w:rPr>
        <w:fldChar w:fldCharType="end"/>
      </w:r>
      <w:r w:rsidRPr="00CC745D">
        <w:rPr>
          <w:b/>
          <w:bCs/>
        </w:rPr>
        <w:t>:</w:t>
      </w:r>
      <w:r w:rsidRPr="00CC745D">
        <w:t xml:space="preserve"> Brønsted acid site in zeolite catalysts, the reacting environment in which reaction frequently occurs. An elementary representation.</w:t>
      </w:r>
      <w:bookmarkEnd w:id="7"/>
    </w:p>
    <w:p w14:paraId="75674896" w14:textId="77777777" w:rsidR="0043164B" w:rsidRPr="00CC745D" w:rsidRDefault="0043164B" w:rsidP="0043164B">
      <w:pPr>
        <w:jc w:val="both"/>
        <w:rPr>
          <w:i/>
          <w:iCs/>
        </w:rPr>
      </w:pPr>
    </w:p>
    <w:p w14:paraId="057DAD0D" w14:textId="48E12218" w:rsidR="00CA0F0A" w:rsidRPr="00CC745D" w:rsidRDefault="00CA0F0A" w:rsidP="00A15F74">
      <w:pPr>
        <w:spacing w:line="480" w:lineRule="auto"/>
        <w:jc w:val="both"/>
      </w:pPr>
      <w:r w:rsidRPr="00CC745D">
        <w:lastRenderedPageBreak/>
        <w:tab/>
        <w:t xml:space="preserve">The degree of aluminum substitution can be controlled during zeolite synthesis by adjusting the composition of the precursor materials and the reaction conditions. In some cases, however, excessive aluminum substitution can lead to the formation of amorphous or poorly crystalline materials, which can reduce the adsorption and catalytic properties of the zeolite </w:t>
      </w:r>
      <w:r w:rsidRPr="00CC745D">
        <w:fldChar w:fldCharType="begin">
          <w:fldData xml:space="preserve">PEVuZE5vdGU+PENpdGU+PEF1dGhvcj5YdTwvQXV0aG9yPjxZZWFyPjIwMDc8L1llYXI+PFJlY051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</w:fldData>
        </w:fldChar>
      </w:r>
      <w:r w:rsidR="00C54D4B">
        <w:instrText xml:space="preserve"> ADDIN EN.CITE </w:instrText>
      </w:r>
      <w:r w:rsidR="00C54D4B">
        <w:fldChar w:fldCharType="begin">
          <w:fldData xml:space="preserve">PEVuZE5vdGU+PENpdGU+PEF1dGhvcj5YdTwvQXV0aG9yPjxZZWFyPjIwMDc8L1llYXI+PFJlY051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</w:fldData>
        </w:fldChar>
      </w:r>
      <w:r w:rsidR="00C54D4B">
        <w:instrText xml:space="preserve"> ADDIN EN.CITE.DATA </w:instrText>
      </w:r>
      <w:r w:rsidR="00C54D4B">
        <w:fldChar w:fldCharType="end"/>
      </w:r>
      <w:r w:rsidRPr="00CC745D">
        <w:fldChar w:fldCharType="separate"/>
      </w:r>
      <w:r w:rsidR="00C54D4B">
        <w:rPr>
          <w:noProof/>
        </w:rPr>
        <w:t>[</w:t>
      </w:r>
      <w:hyperlink w:anchor="_ENREF_29" w:tooltip="Xu, 2007 #185" w:history="1">
        <w:r w:rsidR="00D307FA">
          <w:rPr>
            <w:noProof/>
          </w:rPr>
          <w:t>29-31</w:t>
        </w:r>
      </w:hyperlink>
      <w:r w:rsidR="00C54D4B">
        <w:rPr>
          <w:noProof/>
        </w:rPr>
        <w:t>]</w:t>
      </w:r>
      <w:r w:rsidRPr="00CC745D">
        <w:fldChar w:fldCharType="end"/>
      </w:r>
      <w:r w:rsidRPr="00CC745D">
        <w:t xml:space="preserve">. Understanding the factors that control aluminum substitution is essential for the development of new zeolite structures with tailored properties for specific industrial applications. One example is the excellent thermal and chemical stability of zeolites, which makes them suitable for use in high-temperature and corrosive environments, arisen from the strong covalent bonds between the atoms in the zeolite structure, giving the material a high degree of rigidity and resistance to deformation </w:t>
      </w:r>
      <w:r w:rsidRPr="00CC745D">
        <w:fldChar w:fldCharType="begin"/>
      </w:r>
      <w:r w:rsidR="00C54D4B">
        <w:instrText xml:space="preserve"> ADDIN EN.CITE &lt;EndNote&gt;&lt;Cite&gt;&lt;Author&gt;Mitra&lt;/Author&gt;&lt;Year&gt;2002&lt;/Year&gt;&lt;RecNum&gt;188&lt;/RecNum&gt;&lt;DisplayText&gt;[32, 33]&lt;/DisplayText&gt;&lt;record&gt;&lt;rec-number&gt;188&lt;/rec-number&gt;&lt;foreign-keys&gt;&lt;key app="EN" db-id="59dvwrfdof9dw8exf0kvp0atwazsazeeffsp" timestamp="1677618534"&gt;188&lt;/key&gt;&lt;/foreign-keys&gt;&lt;ref-type name="Journal Article"&gt;17&lt;/ref-type&gt;&lt;contributors&gt;&lt;authors&gt;&lt;author&gt;Anupam Mitra&lt;/author&gt;&lt;author&gt;Zhengbao Wang&lt;/author&gt;&lt;author&gt;Tiegang Cao&lt;/author&gt;&lt;author&gt;Huanting Wang&lt;/author&gt;&lt;author&gt;Limin Huang&lt;/author&gt;&lt;author&gt;Yushan Yan&lt;/author&gt;&lt;/authors&gt;&lt;/contributors&gt;&lt;titles&gt;&lt;title&gt;Synthesis and Corrosion Resistance of High-Silica Zeolite MTW, BEA, and MFI Coatings on Steel and Aluminum&lt;/title&gt;&lt;secondary-title&gt;Journal of The Electrochemical Society&lt;/secondary-title&gt;&lt;/titles&gt;&lt;periodical&gt;&lt;full-title&gt;Journal of The Electrochemical Society&lt;/full-title&gt;&lt;/periodical&gt;&lt;pages&gt;B472-B478&lt;/pages&gt;&lt;volume&gt;149&lt;/volume&gt;&lt;dates&gt;&lt;year&gt;2002&lt;/year&gt;&lt;/dates&gt;&lt;urls&gt;&lt;/urls&gt;&lt;electronic-resource-num&gt;10.1149/1.1507784&lt;/electronic-resource-num&gt;&lt;/record&gt;&lt;/Cite&gt;&lt;Cite&gt;&lt;Author&gt;Hammonds&lt;/Author&gt;&lt;Year&gt;1998&lt;/Year&gt;&lt;RecNum&gt;189&lt;/RecNum&gt;&lt;record&gt;&lt;rec-number&gt;189&lt;/rec-number&gt;&lt;foreign-keys&gt;&lt;key app="EN" db-id="59dvwrfdof9dw8exf0kvp0atwazsazeeffsp" timestamp="1677619031"&gt;189&lt;/key&gt;&lt;/foreign-keys&gt;&lt;ref-type name="Journal Article"&gt;17&lt;/ref-type&gt;&lt;contributors&gt;&lt;authors&gt;&lt;author&gt;Kenton D. Hammonds&lt;/author&gt;&lt;author&gt;Volker Heine&lt;/author&gt;&lt;author&gt;Martin T. Dove&lt;/author&gt;&lt;/authors&gt;&lt;/contributors&gt;&lt;titles&gt;&lt;title&gt;Rigid-Unit Modes and the Quantitative Determination of the Flexibility Possessed by Zeolite Frameworks&lt;/title&gt;&lt;secondary-title&gt;Journal of Physical Chemistry B&lt;/secondary-title&gt;&lt;/titles&gt;&lt;periodical&gt;&lt;full-title&gt;Journal of Physical Chemistry B&lt;/full-title&gt;&lt;/periodical&gt;&lt;pages&gt;1759-1767&lt;/pages&gt;&lt;volume&gt;102&lt;/volume&gt;&lt;number&gt;10&lt;/number&gt;&lt;dates&gt;&lt;year&gt;1998&lt;/year&gt;&lt;/dates&gt;&lt;urls&gt;&lt;/urls&gt;&lt;electronic-resource-num&gt;https://doi.org/10.1021/jp980006z&lt;/electronic-resource-num&gt;&lt;/record&gt;&lt;/Cite&gt;&lt;/EndNote&gt;</w:instrText>
      </w:r>
      <w:r w:rsidRPr="00CC745D">
        <w:fldChar w:fldCharType="separate"/>
      </w:r>
      <w:r w:rsidR="00C54D4B">
        <w:rPr>
          <w:noProof/>
        </w:rPr>
        <w:t>[</w:t>
      </w:r>
      <w:hyperlink w:anchor="_ENREF_32" w:tooltip="Mitra, 2002 #188" w:history="1">
        <w:r w:rsidR="00D307FA">
          <w:rPr>
            <w:noProof/>
          </w:rPr>
          <w:t>32</w:t>
        </w:r>
      </w:hyperlink>
      <w:r w:rsidR="00C54D4B">
        <w:rPr>
          <w:noProof/>
        </w:rPr>
        <w:t xml:space="preserve">, </w:t>
      </w:r>
      <w:hyperlink w:anchor="_ENREF_33" w:tooltip="Hammonds, 1998 #189" w:history="1">
        <w:r w:rsidR="00D307FA">
          <w:rPr>
            <w:noProof/>
          </w:rPr>
          <w:t>33</w:t>
        </w:r>
      </w:hyperlink>
      <w:r w:rsidR="00C54D4B">
        <w:rPr>
          <w:noProof/>
        </w:rPr>
        <w:t>]</w:t>
      </w:r>
      <w:r w:rsidRPr="00CC745D">
        <w:fldChar w:fldCharType="end"/>
      </w:r>
      <w:r w:rsidRPr="00CC745D">
        <w:t xml:space="preserve">. This property is convenient in petroleum cracking and catalytic reforming reactions, where catalyst stability and catalytic activity are critical to the success of the process </w:t>
      </w:r>
      <w:r w:rsidRPr="00CC745D">
        <w:fldChar w:fldCharType="begin"/>
      </w:r>
      <w:r w:rsidR="00C54D4B">
        <w:instrText xml:space="preserve"> ADDIN EN.CITE &lt;EndNote&gt;&lt;Cite&gt;&lt;Author&gt;Corma&lt;/Author&gt;&lt;Year&gt;2003&lt;/Year&gt;&lt;RecNum&gt;190&lt;/RecNum&gt;&lt;DisplayText&gt;[34]&lt;/DisplayText&gt;&lt;record&gt;&lt;rec-number&gt;190&lt;/rec-number&gt;&lt;foreign-keys&gt;&lt;key app="EN" db-id="59dvwrfdof9dw8exf0kvp0atwazsazeeffsp" timestamp="1677619157"&gt;190&lt;/key&gt;&lt;/foreign-keys&gt;&lt;ref-type name="Journal Article"&gt;17&lt;/ref-type&gt;&lt;contributors&gt;&lt;authors&gt;&lt;author&gt;Avelino Corma&lt;/author&gt;&lt;/authors&gt;&lt;/contributors&gt;&lt;titles&gt;&lt;title&gt;State of the art and future challenges of zeolites as catalysts&lt;/title&gt;&lt;secondary-title&gt;Journal of Catalysis&lt;/secondary-title&gt;&lt;/titles&gt;&lt;periodical&gt;&lt;full-title&gt;Journal of Catalysis&lt;/full-title&gt;&lt;/periodical&gt;&lt;pages&gt;298-312&lt;/pages&gt;&lt;volume&gt;216&lt;/volume&gt;&lt;number&gt;1-2&lt;/number&gt;&lt;dates&gt;&lt;year&gt;2003&lt;/year&gt;&lt;/dates&gt;&lt;urls&gt;&lt;/urls&gt;&lt;electronic-resource-num&gt;https://doi.org/10.1016/S0021-9517(02)00132-X&lt;/electronic-resource-num&gt;&lt;/record&gt;&lt;/Cite&gt;&lt;/EndNote&gt;</w:instrText>
      </w:r>
      <w:r w:rsidRPr="00CC745D">
        <w:fldChar w:fldCharType="separate"/>
      </w:r>
      <w:r w:rsidR="00C54D4B">
        <w:rPr>
          <w:noProof/>
        </w:rPr>
        <w:t>[</w:t>
      </w:r>
      <w:hyperlink w:anchor="_ENREF_34" w:tooltip="Corma, 2003 #190" w:history="1">
        <w:r w:rsidR="00D307FA">
          <w:rPr>
            <w:noProof/>
          </w:rPr>
          <w:t>34</w:t>
        </w:r>
      </w:hyperlink>
      <w:r w:rsidR="00C54D4B">
        <w:rPr>
          <w:noProof/>
        </w:rPr>
        <w:t>]</w:t>
      </w:r>
      <w:r w:rsidRPr="00CC745D">
        <w:fldChar w:fldCharType="end"/>
      </w:r>
      <w:r w:rsidRPr="00CC745D">
        <w:t>.</w:t>
      </w:r>
    </w:p>
    <w:p w14:paraId="41647E60" w14:textId="5A6727ED" w:rsidR="00CA0F0A" w:rsidRPr="00CC745D" w:rsidRDefault="00CA0F0A" w:rsidP="00A15F74">
      <w:pPr>
        <w:spacing w:line="480" w:lineRule="auto"/>
        <w:jc w:val="both"/>
      </w:pPr>
      <w:r w:rsidRPr="00CC745D">
        <w:tab/>
        <w:t xml:space="preserve">Two of the most commonly used zeolite structures for commercial purposes are the zeolites Y and MFI. Both materials have unique properties, as their pore sizes and structural stability, that are attractive for a wide range of industrial applications </w:t>
      </w:r>
      <w:r w:rsidRPr="00CC745D">
        <w:fldChar w:fldCharType="begin"/>
      </w:r>
      <w:r w:rsidR="00C54D4B">
        <w:instrText xml:space="preserve"> ADDIN EN.CITE &lt;EndNote&gt;&lt;Cite&gt;&lt;Author&gt;Liang&lt;/Author&gt;&lt;Year&gt;2017&lt;/Year&gt;&lt;RecNum&gt;191&lt;/RecNum&gt;&lt;DisplayText&gt;[35]&lt;/DisplayText&gt;&lt;record&gt;&lt;rec-number&gt;191&lt;/rec-number&gt;&lt;foreign-keys&gt;&lt;key app="EN" db-id="59dvwrfdof9dw8exf0kvp0atwazsazeeffsp" timestamp="1677620748"&gt;191&lt;/key&gt;&lt;/foreign-keys&gt;&lt;ref-type name="Journal Article"&gt;17&lt;/ref-type&gt;&lt;contributors&gt;&lt;authors&gt;&lt;author&gt;Jie Liang&lt;/author&gt;&lt;author&gt;Zibin Liang&lt;/author&gt;&lt;author&gt;Ruqiang Zou&lt;/author&gt;&lt;author&gt;Yanli Zhao&lt;/author&gt;&lt;/authors&gt;&lt;/contributors&gt;&lt;titles&gt;&lt;title&gt;Heterogeneous Catalysis in Zeolites, Mesoporous Silica, and Metal–Organic Frameworks&lt;/title&gt;&lt;secondary-title&gt;Advanced Materials&lt;/secondary-title&gt;&lt;/titles&gt;&lt;periodical&gt;&lt;full-title&gt;Advanced Materials&lt;/full-title&gt;&lt;/periodical&gt;&lt;volume&gt;29&lt;/volume&gt;&lt;number&gt;30&lt;/number&gt;&lt;dates&gt;&lt;year&gt;2017&lt;/year&gt;&lt;/dates&gt;&lt;urls&gt;&lt;/urls&gt;&lt;electronic-resource-num&gt;https://doi.org/10.1002/adma.201701139&lt;/electronic-resource-num&gt;&lt;/record&gt;&lt;/Cite&gt;&lt;/EndNote&gt;</w:instrText>
      </w:r>
      <w:r w:rsidRPr="00CC745D">
        <w:fldChar w:fldCharType="separate"/>
      </w:r>
      <w:r w:rsidR="00C54D4B">
        <w:rPr>
          <w:noProof/>
        </w:rPr>
        <w:t>[</w:t>
      </w:r>
      <w:hyperlink w:anchor="_ENREF_35" w:tooltip="Liang, 2017 #191" w:history="1">
        <w:r w:rsidR="00D307FA">
          <w:rPr>
            <w:noProof/>
          </w:rPr>
          <w:t>35</w:t>
        </w:r>
      </w:hyperlink>
      <w:r w:rsidR="00C54D4B">
        <w:rPr>
          <w:noProof/>
        </w:rPr>
        <w:t>]</w:t>
      </w:r>
      <w:r w:rsidRPr="00CC745D">
        <w:fldChar w:fldCharType="end"/>
      </w:r>
      <w:r w:rsidRPr="00CC745D">
        <w:t>.</w:t>
      </w:r>
    </w:p>
    <w:p w14:paraId="4750FA9F" w14:textId="414FE3AD" w:rsidR="00CA0F0A" w:rsidRPr="00CC745D" w:rsidRDefault="00CA0F0A" w:rsidP="00A15F74">
      <w:pPr>
        <w:spacing w:line="480" w:lineRule="auto"/>
        <w:jc w:val="both"/>
      </w:pPr>
      <w:r w:rsidRPr="00CC745D">
        <w:tab/>
        <w:t xml:space="preserve">In the case of zeolite Y, its use is primarily in the petrochemical industry in chemical reactions as cracking and isomerization, in particular in fluid catalytic cracking (FCC) of heavy petroleum fraction into more energetically valuable compounds </w:t>
      </w:r>
      <w:r w:rsidRPr="00CC745D">
        <w:fldChar w:fldCharType="begin"/>
      </w:r>
      <w:r w:rsidR="00C54D4B">
        <w:instrText xml:space="preserve"> ADDIN EN.CITE &lt;EndNote&gt;&lt;Cite&gt;&lt;Author&gt;Scherzer&lt;/Author&gt;&lt;Year&gt;1990&lt;/Year&gt;&lt;RecNum&gt;192&lt;/RecNum&gt;&lt;DisplayText&gt;[36]&lt;/DisplayText&gt;&lt;record&gt;&lt;rec-number&gt;192&lt;/rec-number&gt;&lt;foreign-keys&gt;&lt;key app="EN" db-id="59dvwrfdof9dw8exf0kvp0atwazsazeeffsp" timestamp="1677622129"&gt;192&lt;/key&gt;&lt;/foreign-keys&gt;&lt;ref-type name="Book"&gt;6&lt;/ref-type&gt;&lt;contributors&gt;&lt;authors&gt;&lt;author&gt;Julius Scherzer&lt;/author&gt;&lt;/authors&gt;&lt;/contributors&gt;&lt;titles&gt;&lt;title&gt;Octane-Enhancing Zeolitic FCC Catalysts: Scientific and Technical Aspects&lt;/title&gt;&lt;/titles&gt;&lt;dates&gt;&lt;year&gt;1990&lt;/year&gt;&lt;/dates&gt;&lt;publisher&gt;New York&lt;/publisher&gt;&lt;urls&gt;&lt;/urls&gt;&lt;/record&gt;&lt;/Cite&gt;&lt;/EndNote&gt;</w:instrText>
      </w:r>
      <w:r w:rsidRPr="00CC745D">
        <w:fldChar w:fldCharType="separate"/>
      </w:r>
      <w:r w:rsidR="00C54D4B">
        <w:rPr>
          <w:noProof/>
        </w:rPr>
        <w:t>[</w:t>
      </w:r>
      <w:hyperlink w:anchor="_ENREF_36" w:tooltip="Scherzer, 1990 #192" w:history="1">
        <w:r w:rsidR="00D307FA">
          <w:rPr>
            <w:noProof/>
          </w:rPr>
          <w:t>36</w:t>
        </w:r>
      </w:hyperlink>
      <w:r w:rsidR="00C54D4B">
        <w:rPr>
          <w:noProof/>
        </w:rPr>
        <w:t>]</w:t>
      </w:r>
      <w:r w:rsidRPr="00CC745D">
        <w:fldChar w:fldCharType="end"/>
      </w:r>
      <w:r w:rsidRPr="00CC745D">
        <w:t xml:space="preserve">. FCC is part of a refinery process involving C-C bond cleavage of long-chain hydrocarbons in a continuous gas-phase flow at high temperatures through a zeolitic catalyst bed. During the course of reaction, the smaller products are sent to a fractionator responsible for separating the product stream mixture and direct them for further processing, while the spent catalyst is left with residual coke and conducted to regenerator vessel. In an oxygen environment </w:t>
      </w:r>
      <w:r w:rsidRPr="00CC745D">
        <w:lastRenderedPageBreak/>
        <w:t xml:space="preserve">and appropriate condition, coke is burned off and the refreshed catalyst is returned to the FCC reactor vessel for its continuous use. </w:t>
      </w:r>
    </w:p>
    <w:p w14:paraId="08AB8620" w14:textId="38963587" w:rsidR="00CA0F0A" w:rsidRPr="00CC745D" w:rsidRDefault="00CA0F0A" w:rsidP="00A15F74">
      <w:pPr>
        <w:spacing w:line="480" w:lineRule="auto"/>
        <w:jc w:val="both"/>
      </w:pPr>
      <w:r w:rsidRPr="00CC745D">
        <w:tab/>
      </w:r>
      <w:r w:rsidR="00683DDC" w:rsidRPr="00CC745D">
        <w:t>Unlike</w:t>
      </w:r>
      <w:r w:rsidRPr="00CC745D">
        <w:t xml:space="preserve"> cracking reactions, in the petrochemical industry MFI is extensively used in alkylation reactions. The production of high-octane gasoline through alkylation of olefins improves the octane rating of that product resulting in an improved the fuel performance </w:t>
      </w:r>
      <w:r w:rsidRPr="00CC745D">
        <w:fldChar w:fldCharType="begin"/>
      </w:r>
      <w:r w:rsidR="00C54D4B">
        <w:instrText xml:space="preserve"> ADDIN EN.CITE &lt;EndNote&gt;&lt;Cite&gt;&lt;Author&gt;Scherzer&lt;/Author&gt;&lt;Year&gt;1990&lt;/Year&gt;&lt;RecNum&gt;192&lt;/RecNum&gt;&lt;DisplayText&gt;[36, 37]&lt;/DisplayText&gt;&lt;record&gt;&lt;rec-number&gt;192&lt;/rec-number&gt;&lt;foreign-keys&gt;&lt;key app="EN" db-id="59dvwrfdof9dw8exf0kvp0atwazsazeeffsp" timestamp="1677622129"&gt;192&lt;/key&gt;&lt;/foreign-keys&gt;&lt;ref-type name="Book"&gt;6&lt;/ref-type&gt;&lt;contributors&gt;&lt;authors&gt;&lt;author&gt;Julius Scherzer&lt;/author&gt;&lt;/authors&gt;&lt;/contributors&gt;&lt;titles&gt;&lt;title&gt;Octane-Enhancing Zeolitic FCC Catalysts: Scientific and Technical Aspects&lt;/title&gt;&lt;/titles&gt;&lt;dates&gt;&lt;year&gt;1990&lt;/year&gt;&lt;/dates&gt;&lt;publisher&gt;New York&lt;/publisher&gt;&lt;urls&gt;&lt;/urls&gt;&lt;/record&gt;&lt;/Cite&gt;&lt;Cite&gt;&lt;Author&gt;Naber&lt;/Author&gt;&lt;Year&gt;1994&lt;/Year&gt;&lt;RecNum&gt;193&lt;/RecNum&gt;&lt;record&gt;&lt;rec-number&gt;193&lt;/rec-number&gt;&lt;foreign-keys&gt;&lt;key app="EN" db-id="59dvwrfdof9dw8exf0kvp0atwazsazeeffsp" timestamp="1677622411"&gt;193&lt;/key&gt;&lt;/foreign-keys&gt;&lt;ref-type name="Journal Article"&gt;17&lt;/ref-type&gt;&lt;contributors&gt;&lt;authors&gt;&lt;author&gt;J.E. Naber&lt;/author&gt;&lt;author&gt;K.P. de Jong&lt;/author&gt;&lt;author&gt;W.H.J. Stork&lt;/author&gt;&lt;author&gt;H.P.C.E. Kuipers&lt;/author&gt;&lt;author&gt;M.F.M. Post&lt;/author&gt;&lt;/authors&gt;&lt;/contributors&gt;&lt;titles&gt;&lt;title&gt;Industrial applications of zeolite catalysis&lt;/title&gt;&lt;secondary-title&gt;Studies in Surface Science and Catalysis&lt;/secondary-title&gt;&lt;/titles&gt;&lt;periodical&gt;&lt;full-title&gt;Studies in Surface Science and Catalysis&lt;/full-title&gt;&lt;/periodical&gt;&lt;pages&gt;2197-2219&lt;/pages&gt;&lt;volume&gt;84&lt;/volume&gt;&lt;dates&gt;&lt;year&gt;1994&lt;/year&gt;&lt;/dates&gt;&lt;urls&gt;&lt;/urls&gt;&lt;electronic-resource-num&gt;https://doi.org/10.1016/S0167-2991(08)63783-0&lt;/electronic-resource-num&gt;&lt;/record&gt;&lt;/Cite&gt;&lt;/EndNote&gt;</w:instrText>
      </w:r>
      <w:r w:rsidRPr="00CC745D">
        <w:fldChar w:fldCharType="separate"/>
      </w:r>
      <w:r w:rsidR="00C54D4B">
        <w:rPr>
          <w:noProof/>
        </w:rPr>
        <w:t>[</w:t>
      </w:r>
      <w:hyperlink w:anchor="_ENREF_36" w:tooltip="Scherzer, 1990 #192" w:history="1">
        <w:r w:rsidR="00D307FA">
          <w:rPr>
            <w:noProof/>
          </w:rPr>
          <w:t>36</w:t>
        </w:r>
      </w:hyperlink>
      <w:r w:rsidR="00C54D4B">
        <w:rPr>
          <w:noProof/>
        </w:rPr>
        <w:t xml:space="preserve">, </w:t>
      </w:r>
      <w:hyperlink w:anchor="_ENREF_37" w:tooltip="Naber, 1994 #193" w:history="1">
        <w:r w:rsidR="00D307FA">
          <w:rPr>
            <w:noProof/>
          </w:rPr>
          <w:t>37</w:t>
        </w:r>
      </w:hyperlink>
      <w:r w:rsidR="00C54D4B">
        <w:rPr>
          <w:noProof/>
        </w:rPr>
        <w:t>]</w:t>
      </w:r>
      <w:r w:rsidRPr="00CC745D">
        <w:fldChar w:fldCharType="end"/>
      </w:r>
      <w:r w:rsidRPr="00CC745D">
        <w:t xml:space="preserve">. Typically, when an alkylation agent (either an alkene or alcohol) is co-fed with another coupling molecule, the acid sites present in MFI serve to adsorb and-or activate this agent and through a concerted mechanism, catalyze the formation of a C-C bond between the reactants </w:t>
      </w:r>
      <w:r w:rsidRPr="00CC745D">
        <w:fldChar w:fldCharType="begin"/>
      </w:r>
      <w:r w:rsidR="00C54D4B">
        <w:instrText xml:space="preserve"> ADDIN EN.CITE &lt;EndNote&gt;&lt;Cite&gt;&lt;Author&gt;Guisnet&lt;/Author&gt;&lt;Year&gt;1996&lt;/Year&gt;&lt;RecNum&gt;194&lt;/RecNum&gt;&lt;DisplayText&gt;[38]&lt;/DisplayText&gt;&lt;record&gt;&lt;rec-number&gt;194&lt;/rec-number&gt;&lt;foreign-keys&gt;&lt;key app="EN" db-id="59dvwrfdof9dw8exf0kvp0atwazsazeeffsp" timestamp="1677622538"&gt;194&lt;/key&gt;&lt;/foreign-keys&gt;&lt;ref-type name="Journal Article"&gt;17&lt;/ref-type&gt;&lt;contributors&gt;&lt;authors&gt;&lt;author&gt;M. Guisnet&lt;/author&gt;&lt;author&gt;N.S. Gnep&lt;/author&gt;&lt;/authors&gt;&lt;/contributors&gt;&lt;titles&gt;&lt;title&gt;Mechanism of short-chain alkane transformation over protonic zeolites. Alkylation, disproportionation and aromatization&lt;/title&gt;&lt;secondary-title&gt;Applied Catalysis A: General&lt;/secondary-title&gt;&lt;/titles&gt;&lt;periodical&gt;&lt;full-title&gt;Applied Catalysis A: General&lt;/full-title&gt;&lt;/periodical&gt;&lt;pages&gt;33-64&lt;/pages&gt;&lt;volume&gt;146&lt;/volume&gt;&lt;number&gt;1&lt;/number&gt;&lt;dates&gt;&lt;year&gt;1996&lt;/year&gt;&lt;/dates&gt;&lt;urls&gt;&lt;/urls&gt;&lt;electronic-resource-num&gt;https://doi.org/10.1016/0926-860X(96)00282-7&lt;/electronic-resource-num&gt;&lt;/record&gt;&lt;/Cite&gt;&lt;/EndNote&gt;</w:instrText>
      </w:r>
      <w:r w:rsidRPr="00CC745D">
        <w:fldChar w:fldCharType="separate"/>
      </w:r>
      <w:r w:rsidR="00C54D4B">
        <w:rPr>
          <w:noProof/>
        </w:rPr>
        <w:t>[</w:t>
      </w:r>
      <w:hyperlink w:anchor="_ENREF_38" w:tooltip="Guisnet, 1996 #194" w:history="1">
        <w:r w:rsidR="00D307FA">
          <w:rPr>
            <w:noProof/>
          </w:rPr>
          <w:t>38</w:t>
        </w:r>
      </w:hyperlink>
      <w:r w:rsidR="00C54D4B">
        <w:rPr>
          <w:noProof/>
        </w:rPr>
        <w:t>]</w:t>
      </w:r>
      <w:r w:rsidRPr="00CC745D">
        <w:fldChar w:fldCharType="end"/>
      </w:r>
      <w:r w:rsidRPr="00CC745D">
        <w:t>.</w:t>
      </w:r>
    </w:p>
    <w:p w14:paraId="37451D5E" w14:textId="5A928136" w:rsidR="00CA0F0A" w:rsidRPr="00CC745D" w:rsidRDefault="00CA0F0A" w:rsidP="00A15F74">
      <w:pPr>
        <w:spacing w:line="480" w:lineRule="auto"/>
        <w:jc w:val="both"/>
      </w:pPr>
      <w:r w:rsidRPr="00CC745D">
        <w:tab/>
        <w:t xml:space="preserve">The conversion of biomass into biofuels and chemicals is another important use of MFI zeolites. This catalyst is responsible for enhanced catalytic dehydration activity and lowering the oxygen content of sugars and biomass-derived compounds, which accounts for the large production of furan, a constituent of chemicals and materials for the use in polymers and resins, e.g. </w:t>
      </w:r>
      <w:r w:rsidRPr="00CC745D">
        <w:fldChar w:fldCharType="begin">
          <w:fldData xml:space="preserve">PEVuZE5vdGU+PENpdGU+PEF1dGhvcj5JbGlvcG91bG91PC9BdXRob3I+PFllYXI+MjAxMjwvWWVh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</w:fldData>
        </w:fldChar>
      </w:r>
      <w:r w:rsidR="00C54D4B">
        <w:instrText xml:space="preserve"> ADDIN EN.CITE </w:instrText>
      </w:r>
      <w:r w:rsidR="00C54D4B">
        <w:fldChar w:fldCharType="begin">
          <w:fldData xml:space="preserve">PEVuZE5vdGU+PENpdGU+PEF1dGhvcj5JbGlvcG91bG91PC9BdXRob3I+PFllYXI+MjAxMjwvWWVh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</w:fldData>
        </w:fldChar>
      </w:r>
      <w:r w:rsidR="00C54D4B">
        <w:instrText xml:space="preserve"> ADDIN EN.CITE.DATA </w:instrText>
      </w:r>
      <w:r w:rsidR="00C54D4B">
        <w:fldChar w:fldCharType="end"/>
      </w:r>
      <w:r w:rsidRPr="00CC745D">
        <w:fldChar w:fldCharType="separate"/>
      </w:r>
      <w:r w:rsidR="00C54D4B">
        <w:rPr>
          <w:noProof/>
        </w:rPr>
        <w:t>[</w:t>
      </w:r>
      <w:hyperlink w:anchor="_ENREF_39" w:tooltip="Iliopoulou, 2012 #195" w:history="1">
        <w:r w:rsidR="00D307FA">
          <w:rPr>
            <w:noProof/>
          </w:rPr>
          <w:t>39</w:t>
        </w:r>
      </w:hyperlink>
      <w:r w:rsidR="00C54D4B">
        <w:rPr>
          <w:noProof/>
        </w:rPr>
        <w:t xml:space="preserve">, </w:t>
      </w:r>
      <w:hyperlink w:anchor="_ENREF_40" w:tooltip="Xiao, 2021 #196" w:history="1">
        <w:r w:rsidR="00D307FA">
          <w:rPr>
            <w:noProof/>
          </w:rPr>
          <w:t>40</w:t>
        </w:r>
      </w:hyperlink>
      <w:r w:rsidR="00C54D4B">
        <w:rPr>
          <w:noProof/>
        </w:rPr>
        <w:t>]</w:t>
      </w:r>
      <w:r w:rsidRPr="00CC745D">
        <w:fldChar w:fldCharType="end"/>
      </w:r>
      <w:r w:rsidRPr="00CC745D">
        <w:t xml:space="preserve">. Isomerization and cyclization reactions are also commonly used reactions in MFI being valuable towards generating more energetically valuable and stable chemical species taking advantage of the acidic and distinct shape-selectivity properties of the presented catalyst </w:t>
      </w:r>
      <w:r w:rsidRPr="00CC745D">
        <w:fldChar w:fldCharType="begin"/>
      </w:r>
      <w:r w:rsidR="00C54D4B">
        <w:instrText xml:space="preserve"> ADDIN EN.CITE &lt;EndNote&gt;&lt;Cite&gt;&lt;Author&gt;Young&lt;/Author&gt;&lt;Year&gt;1982&lt;/Year&gt;&lt;RecNum&gt;197&lt;/RecNum&gt;&lt;DisplayText&gt;[41, 42]&lt;/DisplayText&gt;&lt;record&gt;&lt;rec-number&gt;197&lt;/rec-number&gt;&lt;foreign-keys&gt;&lt;key app="EN" db-id="59dvwrfdof9dw8exf0kvp0atwazsazeeffsp" timestamp="1677623415"&gt;197&lt;/key&gt;&lt;/foreign-keys&gt;&lt;ref-type name="Journal Article"&gt;17&lt;/ref-type&gt;&lt;contributors&gt;&lt;authors&gt;&lt;author&gt;L.B. Young&lt;/author&gt;&lt;author&gt;S.A. Butter&lt;/author&gt;&lt;author&gt;W.W. Kaeding&lt;/author&gt;&lt;/authors&gt;&lt;/contributors&gt;&lt;titles&gt;&lt;title&gt;Shape selective reactions with zeolite catalysts: III. Selectivity in xylene isomerization, toluene-methanol alkylation, and toluene disproportionation over ZSM-5 zeolite catalysts&lt;/title&gt;&lt;secondary-title&gt;Journal of Catalysis&lt;/secondary-title&gt;&lt;/titles&gt;&lt;periodical&gt;&lt;full-title&gt;Journal of Catalysis&lt;/full-title&gt;&lt;/periodical&gt;&lt;pages&gt;418-432&lt;/pages&gt;&lt;volume&gt;76&lt;/volume&gt;&lt;number&gt;2&lt;/number&gt;&lt;dates&gt;&lt;year&gt;1982&lt;/year&gt;&lt;/dates&gt;&lt;urls&gt;&lt;/urls&gt;&lt;electronic-resource-num&gt;https://doi.org/10.1016/0021-9517(82)90271-8&lt;/electronic-resource-num&gt;&lt;/record&gt;&lt;/Cite&gt;&lt;Cite&gt;&lt;Author&gt;Guisnet&lt;/Author&gt;&lt;Year&gt;1992&lt;/Year&gt;&lt;RecNum&gt;198&lt;/RecNum&gt;&lt;record&gt;&lt;rec-number&gt;198&lt;/rec-number&gt;&lt;foreign-keys&gt;&lt;key app="EN" db-id="59dvwrfdof9dw8exf0kvp0atwazsazeeffsp" timestamp="1677623501"&gt;198&lt;/key&gt;&lt;/foreign-keys&gt;&lt;ref-type name="Journal Article"&gt;17&lt;/ref-type&gt;&lt;contributors&gt;&lt;authors&gt;&lt;author&gt;M. Guisnet&lt;/author&gt;&lt;author&gt;N.S. Gnep&lt;/author&gt;&lt;author&gt;D. Aittaleb&lt;/author&gt;&lt;author&gt;Y.J. Doyemet&lt;/author&gt;&lt;/authors&gt;&lt;/contributors&gt;&lt;titles&gt;&lt;title&gt;Conversion of light alkanes into aromatic hydrocarbons: VI. Aromatization of C2-C4 alkanes on H-ZSM-5 —reaction mechanisms&lt;/title&gt;&lt;secondary-title&gt;Applied Catalysis A: General&lt;/secondary-title&gt;&lt;/titles&gt;&lt;periodical&gt;&lt;full-title&gt;Applied Catalysis A: General&lt;/full-title&gt;&lt;/periodical&gt;&lt;pages&gt;255-270&lt;/pages&gt;&lt;volume&gt;87&lt;/volume&gt;&lt;number&gt;2&lt;/number&gt;&lt;dates&gt;&lt;year&gt;1992&lt;/year&gt;&lt;/dates&gt;&lt;urls&gt;&lt;/urls&gt;&lt;electronic-resource-num&gt;https://doi.org/10.1016/0926-860X(92)80060-P&lt;/electronic-resource-num&gt;&lt;/record&gt;&lt;/Cite&gt;&lt;/EndNote&gt;</w:instrText>
      </w:r>
      <w:r w:rsidRPr="00CC745D">
        <w:fldChar w:fldCharType="separate"/>
      </w:r>
      <w:r w:rsidR="00C54D4B">
        <w:rPr>
          <w:noProof/>
        </w:rPr>
        <w:t>[</w:t>
      </w:r>
      <w:hyperlink w:anchor="_ENREF_41" w:tooltip="Young, 1982 #197" w:history="1">
        <w:r w:rsidR="00D307FA">
          <w:rPr>
            <w:noProof/>
          </w:rPr>
          <w:t>41</w:t>
        </w:r>
      </w:hyperlink>
      <w:r w:rsidR="00C54D4B">
        <w:rPr>
          <w:noProof/>
        </w:rPr>
        <w:t xml:space="preserve">, </w:t>
      </w:r>
      <w:hyperlink w:anchor="_ENREF_42" w:tooltip="Guisnet, 1992 #198" w:history="1">
        <w:r w:rsidR="00D307FA">
          <w:rPr>
            <w:noProof/>
          </w:rPr>
          <w:t>42</w:t>
        </w:r>
      </w:hyperlink>
      <w:r w:rsidR="00C54D4B">
        <w:rPr>
          <w:noProof/>
        </w:rPr>
        <w:t>]</w:t>
      </w:r>
      <w:r w:rsidRPr="00CC745D">
        <w:fldChar w:fldCharType="end"/>
      </w:r>
      <w:r w:rsidRPr="00CC745D">
        <w:t xml:space="preserve">. </w:t>
      </w:r>
    </w:p>
    <w:p w14:paraId="142686D8" w14:textId="77777777" w:rsidR="00677AFD" w:rsidRDefault="00CA0F0A" w:rsidP="00677AFD">
      <w:pPr>
        <w:spacing w:line="480" w:lineRule="auto"/>
        <w:jc w:val="both"/>
      </w:pPr>
      <w:r w:rsidRPr="00CC745D">
        <w:tab/>
        <w:t>Next, important details of each catalyst is discussed to clarify aspects necessary to the understanding of the ongoing study.</w:t>
      </w:r>
    </w:p>
    <w:p w14:paraId="00144B41" w14:textId="06E5E88E" w:rsidR="00CA0F0A" w:rsidRPr="000C0C64" w:rsidRDefault="00677AFD" w:rsidP="006C316F">
      <w:pPr>
        <w:pStyle w:val="Heading3"/>
        <w:rPr>
          <w:i w:val="0"/>
          <w:iCs/>
          <w:u w:val="single"/>
        </w:rPr>
      </w:pPr>
      <w:r w:rsidRPr="000C0C64">
        <w:rPr>
          <w:i w:val="0"/>
          <w:iCs/>
        </w:rPr>
        <w:tab/>
      </w:r>
      <w:bookmarkStart w:id="8" w:name="_Toc132924177"/>
      <w:r w:rsidR="00CA0F0A" w:rsidRPr="000C0C64">
        <w:rPr>
          <w:i w:val="0"/>
          <w:iCs/>
          <w:u w:val="single"/>
        </w:rPr>
        <w:t>1.2.1 Zeolite Y</w:t>
      </w:r>
      <w:bookmarkEnd w:id="8"/>
    </w:p>
    <w:p w14:paraId="2597A29B" w14:textId="17BE34AF" w:rsidR="00CA0F0A" w:rsidRPr="00CC745D" w:rsidRDefault="00CA0F0A" w:rsidP="00682D8B">
      <w:pPr>
        <w:spacing w:line="480" w:lineRule="auto"/>
        <w:jc w:val="both"/>
      </w:pPr>
      <w:r w:rsidRPr="00CC745D">
        <w:tab/>
        <w:t xml:space="preserve">Zeoltie Y, also known as faujasite, is a large-pore catalyst with a three-dimensional structure consisting of interconnected cages and channels. These interconnection units are 12 membered-rings channels with an aperture diameter of approximately 7.4 Angstroms </w:t>
      </w:r>
      <w:r w:rsidRPr="00CC745D">
        <w:lastRenderedPageBreak/>
        <w:t xml:space="preserve">(Å) and an internal cage with a diameter of 13 Å, which can also be defined as supercages </w:t>
      </w:r>
      <w:r w:rsidRPr="00CC745D">
        <w:fldChar w:fldCharType="begin"/>
      </w:r>
      <w:r w:rsidR="00C54D4B">
        <w:instrText xml:space="preserve"> ADDIN EN.CITE &lt;EndNote&gt;&lt;Cite&gt;&lt;Author&gt;Weitkamp&lt;/Author&gt;&lt;Year&gt;2000&lt;/Year&gt;&lt;RecNum&gt;11&lt;/RecNum&gt;&lt;DisplayText&gt;[2]&lt;/DisplayText&gt;&lt;record&gt;&lt;rec-number&gt;11&lt;/rec-number&gt;&lt;foreign-keys&gt;&lt;key app="EN" db-id="59dvwrfdof9dw8exf0kvp0atwazsazeeffsp" timestamp="1667538674"&gt;11&lt;/key&gt;&lt;/foreign-keys&gt;&lt;ref-type name="Journal Article"&gt;17&lt;/ref-type&gt;&lt;contributors&gt;&lt;authors&gt;&lt;author&gt;Jens Weitkamp&lt;/author&gt;&lt;/authors&gt;&lt;/contributors&gt;&lt;titles&gt;&lt;title&gt;Zeolites and catalysis&lt;/title&gt;&lt;secondary-title&gt;Solid State Ionics&lt;/secondary-title&gt;&lt;/titles&gt;&lt;periodical&gt;&lt;full-title&gt;Solid State Ionics&lt;/full-title&gt;&lt;/periodical&gt;&lt;pages&gt;175-188&lt;/pages&gt;&lt;volume&gt;131&lt;/volume&gt;&lt;number&gt;1-2&lt;/number&gt;&lt;dates&gt;&lt;year&gt;2000&lt;/year&gt;&lt;/dates&gt;&lt;urls&gt;&lt;/urls&gt;&lt;electronic-resource-num&gt;https://doi.org/10.1016/S0167-2738(00)00632-9&lt;/electronic-resource-num&gt;&lt;/record&gt;&lt;/Cite&gt;&lt;/EndNote&gt;</w:instrText>
      </w:r>
      <w:r w:rsidRPr="00CC745D">
        <w:fldChar w:fldCharType="separate"/>
      </w:r>
      <w:r w:rsidR="00C54D4B">
        <w:rPr>
          <w:noProof/>
        </w:rPr>
        <w:t>[</w:t>
      </w:r>
      <w:hyperlink w:anchor="_ENREF_2" w:tooltip="Weitkamp, 2000 #11" w:history="1">
        <w:r w:rsidR="00D307FA">
          <w:rPr>
            <w:noProof/>
          </w:rPr>
          <w:t>2</w:t>
        </w:r>
      </w:hyperlink>
      <w:r w:rsidR="00C54D4B">
        <w:rPr>
          <w:noProof/>
        </w:rPr>
        <w:t>]</w:t>
      </w:r>
      <w:r w:rsidRPr="00CC745D">
        <w:fldChar w:fldCharType="end"/>
      </w:r>
      <w:r w:rsidRPr="00CC745D">
        <w:t>. In this zeolite, the stacking primary units of tetrahedrally coordinated silica and alumina forms a sodalite unit which replicates and piles over one another through a hexagonal prism. The resulting crystalline structure is prese</w:t>
      </w:r>
      <w:r w:rsidRPr="00C80AAF">
        <w:t xml:space="preserve">nted in </w:t>
      </w:r>
      <w:r w:rsidRPr="00C80AAF">
        <w:rPr>
          <w:b/>
          <w:bCs/>
        </w:rPr>
        <w:t>Figure 2</w:t>
      </w:r>
      <w:r w:rsidRPr="00C80AAF">
        <w:t>. These</w:t>
      </w:r>
      <w:r w:rsidRPr="00CC745D">
        <w:t xml:space="preserve"> apertures makes this zeolite suitable for the diffusion of large molecules as long hydrocarbon chains.</w:t>
      </w:r>
    </w:p>
    <w:p w14:paraId="4545CB4F" w14:textId="77777777" w:rsidR="00CA0F0A" w:rsidRPr="00CC745D" w:rsidRDefault="00CA0F0A" w:rsidP="00A15F74">
      <w:pPr>
        <w:spacing w:line="480" w:lineRule="auto"/>
        <w:jc w:val="both"/>
      </w:pPr>
    </w:p>
    <w:p w14:paraId="21956341" w14:textId="77777777" w:rsidR="00CA0F0A" w:rsidRPr="00CC745D" w:rsidRDefault="00CA0F0A" w:rsidP="0043164B">
      <w:pPr>
        <w:jc w:val="center"/>
      </w:pPr>
      <w:r w:rsidRPr="00CC745D">
        <w:rPr>
          <w:noProof/>
        </w:rPr>
        <w:drawing>
          <wp:inline distT="0" distB="0" distL="0" distR="0" wp14:anchorId="7EE0C4DA" wp14:editId="0FECE77E">
            <wp:extent cx="3228106" cy="2743200"/>
            <wp:effectExtent l="0" t="0" r="0" b="0"/>
            <wp:docPr id="11" name="Picture 11" descr="Coatings | Free Full-Text | A Brief Overview on the Anticorrosion  Performances of Sol-Gel Zeolite Coa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ings | Free Full-Text | A Brief Overview on the Anticorrosion  Performances of Sol-Gel Zeolite Coating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28106" cy="2743200"/>
                    </a:xfrm>
                    <a:prstGeom prst="rect">
                      <a:avLst/>
                    </a:prstGeom>
                    <a:noFill/>
                    <a:ln>
                      <a:noFill/>
                    </a:ln>
                  </pic:spPr>
                </pic:pic>
              </a:graphicData>
            </a:graphic>
          </wp:inline>
        </w:drawing>
      </w:r>
    </w:p>
    <w:p w14:paraId="7B0D6803" w14:textId="1DC2D748" w:rsidR="00CA0F0A" w:rsidRDefault="00CA0F0A" w:rsidP="0043164B">
      <w:pPr>
        <w:jc w:val="both"/>
      </w:pPr>
      <w:bookmarkStart w:id="9" w:name="_Toc131948666"/>
      <w:r w:rsidRPr="00CC745D">
        <w:rPr>
          <w:b/>
          <w:bCs/>
        </w:rPr>
        <w:t xml:space="preserve">Figure </w:t>
      </w:r>
      <w:r w:rsidRPr="00CC745D">
        <w:rPr>
          <w:b/>
          <w:bCs/>
        </w:rPr>
        <w:fldChar w:fldCharType="begin"/>
      </w:r>
      <w:r w:rsidRPr="00CC745D">
        <w:rPr>
          <w:b/>
          <w:bCs/>
        </w:rPr>
        <w:instrText xml:space="preserve"> SEQ Figure \* ARABIC </w:instrText>
      </w:r>
      <w:r w:rsidRPr="00CC745D">
        <w:rPr>
          <w:b/>
          <w:bCs/>
        </w:rPr>
        <w:fldChar w:fldCharType="separate"/>
      </w:r>
      <w:r w:rsidR="001F4741">
        <w:rPr>
          <w:b/>
          <w:bCs/>
          <w:noProof/>
        </w:rPr>
        <w:t>2</w:t>
      </w:r>
      <w:r w:rsidRPr="00CC745D">
        <w:rPr>
          <w:b/>
          <w:bCs/>
        </w:rPr>
        <w:fldChar w:fldCharType="end"/>
      </w:r>
      <w:r w:rsidRPr="00CC745D">
        <w:rPr>
          <w:b/>
          <w:bCs/>
        </w:rPr>
        <w:t>:</w:t>
      </w:r>
      <w:r w:rsidRPr="00CC745D">
        <w:t xml:space="preserve"> Scheme of the structure of zeolite Y. Reproduced from Ref </w:t>
      </w:r>
      <w:r w:rsidRPr="00CC745D">
        <w:fldChar w:fldCharType="begin"/>
      </w:r>
      <w:r w:rsidR="00C54D4B">
        <w:instrText xml:space="preserve"> ADDIN EN.CITE &lt;EndNote&gt;&lt;Cite&gt;&lt;Author&gt;Calabrese&lt;/Author&gt;&lt;Year&gt;2019&lt;/Year&gt;&lt;RecNum&gt;168&lt;/RecNum&gt;&lt;DisplayText&gt;[43]&lt;/DisplayText&gt;&lt;record&gt;&lt;rec-number&gt;168&lt;/rec-number&gt;&lt;foreign-keys&gt;&lt;key app="EN" db-id="59dvwrfdof9dw8exf0kvp0atwazsazeeffsp" timestamp="1677217017"&gt;168&lt;/key&gt;&lt;/foreign-keys&gt;&lt;ref-type name="Journal Article"&gt;17&lt;/ref-type&gt;&lt;contributors&gt;&lt;authors&gt;&lt;author&gt;Luigi Calabrese&lt;/author&gt;&lt;author&gt;Edoardo Proverbio&lt;/author&gt;&lt;/authors&gt;&lt;/contributors&gt;&lt;titles&gt;&lt;title&gt;A Brief Overview on the Anticorrosion Performances of Sol-Gel Zeolite Coatings&lt;/title&gt;&lt;secondary-title&gt;Coatings&lt;/secondary-title&gt;&lt;/titles&gt;&lt;periodical&gt;&lt;full-title&gt;Coatings&lt;/full-title&gt;&lt;/periodical&gt;&lt;pages&gt;409&lt;/pages&gt;&lt;volume&gt;9&lt;/volume&gt;&lt;number&gt;6&lt;/number&gt;&lt;dates&gt;&lt;year&gt;2019&lt;/year&gt;&lt;/dates&gt;&lt;urls&gt;&lt;/urls&gt;&lt;electronic-resource-num&gt;https://doi.org/10.3390/coatings9060409&lt;/electronic-resource-num&gt;&lt;/record&gt;&lt;/Cite&gt;&lt;/EndNote&gt;</w:instrText>
      </w:r>
      <w:r w:rsidRPr="00CC745D">
        <w:fldChar w:fldCharType="separate"/>
      </w:r>
      <w:r w:rsidR="00C54D4B">
        <w:rPr>
          <w:noProof/>
        </w:rPr>
        <w:t>[</w:t>
      </w:r>
      <w:hyperlink w:anchor="_ENREF_43" w:tooltip="Calabrese, 2019 #168" w:history="1">
        <w:r w:rsidR="00D307FA">
          <w:rPr>
            <w:noProof/>
          </w:rPr>
          <w:t>43</w:t>
        </w:r>
      </w:hyperlink>
      <w:r w:rsidR="00C54D4B">
        <w:rPr>
          <w:noProof/>
        </w:rPr>
        <w:t>]</w:t>
      </w:r>
      <w:r w:rsidRPr="00CC745D">
        <w:fldChar w:fldCharType="end"/>
      </w:r>
      <w:r w:rsidRPr="00CC745D">
        <w:t>.</w:t>
      </w:r>
      <w:bookmarkEnd w:id="9"/>
    </w:p>
    <w:p w14:paraId="079A6940" w14:textId="77777777" w:rsidR="0043164B" w:rsidRPr="00CC745D" w:rsidRDefault="0043164B" w:rsidP="0043164B">
      <w:pPr>
        <w:jc w:val="both"/>
      </w:pPr>
    </w:p>
    <w:p w14:paraId="4C5C2C28" w14:textId="734CF4D2" w:rsidR="00CA0F0A" w:rsidRPr="00CC745D" w:rsidRDefault="00CA0F0A" w:rsidP="00EB3761">
      <w:pPr>
        <w:spacing w:line="480" w:lineRule="auto"/>
        <w:jc w:val="both"/>
      </w:pPr>
      <w:r w:rsidRPr="00CC745D">
        <w:tab/>
        <w:t xml:space="preserve">It has a Si/Al ratio of approximately 2.5 with a consequent high concentration of BAS resulting in problems associated decreased hydrothermal stability. This is explained by the easy aluminum extraction at high temperature treatments and in the presence of water, an accelerated hydrolysis, leading to structural degradation </w:t>
      </w:r>
      <w:r w:rsidRPr="00CC745D">
        <w:fldChar w:fldCharType="begin"/>
      </w:r>
      <w:r w:rsidR="00C54D4B">
        <w:instrText xml:space="preserve"> ADDIN EN.CITE &lt;EndNote&gt;&lt;Cite&gt;&lt;Author&gt;Wang&lt;/Author&gt;&lt;Year&gt;1991&lt;/Year&gt;&lt;RecNum&gt;199&lt;/RecNum&gt;&lt;DisplayText&gt;[44, 45]&lt;/DisplayText&gt;&lt;record&gt;&lt;rec-number&gt;199&lt;/rec-number&gt;&lt;foreign-keys&gt;&lt;key app="EN" db-id="59dvwrfdof9dw8exf0kvp0atwazsazeeffsp" timestamp="1677624959"&gt;199&lt;/key&gt;&lt;/foreign-keys&gt;&lt;ref-type name="Journal Article"&gt;17&lt;/ref-type&gt;&lt;contributors&gt;&lt;authors&gt;&lt;author&gt;Q.L. Wang&lt;/author&gt;&lt;author&gt;G. Giannetto&lt;/author&gt;&lt;author&gt;M. Torrealba&lt;/author&gt;&lt;author&gt;G. Perot&lt;/author&gt;&lt;author&gt;C. Kappenstein&lt;/author&gt;&lt;author&gt;M. Guisnet&lt;/author&gt;&lt;/authors&gt;&lt;/contributors&gt;&lt;titles&gt;&lt;title&gt;Dealumination of zeolites II. Kinetic study of the dealumination by hydrothermal treatment of a NH4NaY zeolite&lt;/title&gt;&lt;secondary-title&gt;Journal of Catalysis&lt;/secondary-title&gt;&lt;/titles&gt;&lt;periodical&gt;&lt;full-title&gt;Journal of Catalysis&lt;/full-title&gt;&lt;/periodical&gt;&lt;pages&gt;459-470&lt;/pages&gt;&lt;volume&gt;130&lt;/volume&gt;&lt;number&gt;2&lt;/number&gt;&lt;dates&gt;&lt;year&gt;1991&lt;/year&gt;&lt;/dates&gt;&lt;urls&gt;&lt;/urls&gt;&lt;electronic-resource-num&gt;https://doi.org/10.1016/0021-9517(91)90128-Q&lt;/electronic-resource-num&gt;&lt;/record&gt;&lt;/Cite&gt;&lt;Cite&gt;&lt;Author&gt;Wouters&lt;/Author&gt;&lt;Year&gt;2001&lt;/Year&gt;&lt;RecNum&gt;201&lt;/RecNum&gt;&lt;record&gt;&lt;rec-number&gt;201&lt;/rec-number&gt;&lt;foreign-keys&gt;&lt;key app="EN" db-id="59dvwrfdof9dw8exf0kvp0atwazsazeeffsp" timestamp="1677625198"&gt;201&lt;/key&gt;&lt;/foreign-keys&gt;&lt;ref-type name="Journal Article"&gt;17&lt;/ref-type&gt;&lt;contributors&gt;&lt;authors&gt;&lt;author&gt;Bart H. Wouters&lt;/author&gt;&lt;author&gt;Tiehong Chen&lt;/author&gt;&lt;author&gt;Piet J. Grobet&lt;/author&gt;&lt;/authors&gt;&lt;/contributors&gt;&lt;titles&gt;&lt;title&gt;Steaming of Zeolite Y: Formation of Transient Al Species&lt;/title&gt;&lt;secondary-title&gt;Journal of Physical Chemistry B&lt;/secondary-title&gt;&lt;/titles&gt;&lt;periodical&gt;&lt;full-title&gt;Journal of Physical Chemistry B&lt;/full-title&gt;&lt;/periodical&gt;&lt;pages&gt;1135-1139&lt;/pages&gt;&lt;volume&gt;105&lt;/volume&gt;&lt;dates&gt;&lt;year&gt;2001&lt;/year&gt;&lt;/dates&gt;&lt;urls&gt;&lt;/urls&gt;&lt;electronic-resource-num&gt;https://doi.org/10.1021/jp001620p&lt;/electronic-resource-num&gt;&lt;/record&gt;&lt;/Cite&gt;&lt;/EndNote&gt;</w:instrText>
      </w:r>
      <w:r w:rsidRPr="00CC745D">
        <w:fldChar w:fldCharType="separate"/>
      </w:r>
      <w:r w:rsidR="00C54D4B">
        <w:rPr>
          <w:noProof/>
        </w:rPr>
        <w:t>[</w:t>
      </w:r>
      <w:hyperlink w:anchor="_ENREF_44" w:tooltip="Wang, 1991 #199" w:history="1">
        <w:r w:rsidR="00D307FA">
          <w:rPr>
            <w:noProof/>
          </w:rPr>
          <w:t>44</w:t>
        </w:r>
      </w:hyperlink>
      <w:r w:rsidR="00C54D4B">
        <w:rPr>
          <w:noProof/>
        </w:rPr>
        <w:t xml:space="preserve">, </w:t>
      </w:r>
      <w:hyperlink w:anchor="_ENREF_45" w:tooltip="Wouters, 2001 #201" w:history="1">
        <w:r w:rsidR="00D307FA">
          <w:rPr>
            <w:noProof/>
          </w:rPr>
          <w:t>45</w:t>
        </w:r>
      </w:hyperlink>
      <w:r w:rsidR="00C54D4B">
        <w:rPr>
          <w:noProof/>
        </w:rPr>
        <w:t>]</w:t>
      </w:r>
      <w:r w:rsidRPr="00CC745D">
        <w:fldChar w:fldCharType="end"/>
      </w:r>
      <w:r w:rsidRPr="00CC745D">
        <w:t xml:space="preserve">. At these conditions this reaction is characterization by breaking down Al-O-Si bonds into Si-OH (silanols) and Al-OH bonds, which are less stable than their original form and result in the structure collapse </w:t>
      </w:r>
      <w:r w:rsidRPr="00CC745D">
        <w:fldChar w:fldCharType="begin"/>
      </w:r>
      <w:r w:rsidR="00C54D4B">
        <w:instrText xml:space="preserve"> ADDIN EN.CITE &lt;EndNote&gt;&lt;Cite&gt;&lt;Author&gt;Wouters&lt;/Author&gt;&lt;Year&gt;1998&lt;/Year&gt;&lt;RecNum&gt;200&lt;/RecNum&gt;&lt;DisplayText&gt;[46]&lt;/DisplayText&gt;&lt;record&gt;&lt;rec-number&gt;200&lt;/rec-number&gt;&lt;foreign-keys&gt;&lt;key app="EN" db-id="59dvwrfdof9dw8exf0kvp0atwazsazeeffsp" timestamp="1677625089"&gt;200&lt;/key&gt;&lt;/foreign-keys&gt;&lt;ref-type name="Journal Article"&gt;17&lt;/ref-type&gt;&lt;contributors&gt;&lt;authors&gt;&lt;author&gt;B.H. Wouters&lt;/author&gt;&lt;author&gt;T.H. Chen&lt;/author&gt;&lt;author&gt;P.J. Grobet&lt;/author&gt;&lt;/authors&gt;&lt;/contributors&gt;&lt;titles&gt;&lt;title&gt;&lt;style face="normal" font="default" size="100%"&gt;Reversible Tetrahedral&lt;/style&gt;&lt;style face="normal" font="default" charset="1" size="100%"&gt;−&lt;/style&gt;&lt;style face="normal" font="default" size="100%"&gt;Octahedral Framework Aluminum Transformation in Zeolite Y&lt;/style&gt;&lt;/title&gt;&lt;secondary-title&gt;Journal of American Chemical Society&lt;/secondary-title&gt;&lt;/titles&gt;&lt;periodical&gt;&lt;full-title&gt;Journal of American Chemical Society&lt;/full-title&gt;&lt;/periodical&gt;&lt;pages&gt;11419-11425&lt;/pages&gt;&lt;volume&gt;120&lt;/volume&gt;&lt;dates&gt;&lt;year&gt;1998&lt;/year&gt;&lt;/dates&gt;&lt;urls&gt;&lt;/urls&gt;&lt;electronic-resource-num&gt;https://doi.org/10.1021/ja982082l&lt;/electronic-resource-num&gt;&lt;/record&gt;&lt;/Cite&gt;&lt;/EndNote&gt;</w:instrText>
      </w:r>
      <w:r w:rsidRPr="00CC745D">
        <w:fldChar w:fldCharType="separate"/>
      </w:r>
      <w:r w:rsidR="00C54D4B">
        <w:rPr>
          <w:noProof/>
        </w:rPr>
        <w:t>[</w:t>
      </w:r>
      <w:hyperlink w:anchor="_ENREF_46" w:tooltip="Wouters, 1998 #200" w:history="1">
        <w:r w:rsidR="00D307FA">
          <w:rPr>
            <w:noProof/>
          </w:rPr>
          <w:t>46</w:t>
        </w:r>
      </w:hyperlink>
      <w:r w:rsidR="00C54D4B">
        <w:rPr>
          <w:noProof/>
        </w:rPr>
        <w:t>]</w:t>
      </w:r>
      <w:r w:rsidRPr="00CC745D">
        <w:fldChar w:fldCharType="end"/>
      </w:r>
      <w:r w:rsidRPr="00CC745D">
        <w:t xml:space="preserve">. The loss in crystallography can be </w:t>
      </w:r>
      <w:r w:rsidRPr="00C80AAF">
        <w:t xml:space="preserve">observed in </w:t>
      </w:r>
      <w:r w:rsidRPr="00C80AAF">
        <w:rPr>
          <w:b/>
          <w:bCs/>
        </w:rPr>
        <w:t>Figure 3</w:t>
      </w:r>
      <w:r w:rsidRPr="00C80AAF">
        <w:t>, a</w:t>
      </w:r>
      <w:r w:rsidRPr="00CC745D">
        <w:t xml:space="preserve"> work </w:t>
      </w:r>
      <w:r w:rsidRPr="00CC745D">
        <w:lastRenderedPageBreak/>
        <w:t xml:space="preserve">done by Dimitrijevic et al. by treating as synthesized H-Y (Si/Al 2.7) samples in hot liquid water in temperatures ranging from 403-473 K for 72 hours </w:t>
      </w:r>
      <w:r w:rsidRPr="00CC745D">
        <w:fldChar w:fldCharType="begin"/>
      </w:r>
      <w:r w:rsidR="00C54D4B">
        <w:instrText xml:space="preserve"> ADDIN EN.CITE &lt;EndNote&gt;&lt;Cite&gt;&lt;Author&gt;Dimitrijevic&lt;/Author&gt;&lt;Year&gt;2006&lt;/Year&gt;&lt;RecNum&gt;169&lt;/RecNum&gt;&lt;DisplayText&gt;[47]&lt;/DisplayText&gt;&lt;record&gt;&lt;rec-number&gt;169&lt;/rec-number&gt;&lt;foreign-keys&gt;&lt;key app="EN" db-id="59dvwrfdof9dw8exf0kvp0atwazsazeeffsp" timestamp="1677258152"&gt;169&lt;/key&gt;&lt;/foreign-keys&gt;&lt;ref-type name="Journal Article"&gt;17&lt;/ref-type&gt;&lt;contributors&gt;&lt;authors&gt;&lt;author&gt;R. Dimitrijevic&lt;/author&gt;&lt;author&gt;W. Lutz&lt;/author&gt;&lt;author&gt;A. Ritzmann&lt;/author&gt;&lt;/authors&gt;&lt;/contributors&gt;&lt;titles&gt;&lt;title&gt;Hydrothermal stability of zeolites: Determination of extra-framework species of H-Y faujasite-type steamed zeolite&lt;/title&gt;&lt;secondary-title&gt;Journal of Physics and Chemistry of Solids&lt;/secondary-title&gt;&lt;/titles&gt;&lt;periodical&gt;&lt;full-title&gt;Journal of Physics and Chemistry of Solids&lt;/full-title&gt;&lt;/periodical&gt;&lt;pages&gt;1741-1748&lt;/pages&gt;&lt;volume&gt;67&lt;/volume&gt;&lt;number&gt;8&lt;/number&gt;&lt;dates&gt;&lt;year&gt;2006&lt;/year&gt;&lt;/dates&gt;&lt;urls&gt;&lt;/urls&gt;&lt;electronic-resource-num&gt;https://doi.org/10.1016/j.jpcs.2006.03.014&lt;/electronic-resource-num&gt;&lt;/record&gt;&lt;/Cite&gt;&lt;/EndNote&gt;</w:instrText>
      </w:r>
      <w:r w:rsidRPr="00CC745D">
        <w:fldChar w:fldCharType="separate"/>
      </w:r>
      <w:r w:rsidR="00C54D4B">
        <w:rPr>
          <w:noProof/>
        </w:rPr>
        <w:t>[</w:t>
      </w:r>
      <w:hyperlink w:anchor="_ENREF_47" w:tooltip="Dimitrijevic, 2006 #169" w:history="1">
        <w:r w:rsidR="00D307FA">
          <w:rPr>
            <w:noProof/>
          </w:rPr>
          <w:t>47</w:t>
        </w:r>
      </w:hyperlink>
      <w:r w:rsidR="00C54D4B">
        <w:rPr>
          <w:noProof/>
        </w:rPr>
        <w:t>]</w:t>
      </w:r>
      <w:r w:rsidRPr="00CC745D">
        <w:fldChar w:fldCharType="end"/>
      </w:r>
      <w:r w:rsidRPr="00CC745D">
        <w:t xml:space="preserve">. </w:t>
      </w:r>
    </w:p>
    <w:p w14:paraId="0716D81F" w14:textId="77777777" w:rsidR="00CA0F0A" w:rsidRPr="00CC745D" w:rsidRDefault="00CA0F0A" w:rsidP="00A15F74">
      <w:pPr>
        <w:spacing w:line="480" w:lineRule="auto"/>
        <w:jc w:val="center"/>
      </w:pPr>
      <w:r w:rsidRPr="00CC745D">
        <w:rPr>
          <w:noProof/>
        </w:rPr>
        <w:drawing>
          <wp:inline distT="0" distB="0" distL="0" distR="0" wp14:anchorId="0E798FD6" wp14:editId="688FCE05">
            <wp:extent cx="3997564" cy="2743200"/>
            <wp:effectExtent l="0" t="0" r="3175" b="0"/>
            <wp:docPr id="12" name="Picture 1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pic:nvPicPr>
                  <pic:blipFill>
                    <a:blip r:embed="rId16"/>
                    <a:stretch>
                      <a:fillRect/>
                    </a:stretch>
                  </pic:blipFill>
                  <pic:spPr>
                    <a:xfrm>
                      <a:off x="0" y="0"/>
                      <a:ext cx="3997564" cy="2743200"/>
                    </a:xfrm>
                    <a:prstGeom prst="rect">
                      <a:avLst/>
                    </a:prstGeom>
                  </pic:spPr>
                </pic:pic>
              </a:graphicData>
            </a:graphic>
          </wp:inline>
        </w:drawing>
      </w:r>
    </w:p>
    <w:p w14:paraId="1E16A0E2" w14:textId="16B881A4" w:rsidR="00EB3761" w:rsidRDefault="00CA0F0A" w:rsidP="0043164B">
      <w:pPr>
        <w:jc w:val="both"/>
      </w:pPr>
      <w:bookmarkStart w:id="10" w:name="_Toc131948667"/>
      <w:r w:rsidRPr="00CC745D">
        <w:rPr>
          <w:b/>
          <w:bCs/>
        </w:rPr>
        <w:t xml:space="preserve">Figure </w:t>
      </w:r>
      <w:r w:rsidRPr="00CC745D">
        <w:rPr>
          <w:b/>
          <w:bCs/>
        </w:rPr>
        <w:fldChar w:fldCharType="begin"/>
      </w:r>
      <w:r w:rsidRPr="00CC745D">
        <w:rPr>
          <w:b/>
          <w:bCs/>
        </w:rPr>
        <w:instrText xml:space="preserve"> SEQ Figure \* ARABIC </w:instrText>
      </w:r>
      <w:r w:rsidRPr="00CC745D">
        <w:rPr>
          <w:b/>
          <w:bCs/>
        </w:rPr>
        <w:fldChar w:fldCharType="separate"/>
      </w:r>
      <w:r w:rsidR="001F4741">
        <w:rPr>
          <w:b/>
          <w:bCs/>
          <w:noProof/>
        </w:rPr>
        <w:t>3</w:t>
      </w:r>
      <w:r w:rsidRPr="00CC745D">
        <w:rPr>
          <w:b/>
          <w:bCs/>
        </w:rPr>
        <w:fldChar w:fldCharType="end"/>
      </w:r>
      <w:r w:rsidRPr="00CC745D">
        <w:rPr>
          <w:b/>
          <w:bCs/>
        </w:rPr>
        <w:t>:</w:t>
      </w:r>
      <w:r w:rsidRPr="00CC745D">
        <w:t xml:space="preserve"> XRD patterns of H-Y zeolite as changed by hydrothermal treatment at different temperatures: (a) initial H-Y zeolite, 298 K; (b) H-Y zeolite treated at 403 K; (c) H-Y zeolite treated at 423 K; (d) H-Y zeolite treated at 443 K; (e) H-Y zeolite treated at 473 K. Reproduced from Ref </w:t>
      </w:r>
      <w:r w:rsidRPr="00CC745D">
        <w:fldChar w:fldCharType="begin"/>
      </w:r>
      <w:r w:rsidR="00C54D4B">
        <w:instrText xml:space="preserve"> ADDIN EN.CITE &lt;EndNote&gt;&lt;Cite&gt;&lt;Author&gt;Dimitrijevic&lt;/Author&gt;&lt;Year&gt;2006&lt;/Year&gt;&lt;RecNum&gt;169&lt;/RecNum&gt;&lt;DisplayText&gt;[47]&lt;/DisplayText&gt;&lt;record&gt;&lt;rec-number&gt;169&lt;/rec-number&gt;&lt;foreign-keys&gt;&lt;key app="EN" db-id="59dvwrfdof9dw8exf0kvp0atwazsazeeffsp" timestamp="1677258152"&gt;169&lt;/key&gt;&lt;/foreign-keys&gt;&lt;ref-type name="Journal Article"&gt;17&lt;/ref-type&gt;&lt;contributors&gt;&lt;authors&gt;&lt;author&gt;R. Dimitrijevic&lt;/author&gt;&lt;author&gt;W. Lutz&lt;/author&gt;&lt;author&gt;A. Ritzmann&lt;/author&gt;&lt;/authors&gt;&lt;/contributors&gt;&lt;titles&gt;&lt;title&gt;Hydrothermal stability of zeolites: Determination of extra-framework species of H-Y faujasite-type steamed zeolite&lt;/title&gt;&lt;secondary-title&gt;Journal of Physics and Chemistry of Solids&lt;/secondary-title&gt;&lt;/titles&gt;&lt;periodical&gt;&lt;full-title&gt;Journal of Physics and Chemistry of Solids&lt;/full-title&gt;&lt;/periodical&gt;&lt;pages&gt;1741-1748&lt;/pages&gt;&lt;volume&gt;67&lt;/volume&gt;&lt;number&gt;8&lt;/number&gt;&lt;dates&gt;&lt;year&gt;2006&lt;/year&gt;&lt;/dates&gt;&lt;urls&gt;&lt;/urls&gt;&lt;electronic-resource-num&gt;https://doi.org/10.1016/j.jpcs.2006.03.014&lt;/electronic-resource-num&gt;&lt;/record&gt;&lt;/Cite&gt;&lt;/EndNote&gt;</w:instrText>
      </w:r>
      <w:r w:rsidRPr="00CC745D">
        <w:fldChar w:fldCharType="separate"/>
      </w:r>
      <w:r w:rsidR="00C54D4B">
        <w:rPr>
          <w:noProof/>
        </w:rPr>
        <w:t>[</w:t>
      </w:r>
      <w:hyperlink w:anchor="_ENREF_47" w:tooltip="Dimitrijevic, 2006 #169" w:history="1">
        <w:r w:rsidR="00D307FA">
          <w:rPr>
            <w:noProof/>
          </w:rPr>
          <w:t>47</w:t>
        </w:r>
      </w:hyperlink>
      <w:r w:rsidR="00C54D4B">
        <w:rPr>
          <w:noProof/>
        </w:rPr>
        <w:t>]</w:t>
      </w:r>
      <w:r w:rsidRPr="00CC745D">
        <w:fldChar w:fldCharType="end"/>
      </w:r>
      <w:r w:rsidRPr="00CC745D">
        <w:t>.</w:t>
      </w:r>
      <w:bookmarkEnd w:id="10"/>
    </w:p>
    <w:p w14:paraId="6E5CC440" w14:textId="77777777" w:rsidR="0043164B" w:rsidRDefault="0043164B" w:rsidP="0043164B">
      <w:pPr>
        <w:jc w:val="both"/>
      </w:pPr>
    </w:p>
    <w:p w14:paraId="192D1D00" w14:textId="65848592" w:rsidR="00CA0F0A" w:rsidRPr="00CC745D" w:rsidRDefault="00CA0F0A" w:rsidP="00EB3761">
      <w:pPr>
        <w:spacing w:line="480" w:lineRule="auto"/>
        <w:jc w:val="both"/>
      </w:pPr>
      <w:r w:rsidRPr="00CC745D">
        <w:tab/>
        <w:t xml:space="preserve">Such aluminum extraction happens to result in the presence of extra-framework alumina (EFAL) species, which refers to aluminum oxides existing outside the zeolite framework in different forms, such as isolated AlOx species, clusters, or layers </w:t>
      </w:r>
      <w:r w:rsidRPr="00CC745D">
        <w:fldChar w:fldCharType="begin"/>
      </w:r>
      <w:r w:rsidR="00C54D4B">
        <w:instrText xml:space="preserve"> ADDIN EN.CITE &lt;EndNote&gt;&lt;Cite&gt;&lt;Author&gt;Khivantsev&lt;/Author&gt;&lt;Year&gt;2022&lt;/Year&gt;&lt;RecNum&gt;202&lt;/RecNum&gt;&lt;DisplayText&gt;[48]&lt;/DisplayText&gt;&lt;record&gt;&lt;rec-number&gt;202&lt;/rec-number&gt;&lt;foreign-keys&gt;&lt;key app="EN" db-id="59dvwrfdof9dw8exf0kvp0atwazsazeeffsp" timestamp="1677625454"&gt;202&lt;/key&gt;&lt;/foreign-keys&gt;&lt;ref-type name="Journal Article"&gt;17&lt;/ref-type&gt;&lt;contributors&gt;&lt;authors&gt;&lt;author&gt;Konstantin Khivantsev&lt;/author&gt;&lt;author&gt;Nicholas R. Jaegers&lt;/author&gt;&lt;author&gt;Libor Kovarik&lt;/author&gt;&lt;author&gt;Miroslaw A. Derewinski&lt;/author&gt;&lt;author&gt;Ja-Hun Kwak&lt;/author&gt;&lt;author&gt;Janos Szanyi&lt;/author&gt;&lt;/authors&gt;&lt;/contributors&gt;&lt;titles&gt;&lt;title&gt;On the Nature of Extra-Framework Aluminum Species and Improved Catalytic Properties in Steamed Zeolites&lt;/title&gt;&lt;secondary-title&gt;Molecules&lt;/secondary-title&gt;&lt;/titles&gt;&lt;periodical&gt;&lt;full-title&gt;Molecules&lt;/full-title&gt;&lt;/periodical&gt;&lt;pages&gt;2352&lt;/pages&gt;&lt;volume&gt;27&lt;/volume&gt;&lt;dates&gt;&lt;year&gt;2022&lt;/year&gt;&lt;/dates&gt;&lt;urls&gt;&lt;/urls&gt;&lt;electronic-resource-num&gt;https://doi.org/10.3390/molecules27072352&lt;/electronic-resource-num&gt;&lt;/record&gt;&lt;/Cite&gt;&lt;/EndNote&gt;</w:instrText>
      </w:r>
      <w:r w:rsidRPr="00CC745D">
        <w:fldChar w:fldCharType="separate"/>
      </w:r>
      <w:r w:rsidR="00C54D4B">
        <w:rPr>
          <w:noProof/>
        </w:rPr>
        <w:t>[</w:t>
      </w:r>
      <w:hyperlink w:anchor="_ENREF_48" w:tooltip="Khivantsev, 2022 #202" w:history="1">
        <w:r w:rsidR="00D307FA">
          <w:rPr>
            <w:noProof/>
          </w:rPr>
          <w:t>48</w:t>
        </w:r>
      </w:hyperlink>
      <w:r w:rsidR="00C54D4B">
        <w:rPr>
          <w:noProof/>
        </w:rPr>
        <w:t>]</w:t>
      </w:r>
      <w:r w:rsidRPr="00CC745D">
        <w:fldChar w:fldCharType="end"/>
      </w:r>
      <w:r w:rsidRPr="00CC745D">
        <w:t>. The nature and amount of EFAL can depend on the method of preparation, the composition of the starting zeolite, and the conditions of the treatment. One way to identify their presence over a local environment in zeolites is through a solid-state nuclear magnetic resonance (NMR) spectroscopy in which EFAL species have different NMR chemical shifts (~0 ppm) and relaxation times than those incorporated in the framework (~60 ppm). A study of dealuminated zeolite Y by Grobet et al.</w:t>
      </w:r>
      <w:r w:rsidR="00B74BE0">
        <w:t xml:space="preserve"> </w:t>
      </w:r>
      <w:r w:rsidRPr="00CC745D">
        <w:t xml:space="preserve">identified a slight presence of EFAL in self-steamed hydrated NH4-Y sample at 873K for 4 hours with a pronounced increased of those species once treated with acetylacetone to cause aluminum </w:t>
      </w:r>
      <w:r w:rsidRPr="00C80AAF">
        <w:t>extraction (</w:t>
      </w:r>
      <w:r w:rsidRPr="00C80AAF">
        <w:rPr>
          <w:b/>
          <w:bCs/>
        </w:rPr>
        <w:t>Figure 4</w:t>
      </w:r>
      <w:r w:rsidRPr="00C80AAF">
        <w:t xml:space="preserve">) </w:t>
      </w:r>
      <w:r w:rsidRPr="00C80AAF">
        <w:fldChar w:fldCharType="begin"/>
      </w:r>
      <w:r w:rsidR="00C54D4B" w:rsidRPr="00C80AAF">
        <w:instrText xml:space="preserve"> ADDIN EN.CITE &lt;EndNote&gt;&lt;Cite&gt;&lt;Author&gt;Grobet&lt;/Author&gt;&lt;Year&gt;1989&lt;/Year&gt;&lt;RecNum&gt;170&lt;/RecNum&gt;&lt;DisplayText&gt;[49]&lt;/DisplayText&gt;&lt;record&gt;&lt;rec-number&gt;170&lt;/rec-number&gt;&lt;foreign-keys&gt;&lt;key app="EN" db-id="59dvwrfdof9dw8exf0kvp0atwazsazeeffsp" timestamp="1677259739"&gt;170&lt;/key&gt;&lt;/foreign-keys&gt;&lt;ref-type name="Journal Article"&gt;17&lt;/ref-type&gt;&lt;contributors&gt;&lt;authors&gt;&lt;author&gt;P.J. Grobet&lt;/author&gt;&lt;author&gt;H. Geerts&lt;/author&gt;&lt;author&gt;M. Tielen&lt;/author&gt;&lt;author&gt;J.A. Martens&lt;/author&gt;&lt;author&gt;P.A. Jacobs&lt;/author&gt;&lt;/authors&gt;&lt;/contributors&gt;&lt;titles&gt;&lt;title&gt;Framework and Non-Framework Al Species in Dealuminated Zeolite Y&lt;/title&gt;&lt;secondary-title&gt;Studies in Surface Science and Catalysis&lt;/secondary-title&gt;&lt;/titles&gt;&lt;periodical&gt;&lt;full-title&gt;Studies in Surface Science and Catalysis&lt;/full-title&gt;&lt;/periodical&gt;&lt;pages&gt;721-734&lt;/pages&gt;&lt;volume&gt;46&lt;/volume&gt;&lt;dates&gt;&lt;year&gt;1989&lt;/year&gt;&lt;/dates&gt;&lt;urls&gt;&lt;/urls&gt;&lt;electronic-resource-num&gt;https://doi.org/10.1016/S0167-2991(08)61025-3&lt;/electronic-resource-num&gt;&lt;/record&gt;&lt;/Cite&gt;&lt;/EndNote&gt;</w:instrText>
      </w:r>
      <w:r w:rsidRPr="00C80AAF">
        <w:fldChar w:fldCharType="separate"/>
      </w:r>
      <w:r w:rsidR="00C54D4B" w:rsidRPr="00C80AAF">
        <w:rPr>
          <w:noProof/>
        </w:rPr>
        <w:t>[</w:t>
      </w:r>
      <w:hyperlink w:anchor="_ENREF_49" w:tooltip="Grobet, 1989 #170" w:history="1">
        <w:r w:rsidR="00D307FA" w:rsidRPr="00C80AAF">
          <w:rPr>
            <w:noProof/>
          </w:rPr>
          <w:t>49</w:t>
        </w:r>
      </w:hyperlink>
      <w:r w:rsidR="00C54D4B" w:rsidRPr="00C80AAF">
        <w:rPr>
          <w:noProof/>
        </w:rPr>
        <w:t>]</w:t>
      </w:r>
      <w:r w:rsidRPr="00C80AAF">
        <w:fldChar w:fldCharType="end"/>
      </w:r>
      <w:r w:rsidRPr="00CC745D">
        <w:t xml:space="preserve">. </w:t>
      </w:r>
      <w:r w:rsidRPr="00CC745D">
        <w:lastRenderedPageBreak/>
        <w:t xml:space="preserve">Intermediate peaks relative to 0 and 60 ppm are attributed to partially EFAL, a penta-coordinated alumina that has not been fully extracted from the surface </w:t>
      </w:r>
      <w:r w:rsidRPr="00CC745D">
        <w:fldChar w:fldCharType="begin"/>
      </w:r>
      <w:r w:rsidR="00C54D4B">
        <w:instrText xml:space="preserve"> ADDIN EN.CITE &lt;EndNote&gt;&lt;Cite&gt;&lt;Author&gt;Yi&lt;/Author&gt;&lt;Year&gt;2018&lt;/Year&gt;&lt;RecNum&gt;203&lt;/RecNum&gt;&lt;DisplayText&gt;[50]&lt;/DisplayText&gt;&lt;record&gt;&lt;rec-number&gt;203&lt;/rec-number&gt;&lt;foreign-keys&gt;&lt;key app="EN" db-id="59dvwrfdof9dw8exf0kvp0atwazsazeeffsp" timestamp="1677644143"&gt;203&lt;/key&gt;&lt;/foreign-keys&gt;&lt;ref-type name="Journal Article"&gt;17&lt;/ref-type&gt;&lt;contributors&gt;&lt;authors&gt;&lt;author&gt;Xianfeng Yi&lt;/author&gt;&lt;author&gt;Kangyu Liu&lt;/author&gt;&lt;author&gt;Wei Chen&lt;/author&gt;&lt;author&gt;Junjie Li&lt;/author&gt;&lt;author&gt;Shutao Xu&lt;/author&gt;&lt;author&gt;Chengbin Li&lt;/author&gt;&lt;author&gt;Yao Xiao&lt;/author&gt;&lt;author&gt;Haichao Liu&lt;/author&gt;&lt;author&gt;Xinwen Guo&lt;/author&gt;&lt;author&gt;Shang-Bin Liu&lt;/author&gt;&lt;author&gt;Anmin Zheng&lt;/author&gt;&lt;/authors&gt;&lt;/contributors&gt;&lt;titles&gt;&lt;title&gt;Origin and Structural Characteristics of Tri-coordinated Extra-framework Aluminum Species in Dealuminated Zeolites&lt;/title&gt;&lt;secondary-title&gt;Journal of American Chemical Society&lt;/secondary-title&gt;&lt;/titles&gt;&lt;periodical&gt;&lt;full-title&gt;Journal of American Chemical Society&lt;/full-title&gt;&lt;/periodical&gt;&lt;pages&gt;10764-10774&lt;/pages&gt;&lt;volume&gt;140&lt;/volume&gt;&lt;number&gt;34&lt;/number&gt;&lt;dates&gt;&lt;year&gt;2018&lt;/year&gt;&lt;/dates&gt;&lt;urls&gt;&lt;/urls&gt;&lt;electronic-resource-num&gt;https://doi.org/10.1021/jacs.8b04819&lt;/electronic-resource-num&gt;&lt;/record&gt;&lt;/Cite&gt;&lt;/EndNote&gt;</w:instrText>
      </w:r>
      <w:r w:rsidRPr="00CC745D">
        <w:fldChar w:fldCharType="separate"/>
      </w:r>
      <w:r w:rsidR="00C54D4B">
        <w:rPr>
          <w:noProof/>
        </w:rPr>
        <w:t>[</w:t>
      </w:r>
      <w:hyperlink w:anchor="_ENREF_50" w:tooltip="Yi, 2018 #203" w:history="1">
        <w:r w:rsidR="00D307FA">
          <w:rPr>
            <w:noProof/>
          </w:rPr>
          <w:t>50</w:t>
        </w:r>
      </w:hyperlink>
      <w:r w:rsidR="00C54D4B">
        <w:rPr>
          <w:noProof/>
        </w:rPr>
        <w:t>]</w:t>
      </w:r>
      <w:r w:rsidRPr="00CC745D">
        <w:fldChar w:fldCharType="end"/>
      </w:r>
      <w:r w:rsidRPr="00CC745D">
        <w:t>.</w:t>
      </w:r>
    </w:p>
    <w:p w14:paraId="72BE4397" w14:textId="77777777" w:rsidR="00CA0F0A" w:rsidRPr="00CC745D" w:rsidRDefault="00CA0F0A" w:rsidP="0043164B">
      <w:pPr>
        <w:jc w:val="center"/>
      </w:pPr>
      <w:r w:rsidRPr="00CC745D">
        <w:rPr>
          <w:noProof/>
        </w:rPr>
        <w:drawing>
          <wp:inline distT="0" distB="0" distL="0" distR="0" wp14:anchorId="6FDF8861" wp14:editId="6D7FE706">
            <wp:extent cx="3903961" cy="2743200"/>
            <wp:effectExtent l="0" t="0" r="1905"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7"/>
                    <a:stretch>
                      <a:fillRect/>
                    </a:stretch>
                  </pic:blipFill>
                  <pic:spPr>
                    <a:xfrm>
                      <a:off x="0" y="0"/>
                      <a:ext cx="3903961" cy="2743200"/>
                    </a:xfrm>
                    <a:prstGeom prst="rect">
                      <a:avLst/>
                    </a:prstGeom>
                  </pic:spPr>
                </pic:pic>
              </a:graphicData>
            </a:graphic>
          </wp:inline>
        </w:drawing>
      </w:r>
    </w:p>
    <w:p w14:paraId="0833F9B6" w14:textId="69A5EE88" w:rsidR="00CA0F0A" w:rsidRPr="00CC745D" w:rsidRDefault="00CA0F0A" w:rsidP="0043164B">
      <w:pPr>
        <w:jc w:val="both"/>
      </w:pPr>
      <w:bookmarkStart w:id="11" w:name="_Toc131948668"/>
      <w:r w:rsidRPr="00CC745D">
        <w:rPr>
          <w:b/>
          <w:bCs/>
        </w:rPr>
        <w:t xml:space="preserve">Figure </w:t>
      </w:r>
      <w:r w:rsidRPr="00CC745D">
        <w:rPr>
          <w:b/>
          <w:bCs/>
        </w:rPr>
        <w:fldChar w:fldCharType="begin"/>
      </w:r>
      <w:r w:rsidRPr="00CC745D">
        <w:rPr>
          <w:b/>
          <w:bCs/>
        </w:rPr>
        <w:instrText xml:space="preserve"> SEQ Figure \* ARABIC </w:instrText>
      </w:r>
      <w:r w:rsidRPr="00CC745D">
        <w:rPr>
          <w:b/>
          <w:bCs/>
        </w:rPr>
        <w:fldChar w:fldCharType="separate"/>
      </w:r>
      <w:r w:rsidR="001F4741">
        <w:rPr>
          <w:b/>
          <w:bCs/>
          <w:noProof/>
        </w:rPr>
        <w:t>4</w:t>
      </w:r>
      <w:r w:rsidRPr="00CC745D">
        <w:rPr>
          <w:b/>
          <w:bCs/>
        </w:rPr>
        <w:fldChar w:fldCharType="end"/>
      </w:r>
      <w:r w:rsidRPr="00CC745D">
        <w:rPr>
          <w:b/>
          <w:bCs/>
        </w:rPr>
        <w:t>:</w:t>
      </w:r>
      <w:r w:rsidRPr="00CC745D">
        <w:t xml:space="preserve"> Experimental (A) and deconvoluted (B) and </w:t>
      </w:r>
      <w:r w:rsidRPr="00CC745D">
        <w:rPr>
          <w:vertAlign w:val="superscript"/>
        </w:rPr>
        <w:t>27</w:t>
      </w:r>
      <w:r w:rsidRPr="00CC745D">
        <w:t xml:space="preserve">A1 MAS NMR spectra of hydrated (Hyd) and acac-treated (Acac) Sample 1. Reproduced from Ref </w:t>
      </w:r>
      <w:r w:rsidRPr="00CC745D">
        <w:fldChar w:fldCharType="begin"/>
      </w:r>
      <w:r w:rsidR="00C54D4B">
        <w:instrText xml:space="preserve"> ADDIN EN.CITE &lt;EndNote&gt;&lt;Cite&gt;&lt;Author&gt;Grobet&lt;/Author&gt;&lt;Year&gt;1989&lt;/Year&gt;&lt;RecNum&gt;170&lt;/RecNum&gt;&lt;DisplayText&gt;[49]&lt;/DisplayText&gt;&lt;record&gt;&lt;rec-number&gt;170&lt;/rec-number&gt;&lt;foreign-keys&gt;&lt;key app="EN" db-id="59dvwrfdof9dw8exf0kvp0atwazsazeeffsp" timestamp="1677259739"&gt;170&lt;/key&gt;&lt;/foreign-keys&gt;&lt;ref-type name="Journal Article"&gt;17&lt;/ref-type&gt;&lt;contributors&gt;&lt;authors&gt;&lt;author&gt;P.J. Grobet&lt;/author&gt;&lt;author&gt;H. Geerts&lt;/author&gt;&lt;author&gt;M. Tielen&lt;/author&gt;&lt;author&gt;J.A. Martens&lt;/author&gt;&lt;author&gt;P.A. Jacobs&lt;/author&gt;&lt;/authors&gt;&lt;/contributors&gt;&lt;titles&gt;&lt;title&gt;Framework and Non-Framework Al Species in Dealuminated Zeolite Y&lt;/title&gt;&lt;secondary-title&gt;Studies in Surface Science and Catalysis&lt;/secondary-title&gt;&lt;/titles&gt;&lt;periodical&gt;&lt;full-title&gt;Studies in Surface Science and Catalysis&lt;/full-title&gt;&lt;/periodical&gt;&lt;pages&gt;721-734&lt;/pages&gt;&lt;volume&gt;46&lt;/volume&gt;&lt;dates&gt;&lt;year&gt;1989&lt;/year&gt;&lt;/dates&gt;&lt;urls&gt;&lt;/urls&gt;&lt;electronic-resource-num&gt;https://doi.org/10.1016/S0167-2991(08)61025-3&lt;/electronic-resource-num&gt;&lt;/record&gt;&lt;/Cite&gt;&lt;/EndNote&gt;</w:instrText>
      </w:r>
      <w:r w:rsidRPr="00CC745D">
        <w:fldChar w:fldCharType="separate"/>
      </w:r>
      <w:r w:rsidR="00C54D4B">
        <w:rPr>
          <w:noProof/>
        </w:rPr>
        <w:t>[</w:t>
      </w:r>
      <w:hyperlink w:anchor="_ENREF_49" w:tooltip="Grobet, 1989 #170" w:history="1">
        <w:r w:rsidR="00D307FA">
          <w:rPr>
            <w:noProof/>
          </w:rPr>
          <w:t>49</w:t>
        </w:r>
      </w:hyperlink>
      <w:r w:rsidR="00C54D4B">
        <w:rPr>
          <w:noProof/>
        </w:rPr>
        <w:t>]</w:t>
      </w:r>
      <w:r w:rsidRPr="00CC745D">
        <w:fldChar w:fldCharType="end"/>
      </w:r>
      <w:r w:rsidRPr="00CC745D">
        <w:t>.</w:t>
      </w:r>
      <w:bookmarkEnd w:id="11"/>
    </w:p>
    <w:p w14:paraId="681AA3A1" w14:textId="77777777" w:rsidR="0043164B" w:rsidRDefault="0043164B" w:rsidP="00A15F74">
      <w:pPr>
        <w:spacing w:line="480" w:lineRule="auto"/>
        <w:jc w:val="both"/>
      </w:pPr>
    </w:p>
    <w:p w14:paraId="4CFF665A" w14:textId="319454AA" w:rsidR="00CA0F0A" w:rsidRPr="00CC745D" w:rsidRDefault="00CA0F0A" w:rsidP="00A15F74">
      <w:pPr>
        <w:spacing w:line="480" w:lineRule="auto"/>
        <w:jc w:val="both"/>
      </w:pPr>
      <w:r w:rsidRPr="00CC745D">
        <w:tab/>
        <w:t xml:space="preserve">The presence of these partial Al extractions and EFAL seem to be detrimental to the stability of that low Si/Al zeolite, however it actually prevents further hydrolysis. It occurs due to the fact that dealumination increases Si/Al resulting in a stronger and more stable Si-O-Si bonds, also because EFAL acts as protective layer around the Al atoms in the zeolite, reducing their exposure to water and impeding hydrolysis </w:t>
      </w:r>
      <w:r w:rsidRPr="00CC745D">
        <w:fldChar w:fldCharType="begin"/>
      </w:r>
      <w:r w:rsidR="00C54D4B">
        <w:instrText xml:space="preserve"> ADDIN EN.CITE &lt;EndNote&gt;&lt;Cite&gt;&lt;Author&gt;Primo&lt;/Author&gt;&lt;Year&gt;2014&lt;/Year&gt;&lt;RecNum&gt;159&lt;/RecNum&gt;&lt;DisplayText&gt;[51]&lt;/DisplayText&gt;&lt;record&gt;&lt;rec-number&gt;159&lt;/rec-number&gt;&lt;foreign-keys&gt;&lt;key app="EN" db-id="59dvwrfdof9dw8exf0kvp0atwazsazeeffsp" timestamp="1677129249"&gt;159&lt;/key&gt;&lt;/foreign-keys&gt;&lt;ref-type name="Journal Article"&gt;17&lt;/ref-type&gt;&lt;contributors&gt;&lt;authors&gt;&lt;author&gt;Ana Primo&lt;/author&gt;&lt;author&gt;Hermenegildo Garcia&lt;/author&gt;&lt;/authors&gt;&lt;/contributors&gt;&lt;titles&gt;&lt;title&gt;Zeolites as catalysts in oil refining&lt;/title&gt;&lt;secondary-title&gt;Chemical Society Reviews&lt;/secondary-title&gt;&lt;/titles&gt;&lt;periodical&gt;&lt;full-title&gt;Chemical Society Reviews&lt;/full-title&gt;&lt;/periodical&gt;&lt;pages&gt;7548-7561&lt;/pages&gt;&lt;volume&gt;43&lt;/volume&gt;&lt;dates&gt;&lt;year&gt;2014&lt;/year&gt;&lt;/dates&gt;&lt;urls&gt;&lt;/urls&gt;&lt;electronic-resource-num&gt;https://doi.org/10.1039/C3CS60394F&lt;/electronic-resource-num&gt;&lt;/record&gt;&lt;/Cite&gt;&lt;/EndNote&gt;</w:instrText>
      </w:r>
      <w:r w:rsidRPr="00CC745D">
        <w:fldChar w:fldCharType="separate"/>
      </w:r>
      <w:r w:rsidR="00C54D4B">
        <w:rPr>
          <w:noProof/>
        </w:rPr>
        <w:t>[</w:t>
      </w:r>
      <w:hyperlink w:anchor="_ENREF_51" w:tooltip="Primo, 2014 #159" w:history="1">
        <w:r w:rsidR="00D307FA">
          <w:rPr>
            <w:noProof/>
          </w:rPr>
          <w:t>51</w:t>
        </w:r>
      </w:hyperlink>
      <w:r w:rsidR="00C54D4B">
        <w:rPr>
          <w:noProof/>
        </w:rPr>
        <w:t>]</w:t>
      </w:r>
      <w:r w:rsidRPr="00CC745D">
        <w:fldChar w:fldCharType="end"/>
      </w:r>
      <w:r w:rsidRPr="00CC745D">
        <w:t>. These processes are indeed used in commercial zeolite Y samples and the resulting catalysts are commonly referred to as ultra-stable Y, useful in industrial application for its structural integrity over time under harsh conditions.</w:t>
      </w:r>
    </w:p>
    <w:p w14:paraId="7D065D1D" w14:textId="595B88F2" w:rsidR="00CA0F0A" w:rsidRPr="00CC745D" w:rsidRDefault="00CA0F0A" w:rsidP="00A15F74">
      <w:pPr>
        <w:spacing w:line="480" w:lineRule="auto"/>
        <w:jc w:val="both"/>
      </w:pPr>
      <w:r w:rsidRPr="00CC745D">
        <w:tab/>
        <w:t xml:space="preserve">Besides the structural stability ability of these external fragments, synergistic effects are addressed in the literature in regards of their catalytic activity and lifetime stability </w:t>
      </w:r>
      <w:r w:rsidRPr="00CC745D">
        <w:fldChar w:fldCharType="begin"/>
      </w:r>
      <w:r w:rsidR="00C54D4B">
        <w:instrText xml:space="preserve"> ADDIN EN.CITE &lt;EndNote&gt;&lt;Cite&gt;&lt;Author&gt;Corma&lt;/Author&gt;&lt;Year&gt;1996&lt;/Year&gt;&lt;RecNum&gt;171&lt;/RecNum&gt;&lt;DisplayText&gt;[52]&lt;/DisplayText&gt;&lt;record&gt;&lt;rec-number&gt;171&lt;/rec-number&gt;&lt;foreign-keys&gt;&lt;key app="EN" db-id="59dvwrfdof9dw8exf0kvp0atwazsazeeffsp" timestamp="1677260699"&gt;171&lt;/key&gt;&lt;/foreign-keys&gt;&lt;ref-type name="Journal Article"&gt;17&lt;/ref-type&gt;&lt;contributors&gt;&lt;authors&gt;&lt;author&gt;A. Corma&lt;/author&gt;&lt;author&gt;A. Martínez&lt;/author&gt;&lt;author&gt;P.A. Arroyo&lt;/author&gt;&lt;author&gt;J.L.F. Monteiro&lt;/author&gt;&lt;author&gt;E.F. Sousa-Aguiar&lt;/author&gt;&lt;/authors&gt;&lt;/contributors&gt;&lt;titles&gt;&lt;title&gt;Isobutane/2-butene alkylation on zeolite beta: Influence of post-synthesis treatments&lt;/title&gt;&lt;secondary-title&gt;Applied Catalysis A: General&lt;/secondary-title&gt;&lt;/titles&gt;&lt;periodical&gt;&lt;full-title&gt;Applied Catalysis A: General&lt;/full-title&gt;&lt;/periodical&gt;&lt;pages&gt;139-150&lt;/pages&gt;&lt;volume&gt;142&lt;/volume&gt;&lt;number&gt;1&lt;/number&gt;&lt;dates&gt;&lt;year&gt;1996&lt;/year&gt;&lt;/dates&gt;&lt;urls&gt;&lt;/urls&gt;&lt;electronic-resource-num&gt;https://doi.org/10.1016/0926-860X(96)00014-2&lt;/electronic-resource-num&gt;&lt;/record&gt;&lt;/Cite&gt;&lt;/EndNote&gt;</w:instrText>
      </w:r>
      <w:r w:rsidRPr="00CC745D">
        <w:fldChar w:fldCharType="separate"/>
      </w:r>
      <w:r w:rsidR="00C54D4B">
        <w:rPr>
          <w:noProof/>
        </w:rPr>
        <w:t>[</w:t>
      </w:r>
      <w:hyperlink w:anchor="_ENREF_52" w:tooltip="Corma, 1996 #171" w:history="1">
        <w:r w:rsidR="00D307FA">
          <w:rPr>
            <w:noProof/>
          </w:rPr>
          <w:t>52</w:t>
        </w:r>
      </w:hyperlink>
      <w:r w:rsidR="00C54D4B">
        <w:rPr>
          <w:noProof/>
        </w:rPr>
        <w:t>]</w:t>
      </w:r>
      <w:r w:rsidRPr="00CC745D">
        <w:fldChar w:fldCharType="end"/>
      </w:r>
      <w:r w:rsidRPr="00CC745D">
        <w:t xml:space="preserve">. Due to the properties of these Al-OH bonds, EFAL can behave as strong Lewis and Brønsted acid sites providing different acidities than those found in the </w:t>
      </w:r>
      <w:r w:rsidRPr="00CC745D">
        <w:lastRenderedPageBreak/>
        <w:t>framework-Al.</w:t>
      </w:r>
      <w:r w:rsidRPr="00CC745D">
        <w:rPr>
          <w:color w:val="FF0000"/>
        </w:rPr>
        <w:t xml:space="preserve"> </w:t>
      </w:r>
      <w:r w:rsidRPr="00CC745D">
        <w:t>However, such contribution relies on the type of EFAL present, its distribution and concentration, and the reaction conditions applied, requiring careful considerations in its use for the optimum catalytic performance.</w:t>
      </w:r>
    </w:p>
    <w:p w14:paraId="5CBED05C" w14:textId="77D22756" w:rsidR="00677AFD" w:rsidRDefault="00CA0F0A" w:rsidP="00AB652F">
      <w:pPr>
        <w:spacing w:line="480" w:lineRule="auto"/>
        <w:jc w:val="both"/>
      </w:pPr>
      <w:r w:rsidRPr="00CC745D">
        <w:tab/>
        <w:t xml:space="preserve">Another problem associated with the higher concentration of active sites is the deposition of bulk carbonaceous species over the surface for their higher tendency of reaction and continuous oligomerization over the active surface, also known as coke </w:t>
      </w:r>
      <w:r w:rsidRPr="00CC745D">
        <w:fldChar w:fldCharType="begin"/>
      </w:r>
      <w:r w:rsidR="00C54D4B">
        <w:instrText xml:space="preserve"> ADDIN EN.CITE &lt;EndNote&gt;&lt;Cite&gt;&lt;Author&gt;Guisnet&lt;/Author&gt;&lt;Year&gt;1989&lt;/Year&gt;&lt;RecNum&gt;173&lt;/RecNum&gt;&lt;DisplayText&gt;[53, 54]&lt;/DisplayText&gt;&lt;record&gt;&lt;rec-number&gt;173&lt;/rec-number&gt;&lt;foreign-keys&gt;&lt;key app="EN" db-id="59dvwrfdof9dw8exf0kvp0atwazsazeeffsp" timestamp="1677261085"&gt;173&lt;/key&gt;&lt;/foreign-keys&gt;&lt;ref-type name="Journal Article"&gt;17&lt;/ref-type&gt;&lt;contributors&gt;&lt;authors&gt;&lt;author&gt;M. Guisnet&lt;/author&gt;&lt;author&gt;P. Magnoux&lt;/author&gt;&lt;/authors&gt;&lt;/contributors&gt;&lt;titles&gt;&lt;title&gt;Coking and deactivation of zeolites: Influence of the Pore Structure&lt;/title&gt;&lt;secondary-title&gt;Applied Catalysis&lt;/secondary-title&gt;&lt;/titles&gt;&lt;periodical&gt;&lt;full-title&gt;Applied Catalysis&lt;/full-title&gt;&lt;/periodical&gt;&lt;pages&gt;1-27&lt;/pages&gt;&lt;volume&gt;54&lt;/volume&gt;&lt;number&gt;1&lt;/number&gt;&lt;dates&gt;&lt;year&gt;1989&lt;/year&gt;&lt;/dates&gt;&lt;urls&gt;&lt;/urls&gt;&lt;electronic-resource-num&gt;https://doi.org/10.1016/S0166-9834(00)82350-7&lt;/electronic-resource-num&gt;&lt;/record&gt;&lt;/Cite&gt;&lt;Cite&gt;&lt;Author&gt;Wang&lt;/Author&gt;&lt;Year&gt;1991&lt;/Year&gt;&lt;RecNum&gt;174&lt;/RecNum&gt;&lt;record&gt;&lt;rec-number&gt;174&lt;/rec-number&gt;&lt;foreign-keys&gt;&lt;key app="EN" db-id="59dvwrfdof9dw8exf0kvp0atwazsazeeffsp" timestamp="1677261388"&gt;174&lt;/key&gt;&lt;/foreign-keys&gt;&lt;ref-type name="Journal Article"&gt;17&lt;/ref-type&gt;&lt;contributors&gt;&lt;authors&gt;&lt;author&gt;Q.L. Wang&lt;/author&gt;&lt;author&gt;G. Giannetto&lt;/author&gt;&lt;author&gt;M. Guisnet&lt;/author&gt;&lt;/authors&gt;&lt;/contributors&gt;&lt;titles&gt;&lt;title&gt;Dealumination of zeolites III. Effect of extra-framework aluminum species on the activity, selectivity, and stability of Y zeolites in n-heptane cracking&lt;/title&gt;&lt;secondary-title&gt;Journal of Catalysis&lt;/secondary-title&gt;&lt;/titles&gt;&lt;periodical&gt;&lt;full-title&gt;Journal of Catalysis&lt;/full-title&gt;&lt;/periodical&gt;&lt;pages&gt;471-482&lt;/pages&gt;&lt;volume&gt;130&lt;/volume&gt;&lt;number&gt;2&lt;/number&gt;&lt;dates&gt;&lt;year&gt;1991&lt;/year&gt;&lt;/dates&gt;&lt;urls&gt;&lt;/urls&gt;&lt;electronic-resource-num&gt;https://doi.org/10.1016/0021-9517(91)90129-R&lt;/electronic-resource-num&gt;&lt;/record&gt;&lt;/Cite&gt;&lt;/EndNote&gt;</w:instrText>
      </w:r>
      <w:r w:rsidRPr="00CC745D">
        <w:fldChar w:fldCharType="separate"/>
      </w:r>
      <w:r w:rsidR="00C54D4B">
        <w:rPr>
          <w:noProof/>
        </w:rPr>
        <w:t>[</w:t>
      </w:r>
      <w:hyperlink w:anchor="_ENREF_53" w:tooltip="Guisnet, 1989 #173" w:history="1">
        <w:r w:rsidR="00D307FA">
          <w:rPr>
            <w:noProof/>
          </w:rPr>
          <w:t>53</w:t>
        </w:r>
      </w:hyperlink>
      <w:r w:rsidR="00C54D4B">
        <w:rPr>
          <w:noProof/>
        </w:rPr>
        <w:t xml:space="preserve">, </w:t>
      </w:r>
      <w:hyperlink w:anchor="_ENREF_54" w:tooltip="Wang, 1991 #174" w:history="1">
        <w:r w:rsidR="00D307FA">
          <w:rPr>
            <w:noProof/>
          </w:rPr>
          <w:t>54</w:t>
        </w:r>
      </w:hyperlink>
      <w:r w:rsidR="00C54D4B">
        <w:rPr>
          <w:noProof/>
        </w:rPr>
        <w:t>]</w:t>
      </w:r>
      <w:r w:rsidRPr="00CC745D">
        <w:fldChar w:fldCharType="end"/>
      </w:r>
      <w:r w:rsidRPr="00CC745D">
        <w:t xml:space="preserve">. This coke reduces the catalytic activity by sterically inactivating that local site environment hindering the reactive proton </w:t>
      </w:r>
      <w:r w:rsidRPr="00CC745D">
        <w:fldChar w:fldCharType="begin"/>
      </w:r>
      <w:r w:rsidR="00C54D4B">
        <w:instrText xml:space="preserve"> ADDIN EN.CITE &lt;EndNote&gt;&lt;Cite&gt;&lt;Author&gt;Paweewan&lt;/Author&gt;&lt;Year&gt;1999&lt;/Year&gt;&lt;RecNum&gt;172&lt;/RecNum&gt;&lt;DisplayText&gt;[55]&lt;/DisplayText&gt;&lt;record&gt;&lt;rec-number&gt;172&lt;/rec-number&gt;&lt;foreign-keys&gt;&lt;key app="EN" db-id="59dvwrfdof9dw8exf0kvp0atwazsazeeffsp" timestamp="1677260942"&gt;172&lt;/key&gt;&lt;/foreign-keys&gt;&lt;ref-type name="Journal Article"&gt;17&lt;/ref-type&gt;&lt;contributors&gt;&lt;authors&gt;&lt;author&gt;Boontham Paweewan&lt;/author&gt;&lt;author&gt;Patrick J. Barrie&lt;/author&gt;&lt;author&gt;Lynn F. Gladden&lt;/author&gt;&lt;/authors&gt;&lt;/contributors&gt;&lt;titles&gt;&lt;title&gt;Coking and deactivation during n-hexane cracking in ultrastable zeolite Y&lt;/title&gt;&lt;secondary-title&gt;Applied Catalysis A: General&lt;/secondary-title&gt;&lt;/titles&gt;&lt;periodical&gt;&lt;full-title&gt;Applied Catalysis A: General&lt;/full-title&gt;&lt;/periodical&gt;&lt;pages&gt;259-268&lt;/pages&gt;&lt;volume&gt;185&lt;/volume&gt;&lt;number&gt;2&lt;/number&gt;&lt;dates&gt;&lt;year&gt;1999&lt;/year&gt;&lt;/dates&gt;&lt;urls&gt;&lt;/urls&gt;&lt;electronic-resource-num&gt;https://doi.org/10.1016/S0926-860X(99)00143-X&lt;/electronic-resource-num&gt;&lt;/record&gt;&lt;/Cite&gt;&lt;/EndNote&gt;</w:instrText>
      </w:r>
      <w:r w:rsidRPr="00CC745D">
        <w:fldChar w:fldCharType="separate"/>
      </w:r>
      <w:r w:rsidR="00C54D4B">
        <w:rPr>
          <w:noProof/>
        </w:rPr>
        <w:t>[</w:t>
      </w:r>
      <w:hyperlink w:anchor="_ENREF_55" w:tooltip="Paweewan, 1999 #172" w:history="1">
        <w:r w:rsidR="00D307FA">
          <w:rPr>
            <w:noProof/>
          </w:rPr>
          <w:t>55</w:t>
        </w:r>
      </w:hyperlink>
      <w:r w:rsidR="00C54D4B">
        <w:rPr>
          <w:noProof/>
        </w:rPr>
        <w:t>]</w:t>
      </w:r>
      <w:r w:rsidRPr="00CC745D">
        <w:fldChar w:fldCharType="end"/>
      </w:r>
      <w:r w:rsidRPr="00CC745D">
        <w:t xml:space="preserve">. Coking can be efficiently removed from a zeolitic surface through an oxidative treatment under flow in air, operated in optimal conditions to avoid structure collapse from that water produced by coke oxidation </w:t>
      </w:r>
      <w:r w:rsidRPr="00CC745D">
        <w:fldChar w:fldCharType="begin"/>
      </w:r>
      <w:r w:rsidR="00C54D4B">
        <w:instrText xml:space="preserve"> ADDIN EN.CITE &lt;EndNote&gt;&lt;Cite&gt;&lt;Author&gt;Guisnet&lt;/Author&gt;&lt;Year&gt;1997&lt;/Year&gt;&lt;RecNum&gt;175&lt;/RecNum&gt;&lt;DisplayText&gt;[56]&lt;/DisplayText&gt;&lt;record&gt;&lt;rec-number&gt;175&lt;/rec-number&gt;&lt;foreign-keys&gt;&lt;key app="EN" db-id="59dvwrfdof9dw8exf0kvp0atwazsazeeffsp" timestamp="1677261883"&gt;175&lt;/key&gt;&lt;/foreign-keys&gt;&lt;ref-type name="Journal Article"&gt;17&lt;/ref-type&gt;&lt;contributors&gt;&lt;authors&gt;&lt;author&gt;M. Guisnet&lt;/author&gt;&lt;author&gt;P. Magnoux&lt;/author&gt;&lt;/authors&gt;&lt;/contributors&gt;&lt;titles&gt;&lt;title&gt;Deactivation by coking of zeolite catalysts. Prevention of deactivation. Optimal conditions for regeneration&lt;/title&gt;&lt;secondary-title&gt;Catalysis Today&lt;/secondary-title&gt;&lt;/titles&gt;&lt;periodical&gt;&lt;full-title&gt;Catalysis Today&lt;/full-title&gt;&lt;/periodical&gt;&lt;pages&gt;477-483&lt;/pages&gt;&lt;volume&gt;36&lt;/volume&gt;&lt;number&gt;4&lt;/number&gt;&lt;dates&gt;&lt;year&gt;1997&lt;/year&gt;&lt;/dates&gt;&lt;urls&gt;&lt;/urls&gt;&lt;electronic-resource-num&gt;https://doi.org/10.1016/S0920-5861(96)00238-6&lt;/electronic-resource-num&gt;&lt;/record&gt;&lt;/Cite&gt;&lt;/EndNote&gt;</w:instrText>
      </w:r>
      <w:r w:rsidRPr="00CC745D">
        <w:fldChar w:fldCharType="separate"/>
      </w:r>
      <w:r w:rsidR="00C54D4B">
        <w:rPr>
          <w:noProof/>
        </w:rPr>
        <w:t>[</w:t>
      </w:r>
      <w:hyperlink w:anchor="_ENREF_56" w:tooltip="Guisnet, 1997 #175" w:history="1">
        <w:r w:rsidR="00D307FA">
          <w:rPr>
            <w:noProof/>
          </w:rPr>
          <w:t>56</w:t>
        </w:r>
      </w:hyperlink>
      <w:r w:rsidR="00C54D4B">
        <w:rPr>
          <w:noProof/>
        </w:rPr>
        <w:t>]</w:t>
      </w:r>
      <w:r w:rsidRPr="00CC745D">
        <w:fldChar w:fldCharType="end"/>
      </w:r>
      <w:r w:rsidRPr="00CC745D">
        <w:t>.</w:t>
      </w:r>
    </w:p>
    <w:p w14:paraId="420EAE57" w14:textId="3D174F80" w:rsidR="00CA0F0A" w:rsidRPr="000C0C64" w:rsidRDefault="00677AFD" w:rsidP="00AB652F">
      <w:pPr>
        <w:pStyle w:val="Heading3"/>
        <w:rPr>
          <w:i w:val="0"/>
          <w:iCs/>
          <w:u w:val="single"/>
        </w:rPr>
      </w:pPr>
      <w:r w:rsidRPr="00AB652F">
        <w:rPr>
          <w:b/>
          <w:bCs/>
          <w:i w:val="0"/>
          <w:iCs/>
        </w:rPr>
        <w:tab/>
      </w:r>
      <w:bookmarkStart w:id="12" w:name="_Toc132924178"/>
      <w:r w:rsidR="00CA0F0A" w:rsidRPr="000C0C64">
        <w:rPr>
          <w:i w:val="0"/>
          <w:iCs/>
          <w:u w:val="single"/>
        </w:rPr>
        <w:t>1.2.2 Zeolite MFI</w:t>
      </w:r>
      <w:bookmarkEnd w:id="12"/>
    </w:p>
    <w:p w14:paraId="48431626" w14:textId="3918F76A" w:rsidR="00CA0F0A" w:rsidRPr="00CC745D" w:rsidRDefault="00CA0F0A" w:rsidP="00AB652F">
      <w:pPr>
        <w:spacing w:line="480" w:lineRule="auto"/>
        <w:jc w:val="both"/>
      </w:pPr>
      <w:r>
        <w:tab/>
      </w:r>
      <w:r w:rsidRPr="00CC745D">
        <w:t xml:space="preserve">In addition to zeolite Y, MFI, also known as ZSM-5, is also a small-pore zeolite with a three-dimensional structure consisting of interconnected 10-membered ring channels with a pore size of approximately 5.5 </w:t>
      </w:r>
      <w:r w:rsidRPr="00C80AAF">
        <w:t>Å (</w:t>
      </w:r>
      <w:r w:rsidRPr="00C80AAF">
        <w:rPr>
          <w:b/>
          <w:bCs/>
        </w:rPr>
        <w:t>Figure 5</w:t>
      </w:r>
      <w:r w:rsidRPr="00C80AAF">
        <w:t xml:space="preserve">) </w:t>
      </w:r>
      <w:r w:rsidRPr="00C80AAF">
        <w:fldChar w:fldCharType="begin"/>
      </w:r>
      <w:r w:rsidR="00C54D4B" w:rsidRPr="00C80AAF">
        <w:instrText xml:space="preserve"> ADDIN EN.CITE &lt;EndNote&gt;&lt;Cite&gt;&lt;Author&gt;Weitkamp&lt;/Author&gt;&lt;Year&gt;2000&lt;/Year&gt;&lt;RecNum&gt;11&lt;/RecNum&gt;&lt;DisplayText&gt;[2]&lt;/DisplayText&gt;&lt;record&gt;&lt;rec-number&gt;11&lt;/rec-number&gt;&lt;foreign-keys&gt;&lt;key app="EN" db-id="59dvwrfdof9dw8exf0kvp0atwazsazeeffsp" timestamp="1667538674"&gt;11&lt;/key&gt;&lt;/foreign-keys&gt;&lt;ref-type name="Journal Article"&gt;17&lt;/ref-type&gt;&lt;contributors&gt;&lt;authors&gt;&lt;author&gt;Jens Weitkamp&lt;/author&gt;&lt;/authors&gt;&lt;/contributors&gt;&lt;titles&gt;&lt;title&gt;Zeolites and catalysis&lt;/title&gt;&lt;secondary-title&gt;Solid State Ionics&lt;/secondary-title&gt;&lt;/titles&gt;&lt;periodical&gt;&lt;full-title&gt;Solid State Ionics&lt;/full-title&gt;&lt;/periodical&gt;&lt;pages&gt;175-188&lt;/pages&gt;&lt;volume&gt;131&lt;/volume&gt;&lt;number&gt;1-2&lt;/number&gt;&lt;dates&gt;&lt;year&gt;2000&lt;/year&gt;&lt;/dates&gt;&lt;urls&gt;&lt;/urls&gt;&lt;electronic-resource-num&gt;https://doi.org/10.1016/S0167-2738(00)00632-9&lt;/electronic-resource-num&gt;&lt;/record&gt;&lt;/Cite&gt;&lt;/EndNote&gt;</w:instrText>
      </w:r>
      <w:r w:rsidRPr="00C80AAF">
        <w:fldChar w:fldCharType="separate"/>
      </w:r>
      <w:r w:rsidR="00C54D4B" w:rsidRPr="00C80AAF">
        <w:rPr>
          <w:noProof/>
        </w:rPr>
        <w:t>[</w:t>
      </w:r>
      <w:hyperlink w:anchor="_ENREF_2" w:tooltip="Weitkamp, 2000 #11" w:history="1">
        <w:r w:rsidR="00D307FA" w:rsidRPr="00C80AAF">
          <w:rPr>
            <w:noProof/>
          </w:rPr>
          <w:t>2</w:t>
        </w:r>
      </w:hyperlink>
      <w:r w:rsidR="00C54D4B" w:rsidRPr="00C80AAF">
        <w:rPr>
          <w:noProof/>
        </w:rPr>
        <w:t>]</w:t>
      </w:r>
      <w:r w:rsidRPr="00C80AAF">
        <w:fldChar w:fldCharType="end"/>
      </w:r>
      <w:r w:rsidRPr="00C80AAF">
        <w:t>. Such</w:t>
      </w:r>
      <w:r w:rsidRPr="00CC745D">
        <w:t xml:space="preserve"> small apertures finely select the types of molecules that can be adsorbed or catalyzed, preventing the formation of bulk molecules, which could cause a further decrease in activity. It can be found in several Si/Al ratios that balance catalytic activity and catalyst stability depending on the purpose for which it will be used. A result of a possible higher Si/Al, i.e., concentration of active sites, is the synergism between two proximate sites, responsible for activating a molecule to a certain extent or participating in the reaction mechanism, lowering the energy demand for that reaction to occur </w:t>
      </w:r>
      <w:r w:rsidRPr="00CC745D">
        <w:fldChar w:fldCharType="begin"/>
      </w:r>
      <w:r w:rsidR="00C54D4B">
        <w:instrText xml:space="preserve"> ADDIN EN.CITE &lt;EndNote&gt;&lt;Cite&gt;&lt;Author&gt;Tabor&lt;/Author&gt;&lt;Year&gt;2019&lt;/Year&gt;&lt;RecNum&gt;204&lt;/RecNum&gt;&lt;DisplayText&gt;[57]&lt;/DisplayText&gt;&lt;record&gt;&lt;rec-number&gt;204&lt;/rec-number&gt;&lt;foreign-keys&gt;&lt;key app="EN" db-id="59dvwrfdof9dw8exf0kvp0atwazsazeeffsp" timestamp="1677645709"&gt;204&lt;/key&gt;&lt;/foreign-keys&gt;&lt;ref-type name="Journal Article"&gt;17&lt;/ref-type&gt;&lt;contributors&gt;&lt;authors&gt;&lt;author&gt;Edyta Tabor&lt;/author&gt;&lt;author&gt;Milan Bernauer&lt;/author&gt;&lt;author&gt;Blanka Wichterlová&lt;/author&gt;&lt;author&gt;Jiri Dedecek&lt;/author&gt;&lt;/authors&gt;&lt;/contributors&gt;&lt;titles&gt;&lt;title&gt;Enhancement of propene oligomerization and aromatization by proximate protons in zeolites; FTIR study of the reaction pathway in ZSM-5&lt;/title&gt;&lt;secondary-title&gt;Catalysis Science &amp;amp; Technology&lt;/secondary-title&gt;&lt;/titles&gt;&lt;periodical&gt;&lt;full-title&gt;Catalysis Science &amp;amp; Technology&lt;/full-title&gt;&lt;/periodical&gt;&lt;pages&gt;4262-4275&lt;/pages&gt;&lt;volume&gt;9&lt;/volume&gt;&lt;dates&gt;&lt;year&gt;2019&lt;/year&gt;&lt;/dates&gt;&lt;urls&gt;&lt;/urls&gt;&lt;electronic-resource-num&gt;https://doi.org/10.1039/C9CY00929A&lt;/electronic-resource-num&gt;&lt;/record&gt;&lt;/Cite&gt;&lt;/EndNote&gt;</w:instrText>
      </w:r>
      <w:r w:rsidRPr="00CC745D">
        <w:fldChar w:fldCharType="separate"/>
      </w:r>
      <w:r w:rsidR="00C54D4B">
        <w:rPr>
          <w:noProof/>
        </w:rPr>
        <w:t>[</w:t>
      </w:r>
      <w:hyperlink w:anchor="_ENREF_57" w:tooltip="Tabor, 2019 #204" w:history="1">
        <w:r w:rsidR="00D307FA">
          <w:rPr>
            <w:noProof/>
          </w:rPr>
          <w:t>57</w:t>
        </w:r>
      </w:hyperlink>
      <w:r w:rsidR="00C54D4B">
        <w:rPr>
          <w:noProof/>
        </w:rPr>
        <w:t>]</w:t>
      </w:r>
      <w:r w:rsidRPr="00CC745D">
        <w:fldChar w:fldCharType="end"/>
      </w:r>
      <w:r w:rsidRPr="00CC745D">
        <w:t xml:space="preserve">. Such proximity is achieved during the zeolite synthesis </w:t>
      </w:r>
      <w:r w:rsidRPr="00CC745D">
        <w:fldChar w:fldCharType="begin"/>
      </w:r>
      <w:r w:rsidR="00C54D4B">
        <w:instrText xml:space="preserve"> ADDIN EN.CITE &lt;EndNote&gt;&lt;Cite&gt;&lt;Author&gt;Dědeček&lt;/Author&gt;&lt;Year&gt;2002&lt;/Year&gt;&lt;RecNum&gt;205&lt;/RecNum&gt;&lt;DisplayText&gt;[58]&lt;/DisplayText&gt;&lt;record&gt;&lt;rec-number&gt;205&lt;/rec-number&gt;&lt;foreign-keys&gt;&lt;key app="EN" db-id="59dvwrfdof9dw8exf0kvp0atwazsazeeffsp" timestamp="1677645866"&gt;205&lt;/key&gt;&lt;/foreign-keys&gt;&lt;ref-type name="Journal Article"&gt;17&lt;/ref-type&gt;&lt;contributors&gt;&lt;authors&gt;&lt;author&gt;&lt;style face="normal" font="default" size="100%"&gt;Ji&lt;/style&gt;&lt;style face="normal" font="default" charset="238" size="100%"&gt;ř&lt;/style&gt;&lt;style face="normal" font="default" size="100%"&gt;í D&lt;/style&gt;&lt;style face="normal" font="default" charset="238" size="100%"&gt;ědeček&lt;/style&gt;&lt;/author&gt;&lt;author&gt;&lt;style face="normal" font="default" charset="238" size="100%"&gt;Dalibor Kauck&lt;/style&gt;&lt;style face="normal" font="default" size="100%"&gt;ý&lt;/style&gt;&lt;/author&gt;&lt;author&gt;Blanka Wichterlová&lt;/author&gt;&lt;author&gt;Olga Gonsiorováb  &lt;/author&gt;&lt;/authors&gt;&lt;/contributors&gt;&lt;titles&gt;&lt;title&gt;Co2+ ions as probes of Al distribution in the framework of zeolites. ZSM-5 study&lt;/title&gt;&lt;secondary-title&gt;Physical Chemistry Chemical Physics&lt;/secondary-title&gt;&lt;/titles&gt;&lt;periodical&gt;&lt;full-title&gt;Physical Chemistry Chemical Physics&lt;/full-title&gt;&lt;/periodical&gt;&lt;volume&gt;4&lt;/volume&gt;&lt;number&gt;5406-5413&lt;/number&gt;&lt;dates&gt;&lt;year&gt;2002&lt;/year&gt;&lt;/dates&gt;&lt;urls&gt;&lt;/urls&gt;&lt;electronic-resource-num&gt;https://doi.org/10.1039/B203966B&lt;/electronic-resource-num&gt;&lt;/record&gt;&lt;/Cite&gt;&lt;/EndNote&gt;</w:instrText>
      </w:r>
      <w:r w:rsidRPr="00CC745D">
        <w:fldChar w:fldCharType="separate"/>
      </w:r>
      <w:r w:rsidR="00C54D4B">
        <w:rPr>
          <w:noProof/>
        </w:rPr>
        <w:t>[</w:t>
      </w:r>
      <w:hyperlink w:anchor="_ENREF_58" w:tooltip="Dědeček, 2002 #205" w:history="1">
        <w:r w:rsidR="00D307FA">
          <w:rPr>
            <w:noProof/>
          </w:rPr>
          <w:t>58</w:t>
        </w:r>
      </w:hyperlink>
      <w:r w:rsidR="00C54D4B">
        <w:rPr>
          <w:noProof/>
        </w:rPr>
        <w:t>]</w:t>
      </w:r>
      <w:r w:rsidRPr="00CC745D">
        <w:fldChar w:fldCharType="end"/>
      </w:r>
      <w:r w:rsidRPr="00CC745D">
        <w:t>.</w:t>
      </w:r>
    </w:p>
    <w:p w14:paraId="50B581C7" w14:textId="77777777" w:rsidR="00CA0F0A" w:rsidRPr="00CC745D" w:rsidRDefault="00CA0F0A" w:rsidP="0043164B">
      <w:pPr>
        <w:jc w:val="center"/>
      </w:pPr>
      <w:r w:rsidRPr="00CC745D">
        <w:rPr>
          <w:noProof/>
        </w:rPr>
        <w:lastRenderedPageBreak/>
        <w:drawing>
          <wp:inline distT="0" distB="0" distL="0" distR="0" wp14:anchorId="5ECEBFB3" wp14:editId="3C9D0CDF">
            <wp:extent cx="3112549" cy="2743200"/>
            <wp:effectExtent l="0" t="0" r="0" b="0"/>
            <wp:docPr id="7" name="Picture 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engineering drawing&#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12549" cy="2743200"/>
                    </a:xfrm>
                    <a:prstGeom prst="rect">
                      <a:avLst/>
                    </a:prstGeom>
                    <a:noFill/>
                  </pic:spPr>
                </pic:pic>
              </a:graphicData>
            </a:graphic>
          </wp:inline>
        </w:drawing>
      </w:r>
    </w:p>
    <w:p w14:paraId="5E407E31" w14:textId="341F162A" w:rsidR="00CA0F0A" w:rsidRPr="0043164B" w:rsidRDefault="00CA0F0A" w:rsidP="0043164B">
      <w:pPr>
        <w:jc w:val="both"/>
      </w:pPr>
      <w:bookmarkStart w:id="13" w:name="_Toc131948669"/>
      <w:r w:rsidRPr="0043164B">
        <w:rPr>
          <w:b/>
          <w:bCs/>
        </w:rPr>
        <w:t xml:space="preserve">Figure </w:t>
      </w:r>
      <w:r w:rsidRPr="0043164B">
        <w:rPr>
          <w:b/>
          <w:bCs/>
        </w:rPr>
        <w:fldChar w:fldCharType="begin"/>
      </w:r>
      <w:r w:rsidRPr="0043164B">
        <w:rPr>
          <w:b/>
          <w:bCs/>
        </w:rPr>
        <w:instrText xml:space="preserve"> SEQ Figure \* ARABIC </w:instrText>
      </w:r>
      <w:r w:rsidRPr="0043164B">
        <w:rPr>
          <w:b/>
          <w:bCs/>
        </w:rPr>
        <w:fldChar w:fldCharType="separate"/>
      </w:r>
      <w:r w:rsidR="001F4741">
        <w:rPr>
          <w:b/>
          <w:bCs/>
          <w:noProof/>
        </w:rPr>
        <w:t>5</w:t>
      </w:r>
      <w:r w:rsidRPr="0043164B">
        <w:rPr>
          <w:b/>
          <w:bCs/>
        </w:rPr>
        <w:fldChar w:fldCharType="end"/>
      </w:r>
      <w:r w:rsidRPr="0043164B">
        <w:rPr>
          <w:b/>
          <w:bCs/>
        </w:rPr>
        <w:t>:</w:t>
      </w:r>
      <w:r w:rsidRPr="0043164B">
        <w:t xml:space="preserve"> Perpendicular and regular channels in ZSM-5 lattice. Adapted from Ref </w:t>
      </w:r>
      <w:r w:rsidRPr="0043164B">
        <w:fldChar w:fldCharType="begin"/>
      </w:r>
      <w:r w:rsidR="00C54D4B" w:rsidRPr="0043164B">
        <w:instrText xml:space="preserve"> ADDIN EN.CITE &lt;EndNote&gt;&lt;Cite&gt;&lt;Author&gt;Li&lt;/Author&gt;&lt;Year&gt;2022&lt;/Year&gt;&lt;RecNum&gt;176&lt;/RecNum&gt;&lt;DisplayText&gt;[59]&lt;/DisplayText&gt;&lt;record&gt;&lt;rec-number&gt;176&lt;/rec-number&gt;&lt;foreign-keys&gt;&lt;key app="EN" db-id="59dvwrfdof9dw8exf0kvp0atwazsazeeffsp" timestamp="1677262446"&gt;176&lt;/key&gt;&lt;/foreign-keys&gt;&lt;ref-type name="Thesis"&gt;32&lt;/ref-type&gt;&lt;contributors&gt;&lt;authors&gt;&lt;author&gt;Jiayuan Li&lt;/author&gt;&lt;/authors&gt;&lt;tertiary-authors&gt;&lt;author&gt;Lei li&lt;/author&gt;&lt;/tertiary-authors&gt;&lt;/contributors&gt;&lt;titles&gt;&lt;title&gt;Continuous Flow Hydrothermal Synthesis of ZSM-5 Zeolite&lt;/title&gt;&lt;/titles&gt;&lt;pages&gt;81&lt;/pages&gt;&lt;volume&gt;Master&lt;/volume&gt;&lt;dates&gt;&lt;year&gt;2022&lt;/year&gt;&lt;/dates&gt;&lt;publisher&gt;University of Pittsburgh&lt;/publisher&gt;&lt;urls&gt;&lt;/urls&gt;&lt;/record&gt;&lt;/Cite&gt;&lt;/EndNote&gt;</w:instrText>
      </w:r>
      <w:r w:rsidRPr="0043164B">
        <w:fldChar w:fldCharType="separate"/>
      </w:r>
      <w:r w:rsidR="00C54D4B" w:rsidRPr="0043164B">
        <w:rPr>
          <w:noProof/>
        </w:rPr>
        <w:t>[</w:t>
      </w:r>
      <w:hyperlink w:anchor="_ENREF_59" w:tooltip="Li, 2022 #176" w:history="1">
        <w:r w:rsidR="00D307FA" w:rsidRPr="0043164B">
          <w:rPr>
            <w:noProof/>
          </w:rPr>
          <w:t>59</w:t>
        </w:r>
      </w:hyperlink>
      <w:r w:rsidR="00C54D4B" w:rsidRPr="0043164B">
        <w:rPr>
          <w:noProof/>
        </w:rPr>
        <w:t>]</w:t>
      </w:r>
      <w:r w:rsidRPr="0043164B">
        <w:fldChar w:fldCharType="end"/>
      </w:r>
      <w:r w:rsidRPr="0043164B">
        <w:t>.</w:t>
      </w:r>
      <w:bookmarkEnd w:id="13"/>
    </w:p>
    <w:p w14:paraId="3258D8CB" w14:textId="77777777" w:rsidR="0043164B" w:rsidRDefault="0043164B" w:rsidP="00A15F74">
      <w:pPr>
        <w:spacing w:line="480" w:lineRule="auto"/>
        <w:jc w:val="both"/>
      </w:pPr>
    </w:p>
    <w:p w14:paraId="6B3601E7" w14:textId="352B7A5B" w:rsidR="00CA0F0A" w:rsidRPr="00CC745D" w:rsidRDefault="00CA0F0A" w:rsidP="00A15F74">
      <w:pPr>
        <w:spacing w:line="480" w:lineRule="auto"/>
        <w:jc w:val="both"/>
      </w:pPr>
      <w:r w:rsidRPr="00CC745D">
        <w:tab/>
        <w:t xml:space="preserve">The synthesis of MFI is complex and challenging compared to other zeolite syntheses due to the precise control of the reaction conditions and the use of specific SDAs to direct the crystallization growth to achieve the desired properties of that catalyst. Despite the significant progress that has been made in recent years in developing new experimental methods to improve the MFI synthesis with alternative SDAs, conventional methods utilize </w:t>
      </w:r>
      <w:r w:rsidR="00D149B9" w:rsidRPr="00CC745D">
        <w:t>tetra propylammonium</w:t>
      </w:r>
      <w:r w:rsidRPr="00CC745D">
        <w:t xml:space="preserve"> cation (TPA</w:t>
      </w:r>
      <w:r w:rsidRPr="00CC745D">
        <w:rPr>
          <w:vertAlign w:val="superscript"/>
        </w:rPr>
        <w:t>+</w:t>
      </w:r>
      <w:r w:rsidRPr="00CC745D">
        <w:t xml:space="preserve">) as the most common SDA </w:t>
      </w:r>
      <w:r w:rsidRPr="00CC745D">
        <w:fldChar w:fldCharType="begin"/>
      </w:r>
      <w:r w:rsidR="00C54D4B">
        <w:instrText xml:space="preserve"> ADDIN EN.CITE &lt;EndNote&gt;&lt;Cite&gt;&lt;Author&gt;Cundy&lt;/Author&gt;&lt;Year&gt;1995&lt;/Year&gt;&lt;RecNum&gt;206&lt;/RecNum&gt;&lt;DisplayText&gt;[60, 61]&lt;/DisplayText&gt;&lt;record&gt;&lt;rec-number&gt;206&lt;/rec-number&gt;&lt;foreign-keys&gt;&lt;key app="EN" db-id="59dvwrfdof9dw8exf0kvp0atwazsazeeffsp" timestamp="1677646591"&gt;206&lt;/key&gt;&lt;/foreign-keys&gt;&lt;ref-type name="Journal Article"&gt;17&lt;/ref-type&gt;&lt;contributors&gt;&lt;authors&gt;&lt;author&gt;C.S. Cundy&lt;/author&gt;&lt;author&gt;M.S. Henty&lt;/author&gt;&lt;author&gt;R.J. Plaisted&lt;/author&gt;&lt;/authors&gt;&lt;/contributors&gt;&lt;titles&gt;&lt;title&gt;Investigation of Na, TPA-ZSM-5 zeolite synthesis by chemical methods&lt;/title&gt;&lt;secondary-title&gt;Zeolies&lt;/secondary-title&gt;&lt;/titles&gt;&lt;periodical&gt;&lt;full-title&gt;Zeolies&lt;/full-title&gt;&lt;/periodical&gt;&lt;pages&gt;342-352&lt;/pages&gt;&lt;volume&gt;15&lt;/volume&gt;&lt;number&gt;4&lt;/number&gt;&lt;dates&gt;&lt;year&gt;1995&lt;/year&gt;&lt;/dates&gt;&lt;urls&gt;&lt;/urls&gt;&lt;electronic-resource-num&gt;https://doi.org/10.1016/0144-2449(94)00042-Q&lt;/electronic-resource-num&gt;&lt;/record&gt;&lt;/Cite&gt;&lt;Cite&gt;&lt;Author&gt;Ghamami&lt;/Author&gt;&lt;Year&gt;1983&lt;/Year&gt;&lt;RecNum&gt;207&lt;/RecNum&gt;&lt;record&gt;&lt;rec-number&gt;207&lt;/rec-number&gt;&lt;foreign-keys&gt;&lt;key app="EN" db-id="59dvwrfdof9dw8exf0kvp0atwazsazeeffsp" timestamp="1677646646"&gt;207&lt;/key&gt;&lt;/foreign-keys&gt;&lt;ref-type name="Journal Article"&gt;17&lt;/ref-type&gt;&lt;contributors&gt;&lt;authors&gt;&lt;author&gt;Majid Ghamami&lt;/author&gt;&lt;author&gt;L.B. Sand&lt;/author&gt;&lt;/authors&gt;&lt;/contributors&gt;&lt;titles&gt;&lt;title&gt;Synthesis and crystal growth of zeolite (NH4, TPA)-ZSM-5&lt;/title&gt;&lt;secondary-title&gt;Zeolites&lt;/secondary-title&gt;&lt;/titles&gt;&lt;periodical&gt;&lt;full-title&gt;Zeolites&lt;/full-title&gt;&lt;/periodical&gt;&lt;pages&gt;155-162&lt;/pages&gt;&lt;volume&gt;3&lt;/volume&gt;&lt;number&gt;2&lt;/number&gt;&lt;dates&gt;&lt;year&gt;1983&lt;/year&gt;&lt;/dates&gt;&lt;urls&gt;&lt;/urls&gt;&lt;electronic-resource-num&gt;https://doi.org/10.1016/0144-2449(83)90205-1&lt;/electronic-resource-num&gt;&lt;/record&gt;&lt;/Cite&gt;&lt;/EndNote&gt;</w:instrText>
      </w:r>
      <w:r w:rsidRPr="00CC745D">
        <w:fldChar w:fldCharType="separate"/>
      </w:r>
      <w:r w:rsidR="00C54D4B">
        <w:rPr>
          <w:noProof/>
        </w:rPr>
        <w:t>[</w:t>
      </w:r>
      <w:hyperlink w:anchor="_ENREF_60" w:tooltip="Cundy, 1995 #206" w:history="1">
        <w:r w:rsidR="00D307FA">
          <w:rPr>
            <w:noProof/>
          </w:rPr>
          <w:t>60</w:t>
        </w:r>
      </w:hyperlink>
      <w:r w:rsidR="00C54D4B">
        <w:rPr>
          <w:noProof/>
        </w:rPr>
        <w:t xml:space="preserve">, </w:t>
      </w:r>
      <w:hyperlink w:anchor="_ENREF_61" w:tooltip="Ghamami, 1983 #207" w:history="1">
        <w:r w:rsidR="00D307FA">
          <w:rPr>
            <w:noProof/>
          </w:rPr>
          <w:t>61</w:t>
        </w:r>
      </w:hyperlink>
      <w:r w:rsidR="00C54D4B">
        <w:rPr>
          <w:noProof/>
        </w:rPr>
        <w:t>]</w:t>
      </w:r>
      <w:r w:rsidRPr="00CC745D">
        <w:fldChar w:fldCharType="end"/>
      </w:r>
      <w:r w:rsidRPr="00CC745D">
        <w:t xml:space="preserve">. Due to the positive charge in the center of this molecule and its placement within the intersection of the channels and cages of MFI, TPA+ can orient the Al atoms sitting at these positions, improving catalytic properties for some reactions </w:t>
      </w:r>
      <w:r w:rsidRPr="00CC745D">
        <w:fldChar w:fldCharType="begin"/>
      </w:r>
      <w:r w:rsidR="00C54D4B">
        <w:instrText xml:space="preserve"> ADDIN EN.CITE &lt;EndNote&gt;&lt;Cite&gt;&lt;Author&gt;Chawla&lt;/Author&gt;&lt;Year&gt;2018&lt;/Year&gt;&lt;RecNum&gt;208&lt;/RecNum&gt;&lt;DisplayText&gt;[62, 63]&lt;/DisplayText&gt;&lt;record&gt;&lt;rec-number&gt;208&lt;/rec-number&gt;&lt;foreign-keys&gt;&lt;key app="EN" db-id="59dvwrfdof9dw8exf0kvp0atwazsazeeffsp" timestamp="1677646818"&gt;208&lt;/key&gt;&lt;/foreign-keys&gt;&lt;ref-type name="Journal Article"&gt;17&lt;/ref-type&gt;&lt;contributors&gt;&lt;authors&gt;&lt;author&gt;Aseem Chawla&lt;/author&gt;&lt;author&gt;Rui Li&lt;/author&gt;&lt;author&gt;Rishabh Jain&lt;/author&gt;&lt;author&gt;R. John Clark&lt;/author&gt;&lt;author&gt;James G. Sutjianto&lt;/author&gt;&lt;author&gt;Jeremy C. Palmer&lt;/author&gt;&lt;author&gt;Jeffrey D. Rimer&lt;/author&gt;&lt;/authors&gt;&lt;/contributors&gt;&lt;titles&gt;&lt;title&gt;Cooperative effects of inorganic and organic structure-directing agents in ZSM-5 crystallization&lt;/title&gt;&lt;secondary-title&gt;Molecular Systems Design &amp;amp; Engineering&lt;/secondary-title&gt;&lt;/titles&gt;&lt;periodical&gt;&lt;full-title&gt;Molecular Systems Design &amp;amp; Engineering&lt;/full-title&gt;&lt;/periodical&gt;&lt;pages&gt;159-170&lt;/pages&gt;&lt;volume&gt;3&lt;/volume&gt;&lt;number&gt;1&lt;/number&gt;&lt;dates&gt;&lt;year&gt;2018&lt;/year&gt;&lt;/dates&gt;&lt;urls&gt;&lt;/urls&gt;&lt;electronic-resource-num&gt;https://doi.org/10.1039/C7ME00097A&lt;/electronic-resource-num&gt;&lt;/record&gt;&lt;/Cite&gt;&lt;Cite&gt;&lt;Author&gt;Liu&lt;/Author&gt;&lt;Year&gt;2019&lt;/Year&gt;&lt;RecNum&gt;209&lt;/RecNum&gt;&lt;record&gt;&lt;rec-number&gt;209&lt;/rec-number&gt;&lt;foreign-keys&gt;&lt;key app="EN" db-id="59dvwrfdof9dw8exf0kvp0atwazsazeeffsp" timestamp="1677646993"&gt;209&lt;/key&gt;&lt;/foreign-keys&gt;&lt;ref-type name="Journal Article"&gt;17&lt;/ref-type&gt;&lt;contributors&gt;&lt;authors&gt;&lt;author&gt;Hua Liu&lt;/author&gt;&lt;author&gt;Hui Wang&lt;/author&gt;&lt;author&gt;Ai-Hua Xing&lt;/author&gt;&lt;author&gt;Ji-Hong Cheng&lt;/author&gt;&lt;/authors&gt;&lt;/contributors&gt;&lt;titles&gt;&lt;title&gt;Effect of Al Distribution in MFI Framework Channels on the Catalytic Performance of Ethane and Ethylene Aromatization&lt;/title&gt;&lt;secondary-title&gt;Journal of Physical Chemistry C&lt;/secondary-title&gt;&lt;/titles&gt;&lt;periodical&gt;&lt;full-title&gt;Journal of Physical Chemistry C&lt;/full-title&gt;&lt;/periodical&gt;&lt;pages&gt;15637-15647&lt;/pages&gt;&lt;volume&gt;123&lt;/volume&gt;&lt;dates&gt;&lt;year&gt;2019&lt;/year&gt;&lt;/dates&gt;&lt;urls&gt;&lt;/urls&gt;&lt;electronic-resource-num&gt;https://doi.org/10.1021/acs.jpcc.9b03507&lt;/electronic-resource-num&gt;&lt;/record&gt;&lt;/Cite&gt;&lt;/EndNote&gt;</w:instrText>
      </w:r>
      <w:r w:rsidRPr="00CC745D">
        <w:fldChar w:fldCharType="separate"/>
      </w:r>
      <w:r w:rsidR="00C54D4B">
        <w:rPr>
          <w:noProof/>
        </w:rPr>
        <w:t>[</w:t>
      </w:r>
      <w:hyperlink w:anchor="_ENREF_62" w:tooltip="Chawla, 2018 #208" w:history="1">
        <w:r w:rsidR="00D307FA">
          <w:rPr>
            <w:noProof/>
          </w:rPr>
          <w:t>62</w:t>
        </w:r>
      </w:hyperlink>
      <w:r w:rsidR="00C54D4B">
        <w:rPr>
          <w:noProof/>
        </w:rPr>
        <w:t xml:space="preserve">, </w:t>
      </w:r>
      <w:hyperlink w:anchor="_ENREF_63" w:tooltip="Liu, 2019 #209" w:history="1">
        <w:r w:rsidR="00D307FA">
          <w:rPr>
            <w:noProof/>
          </w:rPr>
          <w:t>63</w:t>
        </w:r>
      </w:hyperlink>
      <w:r w:rsidR="00C54D4B">
        <w:rPr>
          <w:noProof/>
        </w:rPr>
        <w:t>]</w:t>
      </w:r>
      <w:r w:rsidRPr="00CC745D">
        <w:fldChar w:fldCharType="end"/>
      </w:r>
      <w:r w:rsidRPr="00CC745D">
        <w:t xml:space="preserve">. The use of inorganic salts can also guide the positioning of an acid site through the channels instead </w:t>
      </w:r>
      <w:r w:rsidRPr="00CC745D">
        <w:fldChar w:fldCharType="begin"/>
      </w:r>
      <w:r w:rsidR="00C54D4B">
        <w:instrText xml:space="preserve"> ADDIN EN.CITE &lt;EndNote&gt;&lt;Cite&gt;&lt;Author&gt;Yokoi&lt;/Author&gt;&lt;Year&gt;2017&lt;/Year&gt;&lt;RecNum&gt;210&lt;/RecNum&gt;&lt;DisplayText&gt;[64]&lt;/DisplayText&gt;&lt;record&gt;&lt;rec-number&gt;210&lt;/rec-number&gt;&lt;foreign-keys&gt;&lt;key app="EN" db-id="59dvwrfdof9dw8exf0kvp0atwazsazeeffsp" timestamp="1677647097"&gt;210&lt;/key&gt;&lt;/foreign-keys&gt;&lt;ref-type name="Journal Article"&gt;17&lt;/ref-type&gt;&lt;contributors&gt;&lt;authors&gt;&lt;author&gt;Toshiyuki Yokoi&lt;/author&gt;&lt;author&gt;Hiroshi Mochizuki&lt;/author&gt;&lt;author&gt;Turgen Biligetu&lt;/author&gt;&lt;author&gt;Yong Wang&lt;/author&gt;&lt;author&gt;Takashi Tatsumi&lt;/author&gt;&lt;/authors&gt;&lt;/contributors&gt;&lt;titles&gt;&lt;title&gt;Unique Al Distribution in the MFI Framework and Its Impact on Catalytic Properties&lt;/title&gt;&lt;secondary-title&gt;Chemistry Letters&lt;/secondary-title&gt;&lt;/titles&gt;&lt;periodical&gt;&lt;full-title&gt;Chemistry Letters&lt;/full-title&gt;&lt;/periodical&gt;&lt;pages&gt;798-800&lt;/pages&gt;&lt;volume&gt;46&lt;/volume&gt;&lt;number&gt;6&lt;/number&gt;&lt;dates&gt;&lt;year&gt;2017&lt;/year&gt;&lt;/dates&gt;&lt;urls&gt;&lt;/urls&gt;&lt;electronic-resource-num&gt;https://doi.org/10.1246/cl.170156&lt;/electronic-resource-num&gt;&lt;/record&gt;&lt;/Cite&gt;&lt;/EndNote&gt;</w:instrText>
      </w:r>
      <w:r w:rsidRPr="00CC745D">
        <w:fldChar w:fldCharType="separate"/>
      </w:r>
      <w:r w:rsidR="00C54D4B">
        <w:rPr>
          <w:noProof/>
        </w:rPr>
        <w:t>[</w:t>
      </w:r>
      <w:hyperlink w:anchor="_ENREF_64" w:tooltip="Yokoi, 2017 #210" w:history="1">
        <w:r w:rsidR="00D307FA">
          <w:rPr>
            <w:noProof/>
          </w:rPr>
          <w:t>64</w:t>
        </w:r>
      </w:hyperlink>
      <w:r w:rsidR="00C54D4B">
        <w:rPr>
          <w:noProof/>
        </w:rPr>
        <w:t>]</w:t>
      </w:r>
      <w:r w:rsidRPr="00CC745D">
        <w:fldChar w:fldCharType="end"/>
      </w:r>
      <w:r w:rsidRPr="00CC745D">
        <w:t xml:space="preserve">. This aluminum positioning allows only certain transition state conformations and is selective towards specific products </w:t>
      </w:r>
      <w:r w:rsidRPr="00CC745D">
        <w:fldChar w:fldCharType="begin"/>
      </w:r>
      <w:r w:rsidR="00C54D4B">
        <w:instrText xml:space="preserve"> ADDIN EN.CITE &lt;EndNote&gt;&lt;Cite&gt;&lt;Author&gt;Liu&lt;/Author&gt;&lt;Year&gt;2019&lt;/Year&gt;&lt;RecNum&gt;209&lt;/RecNum&gt;&lt;DisplayText&gt;[63]&lt;/DisplayText&gt;&lt;record&gt;&lt;rec-number&gt;209&lt;/rec-number&gt;&lt;foreign-keys&gt;&lt;key app="EN" db-id="59dvwrfdof9dw8exf0kvp0atwazsazeeffsp" timestamp="1677646993"&gt;209&lt;/key&gt;&lt;/foreign-keys&gt;&lt;ref-type name="Journal Article"&gt;17&lt;/ref-type&gt;&lt;contributors&gt;&lt;authors&gt;&lt;author&gt;Hua Liu&lt;/author&gt;&lt;author&gt;Hui Wang&lt;/author&gt;&lt;author&gt;Ai-Hua Xing&lt;/author&gt;&lt;author&gt;Ji-Hong Cheng&lt;/author&gt;&lt;/authors&gt;&lt;/contributors&gt;&lt;titles&gt;&lt;title&gt;Effect of Al Distribution in MFI Framework Channels on the Catalytic Performance of Ethane and Ethylene Aromatization&lt;/title&gt;&lt;secondary-title&gt;Journal of Physical Chemistry C&lt;/secondary-title&gt;&lt;/titles&gt;&lt;periodical&gt;&lt;full-title&gt;Journal of Physical Chemistry C&lt;/full-title&gt;&lt;/periodical&gt;&lt;pages&gt;15637-15647&lt;/pages&gt;&lt;volume&gt;123&lt;/volume&gt;&lt;dates&gt;&lt;year&gt;2019&lt;/year&gt;&lt;/dates&gt;&lt;urls&gt;&lt;/urls&gt;&lt;electronic-resource-num&gt;https://doi.org/10.1021/acs.jpcc.9b03507&lt;/electronic-resource-num&gt;&lt;/record&gt;&lt;/Cite&gt;&lt;/EndNote&gt;</w:instrText>
      </w:r>
      <w:r w:rsidRPr="00CC745D">
        <w:fldChar w:fldCharType="separate"/>
      </w:r>
      <w:r w:rsidR="00C54D4B">
        <w:rPr>
          <w:noProof/>
        </w:rPr>
        <w:t>[</w:t>
      </w:r>
      <w:hyperlink w:anchor="_ENREF_63" w:tooltip="Liu, 2019 #209" w:history="1">
        <w:r w:rsidR="00D307FA">
          <w:rPr>
            <w:noProof/>
          </w:rPr>
          <w:t>63</w:t>
        </w:r>
      </w:hyperlink>
      <w:r w:rsidR="00C54D4B">
        <w:rPr>
          <w:noProof/>
        </w:rPr>
        <w:t>]</w:t>
      </w:r>
      <w:r w:rsidRPr="00CC745D">
        <w:fldChar w:fldCharType="end"/>
      </w:r>
      <w:r w:rsidRPr="00CC745D">
        <w:t>.</w:t>
      </w:r>
    </w:p>
    <w:p w14:paraId="11F3EE89" w14:textId="32F4EC6D" w:rsidR="00CA0F0A" w:rsidRPr="00CC745D" w:rsidRDefault="00CA0F0A" w:rsidP="00A15F74">
      <w:pPr>
        <w:spacing w:line="480" w:lineRule="auto"/>
        <w:jc w:val="both"/>
      </w:pPr>
      <w:r w:rsidRPr="00CC745D">
        <w:tab/>
        <w:t xml:space="preserve">Another strong feature of MFI is its distinct confinement effect resulting from the constrained channels, leading to enhanced selectivity for certain types of reactions, such as </w:t>
      </w:r>
      <w:r w:rsidRPr="00CC745D">
        <w:lastRenderedPageBreak/>
        <w:t xml:space="preserve">the selective conversion of methanol to olefins (MTO) and the isomerization of bulky hydrocarbons in petrochemicals </w:t>
      </w:r>
      <w:r w:rsidRPr="00CC745D">
        <w:fldChar w:fldCharType="begin">
          <w:fldData xml:space="preserve">PEVuZE5vdGU+PENpdGU+PEF1dGhvcj5Hb3VuZGVyPC9BdXRob3I+PFllYXI+MjAxMjwvWWVhcj48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</w:fldData>
        </w:fldChar>
      </w:r>
      <w:r w:rsidR="00C54D4B">
        <w:instrText xml:space="preserve"> ADDIN EN.CITE </w:instrText>
      </w:r>
      <w:r w:rsidR="00C54D4B">
        <w:fldChar w:fldCharType="begin">
          <w:fldData xml:space="preserve">PEVuZE5vdGU+PENpdGU+PEF1dGhvcj5Hb3VuZGVyPC9BdXRob3I+PFllYXI+MjAxMjwvWWVhcj48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</w:fldData>
        </w:fldChar>
      </w:r>
      <w:r w:rsidR="00C54D4B">
        <w:instrText xml:space="preserve"> ADDIN EN.CITE.DATA </w:instrText>
      </w:r>
      <w:r w:rsidR="00C54D4B">
        <w:fldChar w:fldCharType="end"/>
      </w:r>
      <w:r w:rsidRPr="00CC745D">
        <w:fldChar w:fldCharType="separate"/>
      </w:r>
      <w:r w:rsidR="00C54D4B">
        <w:rPr>
          <w:noProof/>
        </w:rPr>
        <w:t>[</w:t>
      </w:r>
      <w:hyperlink w:anchor="_ENREF_65" w:tooltip="Gounder, 2012 #10" w:history="1">
        <w:r w:rsidR="00D307FA">
          <w:rPr>
            <w:noProof/>
          </w:rPr>
          <w:t>65-68</w:t>
        </w:r>
      </w:hyperlink>
      <w:r w:rsidR="00C54D4B">
        <w:rPr>
          <w:noProof/>
        </w:rPr>
        <w:t>]</w:t>
      </w:r>
      <w:r w:rsidRPr="00CC745D">
        <w:fldChar w:fldCharType="end"/>
      </w:r>
      <w:r w:rsidRPr="00CC745D">
        <w:t xml:space="preserve">. This is a consequence of limiting the mobility and orientation of the molecules in the transition state while stabilizing them through van der Waals interactions with atoms in the framework Structure </w:t>
      </w:r>
      <w:r w:rsidRPr="00CC745D">
        <w:fldChar w:fldCharType="begin">
          <w:fldData xml:space="preserve">PEVuZE5vdGU+PENpdGU+PEF1dGhvcj5Tb2xvbW9uczwvQXV0aG9yPjxZZWFyPjIwMDM8L1llYXI+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</w:fldData>
        </w:fldChar>
      </w:r>
      <w:r w:rsidR="00C54D4B">
        <w:instrText xml:space="preserve"> ADDIN EN.CITE </w:instrText>
      </w:r>
      <w:r w:rsidR="00C54D4B">
        <w:fldChar w:fldCharType="begin">
          <w:fldData xml:space="preserve">PEVuZE5vdGU+PENpdGU+PEF1dGhvcj5Tb2xvbW9uczwvQXV0aG9yPjxZZWFyPjIwMDM8L1llYXI+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</w:fldData>
        </w:fldChar>
      </w:r>
      <w:r w:rsidR="00C54D4B">
        <w:instrText xml:space="preserve"> ADDIN EN.CITE.DATA </w:instrText>
      </w:r>
      <w:r w:rsidR="00C54D4B">
        <w:fldChar w:fldCharType="end"/>
      </w:r>
      <w:r w:rsidRPr="00CC745D">
        <w:fldChar w:fldCharType="separate"/>
      </w:r>
      <w:r w:rsidR="00C54D4B">
        <w:rPr>
          <w:noProof/>
        </w:rPr>
        <w:t>[</w:t>
      </w:r>
      <w:hyperlink w:anchor="_ENREF_69" w:tooltip="Solomons, 2003 #24" w:history="1">
        <w:r w:rsidR="00D307FA">
          <w:rPr>
            <w:noProof/>
          </w:rPr>
          <w:t>69-71</w:t>
        </w:r>
      </w:hyperlink>
      <w:r w:rsidR="00C54D4B">
        <w:rPr>
          <w:noProof/>
        </w:rPr>
        <w:t>]</w:t>
      </w:r>
      <w:r w:rsidRPr="00CC745D">
        <w:fldChar w:fldCharType="end"/>
      </w:r>
      <w:r w:rsidRPr="00CC745D">
        <w:t>. Consequently, the confinement effect is an important factor that contributes to the high catalytic activity and selectivity of MFI.</w:t>
      </w:r>
    </w:p>
    <w:p w14:paraId="5612BBBC" w14:textId="453B2D08" w:rsidR="00CA0F0A" w:rsidRDefault="00CA0F0A" w:rsidP="00BD6521">
      <w:pPr>
        <w:spacing w:line="480" w:lineRule="auto"/>
        <w:jc w:val="both"/>
      </w:pPr>
      <w:r w:rsidRPr="00CC745D">
        <w:tab/>
        <w:t xml:space="preserve">The unique properties of zeolites make them valuable materials that require continuous research focused on developing experimental approaches to modify existing </w:t>
      </w:r>
      <w:r w:rsidR="004543BA" w:rsidRPr="00CC745D">
        <w:t>structures</w:t>
      </w:r>
      <w:r w:rsidRPr="00CC745D">
        <w:t xml:space="preserve"> to further enhance their adsorption and catalytic properties.</w:t>
      </w:r>
    </w:p>
    <w:p w14:paraId="09B1B04B" w14:textId="77777777" w:rsidR="00A23CC3" w:rsidRPr="00CC745D" w:rsidRDefault="00A23CC3" w:rsidP="00BD6521">
      <w:pPr>
        <w:spacing w:line="480" w:lineRule="auto"/>
        <w:jc w:val="both"/>
      </w:pPr>
    </w:p>
    <w:p w14:paraId="27B8FD74" w14:textId="4216FDB0" w:rsidR="00CA0F0A" w:rsidRPr="00AB652F" w:rsidRDefault="00CA0F0A" w:rsidP="006C316F">
      <w:pPr>
        <w:pStyle w:val="Heading2"/>
        <w:rPr>
          <w:i w:val="0"/>
          <w:iCs/>
          <w:sz w:val="28"/>
          <w:szCs w:val="28"/>
        </w:rPr>
      </w:pPr>
      <w:bookmarkStart w:id="14" w:name="_Toc132924179"/>
      <w:r w:rsidRPr="00AB652F">
        <w:rPr>
          <w:i w:val="0"/>
          <w:iCs/>
          <w:sz w:val="28"/>
          <w:szCs w:val="28"/>
        </w:rPr>
        <w:t>1.3 Diffusion Concepts on Porous Catalysts and its Importance on Catalyst Studies</w:t>
      </w:r>
      <w:bookmarkEnd w:id="14"/>
    </w:p>
    <w:p w14:paraId="7EE02307" w14:textId="13DDBC03" w:rsidR="00CA0F0A" w:rsidRPr="00CC745D" w:rsidRDefault="00CA0F0A" w:rsidP="00BD6521">
      <w:pPr>
        <w:spacing w:line="480" w:lineRule="auto"/>
        <w:jc w:val="both"/>
      </w:pPr>
      <w:r>
        <w:tab/>
      </w:r>
      <w:r w:rsidRPr="00CC745D">
        <w:t xml:space="preserve">In addition to the materials and reaction concepts presented, molecules diffusion inside porous systems is also necessary for the development of this study. Diffusion refers to the natural process of molecules transport from an area of high abundance of particles to a lower concentrated one aiming a more homogenous distribution along the control volume </w:t>
      </w:r>
      <w:r w:rsidRPr="00CC745D">
        <w:fldChar w:fldCharType="begin"/>
      </w:r>
      <w:r w:rsidR="00C54D4B">
        <w:instrText xml:space="preserve"> ADDIN EN.CITE &lt;EndNote&gt;&lt;Cite&gt;&lt;Author&gt;Chongfu&lt;/Author&gt;&lt;Year&gt;1997&lt;/Year&gt;&lt;RecNum&gt;212&lt;/RecNum&gt;&lt;DisplayText&gt;[72, 73]&lt;/DisplayText&gt;&lt;record&gt;&lt;rec-number&gt;212&lt;/rec-number&gt;&lt;foreign-keys&gt;&lt;key app="EN" db-id="59dvwrfdof9dw8exf0kvp0atwazsazeeffsp" timestamp="1677711038"&gt;212&lt;/key&gt;&lt;/foreign-keys&gt;&lt;ref-type name="Journal Article"&gt;17&lt;/ref-type&gt;&lt;contributors&gt;&lt;authors&gt;&lt;author&gt;Huang Chongfu&lt;/author&gt;&lt;/authors&gt;&lt;/contributors&gt;&lt;titles&gt;&lt;title&gt;Principle of information diffusion&lt;/title&gt;&lt;secondary-title&gt;Fuzzy Sets and Systems&lt;/secondary-title&gt;&lt;/titles&gt;&lt;periodical&gt;&lt;full-title&gt;Fuzzy Sets and Systems&lt;/full-title&gt;&lt;/periodical&gt;&lt;pages&gt;69-90&lt;/pages&gt;&lt;volume&gt;91&lt;/volume&gt;&lt;number&gt;1&lt;/number&gt;&lt;dates&gt;&lt;year&gt;1997&lt;/year&gt;&lt;/dates&gt;&lt;urls&gt;&lt;/urls&gt;&lt;electronic-resource-num&gt;https://doi.org/10.1016/S0165-0114(96)00257-6&lt;/electronic-resource-num&gt;&lt;/record&gt;&lt;/Cite&gt;&lt;Cite&gt;&lt;Author&gt;Fick&lt;/Author&gt;&lt;Year&gt;1855&lt;/Year&gt;&lt;RecNum&gt;23&lt;/RecNum&gt;&lt;record&gt;&lt;rec-number&gt;23&lt;/rec-number&gt;&lt;foreign-keys&gt;&lt;key app="EN" db-id="59dvwrfdof9dw8exf0kvp0atwazsazeeffsp" timestamp="1671314326"&gt;23&lt;/key&gt;&lt;/foreign-keys&gt;&lt;ref-type name="Journal Article"&gt;17&lt;/ref-type&gt;&lt;contributors&gt;&lt;authors&gt;&lt;author&gt;Adolf Fick&lt;/author&gt;&lt;/authors&gt;&lt;/contributors&gt;&lt;titles&gt;&lt;title&gt;Ueber Diffusion&lt;/title&gt;&lt;secondary-title&gt;Annalen der Physik&lt;/secondary-title&gt;&lt;/titles&gt;&lt;periodical&gt;&lt;full-title&gt;Annalen der Physik&lt;/full-title&gt;&lt;/periodical&gt;&lt;pages&gt;59-86&lt;/pages&gt;&lt;volume&gt;170&lt;/volume&gt;&lt;number&gt;1&lt;/number&gt;&lt;dates&gt;&lt;year&gt;1855&lt;/year&gt;&lt;/dates&gt;&lt;urls&gt;&lt;/urls&gt;&lt;electronic-resource-num&gt;https://doi.org/10.1002/andp.18551700105&lt;/electronic-resource-num&gt;&lt;/record&gt;&lt;/Cite&gt;&lt;/EndNote&gt;</w:instrText>
      </w:r>
      <w:r w:rsidRPr="00CC745D">
        <w:fldChar w:fldCharType="separate"/>
      </w:r>
      <w:r w:rsidR="00C54D4B">
        <w:rPr>
          <w:noProof/>
        </w:rPr>
        <w:t>[</w:t>
      </w:r>
      <w:hyperlink w:anchor="_ENREF_72" w:tooltip="Chongfu, 1997 #212" w:history="1">
        <w:r w:rsidR="00D307FA">
          <w:rPr>
            <w:noProof/>
          </w:rPr>
          <w:t>72</w:t>
        </w:r>
      </w:hyperlink>
      <w:r w:rsidR="00C54D4B">
        <w:rPr>
          <w:noProof/>
        </w:rPr>
        <w:t xml:space="preserve">, </w:t>
      </w:r>
      <w:hyperlink w:anchor="_ENREF_73" w:tooltip="Fick, 1855 #23" w:history="1">
        <w:r w:rsidR="00D307FA">
          <w:rPr>
            <w:noProof/>
          </w:rPr>
          <w:t>73</w:t>
        </w:r>
      </w:hyperlink>
      <w:r w:rsidR="00C54D4B">
        <w:rPr>
          <w:noProof/>
        </w:rPr>
        <w:t>]</w:t>
      </w:r>
      <w:r w:rsidRPr="00CC745D">
        <w:fldChar w:fldCharType="end"/>
      </w:r>
      <w:r w:rsidRPr="00CC745D">
        <w:t>. This phenomenon is key to catalysis studies once the contact between the reactant and the reacting agent (catalyst) must happen for the reaction to occur. If one can control the rate in which these collisions happen, then one will be able to dictate the rate and the outcomes of a reaction.</w:t>
      </w:r>
    </w:p>
    <w:p w14:paraId="77ACC637" w14:textId="2B764E89" w:rsidR="00CA0F0A" w:rsidRPr="00CC745D" w:rsidRDefault="00CA0F0A" w:rsidP="00A15F74">
      <w:pPr>
        <w:spacing w:line="480" w:lineRule="auto"/>
        <w:jc w:val="both"/>
      </w:pPr>
      <w:r w:rsidRPr="00CC745D">
        <w:tab/>
        <w:t xml:space="preserve">Heterogenous catalysis is characterized by the difference phase between the reacting species (liquid or gas phase) and the catalyst (solid phase). The catalyst solid material is composed of a large surface area in which the reacting species diffuse through </w:t>
      </w:r>
      <w:r w:rsidRPr="00CC745D">
        <w:lastRenderedPageBreak/>
        <w:t xml:space="preserve">to adsorb and thus react. In the case of zeolites, the reaction sites are predominantly concentrated inside the porous framework of the catalyst particle demanding reactants diffusion for reacting. However, the limited space created by the porosity environment can cause molecules to encounter difficulties in the transport process, these are known as diffusion or mass-transport limitations </w:t>
      </w:r>
      <w:r w:rsidRPr="00CC745D">
        <w:fldChar w:fldCharType="begin">
          <w:fldData xml:space="preserve">PEVuZE5vdGU+PENpdGU+PEF1dGhvcj5DYW88L0F1dGhvcj48WWVhcj4yMDIwPC9ZZWFyPjxSZWNO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</w:fldData>
        </w:fldChar>
      </w:r>
      <w:r w:rsidR="00C54D4B">
        <w:instrText xml:space="preserve"> ADDIN EN.CITE </w:instrText>
      </w:r>
      <w:r w:rsidR="00C54D4B">
        <w:fldChar w:fldCharType="begin">
          <w:fldData xml:space="preserve">PEVuZE5vdGU+PENpdGU+PEF1dGhvcj5DYW88L0F1dGhvcj48WWVhcj4yMDIwPC9ZZWFyPjxSZWNO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</w:fldData>
        </w:fldChar>
      </w:r>
      <w:r w:rsidR="00C54D4B">
        <w:instrText xml:space="preserve"> ADDIN EN.CITE.DATA </w:instrText>
      </w:r>
      <w:r w:rsidR="00C54D4B">
        <w:fldChar w:fldCharType="end"/>
      </w:r>
      <w:r w:rsidRPr="00CC745D">
        <w:fldChar w:fldCharType="separate"/>
      </w:r>
      <w:r w:rsidR="00C54D4B">
        <w:rPr>
          <w:noProof/>
        </w:rPr>
        <w:t>[</w:t>
      </w:r>
      <w:hyperlink w:anchor="_ENREF_34" w:tooltip="Corma, 2003 #190" w:history="1">
        <w:r w:rsidR="00D307FA">
          <w:rPr>
            <w:noProof/>
          </w:rPr>
          <w:t>34</w:t>
        </w:r>
      </w:hyperlink>
      <w:r w:rsidR="00C54D4B">
        <w:rPr>
          <w:noProof/>
        </w:rPr>
        <w:t xml:space="preserve">, </w:t>
      </w:r>
      <w:hyperlink w:anchor="_ENREF_74" w:tooltip="Cao, 2020 #213" w:history="1">
        <w:r w:rsidR="00D307FA">
          <w:rPr>
            <w:noProof/>
          </w:rPr>
          <w:t>74</w:t>
        </w:r>
      </w:hyperlink>
      <w:r w:rsidR="00C54D4B">
        <w:rPr>
          <w:noProof/>
        </w:rPr>
        <w:t xml:space="preserve">, </w:t>
      </w:r>
      <w:hyperlink w:anchor="_ENREF_75" w:tooltip="OLSON, 1984 #214" w:history="1">
        <w:r w:rsidR="00D307FA">
          <w:rPr>
            <w:noProof/>
          </w:rPr>
          <w:t>75</w:t>
        </w:r>
      </w:hyperlink>
      <w:r w:rsidR="00C54D4B">
        <w:rPr>
          <w:noProof/>
        </w:rPr>
        <w:t>]</w:t>
      </w:r>
      <w:r w:rsidRPr="00CC745D">
        <w:fldChar w:fldCharType="end"/>
      </w:r>
      <w:r w:rsidRPr="00CC745D">
        <w:t xml:space="preserve">. Such limitations directly affect the system </w:t>
      </w:r>
      <w:r w:rsidR="0075227B" w:rsidRPr="00CC745D">
        <w:t>performance</w:t>
      </w:r>
      <w:r w:rsidRPr="00CC745D">
        <w:t xml:space="preserve"> overall for having a heterogenous reactant distribution along the catalyst volume and becoming rate-limiting.</w:t>
      </w:r>
    </w:p>
    <w:p w14:paraId="3A3D23CB" w14:textId="400C1512" w:rsidR="00CA0F0A" w:rsidRPr="00CC745D" w:rsidRDefault="00CA0F0A" w:rsidP="00A15F74">
      <w:pPr>
        <w:spacing w:line="480" w:lineRule="auto"/>
        <w:jc w:val="both"/>
      </w:pPr>
      <w:r w:rsidRPr="00CC745D">
        <w:tab/>
        <w:t xml:space="preserve">Two types of diffusional limitations can be encountered in heterogenous catalysis </w:t>
      </w:r>
      <w:r w:rsidRPr="00CC745D">
        <w:fldChar w:fldCharType="begin"/>
      </w:r>
      <w:r w:rsidR="00C54D4B">
        <w:instrText xml:space="preserve"> ADDIN EN.CITE &lt;EndNote&gt;&lt;Cite&gt;&lt;Author&gt;Fogler&lt;/Author&gt;&lt;Year&gt;2016&lt;/Year&gt;&lt;RecNum&gt;14&lt;/RecNum&gt;&lt;DisplayText&gt;[76]&lt;/DisplayText&gt;&lt;record&gt;&lt;rec-number&gt;14&lt;/rec-number&gt;&lt;foreign-keys&gt;&lt;key app="EN" db-id="59dvwrfdof9dw8exf0kvp0atwazsazeeffsp" timestamp="1667539159"&gt;14&lt;/key&gt;&lt;/foreign-keys&gt;&lt;ref-type name="Book"&gt;6&lt;/ref-type&gt;&lt;contributors&gt;&lt;authors&gt;&lt;author&gt;H. Scott Fogler&lt;/author&gt;&lt;/authors&gt;&lt;/contributors&gt;&lt;titles&gt;&lt;title&gt;Elements of Chemical Reaction Engineering&lt;/title&gt;&lt;/titles&gt;&lt;pages&gt;957&lt;/pages&gt;&lt;dates&gt;&lt;year&gt;2016&lt;/year&gt;&lt;/dates&gt;&lt;publisher&gt;Pearson&lt;/publisher&gt;&lt;urls&gt;&lt;/urls&gt;&lt;/record&gt;&lt;/Cite&gt;&lt;/EndNote&gt;</w:instrText>
      </w:r>
      <w:r w:rsidRPr="00CC745D">
        <w:fldChar w:fldCharType="separate"/>
      </w:r>
      <w:r w:rsidR="00C54D4B">
        <w:rPr>
          <w:noProof/>
        </w:rPr>
        <w:t>[</w:t>
      </w:r>
      <w:hyperlink w:anchor="_ENREF_76" w:tooltip="Fogler, 2016 #14" w:history="1">
        <w:r w:rsidR="00D307FA">
          <w:rPr>
            <w:noProof/>
          </w:rPr>
          <w:t>76</w:t>
        </w:r>
      </w:hyperlink>
      <w:r w:rsidR="00C54D4B">
        <w:rPr>
          <w:noProof/>
        </w:rPr>
        <w:t>]</w:t>
      </w:r>
      <w:r w:rsidRPr="00CC745D">
        <w:fldChar w:fldCharType="end"/>
      </w:r>
      <w:r w:rsidRPr="00CC745D">
        <w:t>:</w:t>
      </w:r>
    </w:p>
    <w:p w14:paraId="5692E74E" w14:textId="6F963A56" w:rsidR="00CA0F0A" w:rsidRDefault="00CA0F0A" w:rsidP="00A15F74">
      <w:pPr>
        <w:pStyle w:val="ListParagraph"/>
        <w:numPr>
          <w:ilvl w:val="0"/>
          <w:numId w:val="1"/>
        </w:numPr>
        <w:spacing w:after="160" w:line="480" w:lineRule="auto"/>
        <w:jc w:val="both"/>
      </w:pPr>
      <w:r w:rsidRPr="00CC745D">
        <w:t xml:space="preserve">External diffusion limitations: defined as the difference in reactant concentration between the bulk phase and the outer reacting surface, caused by a flow resistance from that catalyst particle. Usually, this resistance occurs when flow and-or stirring conditions are insufficient enough to guarantee a concentration gradient between the phases. If a system becomes externally diffusion limited, increasing the gas-phase velocity, or the stirring speed of a reactor tank, or decreasing the particle size are ways to reduce transport limitations effects </w:t>
      </w:r>
      <w:r w:rsidRPr="00CC745D">
        <w:fldChar w:fldCharType="begin"/>
      </w:r>
      <w:r w:rsidR="00C54D4B">
        <w:instrText xml:space="preserve"> ADDIN EN.CITE &lt;EndNote&gt;&lt;Cite&gt;&lt;Author&gt;Wulfers&lt;/Author&gt;&lt;Year&gt;2015&lt;/Year&gt;&lt;RecNum&gt;215&lt;/RecNum&gt;&lt;DisplayText&gt;[77]&lt;/DisplayText&gt;&lt;record&gt;&lt;rec-number&gt;215&lt;/rec-number&gt;&lt;foreign-keys&gt;&lt;key app="EN" db-id="59dvwrfdof9dw8exf0kvp0atwazsazeeffsp" timestamp="1677712395"&gt;215&lt;/key&gt;&lt;/foreign-keys&gt;&lt;ref-type name="Journal Article"&gt;17&lt;/ref-type&gt;&lt;contributors&gt;&lt;authors&gt;&lt;author&gt;Matthew J. Wulfers&lt;/author&gt;&lt;author&gt;Raul F. Lobo&lt;/author&gt;&lt;/authors&gt;&lt;/contributors&gt;&lt;titles&gt;&lt;title&gt;Assessment of mass transfer limitations in oligomerization of butene at high pressure on H-beta&lt;/title&gt;&lt;secondary-title&gt;Applied Catalysis A: General&lt;/secondary-title&gt;&lt;/titles&gt;&lt;periodical&gt;&lt;full-title&gt;Applied Catalysis A: General&lt;/full-title&gt;&lt;/periodical&gt;&lt;pages&gt;394-401&lt;/pages&gt;&lt;volume&gt;505&lt;/volume&gt;&lt;dates&gt;&lt;year&gt;2015&lt;/year&gt;&lt;/dates&gt;&lt;urls&gt;&lt;/urls&gt;&lt;electronic-resource-num&gt;https://doi.org/10.1016/j.apcata.2015.08.016&lt;/electronic-resource-num&gt;&lt;/record&gt;&lt;/Cite&gt;&lt;/EndNote&gt;</w:instrText>
      </w:r>
      <w:r w:rsidRPr="00CC745D">
        <w:fldChar w:fldCharType="separate"/>
      </w:r>
      <w:r w:rsidR="00C54D4B">
        <w:rPr>
          <w:noProof/>
        </w:rPr>
        <w:t>[</w:t>
      </w:r>
      <w:hyperlink w:anchor="_ENREF_77" w:tooltip="Wulfers, 2015 #215" w:history="1">
        <w:r w:rsidR="00D307FA">
          <w:rPr>
            <w:noProof/>
          </w:rPr>
          <w:t>77</w:t>
        </w:r>
      </w:hyperlink>
      <w:r w:rsidR="00C54D4B">
        <w:rPr>
          <w:noProof/>
        </w:rPr>
        <w:t>]</w:t>
      </w:r>
      <w:r w:rsidRPr="00CC745D">
        <w:fldChar w:fldCharType="end"/>
      </w:r>
      <w:r w:rsidRPr="00CC745D">
        <w:t>. Because of that, mitigating its effect is relatively accessible as compared to internal diffusion limitations.</w:t>
      </w:r>
    </w:p>
    <w:p w14:paraId="5CC07CE4" w14:textId="77777777" w:rsidR="00CA0F0A" w:rsidRDefault="00CA0F0A" w:rsidP="00A15F74">
      <w:pPr>
        <w:pStyle w:val="ListParagraph"/>
        <w:spacing w:line="480" w:lineRule="auto"/>
        <w:jc w:val="both"/>
      </w:pPr>
    </w:p>
    <w:p w14:paraId="5F8423B3" w14:textId="79C3F799" w:rsidR="00CA0F0A" w:rsidRPr="00CC745D" w:rsidRDefault="00CA0F0A" w:rsidP="00A15F74">
      <w:pPr>
        <w:pStyle w:val="ListParagraph"/>
        <w:numPr>
          <w:ilvl w:val="0"/>
          <w:numId w:val="1"/>
        </w:numPr>
        <w:spacing w:after="160" w:line="480" w:lineRule="auto"/>
        <w:jc w:val="both"/>
      </w:pPr>
      <w:r w:rsidRPr="00CC745D">
        <w:t xml:space="preserve">Internal diffusion limitations: characterized by low diffusivity of reactants inside the catalyst pores, it is derivative from either a small aperture of that zeolite pore or large size of the reacting species. Here, the reactant concentration in the outer surface of the particle is higher than that found in the particle center, exposing internal sites to different concentrations, and reporting a reaction rate that is actually </w:t>
      </w:r>
      <w:r w:rsidRPr="00CC745D">
        <w:lastRenderedPageBreak/>
        <w:t xml:space="preserve">an average rate throughout the catalyst. In kinetic studies such events disturb the results and lead to inaccurate interpretations. Once this restraint is caused by the intrinsic properties of the catalyst and the molecules, diminishing it is complex and requires robust study. Yet, efforts have focused on the generation of mesoporosity in the catalyst particle or experimental synthesis approaches to obtain nanosized particles, which directly ties into the diffusion path of a reacting specie </w:t>
      </w:r>
      <w:r w:rsidRPr="00CC745D">
        <w:fldChar w:fldCharType="begin"/>
      </w:r>
      <w:r w:rsidR="00C54D4B">
        <w:instrText xml:space="preserve"> ADDIN EN.CITE &lt;EndNote&gt;&lt;Cite&gt;&lt;Author&gt;Tromp&lt;/Author&gt;&lt;Year&gt;2000&lt;/Year&gt;&lt;RecNum&gt;217&lt;/RecNum&gt;&lt;DisplayText&gt;[78, 79]&lt;/DisplayText&gt;&lt;record&gt;&lt;rec-number&gt;217&lt;/rec-number&gt;&lt;foreign-keys&gt;&lt;key app="EN" db-id="59dvwrfdof9dw8exf0kvp0atwazsazeeffsp" timestamp="1677713981"&gt;217&lt;/key&gt;&lt;/foreign-keys&gt;&lt;ref-type name="Journal Article"&gt;17&lt;/ref-type&gt;&lt;contributors&gt;&lt;authors&gt;&lt;author&gt;M. Tromp&lt;/author&gt;&lt;author&gt;J.A. van Bokhoven&lt;/author&gt;&lt;author&gt;M.T. Garriga Oostenbrink&lt;/author&gt;&lt;author&gt;J.H. Bitter&lt;/author&gt;&lt;author&gt;K.P. de Jong&lt;/author&gt;&lt;author&gt;D.C. Koningsberger&lt;/author&gt;&lt;/authors&gt;&lt;/contributors&gt;&lt;titles&gt;&lt;title&gt;Influence of the Generation of Mesopores on the Hydroisomerization Activity and Selectivity of n-Hexane over Pt/Mordenite&lt;/title&gt;&lt;secondary-title&gt;Journal of Catalysis&lt;/secondary-title&gt;&lt;/titles&gt;&lt;periodical&gt;&lt;full-title&gt;Journal of Catalysis&lt;/full-title&gt;&lt;/periodical&gt;&lt;pages&gt;209-214&lt;/pages&gt;&lt;volume&gt;190&lt;/volume&gt;&lt;number&gt;2&lt;/number&gt;&lt;dates&gt;&lt;year&gt;2000&lt;/year&gt;&lt;/dates&gt;&lt;urls&gt;&lt;/urls&gt;&lt;electronic-resource-num&gt;https://doi.org/10.1006/jcat.1999.2778&lt;/electronic-resource-num&gt;&lt;/record&gt;&lt;/Cite&gt;&lt;Cite&gt;&lt;Author&gt;Sun&lt;/Author&gt;&lt;Year&gt;2015&lt;/Year&gt;&lt;RecNum&gt;216&lt;/RecNum&gt;&lt;record&gt;&lt;rec-number&gt;216&lt;/rec-number&gt;&lt;foreign-keys&gt;&lt;key app="EN" db-id="59dvwrfdof9dw8exf0kvp0atwazsazeeffsp" timestamp="1677713453"&gt;216&lt;/key&gt;&lt;/foreign-keys&gt;&lt;ref-type name="Journal Article"&gt;17&lt;/ref-type&gt;&lt;contributors&gt;&lt;authors&gt;&lt;author&gt;Kaian Sun&lt;/author&gt;&lt;author&gt;Jie Lu&lt;/author&gt;&lt;author&gt;Lingling Ma&lt;/author&gt;&lt;author&gt;Ying Han&lt;/author&gt;&lt;author&gt;Zhongjun Fu&lt;/author&gt;&lt;author&gt;Jincheng Ding&lt;/author&gt;&lt;/authors&gt;&lt;/contributors&gt;&lt;titles&gt;&lt;title&gt;A comparative study on the catalytic performance of different types of zeolites for biodiesel production&lt;/title&gt;&lt;secondary-title&gt;Fuel&lt;/secondary-title&gt;&lt;/titles&gt;&lt;periodical&gt;&lt;full-title&gt;Fuel&lt;/full-title&gt;&lt;/periodical&gt;&lt;pages&gt;848-854&lt;/pages&gt;&lt;volume&gt;158&lt;/volume&gt;&lt;dates&gt;&lt;year&gt;2015&lt;/year&gt;&lt;/dates&gt;&lt;urls&gt;&lt;/urls&gt;&lt;electronic-resource-num&gt;https://doi.org/10.1016/j.fuel.2015.06.048&lt;/electronic-resource-num&gt;&lt;/record&gt;&lt;/Cite&gt;&lt;/EndNote&gt;</w:instrText>
      </w:r>
      <w:r w:rsidRPr="00CC745D">
        <w:fldChar w:fldCharType="separate"/>
      </w:r>
      <w:r w:rsidR="00C54D4B">
        <w:rPr>
          <w:noProof/>
        </w:rPr>
        <w:t>[</w:t>
      </w:r>
      <w:hyperlink w:anchor="_ENREF_78" w:tooltip="Tromp, 2000 #217" w:history="1">
        <w:r w:rsidR="00D307FA">
          <w:rPr>
            <w:noProof/>
          </w:rPr>
          <w:t>78</w:t>
        </w:r>
      </w:hyperlink>
      <w:r w:rsidR="00C54D4B">
        <w:rPr>
          <w:noProof/>
        </w:rPr>
        <w:t xml:space="preserve">, </w:t>
      </w:r>
      <w:hyperlink w:anchor="_ENREF_79" w:tooltip="Sun, 2015 #216" w:history="1">
        <w:r w:rsidR="00D307FA">
          <w:rPr>
            <w:noProof/>
          </w:rPr>
          <w:t>79</w:t>
        </w:r>
      </w:hyperlink>
      <w:r w:rsidR="00C54D4B">
        <w:rPr>
          <w:noProof/>
        </w:rPr>
        <w:t>]</w:t>
      </w:r>
      <w:r w:rsidRPr="00CC745D">
        <w:fldChar w:fldCharType="end"/>
      </w:r>
      <w:r w:rsidRPr="00CC745D">
        <w:t>.</w:t>
      </w:r>
    </w:p>
    <w:p w14:paraId="0D909E46" w14:textId="0810ABA9" w:rsidR="00BD6521" w:rsidRPr="004F6BA2" w:rsidRDefault="00CA0F0A" w:rsidP="004F6BA2">
      <w:pPr>
        <w:spacing w:line="480" w:lineRule="auto"/>
        <w:jc w:val="both"/>
      </w:pPr>
      <w:r w:rsidRPr="00CC745D">
        <w:tab/>
        <w:t>Then, when a system becomes mass transfer limited the overall catalytic rate reflects the aspects of the molecules diffusion inside the catalyst particle, being influence by operational factors (e.g., flow velocity, reactant concentration, temperature, pressure, and others) as well as catalyst characteristics (e.g., pore size and geometry, catalyst particle size and shape). In general, the study of diffusion limitations in zeolites is essential for continuous improvement of the design and performance of zeolite catalysts, as well as advancing our understanding of complex chemical reactions in confined spaces.</w:t>
      </w:r>
    </w:p>
    <w:p w14:paraId="676FBA84" w14:textId="6A6413B2" w:rsidR="00CA0F0A" w:rsidRPr="000C0C64" w:rsidRDefault="00CA0F0A" w:rsidP="006C316F">
      <w:pPr>
        <w:pStyle w:val="Heading3"/>
        <w:rPr>
          <w:u w:val="single"/>
        </w:rPr>
      </w:pPr>
      <w:bookmarkStart w:id="15" w:name="_Toc132924180"/>
      <w:r w:rsidRPr="000C0C64">
        <w:rPr>
          <w:u w:val="single"/>
        </w:rPr>
        <w:t>Internal Diffusion Limitations Studies in Zeolites</w:t>
      </w:r>
      <w:bookmarkEnd w:id="15"/>
    </w:p>
    <w:p w14:paraId="445346E6" w14:textId="595D291E" w:rsidR="00CA0F0A" w:rsidRPr="00CC745D" w:rsidRDefault="00CA0F0A" w:rsidP="00BD6521">
      <w:pPr>
        <w:spacing w:line="480" w:lineRule="auto"/>
        <w:jc w:val="both"/>
      </w:pPr>
      <w:r w:rsidRPr="00CC745D">
        <w:tab/>
        <w:t xml:space="preserve">The assessment of diffusion limitations in zeolites could be performed through many types of experimental approaches: (i) in-situ spectroscopy analysis, using infrared (IR) or Raman to observe molecules adsorption and desorption over zeolite surfaces </w:t>
      </w:r>
      <w:r w:rsidRPr="00CC745D">
        <w:fldChar w:fldCharType="begin">
          <w:fldData xml:space="preserve">PEVuZE5vdGU+PENpdGU+PEF1dGhvcj5LYXJnZTwvQXV0aG9yPjxZZWFyPjE5OTE8L1llYXI+PFJl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</w:fldData>
        </w:fldChar>
      </w:r>
      <w:r w:rsidR="00C54D4B">
        <w:instrText xml:space="preserve"> ADDIN EN.CITE </w:instrText>
      </w:r>
      <w:r w:rsidR="00C54D4B">
        <w:fldChar w:fldCharType="begin">
          <w:fldData xml:space="preserve">PEVuZE5vdGU+PENpdGU+PEF1dGhvcj5LYXJnZTwvQXV0aG9yPjxZZWFyPjE5OTE8L1llYXI+PFJl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</w:fldData>
        </w:fldChar>
      </w:r>
      <w:r w:rsidR="00C54D4B">
        <w:instrText xml:space="preserve"> ADDIN EN.CITE.DATA </w:instrText>
      </w:r>
      <w:r w:rsidR="00C54D4B">
        <w:fldChar w:fldCharType="end"/>
      </w:r>
      <w:r w:rsidRPr="00CC745D">
        <w:fldChar w:fldCharType="separate"/>
      </w:r>
      <w:r w:rsidR="00C54D4B">
        <w:rPr>
          <w:noProof/>
        </w:rPr>
        <w:t>[</w:t>
      </w:r>
      <w:hyperlink w:anchor="_ENREF_80" w:tooltip="Karge, 1991 #230" w:history="1">
        <w:r w:rsidR="00D307FA">
          <w:rPr>
            <w:noProof/>
          </w:rPr>
          <w:t>80-82</w:t>
        </w:r>
      </w:hyperlink>
      <w:r w:rsidR="00C54D4B">
        <w:rPr>
          <w:noProof/>
        </w:rPr>
        <w:t>]</w:t>
      </w:r>
      <w:r w:rsidRPr="00CC745D">
        <w:fldChar w:fldCharType="end"/>
      </w:r>
      <w:r w:rsidRPr="00CC745D">
        <w:t xml:space="preserve">; (ii) pulse-response experiments, through regular injection intervals of a studied specie over the sample and monitor the concentration profile as it reaches equilibrium </w:t>
      </w:r>
      <w:r w:rsidRPr="00CC745D">
        <w:fldChar w:fldCharType="begin"/>
      </w:r>
      <w:r w:rsidR="00C54D4B">
        <w:instrText xml:space="preserve"> ADDIN EN.CITE &lt;EndNote&gt;&lt;Cite&gt;&lt;Author&gt;Cnudde&lt;/Author&gt;&lt;Year&gt;2021&lt;/Year&gt;&lt;RecNum&gt;233&lt;/RecNum&gt;&lt;DisplayText&gt;[83]&lt;/DisplayText&gt;&lt;record&gt;&lt;rec-number&gt;233&lt;/rec-number&gt;&lt;foreign-keys&gt;&lt;key app="EN" db-id="59dvwrfdof9dw8exf0kvp0atwazsazeeffsp" timestamp="1678072509"&gt;233&lt;/key&gt;&lt;/foreign-keys&gt;&lt;ref-type name="Journal Article"&gt;17&lt;/ref-type&gt;&lt;contributors&gt;&lt;authors&gt;&lt;author&gt;Pieter Cnudde&lt;/author&gt;&lt;author&gt;Evgeniy A. Redekop&lt;/author&gt;&lt;author&gt;Weili Dai&lt;/author&gt;&lt;author&gt;Natale G. Porcaro&lt;/author&gt;&lt;author&gt;Michel Waroquier&lt;/author&gt;&lt;author&gt;Silvia Bordiga&lt;/author&gt;&lt;author&gt;Michael Hunger&lt;/author&gt;&lt;author&gt;Landong Li&lt;/author&gt;&lt;author&gt;Unni Olsbye&lt;/author&gt;&lt;author&gt;Veronique Van Speybroeck&lt;/author&gt;&lt;/authors&gt;&lt;/contributors&gt;&lt;titles&gt;&lt;title&gt;Experimental and Theoretical Evidence for the Promotional Effect of Acid Sites on the Diffusion of Alkenes through Small-Pore Zeolites&lt;/title&gt;&lt;secondary-title&gt;Angewandte Chemie&lt;/secondary-title&gt;&lt;/titles&gt;&lt;periodical&gt;&lt;full-title&gt;Angewandte Chemie&lt;/full-title&gt;&lt;/periodical&gt;&lt;pages&gt;10104-10110&lt;/pages&gt;&lt;volume&gt;133&lt;/volume&gt;&lt;number&gt;18&lt;/number&gt;&lt;dates&gt;&lt;year&gt;2021&lt;/year&gt;&lt;/dates&gt;&lt;urls&gt;&lt;/urls&gt;&lt;electronic-resource-num&gt;https://doi.org/10.1002/ange.202017025&lt;/electronic-resource-num&gt;&lt;/record&gt;&lt;/Cite&gt;&lt;/EndNote&gt;</w:instrText>
      </w:r>
      <w:r w:rsidRPr="00CC745D">
        <w:fldChar w:fldCharType="separate"/>
      </w:r>
      <w:r w:rsidR="00C54D4B">
        <w:rPr>
          <w:noProof/>
        </w:rPr>
        <w:t>[</w:t>
      </w:r>
      <w:hyperlink w:anchor="_ENREF_83" w:tooltip="Cnudde, 2021 #233" w:history="1">
        <w:r w:rsidR="00D307FA">
          <w:rPr>
            <w:noProof/>
          </w:rPr>
          <w:t>83</w:t>
        </w:r>
      </w:hyperlink>
      <w:r w:rsidR="00C54D4B">
        <w:rPr>
          <w:noProof/>
        </w:rPr>
        <w:t>]</w:t>
      </w:r>
      <w:r w:rsidRPr="00CC745D">
        <w:fldChar w:fldCharType="end"/>
      </w:r>
      <w:r w:rsidRPr="00CC745D">
        <w:t xml:space="preserve">; (iii) Mears criterion for external diffusion limitations and Weisz-Prater criterion for internal diffusion limitations on porous medias, both utilize operational and experimental data to evaluate a zeolite applicability for a particular system </w:t>
      </w:r>
      <w:r w:rsidRPr="00CC745D">
        <w:fldChar w:fldCharType="begin">
          <w:fldData xml:space="preserve">PEVuZE5vdGU+PENpdGU+PEF1dGhvcj5TdW48L0F1dGhvcj48WWVhcj4yMDE1PC9ZZWFyPjxSZWNO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==
</w:fldData>
        </w:fldChar>
      </w:r>
      <w:r w:rsidR="00C54D4B">
        <w:instrText xml:space="preserve"> ADDIN EN.CITE </w:instrText>
      </w:r>
      <w:r w:rsidR="00C54D4B">
        <w:fldChar w:fldCharType="begin">
          <w:fldData xml:space="preserve">PEVuZE5vdGU+PENpdGU+PEF1dGhvcj5TdW48L0F1dGhvcj48WWVhcj4yMDE1PC9ZZWFyPjxSZWNO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==
</w:fldData>
        </w:fldChar>
      </w:r>
      <w:r w:rsidR="00C54D4B">
        <w:instrText xml:space="preserve"> ADDIN EN.CITE.DATA </w:instrText>
      </w:r>
      <w:r w:rsidR="00C54D4B">
        <w:fldChar w:fldCharType="end"/>
      </w:r>
      <w:r w:rsidRPr="00CC745D">
        <w:fldChar w:fldCharType="separate"/>
      </w:r>
      <w:r w:rsidR="00C54D4B">
        <w:rPr>
          <w:noProof/>
        </w:rPr>
        <w:t>[</w:t>
      </w:r>
      <w:hyperlink w:anchor="_ENREF_77" w:tooltip="Wulfers, 2015 #215" w:history="1">
        <w:r w:rsidR="00D307FA">
          <w:rPr>
            <w:noProof/>
          </w:rPr>
          <w:t>77</w:t>
        </w:r>
      </w:hyperlink>
      <w:r w:rsidR="00C54D4B">
        <w:rPr>
          <w:noProof/>
        </w:rPr>
        <w:t xml:space="preserve">, </w:t>
      </w:r>
      <w:hyperlink w:anchor="_ENREF_79" w:tooltip="Sun, 2015 #216" w:history="1">
        <w:r w:rsidR="00D307FA">
          <w:rPr>
            <w:noProof/>
          </w:rPr>
          <w:t>79</w:t>
        </w:r>
      </w:hyperlink>
      <w:r w:rsidR="00C54D4B">
        <w:rPr>
          <w:noProof/>
        </w:rPr>
        <w:t xml:space="preserve">, </w:t>
      </w:r>
      <w:hyperlink w:anchor="_ENREF_84" w:tooltip="Mears, 1971 #221" w:history="1">
        <w:r w:rsidR="00D307FA">
          <w:rPr>
            <w:noProof/>
          </w:rPr>
          <w:t>84</w:t>
        </w:r>
      </w:hyperlink>
      <w:r w:rsidR="00C54D4B">
        <w:rPr>
          <w:noProof/>
        </w:rPr>
        <w:t xml:space="preserve">, </w:t>
      </w:r>
      <w:hyperlink w:anchor="_ENREF_85" w:tooltip="Weisz, 1954 #220" w:history="1">
        <w:r w:rsidR="00D307FA">
          <w:rPr>
            <w:noProof/>
          </w:rPr>
          <w:t>85</w:t>
        </w:r>
      </w:hyperlink>
      <w:r w:rsidR="00C54D4B">
        <w:rPr>
          <w:noProof/>
        </w:rPr>
        <w:t>]</w:t>
      </w:r>
      <w:r w:rsidRPr="00CC745D">
        <w:fldChar w:fldCharType="end"/>
      </w:r>
      <w:r w:rsidRPr="00CC745D">
        <w:t xml:space="preserve">; and (iv) a direct calculation of Thiele-modulus, a reaction-transport parameters derived from a mole </w:t>
      </w:r>
      <w:r w:rsidRPr="00CC745D">
        <w:lastRenderedPageBreak/>
        <w:t xml:space="preserve">balance of a reactant diffusing through a catalyst volume particle to describe the extent of diffusion constraint in a porous media </w:t>
      </w:r>
      <w:r w:rsidRPr="00CC745D">
        <w:fldChar w:fldCharType="begin">
          <w:fldData xml:space="preserve">PEVuZE5vdGU+PENpdGU+PEF1dGhvcj5Nb2hhZ2hlZ2hpPC9BdXRob3I+PFllYXI+MjAwNzwvWWVh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</w:fldData>
        </w:fldChar>
      </w:r>
      <w:r w:rsidR="00C54D4B">
        <w:instrText xml:space="preserve"> ADDIN EN.CITE </w:instrText>
      </w:r>
      <w:r w:rsidR="00C54D4B">
        <w:fldChar w:fldCharType="begin">
          <w:fldData xml:space="preserve">PEVuZE5vdGU+PENpdGU+PEF1dGhvcj5Nb2hhZ2hlZ2hpPC9BdXRob3I+PFllYXI+MjAwNzwvWWVh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</w:fldData>
        </w:fldChar>
      </w:r>
      <w:r w:rsidR="00C54D4B">
        <w:instrText xml:space="preserve"> ADDIN EN.CITE.DATA </w:instrText>
      </w:r>
      <w:r w:rsidR="00C54D4B">
        <w:fldChar w:fldCharType="end"/>
      </w:r>
      <w:r w:rsidRPr="00CC745D">
        <w:fldChar w:fldCharType="separate"/>
      </w:r>
      <w:r w:rsidR="00C54D4B">
        <w:rPr>
          <w:noProof/>
        </w:rPr>
        <w:t>[</w:t>
      </w:r>
      <w:hyperlink w:anchor="_ENREF_86" w:tooltip="Mohagheghi, 2007 #218" w:history="1">
        <w:r w:rsidR="00D307FA">
          <w:rPr>
            <w:noProof/>
          </w:rPr>
          <w:t>86-88</w:t>
        </w:r>
      </w:hyperlink>
      <w:r w:rsidR="00C54D4B">
        <w:rPr>
          <w:noProof/>
        </w:rPr>
        <w:t>]</w:t>
      </w:r>
      <w:r w:rsidRPr="00CC745D">
        <w:fldChar w:fldCharType="end"/>
      </w:r>
      <w:r w:rsidRPr="00CC745D">
        <w:t xml:space="preserve">. </w:t>
      </w:r>
    </w:p>
    <w:p w14:paraId="49D3C371" w14:textId="6620F756" w:rsidR="00CA0F0A" w:rsidRPr="00CC745D" w:rsidRDefault="00CA0F0A" w:rsidP="00A15F74">
      <w:pPr>
        <w:spacing w:line="480" w:lineRule="auto"/>
        <w:jc w:val="both"/>
      </w:pPr>
      <w:r w:rsidRPr="00CC745D">
        <w:tab/>
        <w:t xml:space="preserve">In case of spectroscopy studies on diffusion, isooctane transport </w:t>
      </w:r>
      <w:r w:rsidR="00EE1944">
        <w:t xml:space="preserve">studies </w:t>
      </w:r>
      <w:r w:rsidRPr="00CC745D">
        <w:t xml:space="preserve">in ZSM-5 zeolite </w:t>
      </w:r>
      <w:r w:rsidR="00EE1944">
        <w:t xml:space="preserve">were performed </w:t>
      </w:r>
      <w:r w:rsidRPr="00CC745D">
        <w:t xml:space="preserve">by tracking IR signals attributed to that hydrocarbon as it was purged from the zeolite framework </w:t>
      </w:r>
      <w:r w:rsidRPr="00CC745D">
        <w:fldChar w:fldCharType="begin"/>
      </w:r>
      <w:r w:rsidR="00C54D4B">
        <w:instrText xml:space="preserve"> ADDIN EN.CITE &lt;EndNote&gt;&lt;Cite&gt;&lt;Author&gt;Meunier&lt;/Author&gt;&lt;Year&gt;2012&lt;/Year&gt;&lt;RecNum&gt;223&lt;/RecNum&gt;&lt;DisplayText&gt;[89]&lt;/DisplayText&gt;&lt;record&gt;&lt;rec-number&gt;223&lt;/rec-number&gt;&lt;foreign-keys&gt;&lt;key app="EN" db-id="59dvwrfdof9dw8exf0kvp0atwazsazeeffsp" timestamp="1677733285"&gt;223&lt;/key&gt;&lt;/foreign-keys&gt;&lt;ref-type name="Journal Article"&gt;17&lt;/ref-type&gt;&lt;contributors&gt;&lt;authors&gt;&lt;author&gt;Frederic C. Meunier&lt;/author&gt;&lt;author&gt;Danny Verboekend&lt;/author&gt;&lt;author&gt;Jean-Pierre Gilson&lt;/author&gt;&lt;author&gt;Johan C. Groen&lt;/author&gt;&lt;author&gt;Javier Pérez-Ramírez&lt;/author&gt;&lt;/authors&gt;&lt;/contributors&gt;&lt;titles&gt;&lt;title&gt;Influence of crystal size and probe molecule on diffusion in hierarchical ZSM-5 zeolites prepared by desilication&lt;/title&gt;&lt;secondary-title&gt;Microporous and Mesoporous Materials&lt;/secondary-title&gt;&lt;/titles&gt;&lt;periodical&gt;&lt;full-title&gt;Microporous and Mesoporous Materials&lt;/full-title&gt;&lt;/periodical&gt;&lt;pages&gt;115-121&lt;/pages&gt;&lt;volume&gt;148&lt;/volume&gt;&lt;number&gt;1&lt;/number&gt;&lt;dates&gt;&lt;year&gt;2012&lt;/year&gt;&lt;/dates&gt;&lt;urls&gt;&lt;/urls&gt;&lt;electronic-resource-num&gt;https://doi.org/10.1016/j.micromeso.2011.08.002&lt;/electronic-resource-num&gt;&lt;/record&gt;&lt;/Cite&gt;&lt;/EndNote&gt;</w:instrText>
      </w:r>
      <w:r w:rsidRPr="00CC745D">
        <w:fldChar w:fldCharType="separate"/>
      </w:r>
      <w:r w:rsidR="00C54D4B">
        <w:rPr>
          <w:noProof/>
        </w:rPr>
        <w:t>[</w:t>
      </w:r>
      <w:hyperlink w:anchor="_ENREF_89" w:tooltip="Meunier, 2012 #223" w:history="1">
        <w:r w:rsidR="00D307FA">
          <w:rPr>
            <w:noProof/>
          </w:rPr>
          <w:t>89</w:t>
        </w:r>
      </w:hyperlink>
      <w:r w:rsidR="00C54D4B">
        <w:rPr>
          <w:noProof/>
        </w:rPr>
        <w:t>]</w:t>
      </w:r>
      <w:r w:rsidRPr="00CC745D">
        <w:fldChar w:fldCharType="end"/>
      </w:r>
      <w:r w:rsidRPr="00CC745D">
        <w:t xml:space="preserve">. To do so, a commercially available ZSM-5 (SP) sample and a large-sized synthesized sample (LP) were treated under an alkaline environment to induce desilication and create mesoporosity in these two samples (SAP and LAP, respectively, based on their parent forms). After reaching a surface saturation, followed by purging, the relative surface concentrations were calculated based on IR bands correspondent to that isooctane normalized C-H stretching vibrations. The creation of mesoporosity in the desilicated samples was shown to alleviate diffusion constraints on isooctane, as demonstrated by its rapid </w:t>
      </w:r>
      <w:r w:rsidRPr="00C80AAF">
        <w:t>desorption (</w:t>
      </w:r>
      <w:r w:rsidRPr="00C80AAF">
        <w:rPr>
          <w:b/>
          <w:bCs/>
        </w:rPr>
        <w:t>Figure 6</w:t>
      </w:r>
      <w:r w:rsidRPr="00C80AAF">
        <w:t>). Surely</w:t>
      </w:r>
      <w:r w:rsidRPr="00CC745D">
        <w:t>, the diffusion path of a molecule</w:t>
      </w:r>
      <w:r w:rsidR="009B68DB">
        <w:t xml:space="preserve"> entering </w:t>
      </w:r>
      <w:r w:rsidR="00E337F4">
        <w:t>a</w:t>
      </w:r>
      <w:r w:rsidR="009B68DB">
        <w:t xml:space="preserve"> catalyst particle and encountering an</w:t>
      </w:r>
      <w:r w:rsidR="008F505D">
        <w:t xml:space="preserve"> </w:t>
      </w:r>
      <w:r w:rsidR="009B68DB">
        <w:t xml:space="preserve">active site </w:t>
      </w:r>
      <w:r w:rsidRPr="00CC745D">
        <w:t xml:space="preserve">decreases as a consequence of such large channels, which is advantageous for bimolecular reactions and also reduces coke formation due to the lower residence time of a coke precursor species </w:t>
      </w:r>
      <w:r w:rsidRPr="00CC745D">
        <w:fldChar w:fldCharType="begin"/>
      </w:r>
      <w:r w:rsidR="00C54D4B">
        <w:instrText xml:space="preserve"> ADDIN EN.CITE &lt;EndNote&gt;&lt;Cite&gt;&lt;Author&gt;Groen&lt;/Author&gt;&lt;Year&gt;2007&lt;/Year&gt;&lt;RecNum&gt;234&lt;/RecNum&gt;&lt;DisplayText&gt;[90]&lt;/DisplayText&gt;&lt;record&gt;&lt;rec-number&gt;234&lt;/rec-number&gt;&lt;foreign-keys&gt;&lt;key app="EN" db-id="59dvwrfdof9dw8exf0kvp0atwazsazeeffsp" timestamp="1678072781"&gt;234&lt;/key&gt;&lt;/foreign-keys&gt;&lt;ref-type name="Journal Article"&gt;17&lt;/ref-type&gt;&lt;contributors&gt;&lt;authors&gt;&lt;author&gt;Johan C. Groen&lt;/author&gt;&lt;author&gt;Weidong Zhu&lt;/author&gt;&lt;author&gt;Sander Brouwer&lt;/author&gt;&lt;author&gt;Steven J. Huynink&lt;/author&gt;&lt;author&gt;Freek Kapteijn&lt;/author&gt;&lt;author&gt;Jacob A. Moulijn&lt;/author&gt;&lt;author&gt;Javier Pérez-Ramírez&lt;/author&gt;&lt;/authors&gt;&lt;/contributors&gt;&lt;titles&gt;&lt;title&gt;Direct Demonstration of Enhanced Diffusion in Mesoporous ZSM-5 Zeolite Obtained via Controlled Desilication&lt;/title&gt;&lt;secondary-title&gt;Journal of American Chemical Society&lt;/secondary-title&gt;&lt;/titles&gt;&lt;periodical&gt;&lt;full-title&gt;Journal of American Chemical Society&lt;/full-title&gt;&lt;/periodical&gt;&lt;pages&gt;355-360&lt;/pages&gt;&lt;volume&gt;129&lt;/volume&gt;&lt;dates&gt;&lt;year&gt;2007&lt;/year&gt;&lt;/dates&gt;&lt;urls&gt;&lt;/urls&gt;&lt;electronic-resource-num&gt;https://doi.org/10.1021/ja065737o&lt;/electronic-resource-num&gt;&lt;/record&gt;&lt;/Cite&gt;&lt;/EndNote&gt;</w:instrText>
      </w:r>
      <w:r w:rsidRPr="00CC745D">
        <w:fldChar w:fldCharType="separate"/>
      </w:r>
      <w:r w:rsidR="00C54D4B">
        <w:rPr>
          <w:noProof/>
        </w:rPr>
        <w:t>[</w:t>
      </w:r>
      <w:hyperlink w:anchor="_ENREF_90" w:tooltip="Groen, 2007 #234" w:history="1">
        <w:r w:rsidR="00D307FA">
          <w:rPr>
            <w:noProof/>
          </w:rPr>
          <w:t>90</w:t>
        </w:r>
      </w:hyperlink>
      <w:r w:rsidR="00C54D4B">
        <w:rPr>
          <w:noProof/>
        </w:rPr>
        <w:t>]</w:t>
      </w:r>
      <w:r w:rsidRPr="00CC745D">
        <w:fldChar w:fldCharType="end"/>
      </w:r>
      <w:r w:rsidRPr="00CC745D">
        <w:t xml:space="preserve">. One application of isooctane in this study is its ability to serve as a hydrogen donor molecule to an adsorbed carbenium ion and how diffusion limitations impact this process </w:t>
      </w:r>
      <w:r w:rsidRPr="00CC745D">
        <w:fldChar w:fldCharType="begin">
          <w:fldData xml:space="preserve">PEVuZE5vdGU+PENpdGU+PEF1dGhvcj5XaWxsaWFtczwvQXV0aG9yPjxZZWFyPjE5OTk8L1llYXI+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</w:fldData>
        </w:fldChar>
      </w:r>
      <w:r w:rsidR="00C54D4B">
        <w:instrText xml:space="preserve"> ADDIN EN.CITE </w:instrText>
      </w:r>
      <w:r w:rsidR="00C54D4B">
        <w:fldChar w:fldCharType="begin">
          <w:fldData xml:space="preserve">PEVuZE5vdGU+PENpdGU+PEF1dGhvcj5XaWxsaWFtczwvQXV0aG9yPjxZZWFyPjE5OTk8L1llYXI+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</w:fldData>
        </w:fldChar>
      </w:r>
      <w:r w:rsidR="00C54D4B">
        <w:instrText xml:space="preserve"> ADDIN EN.CITE.DATA </w:instrText>
      </w:r>
      <w:r w:rsidR="00C54D4B">
        <w:fldChar w:fldCharType="end"/>
      </w:r>
      <w:r w:rsidRPr="00CC745D">
        <w:fldChar w:fldCharType="separate"/>
      </w:r>
      <w:r w:rsidR="00C54D4B">
        <w:rPr>
          <w:noProof/>
        </w:rPr>
        <w:t>[</w:t>
      </w:r>
      <w:hyperlink w:anchor="_ENREF_91" w:tooltip="Williams, 1999 #224" w:history="1">
        <w:r w:rsidR="00D307FA">
          <w:rPr>
            <w:noProof/>
          </w:rPr>
          <w:t>91</w:t>
        </w:r>
      </w:hyperlink>
      <w:r w:rsidR="00C54D4B">
        <w:rPr>
          <w:noProof/>
        </w:rPr>
        <w:t xml:space="preserve">, </w:t>
      </w:r>
      <w:hyperlink w:anchor="_ENREF_92" w:tooltip="Monteiro, 2018 #226" w:history="1">
        <w:r w:rsidR="00D307FA">
          <w:rPr>
            <w:noProof/>
          </w:rPr>
          <w:t>92</w:t>
        </w:r>
      </w:hyperlink>
      <w:r w:rsidR="00C54D4B">
        <w:rPr>
          <w:noProof/>
        </w:rPr>
        <w:t>]</w:t>
      </w:r>
      <w:r w:rsidRPr="00CC745D">
        <w:fldChar w:fldCharType="end"/>
      </w:r>
      <w:r w:rsidRPr="00CC745D">
        <w:t xml:space="preserve">. A larger concentration gradient of a H-donor specie results in lower local concentrations around the reacting site, and thus H-transfer rates to an adsorbed carbenium ion are reduced as consequence </w:t>
      </w:r>
      <w:r w:rsidRPr="00CC745D">
        <w:fldChar w:fldCharType="begin"/>
      </w:r>
      <w:r w:rsidR="00C54D4B">
        <w:instrText xml:space="preserve"> ADDIN EN.CITE &lt;EndNote&gt;&lt;Cite&gt;&lt;Author&gt;CUMMING&lt;/Author&gt;&lt;Year&gt;1996&lt;/Year&gt;&lt;RecNum&gt;225&lt;/RecNum&gt;&lt;DisplayText&gt;[93]&lt;/DisplayText&gt;&lt;record&gt;&lt;rec-number&gt;225&lt;/rec-number&gt;&lt;foreign-keys&gt;&lt;key app="EN" db-id="59dvwrfdof9dw8exf0kvp0atwazsazeeffsp" timestamp="1677805661"&gt;225&lt;/key&gt;&lt;/foreign-keys&gt;&lt;ref-type name="Journal Article"&gt;17&lt;/ref-type&gt;&lt;contributors&gt;&lt;authors&gt;&lt;author&gt;K. A. CUMMING&lt;/author&gt;&lt;author&gt;W. WOJCIECHOWSKI&lt;/author&gt;&lt;/authors&gt;&lt;/contributors&gt;&lt;titles&gt;&lt;title&gt;Hydrogen Transfer, Coke Formation, and Catalyst Decay and Their Role in the Chain Mechanism of Catalytic Cracking&lt;/title&gt;&lt;secondary-title&gt;Catalysis Letters&lt;/secondary-title&gt;&lt;/titles&gt;&lt;periodical&gt;&lt;full-title&gt;Catalysis Letters&lt;/full-title&gt;&lt;/periodical&gt;&lt;pages&gt;101-157&lt;/pages&gt;&lt;volume&gt;38&lt;/volume&gt;&lt;dates&gt;&lt;year&gt;1996&lt;/year&gt;&lt;/dates&gt;&lt;urls&gt;&lt;/urls&gt;&lt;electronic-resource-num&gt;https://doi.org/10.1080/01614949608006455&lt;/electronic-resource-num&gt;&lt;/record&gt;&lt;/Cite&gt;&lt;/EndNote&gt;</w:instrText>
      </w:r>
      <w:r w:rsidRPr="00CC745D">
        <w:fldChar w:fldCharType="separate"/>
      </w:r>
      <w:r w:rsidR="00C54D4B">
        <w:rPr>
          <w:noProof/>
        </w:rPr>
        <w:t>[</w:t>
      </w:r>
      <w:hyperlink w:anchor="_ENREF_93" w:tooltip="CUMMING, 1996 #225" w:history="1">
        <w:r w:rsidR="00D307FA">
          <w:rPr>
            <w:noProof/>
          </w:rPr>
          <w:t>93</w:t>
        </w:r>
      </w:hyperlink>
      <w:r w:rsidR="00C54D4B">
        <w:rPr>
          <w:noProof/>
        </w:rPr>
        <w:t>]</w:t>
      </w:r>
      <w:r w:rsidRPr="00CC745D">
        <w:fldChar w:fldCharType="end"/>
      </w:r>
      <w:r w:rsidRPr="00CC745D">
        <w:t>. In the diffusion study performed by Meunier et al. the monitored temperatures during the IR spectroscopy experiments were low enough to guarantee no isooctane reaction, which suggests a research motivation in this area.</w:t>
      </w:r>
    </w:p>
    <w:p w14:paraId="5BFD9061" w14:textId="77777777" w:rsidR="00CA0F0A" w:rsidRPr="00CC745D" w:rsidRDefault="00CA0F0A" w:rsidP="00A15F74">
      <w:pPr>
        <w:spacing w:line="480" w:lineRule="auto"/>
        <w:jc w:val="both"/>
      </w:pPr>
    </w:p>
    <w:p w14:paraId="2998BA46" w14:textId="77777777" w:rsidR="00CA0F0A" w:rsidRPr="00CC745D" w:rsidRDefault="00CA0F0A" w:rsidP="0043164B">
      <w:pPr>
        <w:jc w:val="center"/>
      </w:pPr>
      <w:r w:rsidRPr="00CC745D">
        <w:rPr>
          <w:noProof/>
        </w:rPr>
        <w:lastRenderedPageBreak/>
        <w:drawing>
          <wp:inline distT="0" distB="0" distL="0" distR="0" wp14:anchorId="70038E7E" wp14:editId="537E5C8D">
            <wp:extent cx="2673140" cy="2743200"/>
            <wp:effectExtent l="0" t="0" r="0" b="0"/>
            <wp:docPr id="14" name="Picture 1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9"/>
                    <a:stretch>
                      <a:fillRect/>
                    </a:stretch>
                  </pic:blipFill>
                  <pic:spPr>
                    <a:xfrm>
                      <a:off x="0" y="0"/>
                      <a:ext cx="2673140" cy="2743200"/>
                    </a:xfrm>
                    <a:prstGeom prst="rect">
                      <a:avLst/>
                    </a:prstGeom>
                  </pic:spPr>
                </pic:pic>
              </a:graphicData>
            </a:graphic>
          </wp:inline>
        </w:drawing>
      </w:r>
    </w:p>
    <w:p w14:paraId="632ECB85" w14:textId="28CD5B24" w:rsidR="00CA0F0A" w:rsidRPr="00CC745D" w:rsidRDefault="00CA0F0A" w:rsidP="0043164B">
      <w:pPr>
        <w:jc w:val="both"/>
      </w:pPr>
      <w:bookmarkStart w:id="16" w:name="_Toc131948670"/>
      <w:r w:rsidRPr="004A394F">
        <w:rPr>
          <w:b/>
          <w:bCs/>
        </w:rPr>
        <w:t xml:space="preserve">Figure </w:t>
      </w:r>
      <w:r w:rsidRPr="004A394F">
        <w:rPr>
          <w:b/>
          <w:bCs/>
        </w:rPr>
        <w:fldChar w:fldCharType="begin"/>
      </w:r>
      <w:r w:rsidRPr="004A394F">
        <w:rPr>
          <w:b/>
          <w:bCs/>
        </w:rPr>
        <w:instrText xml:space="preserve"> SEQ Figure \* ARABIC </w:instrText>
      </w:r>
      <w:r w:rsidRPr="004A394F">
        <w:rPr>
          <w:b/>
          <w:bCs/>
        </w:rPr>
        <w:fldChar w:fldCharType="separate"/>
      </w:r>
      <w:r w:rsidR="001F4741">
        <w:rPr>
          <w:b/>
          <w:bCs/>
          <w:noProof/>
        </w:rPr>
        <w:t>6</w:t>
      </w:r>
      <w:r w:rsidRPr="004A394F">
        <w:rPr>
          <w:b/>
          <w:bCs/>
        </w:rPr>
        <w:fldChar w:fldCharType="end"/>
      </w:r>
      <w:r w:rsidRPr="004A394F">
        <w:rPr>
          <w:b/>
          <w:bCs/>
        </w:rPr>
        <w:t>:</w:t>
      </w:r>
      <w:r w:rsidRPr="00CC745D">
        <w:t xml:space="preserve"> Desorption of isooctane at 428 K from small and large H-ZSM5-5 crystals in parent and mesoporous forms. Reproduced from Ref </w:t>
      </w:r>
      <w:r w:rsidRPr="00CC745D">
        <w:fldChar w:fldCharType="begin"/>
      </w:r>
      <w:r w:rsidR="00C54D4B">
        <w:instrText xml:space="preserve"> ADDIN EN.CITE &lt;EndNote&gt;&lt;Cite&gt;&lt;Author&gt;Meunier&lt;/Author&gt;&lt;Year&gt;2012&lt;/Year&gt;&lt;RecNum&gt;223&lt;/RecNum&gt;&lt;DisplayText&gt;[89]&lt;/DisplayText&gt;&lt;record&gt;&lt;rec-number&gt;223&lt;/rec-number&gt;&lt;foreign-keys&gt;&lt;key app="EN" db-id="59dvwrfdof9dw8exf0kvp0atwazsazeeffsp" timestamp="1677733285"&gt;223&lt;/key&gt;&lt;/foreign-keys&gt;&lt;ref-type name="Journal Article"&gt;17&lt;/ref-type&gt;&lt;contributors&gt;&lt;authors&gt;&lt;author&gt;Frederic C. Meunier&lt;/author&gt;&lt;author&gt;Danny Verboekend&lt;/author&gt;&lt;author&gt;Jean-Pierre Gilson&lt;/author&gt;&lt;author&gt;Johan C. Groen&lt;/author&gt;&lt;author&gt;Javier Pérez-Ramírez&lt;/author&gt;&lt;/authors&gt;&lt;/contributors&gt;&lt;titles&gt;&lt;title&gt;Influence of crystal size and probe molecule on diffusion in hierarchical ZSM-5 zeolites prepared by desilication&lt;/title&gt;&lt;secondary-title&gt;Microporous and Mesoporous Materials&lt;/secondary-title&gt;&lt;/titles&gt;&lt;periodical&gt;&lt;full-title&gt;Microporous and Mesoporous Materials&lt;/full-title&gt;&lt;/periodical&gt;&lt;pages&gt;115-121&lt;/pages&gt;&lt;volume&gt;148&lt;/volume&gt;&lt;number&gt;1&lt;/number&gt;&lt;dates&gt;&lt;year&gt;2012&lt;/year&gt;&lt;/dates&gt;&lt;urls&gt;&lt;/urls&gt;&lt;electronic-resource-num&gt;https://doi.org/10.1016/j.micromeso.2011.08.002&lt;/electronic-resource-num&gt;&lt;/record&gt;&lt;/Cite&gt;&lt;/EndNote&gt;</w:instrText>
      </w:r>
      <w:r w:rsidRPr="00CC745D">
        <w:fldChar w:fldCharType="separate"/>
      </w:r>
      <w:r w:rsidR="00C54D4B">
        <w:rPr>
          <w:noProof/>
        </w:rPr>
        <w:t>[</w:t>
      </w:r>
      <w:hyperlink w:anchor="_ENREF_89" w:tooltip="Meunier, 2012 #223" w:history="1">
        <w:r w:rsidR="00D307FA">
          <w:rPr>
            <w:noProof/>
          </w:rPr>
          <w:t>89</w:t>
        </w:r>
      </w:hyperlink>
      <w:r w:rsidR="00C54D4B">
        <w:rPr>
          <w:noProof/>
        </w:rPr>
        <w:t>]</w:t>
      </w:r>
      <w:r w:rsidRPr="00CC745D">
        <w:fldChar w:fldCharType="end"/>
      </w:r>
      <w:r w:rsidRPr="00CC745D">
        <w:t>.</w:t>
      </w:r>
      <w:bookmarkEnd w:id="16"/>
    </w:p>
    <w:p w14:paraId="4657A09E" w14:textId="77777777" w:rsidR="0043164B" w:rsidRDefault="0043164B" w:rsidP="00A15F74">
      <w:pPr>
        <w:spacing w:line="480" w:lineRule="auto"/>
        <w:jc w:val="both"/>
      </w:pPr>
    </w:p>
    <w:p w14:paraId="1542A115" w14:textId="7C363336" w:rsidR="00CA0F0A" w:rsidRPr="00CC745D" w:rsidRDefault="00CA0F0A" w:rsidP="00A15F74">
      <w:pPr>
        <w:spacing w:line="480" w:lineRule="auto"/>
        <w:jc w:val="both"/>
      </w:pPr>
      <w:r w:rsidRPr="00CC745D">
        <w:tab/>
        <w:t xml:space="preserve">In all, the IR technique was shown to be useful and accessible in examining the presence of transport restrictions under a no-reaction regime; however, it could not determine the extent of such quantitatively. This quantification and comparison among different topologies could be realized using Thiele modulus once this parameter takes into consideration intrinsic properties of that certain catalyst (as particle radius and particle shape) and the reaction information at the applied operational conditions (effective diffusivity and reaction rate constant). </w:t>
      </w:r>
    </w:p>
    <w:p w14:paraId="382A6E75" w14:textId="1B7A6650" w:rsidR="00CA0F0A" w:rsidRPr="00CC745D" w:rsidRDefault="00CA0F0A" w:rsidP="00A15F74">
      <w:pPr>
        <w:spacing w:line="480" w:lineRule="auto"/>
        <w:jc w:val="both"/>
      </w:pPr>
      <w:r w:rsidRPr="00CC745D">
        <w:tab/>
        <w:t>Noh</w:t>
      </w:r>
      <w:r w:rsidR="00691C8F">
        <w:t>’s</w:t>
      </w:r>
      <w:r w:rsidRPr="00CC745D">
        <w:t xml:space="preserve"> work observed differences in product selectivity as a function of increased diffusional constraints in the isomerization and β-scission reactions of n-heptane over various acid catalysts </w:t>
      </w:r>
      <w:r w:rsidRPr="00CC745D">
        <w:fldChar w:fldCharType="begin"/>
      </w:r>
      <w:r w:rsidR="00C54D4B">
        <w:instrText xml:space="preserve"> ADDIN EN.CITE &lt;EndNote&gt;&lt;Cite&gt;&lt;Author&gt;Noh&lt;/Author&gt;&lt;Year&gt;2018&lt;/Year&gt;&lt;RecNum&gt;12&lt;/RecNum&gt;&lt;DisplayText&gt;[17]&lt;/DisplayText&gt;&lt;record&gt;&lt;rec-number&gt;12&lt;/rec-number&gt;&lt;foreign-keys&gt;&lt;key app="EN" db-id="59dvwrfdof9dw8exf0kvp0atwazsazeeffsp" timestamp="1667538819"&gt;12&lt;/key&gt;&lt;/foreign-keys&gt;&lt;ref-type name="Journal Article"&gt;17&lt;/ref-type&gt;&lt;contributors&gt;&lt;authors&gt;&lt;author&gt;Gina Noh&lt;/author&gt;&lt;author&gt;Enrique Iglesia&lt;/author&gt;&lt;author&gt;Zhichen Shi&lt;/author&gt;&lt;author&gt;Stacey I. Zones&lt;/author&gt;&lt;/authors&gt;&lt;/contributors&gt;&lt;titles&gt;&lt;title&gt;&lt;style face="normal" font="default" size="100%"&gt;Isomerization and &lt;/style&gt;&lt;style face="normal" font="default" charset="161" size="100%"&gt;β-scission reactions of alkanes on bifunctional metal-acid catalysts: Consequences of confinement and diffusional constraints on reactivity and selectivity&lt;/style&gt;&lt;/title&gt;&lt;secondary-title&gt;Journal of Catalysis&lt;/secondary-title&gt;&lt;/titles&gt;&lt;periodical&gt;&lt;full-title&gt;Journal of Catalysis&lt;/full-title&gt;&lt;/periodical&gt;&lt;pages&gt;389-410&lt;/pages&gt;&lt;volume&gt;368&lt;/volume&gt;&lt;dates&gt;&lt;year&gt;2018&lt;/year&gt;&lt;/dates&gt;&lt;urls&gt;&lt;/urls&gt;&lt;electronic-resource-num&gt;https://doi.org/10.1016/j.jcat.2018.03.033&lt;/electronic-resource-num&gt;&lt;/record&gt;&lt;/Cite&gt;&lt;/EndNote&gt;</w:instrText>
      </w:r>
      <w:r w:rsidRPr="00CC745D">
        <w:fldChar w:fldCharType="separate"/>
      </w:r>
      <w:r w:rsidR="00C54D4B">
        <w:rPr>
          <w:noProof/>
        </w:rPr>
        <w:t>[</w:t>
      </w:r>
      <w:hyperlink w:anchor="_ENREF_17" w:tooltip="Noh, 2018 #12" w:history="1">
        <w:r w:rsidR="00D307FA">
          <w:rPr>
            <w:noProof/>
          </w:rPr>
          <w:t>17</w:t>
        </w:r>
      </w:hyperlink>
      <w:r w:rsidR="00C54D4B">
        <w:rPr>
          <w:noProof/>
        </w:rPr>
        <w:t>]</w:t>
      </w:r>
      <w:r w:rsidRPr="00CC745D">
        <w:fldChar w:fldCharType="end"/>
      </w:r>
      <w:r w:rsidRPr="00CC745D">
        <w:t xml:space="preserve">. As the degree of diffusion limitations was increased, either by altering the density of active sites or the confinement environment, secondary isomerization rates increased to a point in where the smaller voids favored sequential β-scission </w:t>
      </w:r>
      <w:r w:rsidRPr="00C80AAF">
        <w:t>events (</w:t>
      </w:r>
      <w:r w:rsidRPr="00C80AAF">
        <w:rPr>
          <w:b/>
          <w:bCs/>
        </w:rPr>
        <w:t>Figure 7</w:t>
      </w:r>
      <w:r w:rsidRPr="00C80AAF">
        <w:t>).</w:t>
      </w:r>
      <w:r w:rsidRPr="00CC745D">
        <w:t xml:space="preserve"> </w:t>
      </w:r>
    </w:p>
    <w:p w14:paraId="4EDC5173" w14:textId="77777777" w:rsidR="00CA0F0A" w:rsidRPr="00CC745D" w:rsidRDefault="00CA0F0A" w:rsidP="0043164B">
      <w:pPr>
        <w:jc w:val="center"/>
      </w:pPr>
      <w:r w:rsidRPr="00CC745D">
        <w:rPr>
          <w:noProof/>
        </w:rPr>
        <w:lastRenderedPageBreak/>
        <w:drawing>
          <wp:inline distT="0" distB="0" distL="0" distR="0" wp14:anchorId="31B172E7" wp14:editId="7846109A">
            <wp:extent cx="5461555" cy="2834640"/>
            <wp:effectExtent l="0" t="0" r="6350" b="3810"/>
            <wp:docPr id="6" name="Picture 6"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 histogram&#10;&#10;Description automatically generated"/>
                    <pic:cNvPicPr/>
                  </pic:nvPicPr>
                  <pic:blipFill>
                    <a:blip r:embed="rId20"/>
                    <a:stretch>
                      <a:fillRect/>
                    </a:stretch>
                  </pic:blipFill>
                  <pic:spPr>
                    <a:xfrm>
                      <a:off x="0" y="0"/>
                      <a:ext cx="5461555" cy="2834640"/>
                    </a:xfrm>
                    <a:prstGeom prst="rect">
                      <a:avLst/>
                    </a:prstGeom>
                  </pic:spPr>
                </pic:pic>
              </a:graphicData>
            </a:graphic>
          </wp:inline>
        </w:drawing>
      </w:r>
    </w:p>
    <w:p w14:paraId="752D8589" w14:textId="2DDA3F7B" w:rsidR="00CA0F0A" w:rsidRPr="00CC745D" w:rsidRDefault="00CA0F0A" w:rsidP="0043164B">
      <w:pPr>
        <w:jc w:val="both"/>
      </w:pPr>
      <w:bookmarkStart w:id="17" w:name="_Toc131948671"/>
      <w:r w:rsidRPr="004A394F">
        <w:rPr>
          <w:b/>
          <w:bCs/>
        </w:rPr>
        <w:t xml:space="preserve">Figure </w:t>
      </w:r>
      <w:r w:rsidRPr="004A394F">
        <w:rPr>
          <w:b/>
          <w:bCs/>
        </w:rPr>
        <w:fldChar w:fldCharType="begin"/>
      </w:r>
      <w:r w:rsidRPr="004A394F">
        <w:rPr>
          <w:b/>
          <w:bCs/>
        </w:rPr>
        <w:instrText xml:space="preserve"> SEQ Figure \* ARABIC </w:instrText>
      </w:r>
      <w:r w:rsidRPr="004A394F">
        <w:rPr>
          <w:b/>
          <w:bCs/>
        </w:rPr>
        <w:fldChar w:fldCharType="separate"/>
      </w:r>
      <w:r w:rsidR="001F4741">
        <w:rPr>
          <w:b/>
          <w:bCs/>
          <w:noProof/>
        </w:rPr>
        <w:t>7</w:t>
      </w:r>
      <w:r w:rsidRPr="004A394F">
        <w:rPr>
          <w:b/>
          <w:bCs/>
        </w:rPr>
        <w:fldChar w:fldCharType="end"/>
      </w:r>
      <w:r w:rsidRPr="004A394F">
        <w:rPr>
          <w:b/>
          <w:bCs/>
        </w:rPr>
        <w:t>:</w:t>
      </w:r>
      <w:r w:rsidRPr="00CC745D">
        <w:t xml:space="preserve"> Measured selectivities to (a) methylhexane products as a function of the methylhexane Thiele modulus, (ϕ</w:t>
      </w:r>
      <w:r w:rsidRPr="00CC745D">
        <w:rPr>
          <w:vertAlign w:val="subscript"/>
        </w:rPr>
        <w:t>MH=</w:t>
      </w:r>
      <w:r w:rsidRPr="00CC745D">
        <w:t>) and (b) b-scission products as a function of the dimethylpentane Thiele modulus (ϕ</w:t>
      </w:r>
      <w:r w:rsidRPr="00CC745D">
        <w:rPr>
          <w:vertAlign w:val="subscript"/>
        </w:rPr>
        <w:t>DMP=</w:t>
      </w:r>
      <w:r w:rsidRPr="00CC745D">
        <w:t>) during nC7 isomerization on physical mixtures of Pt/SiO</w:t>
      </w:r>
      <w:r w:rsidRPr="00CC745D">
        <w:rPr>
          <w:vertAlign w:val="subscript"/>
        </w:rPr>
        <w:t>2</w:t>
      </w:r>
      <w:r w:rsidRPr="00CC745D">
        <w:t xml:space="preserve"> and acid catalysts. Reproduced and adapted from Ref. </w:t>
      </w:r>
      <w:r w:rsidRPr="00CC745D">
        <w:fldChar w:fldCharType="begin"/>
      </w:r>
      <w:r w:rsidR="00C54D4B">
        <w:instrText xml:space="preserve"> ADDIN EN.CITE &lt;EndNote&gt;&lt;Cite&gt;&lt;Author&gt;Noh&lt;/Author&gt;&lt;Year&gt;2018&lt;/Year&gt;&lt;RecNum&gt;12&lt;/RecNum&gt;&lt;DisplayText&gt;[17]&lt;/DisplayText&gt;&lt;record&gt;&lt;rec-number&gt;12&lt;/rec-number&gt;&lt;foreign-keys&gt;&lt;key app="EN" db-id="59dvwrfdof9dw8exf0kvp0atwazsazeeffsp" timestamp="1667538819"&gt;12&lt;/key&gt;&lt;/foreign-keys&gt;&lt;ref-type name="Journal Article"&gt;17&lt;/ref-type&gt;&lt;contributors&gt;&lt;authors&gt;&lt;author&gt;Gina Noh&lt;/author&gt;&lt;author&gt;Enrique Iglesia&lt;/author&gt;&lt;author&gt;Zhichen Shi&lt;/author&gt;&lt;author&gt;Stacey I. Zones&lt;/author&gt;&lt;/authors&gt;&lt;/contributors&gt;&lt;titles&gt;&lt;title&gt;&lt;style face="normal" font="default" size="100%"&gt;Isomerization and &lt;/style&gt;&lt;style face="normal" font="default" charset="161" size="100%"&gt;β-scission reactions of alkanes on bifunctional metal-acid catalysts: Consequences of confinement and diffusional constraints on reactivity and selectivity&lt;/style&gt;&lt;/title&gt;&lt;secondary-title&gt;Journal of Catalysis&lt;/secondary-title&gt;&lt;/titles&gt;&lt;periodical&gt;&lt;full-title&gt;Journal of Catalysis&lt;/full-title&gt;&lt;/periodical&gt;&lt;pages&gt;389-410&lt;/pages&gt;&lt;volume&gt;368&lt;/volume&gt;&lt;dates&gt;&lt;year&gt;2018&lt;/year&gt;&lt;/dates&gt;&lt;urls&gt;&lt;/urls&gt;&lt;electronic-resource-num&gt;https://doi.org/10.1016/j.jcat.2018.03.033&lt;/electronic-resource-num&gt;&lt;/record&gt;&lt;/Cite&gt;&lt;/EndNote&gt;</w:instrText>
      </w:r>
      <w:r w:rsidRPr="00CC745D">
        <w:fldChar w:fldCharType="separate"/>
      </w:r>
      <w:r w:rsidR="00C54D4B">
        <w:rPr>
          <w:noProof/>
        </w:rPr>
        <w:t>[</w:t>
      </w:r>
      <w:hyperlink w:anchor="_ENREF_17" w:tooltip="Noh, 2018 #12" w:history="1">
        <w:r w:rsidR="00D307FA">
          <w:rPr>
            <w:noProof/>
          </w:rPr>
          <w:t>17</w:t>
        </w:r>
      </w:hyperlink>
      <w:r w:rsidR="00C54D4B">
        <w:rPr>
          <w:noProof/>
        </w:rPr>
        <w:t>]</w:t>
      </w:r>
      <w:r w:rsidRPr="00CC745D">
        <w:fldChar w:fldCharType="end"/>
      </w:r>
      <w:r w:rsidR="0043164B">
        <w:t>.</w:t>
      </w:r>
      <w:bookmarkEnd w:id="17"/>
    </w:p>
    <w:p w14:paraId="2B8E79A8" w14:textId="77777777" w:rsidR="0043164B" w:rsidRDefault="0043164B" w:rsidP="00A15F74">
      <w:pPr>
        <w:spacing w:line="480" w:lineRule="auto"/>
        <w:jc w:val="both"/>
      </w:pPr>
    </w:p>
    <w:p w14:paraId="6E68D406" w14:textId="6E115FA0" w:rsidR="00CA0F0A" w:rsidRPr="00CC745D" w:rsidRDefault="00CA0F0A" w:rsidP="00A15F74">
      <w:pPr>
        <w:spacing w:line="480" w:lineRule="auto"/>
        <w:jc w:val="both"/>
      </w:pPr>
      <w:r w:rsidRPr="00CC745D">
        <w:tab/>
        <w:t>The explanation relied on the higher intracrystalline residence time of molecules in those confined environments, as well as the stronger impact of van der Waals interactions between higher energy transition state species and the framework. Thus, the observed product selectivity shifts, favoring one product over the other, were a mere consequence of specific diffusional constraints rather particularities of preferential stabilization of transition states as zeolites changed. With this, by utilizing experimental approaches to tune a molecule transport inside of a solid acid catalyst not only these complex systems are comprehended but also designed for a specific application.</w:t>
      </w:r>
    </w:p>
    <w:p w14:paraId="469AE2BD" w14:textId="77777777" w:rsidR="00CA0F0A" w:rsidRDefault="00CA0F0A" w:rsidP="00682D8B">
      <w:pPr>
        <w:spacing w:line="480" w:lineRule="auto"/>
        <w:jc w:val="both"/>
      </w:pPr>
      <w:r w:rsidRPr="00CC745D">
        <w:tab/>
        <w:t xml:space="preserve">Overall, each approach has its strengths and disadvantages, and the choice depends on the specific research question and the available resources. Certainly, the impacts are not solely related to activity depreciation but also to outcomes relative to the lower transport of reactants and products inside these defined and constrained porous domains. For this, </w:t>
      </w:r>
      <w:r w:rsidRPr="00CC745D">
        <w:lastRenderedPageBreak/>
        <w:t>organic reactions have been studied over zeolites for their large application in industrial processes involving esters, alcohols, and saturated and unsaturated hydrocarbons, and it will be discussed next.</w:t>
      </w:r>
    </w:p>
    <w:p w14:paraId="20073ACD" w14:textId="77777777" w:rsidR="00241B32" w:rsidRPr="00CC745D" w:rsidRDefault="00241B32" w:rsidP="00D840CE">
      <w:pPr>
        <w:spacing w:line="480" w:lineRule="auto"/>
        <w:jc w:val="both"/>
      </w:pPr>
    </w:p>
    <w:p w14:paraId="3EF9508A" w14:textId="6C3F8208" w:rsidR="00CA0F0A" w:rsidRPr="00AB652F" w:rsidRDefault="00CA0F0A" w:rsidP="006C316F">
      <w:pPr>
        <w:pStyle w:val="Heading2"/>
        <w:rPr>
          <w:i w:val="0"/>
          <w:iCs/>
          <w:sz w:val="28"/>
          <w:szCs w:val="28"/>
        </w:rPr>
      </w:pPr>
      <w:bookmarkStart w:id="18" w:name="_Toc132924181"/>
      <w:r w:rsidRPr="00AB652F">
        <w:rPr>
          <w:i w:val="0"/>
          <w:iCs/>
          <w:sz w:val="28"/>
          <w:szCs w:val="28"/>
        </w:rPr>
        <w:t>1.4 Organic Reactions over Acid Catalysts</w:t>
      </w:r>
      <w:bookmarkEnd w:id="18"/>
    </w:p>
    <w:p w14:paraId="7D939CD7" w14:textId="2107B5B3" w:rsidR="00CA0F0A" w:rsidRPr="0025595E" w:rsidRDefault="00CA0F0A" w:rsidP="00D840CE">
      <w:pPr>
        <w:spacing w:line="480" w:lineRule="auto"/>
        <w:jc w:val="both"/>
      </w:pPr>
      <w:r>
        <w:tab/>
      </w:r>
      <w:r w:rsidRPr="0025595E">
        <w:t xml:space="preserve">Organic reactions are chemical transformations that involve the breaking and forming of covalent bonds in organic compounds. These reactions are accelerated by the presence of a catalyst, which facilitates the reaction by lowering the activation energy required for the reaction to occur </w:t>
      </w:r>
      <w:r w:rsidRPr="0025595E">
        <w:fldChar w:fldCharType="begin"/>
      </w:r>
      <w:r w:rsidR="00C54D4B">
        <w:instrText xml:space="preserve"> ADDIN EN.CITE &lt;EndNote&gt;&lt;Cite&gt;&lt;Author&gt;Twigg&lt;/Author&gt;&lt;Year&gt;1989&lt;/Year&gt;&lt;RecNum&gt;235&lt;/RecNum&gt;&lt;DisplayText&gt;[94]&lt;/DisplayText&gt;&lt;record&gt;&lt;rec-number&gt;235&lt;/rec-number&gt;&lt;foreign-keys&gt;&lt;key app="EN" db-id="59dvwrfdof9dw8exf0kvp0atwazsazeeffsp" timestamp="1678073079"&gt;235&lt;/key&gt;&lt;/foreign-keys&gt;&lt;ref-type name="Book"&gt;6&lt;/ref-type&gt;&lt;contributors&gt;&lt;authors&gt;&lt;author&gt;Martyn V. Twigg&lt;/author&gt;&lt;/authors&gt;&lt;/contributors&gt;&lt;titles&gt;&lt;title&gt;Catalyst Handbook&lt;/title&gt;&lt;/titles&gt;&lt;section&gt;608&lt;/section&gt;&lt;dates&gt;&lt;year&gt;1989&lt;/year&gt;&lt;/dates&gt;&lt;pub-location&gt;New York&lt;/pub-location&gt;&lt;urls&gt;&lt;/urls&gt;&lt;electronic-resource-num&gt;https://doi.org/10.1201/9781315138862&lt;/electronic-resource-num&gt;&lt;/record&gt;&lt;/Cite&gt;&lt;/EndNote&gt;</w:instrText>
      </w:r>
      <w:r w:rsidRPr="0025595E">
        <w:fldChar w:fldCharType="separate"/>
      </w:r>
      <w:r w:rsidR="00C54D4B">
        <w:rPr>
          <w:noProof/>
        </w:rPr>
        <w:t>[</w:t>
      </w:r>
      <w:hyperlink w:anchor="_ENREF_94" w:tooltip="Twigg, 1989 #235" w:history="1">
        <w:r w:rsidR="00D307FA">
          <w:rPr>
            <w:noProof/>
          </w:rPr>
          <w:t>94</w:t>
        </w:r>
      </w:hyperlink>
      <w:r w:rsidR="00C54D4B">
        <w:rPr>
          <w:noProof/>
        </w:rPr>
        <w:t>]</w:t>
      </w:r>
      <w:r w:rsidRPr="0025595E">
        <w:fldChar w:fldCharType="end"/>
      </w:r>
      <w:r w:rsidRPr="0025595E">
        <w:t>. Acid catalysts, in particular, are widely used in organic reactions because of its ability in donating a proton to the reacting specie, enhancing the activity and promoting the formation of a desired product. By understanding the mechanisms of these reactions and the role of acid catalysts, scientists develop new and more efficient synthetic routes for the production of valuable organic compounds are developed. In the following paragraphs, aldol condensation and catalytic cracking will be explored in more details, exploring the reaction mechanisms and applications.</w:t>
      </w:r>
    </w:p>
    <w:p w14:paraId="22F4D4BA" w14:textId="06376CE9" w:rsidR="00CA0F0A" w:rsidRPr="000C0C64" w:rsidRDefault="00CA0F0A" w:rsidP="006C316F">
      <w:pPr>
        <w:pStyle w:val="Heading3"/>
        <w:rPr>
          <w:i w:val="0"/>
          <w:iCs/>
          <w:u w:val="single"/>
        </w:rPr>
      </w:pPr>
      <w:r w:rsidRPr="000C0C64">
        <w:rPr>
          <w:i w:val="0"/>
          <w:iCs/>
        </w:rPr>
        <w:tab/>
      </w:r>
      <w:bookmarkStart w:id="19" w:name="_Toc132924182"/>
      <w:r w:rsidRPr="000C0C64">
        <w:rPr>
          <w:i w:val="0"/>
          <w:iCs/>
          <w:u w:val="single"/>
        </w:rPr>
        <w:t>1.4.1 Aldol Condensation</w:t>
      </w:r>
      <w:bookmarkEnd w:id="19"/>
    </w:p>
    <w:p w14:paraId="25919759" w14:textId="1482D298" w:rsidR="00CA0F0A" w:rsidRPr="0025595E" w:rsidRDefault="00CA0F0A" w:rsidP="00D840CE">
      <w:pPr>
        <w:spacing w:line="480" w:lineRule="auto"/>
        <w:jc w:val="both"/>
      </w:pPr>
      <w:r w:rsidRPr="0025595E">
        <w:tab/>
        <w:t xml:space="preserve">Aldol condensation is a type of organic reaction that involves the carbon-carbon coupling of two carbonyl compounds, usually an aldehyde and a ketone, to form a β-hydroxy carbonyl compound, which is commonly referred to as an aldol </w:t>
      </w:r>
      <w:r w:rsidRPr="0025595E">
        <w:fldChar w:fldCharType="begin"/>
      </w:r>
      <w:r w:rsidR="00C54D4B">
        <w:instrText xml:space="preserve"> ADDIN EN.CITE &lt;EndNote&gt;&lt;Cite&gt;&lt;Author&gt;Smith&lt;/Author&gt;&lt;Year&gt;2001&lt;/Year&gt;&lt;RecNum&gt;236&lt;/RecNum&gt;&lt;DisplayText&gt;[95, 96]&lt;/DisplayText&gt;&lt;record&gt;&lt;rec-number&gt;236&lt;/rec-number&gt;&lt;foreign-keys&gt;&lt;key app="EN" db-id="59dvwrfdof9dw8exf0kvp0atwazsazeeffsp" timestamp="1678073254"&gt;236&lt;/key&gt;&lt;/foreign-keys&gt;&lt;ref-type name="Book"&gt;6&lt;/ref-type&gt;&lt;contributors&gt;&lt;authors&gt;&lt;author&gt;Michael B. Smith&lt;/author&gt;&lt;author&gt;Jerry March&lt;/author&gt;&lt;/authors&gt;&lt;/contributors&gt;&lt;titles&gt;&lt;title&gt;March&amp;apos;s Advanced Organic Chemistry: Reactions, Mechanisms, and Structure&lt;/title&gt;&lt;/titles&gt;&lt;section&gt;2083&lt;/section&gt;&lt;dates&gt;&lt;year&gt;2001&lt;/year&gt;&lt;/dates&gt;&lt;publisher&gt;Wiley-Interscience&lt;/publisher&gt;&lt;urls&gt;&lt;/urls&gt;&lt;/record&gt;&lt;/Cite&gt;&lt;Cite&gt;&lt;Author&gt;Nielsen&lt;/Author&gt;&lt;Year&gt;2004&lt;/Year&gt;&lt;RecNum&gt;237&lt;/RecNum&gt;&lt;record&gt;&lt;rec-number&gt;237&lt;/rec-number&gt;&lt;foreign-keys&gt;&lt;key app="EN" db-id="59dvwrfdof9dw8exf0kvp0atwazsazeeffsp" timestamp="1678073489"&gt;237&lt;/key&gt;&lt;/foreign-keys&gt;&lt;ref-type name="Journal Article"&gt;17&lt;/ref-type&gt;&lt;contributors&gt;&lt;authors&gt;&lt;author&gt;Arnold T. Nielsen&lt;/author&gt;&lt;author&gt;William J. Houlihan&lt;/author&gt;&lt;/authors&gt;&lt;/contributors&gt;&lt;titles&gt;&lt;title&gt;The Aldol Condensation&lt;/title&gt;&lt;secondary-title&gt;Organic Reactions&lt;/secondary-title&gt;&lt;/titles&gt;&lt;periodical&gt;&lt;full-title&gt;Organic Reactions&lt;/full-title&gt;&lt;/periodical&gt;&lt;pages&gt;1-438&lt;/pages&gt;&lt;number&gt;16&lt;/number&gt;&lt;dates&gt;&lt;year&gt;2004&lt;/year&gt;&lt;/dates&gt;&lt;urls&gt;&lt;/urls&gt;&lt;/record&gt;&lt;/Cite&gt;&lt;/EndNote&gt;</w:instrText>
      </w:r>
      <w:r w:rsidRPr="0025595E">
        <w:fldChar w:fldCharType="separate"/>
      </w:r>
      <w:r w:rsidR="00C54D4B">
        <w:rPr>
          <w:noProof/>
        </w:rPr>
        <w:t>[</w:t>
      </w:r>
      <w:hyperlink w:anchor="_ENREF_95" w:tooltip="Smith, 2001 #236" w:history="1">
        <w:r w:rsidR="00D307FA">
          <w:rPr>
            <w:noProof/>
          </w:rPr>
          <w:t>95</w:t>
        </w:r>
      </w:hyperlink>
      <w:r w:rsidR="00C54D4B">
        <w:rPr>
          <w:noProof/>
        </w:rPr>
        <w:t xml:space="preserve">, </w:t>
      </w:r>
      <w:hyperlink w:anchor="_ENREF_96" w:tooltip="Nielsen, 2004 #237" w:history="1">
        <w:r w:rsidR="00D307FA">
          <w:rPr>
            <w:noProof/>
          </w:rPr>
          <w:t>96</w:t>
        </w:r>
      </w:hyperlink>
      <w:r w:rsidR="00C54D4B">
        <w:rPr>
          <w:noProof/>
        </w:rPr>
        <w:t>]</w:t>
      </w:r>
      <w:r w:rsidRPr="0025595E">
        <w:fldChar w:fldCharType="end"/>
      </w:r>
      <w:r w:rsidRPr="0025595E">
        <w:t xml:space="preserve">. The aldol product contains both aldehyde and alcohol functional groups in its structure and can easily undergo subsequent dehydration forming an α,β-unsaturated carbonyl compound. This reaction is a powerful tool for the formation of C-C bonds and usually yields products with </w:t>
      </w:r>
      <w:r w:rsidRPr="0025595E">
        <w:lastRenderedPageBreak/>
        <w:t>higher stability, depending on specific functional groups and substitution patterns found in reactants and products.</w:t>
      </w:r>
    </w:p>
    <w:p w14:paraId="5D67F883" w14:textId="77777777" w:rsidR="00CA0F0A" w:rsidRPr="0025595E" w:rsidRDefault="00CA0F0A" w:rsidP="00A15F74">
      <w:pPr>
        <w:spacing w:line="480" w:lineRule="auto"/>
        <w:jc w:val="both"/>
      </w:pPr>
      <w:r w:rsidRPr="0025595E">
        <w:tab/>
        <w:t xml:space="preserve">In an acid-catalyzed reaction, the condensation mechanism initially involves the protonation of the carbonyl group to form an oxonium ion intermediate, commonly referred to as an enol. The electrophilic carbonyl carbon of the oxonium ion then undergoes a nucleophilic attack by a nearby ketone or aldehyde. The resulting intermediate, which is unstable, then undergoes dehydration and </w:t>
      </w:r>
      <w:r w:rsidRPr="00C80AAF">
        <w:t xml:space="preserve">desorption. </w:t>
      </w:r>
      <w:r w:rsidRPr="00C80AAF">
        <w:rPr>
          <w:b/>
          <w:bCs/>
        </w:rPr>
        <w:t>Figure 8</w:t>
      </w:r>
      <w:r w:rsidRPr="00C80AAF">
        <w:t xml:space="preserve"> presents</w:t>
      </w:r>
      <w:r w:rsidRPr="0025595E">
        <w:t xml:space="preserve"> a mechanism scheme to aid the process understanding.</w:t>
      </w:r>
    </w:p>
    <w:p w14:paraId="78B5A8DB" w14:textId="77777777" w:rsidR="00CA0F0A" w:rsidRPr="0025595E" w:rsidRDefault="00CA0F0A" w:rsidP="0043164B">
      <w:pPr>
        <w:jc w:val="center"/>
      </w:pPr>
      <w:r w:rsidRPr="0025595E">
        <w:rPr>
          <w:noProof/>
        </w:rPr>
        <w:drawing>
          <wp:inline distT="0" distB="0" distL="0" distR="0" wp14:anchorId="179AA32A" wp14:editId="625B690D">
            <wp:extent cx="5299932" cy="1280160"/>
            <wp:effectExtent l="0" t="0" r="0" b="0"/>
            <wp:docPr id="8" name="Picture 8"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with low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99932" cy="1280160"/>
                    </a:xfrm>
                    <a:prstGeom prst="rect">
                      <a:avLst/>
                    </a:prstGeom>
                    <a:noFill/>
                  </pic:spPr>
                </pic:pic>
              </a:graphicData>
            </a:graphic>
          </wp:inline>
        </w:drawing>
      </w:r>
    </w:p>
    <w:p w14:paraId="6C1BCFA5" w14:textId="2B86A681" w:rsidR="00CA0F0A" w:rsidRPr="0025595E" w:rsidRDefault="00CA0F0A" w:rsidP="0043164B">
      <w:pPr>
        <w:jc w:val="both"/>
        <w:rPr>
          <w:i/>
          <w:iCs/>
        </w:rPr>
      </w:pPr>
      <w:bookmarkStart w:id="20" w:name="_Toc131948672"/>
      <w:r w:rsidRPr="0025595E">
        <w:rPr>
          <w:b/>
          <w:bCs/>
        </w:rPr>
        <w:t xml:space="preserve">Figure </w:t>
      </w:r>
      <w:r w:rsidRPr="0025595E">
        <w:rPr>
          <w:b/>
          <w:bCs/>
          <w:i/>
          <w:iCs/>
        </w:rPr>
        <w:fldChar w:fldCharType="begin"/>
      </w:r>
      <w:r w:rsidRPr="0025595E">
        <w:rPr>
          <w:b/>
          <w:bCs/>
        </w:rPr>
        <w:instrText xml:space="preserve"> SEQ Figure \* ARABIC </w:instrText>
      </w:r>
      <w:r w:rsidRPr="0025595E">
        <w:rPr>
          <w:b/>
          <w:bCs/>
          <w:i/>
          <w:iCs/>
        </w:rPr>
        <w:fldChar w:fldCharType="separate"/>
      </w:r>
      <w:r w:rsidR="001F4741">
        <w:rPr>
          <w:b/>
          <w:bCs/>
          <w:noProof/>
        </w:rPr>
        <w:t>8</w:t>
      </w:r>
      <w:r w:rsidRPr="0025595E">
        <w:rPr>
          <w:b/>
          <w:bCs/>
          <w:i/>
          <w:iCs/>
        </w:rPr>
        <w:fldChar w:fldCharType="end"/>
      </w:r>
      <w:r w:rsidRPr="0025595E">
        <w:rPr>
          <w:b/>
          <w:bCs/>
        </w:rPr>
        <w:t>:</w:t>
      </w:r>
      <w:r w:rsidRPr="0025595E">
        <w:t xml:space="preserve"> Acid catalyzed ketone aldol condensation reaction mechanism. An illustration.</w:t>
      </w:r>
      <w:bookmarkEnd w:id="20"/>
    </w:p>
    <w:p w14:paraId="4E98A3BF" w14:textId="77777777" w:rsidR="0043164B" w:rsidRDefault="0043164B" w:rsidP="00A15F74">
      <w:pPr>
        <w:spacing w:line="480" w:lineRule="auto"/>
        <w:jc w:val="both"/>
      </w:pPr>
    </w:p>
    <w:p w14:paraId="01F9D0FA" w14:textId="3EB9A95B" w:rsidR="00CA0F0A" w:rsidRPr="0025595E" w:rsidRDefault="00CA0F0A" w:rsidP="00A15F74">
      <w:pPr>
        <w:spacing w:line="480" w:lineRule="auto"/>
        <w:jc w:val="both"/>
      </w:pPr>
      <w:r w:rsidRPr="0025595E">
        <w:tab/>
        <w:t xml:space="preserve">The bimolecular characteristic of this reaction enables the C-C bond formation occurring between either identical reactants (self-aldol condensation) or different reactants (cross-aldol condensation) </w:t>
      </w:r>
      <w:r w:rsidRPr="0025595E">
        <w:fldChar w:fldCharType="begin"/>
      </w:r>
      <w:r w:rsidR="00C54D4B">
        <w:instrText xml:space="preserve"> ADDIN EN.CITE &lt;EndNote&gt;&lt;Cite&gt;&lt;Author&gt;C.&lt;/Author&gt;&lt;Year&gt;1993&lt;/Year&gt;&lt;RecNum&gt;238&lt;/RecNum&gt;&lt;DisplayText&gt;[97]&lt;/DisplayText&gt;&lt;record&gt;&lt;rec-number&gt;238&lt;/rec-number&gt;&lt;foreign-keys&gt;&lt;key app="EN" db-id="59dvwrfdof9dw8exf0kvp0atwazsazeeffsp" timestamp="1678073567"&gt;238&lt;/key&gt;&lt;/foreign-keys&gt;&lt;ref-type name="Journal Article"&gt;17&lt;/ref-type&gt;&lt;contributors&gt;&lt;authors&gt;&lt;author&gt;Yang C.&lt;/author&gt;&lt;author&gt;Meng Z.Y.&lt;/author&gt;&lt;/authors&gt;&lt;/contributors&gt;&lt;titles&gt;&lt;title&gt;Bimolecular Condensation of Ethanol to 1-Butanol Catalyzed by Alkali Cation Zeolites&lt;/title&gt;&lt;secondary-title&gt;Journal of Catalysis&lt;/secondary-title&gt;&lt;/titles&gt;&lt;periodical&gt;&lt;full-title&gt;Journal of Catalysis&lt;/full-title&gt;&lt;/periodical&gt;&lt;pages&gt;37-44&lt;/pages&gt;&lt;volume&gt;142&lt;/volume&gt;&lt;number&gt;1&lt;/number&gt;&lt;dates&gt;&lt;year&gt;1993&lt;/year&gt;&lt;/dates&gt;&lt;urls&gt;&lt;/urls&gt;&lt;electronic-resource-num&gt;https://doi.org/10.1006/jcat.1993.1187&lt;/electronic-resource-num&gt;&lt;/record&gt;&lt;/Cite&gt;&lt;/EndNote&gt;</w:instrText>
      </w:r>
      <w:r w:rsidRPr="0025595E">
        <w:fldChar w:fldCharType="separate"/>
      </w:r>
      <w:r w:rsidR="00C54D4B">
        <w:rPr>
          <w:noProof/>
        </w:rPr>
        <w:t>[</w:t>
      </w:r>
      <w:hyperlink w:anchor="_ENREF_97" w:tooltip="C., 1993 #238" w:history="1">
        <w:r w:rsidR="00D307FA">
          <w:rPr>
            <w:noProof/>
          </w:rPr>
          <w:t>97</w:t>
        </w:r>
      </w:hyperlink>
      <w:r w:rsidR="00C54D4B">
        <w:rPr>
          <w:noProof/>
        </w:rPr>
        <w:t>]</w:t>
      </w:r>
      <w:r w:rsidRPr="0025595E">
        <w:fldChar w:fldCharType="end"/>
      </w:r>
      <w:r w:rsidRPr="0025595E">
        <w:t xml:space="preserve">. Determining factors such as carbonyl reactivity, molecule steric arrangement, feeding concentration, choice of catalyst and operational conditions, resolve the product selectivity distribution when two molecules are cofed together. </w:t>
      </w:r>
    </w:p>
    <w:p w14:paraId="67D2A6D0" w14:textId="53763C7B" w:rsidR="00CA0F0A" w:rsidRPr="0025595E" w:rsidRDefault="00CA0F0A" w:rsidP="00D840CE">
      <w:pPr>
        <w:spacing w:line="480" w:lineRule="auto"/>
        <w:jc w:val="both"/>
      </w:pPr>
      <w:r w:rsidRPr="0025595E">
        <w:tab/>
        <w:t xml:space="preserve">Li et al. conducted a study on the cross-condensation reaction between acetone and cyclopentanone using acid-functionalized mesoporous MCM-41 </w:t>
      </w:r>
      <w:r w:rsidRPr="0025595E">
        <w:fldChar w:fldCharType="begin"/>
      </w:r>
      <w:r w:rsidR="00C54D4B">
        <w:instrText xml:space="preserve"> ADDIN EN.CITE &lt;EndNote&gt;&lt;Cite&gt;&lt;Author&gt;Li&lt;/Author&gt;&lt;Year&gt;2020&lt;/Year&gt;&lt;RecNum&gt;16&lt;/RecNum&gt;&lt;DisplayText&gt;[98]&lt;/DisplayText&gt;&lt;record&gt;&lt;rec-number&gt;16&lt;/rec-number&gt;&lt;foreign-keys&gt;&lt;key app="EN" db-id="59dvwrfdof9dw8exf0kvp0atwazsazeeffsp" timestamp="1667539523"&gt;16&lt;/key&gt;&lt;/foreign-keys&gt;&lt;ref-type name="Journal Article"&gt;17&lt;/ref-type&gt;&lt;contributors&gt;&lt;authors&gt;&lt;author&gt;Gengnan Li&lt;/author&gt;&lt;author&gt;Duong T. Ngo&lt;/author&gt;&lt;author&gt;Yu Yan&lt;/author&gt;&lt;author&gt;Qiaohua Tan&lt;/author&gt;&lt;author&gt;Bin Wang&lt;/author&gt;&lt;author&gt;Daniel E. Resasco&lt;/author&gt;&lt;/authors&gt;&lt;/contributors&gt;&lt;titles&gt;&lt;title&gt;Factors Determining Selectivity of Acid- and Base-Catalyzed Self- and Cross-Condensation of Acetone and Cyclopentanone&lt;/title&gt;&lt;secondary-title&gt;ACS Catalysis&lt;/secondary-title&gt;&lt;/titles&gt;&lt;periodical&gt;&lt;full-title&gt;ACS Catalysis&lt;/full-title&gt;&lt;/periodical&gt;&lt;pages&gt;12790-12800&lt;/pages&gt;&lt;volume&gt;10&lt;/volume&gt;&lt;dates&gt;&lt;year&gt;2020&lt;/year&gt;&lt;/dates&gt;&lt;urls&gt;&lt;/urls&gt;&lt;electronic-resource-num&gt;https://doi.org/10.1021/acscatal.0c02987&lt;/electronic-resource-num&gt;&lt;/record&gt;&lt;/Cite&gt;&lt;/EndNote&gt;</w:instrText>
      </w:r>
      <w:r w:rsidRPr="0025595E">
        <w:fldChar w:fldCharType="separate"/>
      </w:r>
      <w:r w:rsidR="00C54D4B">
        <w:rPr>
          <w:noProof/>
        </w:rPr>
        <w:t>[</w:t>
      </w:r>
      <w:hyperlink w:anchor="_ENREF_98" w:tooltip="Li, 2020 #16" w:history="1">
        <w:r w:rsidR="00D307FA">
          <w:rPr>
            <w:noProof/>
          </w:rPr>
          <w:t>98</w:t>
        </w:r>
      </w:hyperlink>
      <w:r w:rsidR="00C54D4B">
        <w:rPr>
          <w:noProof/>
        </w:rPr>
        <w:t>]</w:t>
      </w:r>
      <w:r w:rsidRPr="0025595E">
        <w:fldChar w:fldCharType="end"/>
      </w:r>
      <w:r w:rsidRPr="0025595E">
        <w:t xml:space="preserve">. Based on experimental results and simulation analysis, the product distribution was found to be influenced by steric hindrance during C-C coupling, the electrophilicity of the adsorbed electrophile, and the acidity of α-C-H in the ketone. The most favored dimer product was </w:t>
      </w:r>
      <w:r w:rsidRPr="0025595E">
        <w:lastRenderedPageBreak/>
        <w:t>formed when adsorbed cyclopentanone reacted with a nearby acetone ([CPO]ACE) due to the greater stability of enol in cyclopentanone and less geometric interference of acetone. Increasing the Bronsted acid site density enhanced the rate of product formation</w:t>
      </w:r>
      <w:r w:rsidR="00617D5F">
        <w:t xml:space="preserve"> </w:t>
      </w:r>
      <w:r w:rsidRPr="0025595E">
        <w:t xml:space="preserve">but did not result in a change in the product distribution. This was attributed to the activation of a second ketone nearby an activated enol, facilitating the C-C coupling between the ketones. </w:t>
      </w:r>
    </w:p>
    <w:p w14:paraId="175668E9" w14:textId="3AC45E14" w:rsidR="00CA0F0A" w:rsidRPr="000C0C64" w:rsidRDefault="00CA0F0A" w:rsidP="006C316F">
      <w:pPr>
        <w:pStyle w:val="Heading3"/>
        <w:rPr>
          <w:i w:val="0"/>
          <w:iCs/>
          <w:u w:val="single"/>
        </w:rPr>
      </w:pPr>
      <w:r w:rsidRPr="00AB652F">
        <w:rPr>
          <w:b/>
          <w:bCs/>
          <w:i w:val="0"/>
          <w:iCs/>
        </w:rPr>
        <w:tab/>
      </w:r>
      <w:bookmarkStart w:id="21" w:name="_Toc132924183"/>
      <w:r w:rsidRPr="000C0C64">
        <w:rPr>
          <w:i w:val="0"/>
          <w:iCs/>
          <w:u w:val="single"/>
        </w:rPr>
        <w:t>1.4.2 Catalytic Cracking</w:t>
      </w:r>
      <w:bookmarkEnd w:id="21"/>
      <w:r w:rsidRPr="000C0C64">
        <w:rPr>
          <w:i w:val="0"/>
          <w:iCs/>
          <w:u w:val="single"/>
        </w:rPr>
        <w:t xml:space="preserve"> </w:t>
      </w:r>
    </w:p>
    <w:p w14:paraId="690379F9" w14:textId="77777777" w:rsidR="00CA0F0A" w:rsidRPr="0025595E" w:rsidRDefault="00CA0F0A" w:rsidP="00D840CE">
      <w:pPr>
        <w:spacing w:line="480" w:lineRule="auto"/>
        <w:jc w:val="both"/>
      </w:pPr>
      <w:r>
        <w:tab/>
      </w:r>
      <w:r w:rsidRPr="0025595E">
        <w:t xml:space="preserve">Catalytic cracking is a reaction used to break down large hydrocarbon species into smaller molecules involving the use of a catalyst, generally a zeolite-based material. This process improves the energy value of the product (gasoline) from crude oil, minimizing waste and reducing the environmental impact of petroleum-based processes. </w:t>
      </w:r>
    </w:p>
    <w:p w14:paraId="456B42AA" w14:textId="7E65F44B" w:rsidR="00CA0F0A" w:rsidRPr="0025595E" w:rsidRDefault="00CA0F0A" w:rsidP="00A15F74">
      <w:pPr>
        <w:spacing w:line="480" w:lineRule="auto"/>
        <w:jc w:val="both"/>
      </w:pPr>
      <w:r w:rsidRPr="0025595E">
        <w:tab/>
        <w:t xml:space="preserve">The cracking reaction mechanism is dependent on the nature of hydrocarbon that undergoes protonation. When an alkane is protonated, it results in the formation of a penta-coordinated carbocation, also known as a carbonium ion, which is highly unstable and prone to undergo protolytic cracking </w:t>
      </w:r>
      <w:r w:rsidRPr="0025595E">
        <w:fldChar w:fldCharType="begin"/>
      </w:r>
      <w:r w:rsidR="00C54D4B">
        <w:instrText xml:space="preserve"> ADDIN EN.CITE &lt;EndNote&gt;&lt;Cite&gt;&lt;Author&gt;Haag&lt;/Author&gt;&lt;Year&gt;1991&lt;/Year&gt;&lt;RecNum&gt;228&lt;/RecNum&gt;&lt;DisplayText&gt;[99, 100]&lt;/DisplayText&gt;&lt;record&gt;&lt;rec-number&gt;228&lt;/rec-number&gt;&lt;foreign-keys&gt;&lt;key app="EN" db-id="59dvwrfdof9dw8exf0kvp0atwazsazeeffsp" timestamp="1677999735"&gt;228&lt;/key&gt;&lt;/foreign-keys&gt;&lt;ref-type name="Journal Article"&gt;17&lt;/ref-type&gt;&lt;contributors&gt;&lt;authors&gt;&lt;author&gt;W.O. Haag&lt;/author&gt;&lt;author&gt;R.M. Dessau&lt;/author&gt;&lt;author&gt;R.M. Lago&lt;/author&gt;&lt;/authors&gt;&lt;/contributors&gt;&lt;titles&gt;&lt;title&gt;Kinetics and Mechanism of Paraffin Cracking with Zeolite Catalysts&lt;/title&gt;&lt;secondary-title&gt;Studies in Surface Science and Catalysis&lt;/secondary-title&gt;&lt;/titles&gt;&lt;periodical&gt;&lt;full-title&gt;Studies in Surface Science and Catalysis&lt;/full-title&gt;&lt;/periodical&gt;&lt;pages&gt;255-265&lt;/pages&gt;&lt;volume&gt;60&lt;/volume&gt;&lt;dates&gt;&lt;year&gt;1991&lt;/year&gt;&lt;/dates&gt;&lt;urls&gt;&lt;/urls&gt;&lt;electronic-resource-num&gt;https://doi.org/10.1016/S0167-2991(08)61903-5&lt;/electronic-resource-num&gt;&lt;/record&gt;&lt;/Cite&gt;&lt;Cite&gt;&lt;Author&gt;Corma&lt;/Author&gt;&lt;Year&gt;1985&lt;/Year&gt;&lt;RecNum&gt;239&lt;/RecNum&gt;&lt;record&gt;&lt;rec-number&gt;239&lt;/rec-number&gt;&lt;foreign-keys&gt;&lt;key app="EN" db-id="59dvwrfdof9dw8exf0kvp0atwazsazeeffsp" timestamp="1678074360"&gt;239&lt;/key&gt;&lt;/foreign-keys&gt;&lt;ref-type name="Journal Article"&gt;17&lt;/ref-type&gt;&lt;contributors&gt;&lt;authors&gt;&lt;author&gt;A. Corma&lt;/author&gt;&lt;author&gt;B. W. Wojciechowski&lt;/author&gt;&lt;/authors&gt;&lt;/contributors&gt;&lt;titles&gt;&lt;title&gt;The Chemistry of Catalytic Cracking&lt;/title&gt;&lt;secondary-title&gt;Catalysis Letters&lt;/secondary-title&gt;&lt;/titles&gt;&lt;periodical&gt;&lt;full-title&gt;Catalysis Letters&lt;/full-title&gt;&lt;/periodical&gt;&lt;pages&gt;29-150&lt;/pages&gt;&lt;volume&gt;27&lt;/volume&gt;&lt;number&gt;1&lt;/number&gt;&lt;dates&gt;&lt;year&gt;1985&lt;/year&gt;&lt;/dates&gt;&lt;urls&gt;&lt;/urls&gt;&lt;electronic-resource-num&gt;https://doi.org/10.1080/01614948509342358&lt;/electronic-resource-num&gt;&lt;/record&gt;&lt;/Cite&gt;&lt;/EndNote&gt;</w:instrText>
      </w:r>
      <w:r w:rsidRPr="0025595E">
        <w:fldChar w:fldCharType="separate"/>
      </w:r>
      <w:r w:rsidR="00C54D4B">
        <w:rPr>
          <w:noProof/>
        </w:rPr>
        <w:t>[</w:t>
      </w:r>
      <w:hyperlink w:anchor="_ENREF_99" w:tooltip="Haag, 1991 #228" w:history="1">
        <w:r w:rsidR="00D307FA">
          <w:rPr>
            <w:noProof/>
          </w:rPr>
          <w:t>99</w:t>
        </w:r>
      </w:hyperlink>
      <w:r w:rsidR="00C54D4B">
        <w:rPr>
          <w:noProof/>
        </w:rPr>
        <w:t xml:space="preserve">, </w:t>
      </w:r>
      <w:hyperlink w:anchor="_ENREF_100" w:tooltip="Corma, 1985 #239" w:history="1">
        <w:r w:rsidR="00D307FA">
          <w:rPr>
            <w:noProof/>
          </w:rPr>
          <w:t>100</w:t>
        </w:r>
      </w:hyperlink>
      <w:r w:rsidR="00C54D4B">
        <w:rPr>
          <w:noProof/>
        </w:rPr>
        <w:t>]</w:t>
      </w:r>
      <w:r w:rsidRPr="0025595E">
        <w:fldChar w:fldCharType="end"/>
      </w:r>
      <w:r w:rsidRPr="0025595E">
        <w:t xml:space="preserve">. This instability is attributed to the significant steric strains created by the five bonded atoms surrounding the positively charged carbon, leading to further rearrangement or C-C cleavage between the carbocation and the carbon adjacent to it. A resulting alkene molecule is generated together with an adsorbed carbenium ion. This later specie can desorb from the catalyst surface or receive a hydrogen atom from a nearby molecule, usually a large hydrocarbon which can sustain a carbocation in its structure. This reaction is known as H-transfer and it produces an alkane and a carbenium ion that remains on the catalyst surface; however, this reaction is only likely to occur when the local concentration of saturated hydrocarbons is high </w:t>
      </w:r>
      <w:r w:rsidRPr="0025595E">
        <w:fldChar w:fldCharType="begin"/>
      </w:r>
      <w:r w:rsidR="00C54D4B">
        <w:instrText xml:space="preserve"> ADDIN EN.CITE &lt;EndNote&gt;&lt;Cite&gt;&lt;Author&gt;CUMMING&lt;/Author&gt;&lt;Year&gt;1996&lt;/Year&gt;&lt;RecNum&gt;225&lt;/RecNum&gt;&lt;DisplayText&gt;[93]&lt;/DisplayText&gt;&lt;record&gt;&lt;rec-number&gt;225&lt;/rec-number&gt;&lt;foreign-keys&gt;&lt;key app="EN" db-id="59dvwrfdof9dw8exf0kvp0atwazsazeeffsp" timestamp="1677805661"&gt;225&lt;/key&gt;&lt;/foreign-keys&gt;&lt;ref-type name="Journal Article"&gt;17&lt;/ref-type&gt;&lt;contributors&gt;&lt;authors&gt;&lt;author&gt;K. A. CUMMING&lt;/author&gt;&lt;author&gt;W. WOJCIECHOWSKI&lt;/author&gt;&lt;/authors&gt;&lt;/contributors&gt;&lt;titles&gt;&lt;title&gt;Hydrogen Transfer, Coke Formation, and Catalyst Decay and Their Role in the Chain Mechanism of Catalytic Cracking&lt;/title&gt;&lt;secondary-title&gt;Catalysis Letters&lt;/secondary-title&gt;&lt;/titles&gt;&lt;periodical&gt;&lt;full-title&gt;Catalysis Letters&lt;/full-title&gt;&lt;/periodical&gt;&lt;pages&gt;101-157&lt;/pages&gt;&lt;volume&gt;38&lt;/volume&gt;&lt;dates&gt;&lt;year&gt;1996&lt;/year&gt;&lt;/dates&gt;&lt;urls&gt;&lt;/urls&gt;&lt;electronic-resource-num&gt;https://doi.org/10.1080/01614949608006455&lt;/electronic-resource-num&gt;&lt;/record&gt;&lt;/Cite&gt;&lt;/EndNote&gt;</w:instrText>
      </w:r>
      <w:r w:rsidRPr="0025595E">
        <w:fldChar w:fldCharType="separate"/>
      </w:r>
      <w:r w:rsidR="00C54D4B">
        <w:rPr>
          <w:noProof/>
        </w:rPr>
        <w:t>[</w:t>
      </w:r>
      <w:hyperlink w:anchor="_ENREF_93" w:tooltip="CUMMING, 1996 #225" w:history="1">
        <w:r w:rsidR="00D307FA">
          <w:rPr>
            <w:noProof/>
          </w:rPr>
          <w:t>93</w:t>
        </w:r>
      </w:hyperlink>
      <w:r w:rsidR="00C54D4B">
        <w:rPr>
          <w:noProof/>
        </w:rPr>
        <w:t>]</w:t>
      </w:r>
      <w:r w:rsidRPr="0025595E">
        <w:fldChar w:fldCharType="end"/>
      </w:r>
      <w:r w:rsidRPr="0025595E">
        <w:t xml:space="preserve">. A termination step of this reaction chain is when the carbenium ion molecule donates a proton </w:t>
      </w:r>
      <w:r w:rsidRPr="0025595E">
        <w:lastRenderedPageBreak/>
        <w:t>and desorbs as an alkene. This reaction mechanism started from a carbonium ion specie is denoted in literature as protolytic cracking.</w:t>
      </w:r>
    </w:p>
    <w:p w14:paraId="3EE93B3D" w14:textId="53CB272B" w:rsidR="00CA0F0A" w:rsidRPr="00C80AAF" w:rsidRDefault="00CA0F0A" w:rsidP="00A15F74">
      <w:pPr>
        <w:spacing w:line="480" w:lineRule="auto"/>
        <w:jc w:val="both"/>
      </w:pPr>
      <w:r w:rsidRPr="0025595E">
        <w:tab/>
        <w:t xml:space="preserve">In the case an alkene is protonated, or an alkane serves as a H-donor specie, the resulting carbocation is a carbenium ion, which is a positively charged carbon with three bonds and a vacant fourth bond </w:t>
      </w:r>
      <w:r w:rsidRPr="0025595E">
        <w:fldChar w:fldCharType="begin"/>
      </w:r>
      <w:r w:rsidR="00C54D4B">
        <w:instrText xml:space="preserve"> ADDIN EN.CITE &lt;EndNote&gt;&lt;Cite&gt;&lt;Author&gt;Corma&lt;/Author&gt;&lt;Year&gt;1985&lt;/Year&gt;&lt;RecNum&gt;239&lt;/RecNum&gt;&lt;DisplayText&gt;[93, 100]&lt;/DisplayText&gt;&lt;record&gt;&lt;rec-number&gt;239&lt;/rec-number&gt;&lt;foreign-keys&gt;&lt;key app="EN" db-id="59dvwrfdof9dw8exf0kvp0atwazsazeeffsp" timestamp="1678074360"&gt;239&lt;/key&gt;&lt;/foreign-keys&gt;&lt;ref-type name="Journal Article"&gt;17&lt;/ref-type&gt;&lt;contributors&gt;&lt;authors&gt;&lt;author&gt;A. Corma&lt;/author&gt;&lt;author&gt;B. W. Wojciechowski&lt;/author&gt;&lt;/authors&gt;&lt;/contributors&gt;&lt;titles&gt;&lt;title&gt;The Chemistry of Catalytic Cracking&lt;/title&gt;&lt;secondary-title&gt;Catalysis Letters&lt;/secondary-title&gt;&lt;/titles&gt;&lt;periodical&gt;&lt;full-title&gt;Catalysis Letters&lt;/full-title&gt;&lt;/periodical&gt;&lt;pages&gt;29-150&lt;/pages&gt;&lt;volume&gt;27&lt;/volume&gt;&lt;number&gt;1&lt;/number&gt;&lt;dates&gt;&lt;year&gt;1985&lt;/year&gt;&lt;/dates&gt;&lt;urls&gt;&lt;/urls&gt;&lt;electronic-resource-num&gt;https://doi.org/10.1080/01614948509342358&lt;/electronic-resource-num&gt;&lt;/record&gt;&lt;/Cite&gt;&lt;Cite&gt;&lt;Author&gt;CUMMING&lt;/Author&gt;&lt;Year&gt;1996&lt;/Year&gt;&lt;RecNum&gt;225&lt;/RecNum&gt;&lt;record&gt;&lt;rec-number&gt;225&lt;/rec-number&gt;&lt;foreign-keys&gt;&lt;key app="EN" db-id="59dvwrfdof9dw8exf0kvp0atwazsazeeffsp" timestamp="1677805661"&gt;225&lt;/key&gt;&lt;/foreign-keys&gt;&lt;ref-type name="Journal Article"&gt;17&lt;/ref-type&gt;&lt;contributors&gt;&lt;authors&gt;&lt;author&gt;K. A. CUMMING&lt;/author&gt;&lt;author&gt;W. WOJCIECHOWSKI&lt;/author&gt;&lt;/authors&gt;&lt;/contributors&gt;&lt;titles&gt;&lt;title&gt;Hydrogen Transfer, Coke Formation, and Catalyst Decay and Their Role in the Chain Mechanism of Catalytic Cracking&lt;/title&gt;&lt;secondary-title&gt;Catalysis Letters&lt;/secondary-title&gt;&lt;/titles&gt;&lt;periodical&gt;&lt;full-title&gt;Catalysis Letters&lt;/full-title&gt;&lt;/periodical&gt;&lt;pages&gt;101-157&lt;/pages&gt;&lt;volume&gt;38&lt;/volume&gt;&lt;dates&gt;&lt;year&gt;1996&lt;/year&gt;&lt;/dates&gt;&lt;urls&gt;&lt;/urls&gt;&lt;electronic-resource-num&gt;https://doi.org/10.1080/01614949608006455&lt;/electronic-resource-num&gt;&lt;/record&gt;&lt;/Cite&gt;&lt;/EndNote&gt;</w:instrText>
      </w:r>
      <w:r w:rsidRPr="0025595E">
        <w:fldChar w:fldCharType="separate"/>
      </w:r>
      <w:r w:rsidR="00C54D4B">
        <w:rPr>
          <w:noProof/>
        </w:rPr>
        <w:t>[</w:t>
      </w:r>
      <w:hyperlink w:anchor="_ENREF_93" w:tooltip="CUMMING, 1996 #225" w:history="1">
        <w:r w:rsidR="00D307FA">
          <w:rPr>
            <w:noProof/>
          </w:rPr>
          <w:t>93</w:t>
        </w:r>
      </w:hyperlink>
      <w:r w:rsidR="00C54D4B">
        <w:rPr>
          <w:noProof/>
        </w:rPr>
        <w:t xml:space="preserve">, </w:t>
      </w:r>
      <w:hyperlink w:anchor="_ENREF_100" w:tooltip="Corma, 1985 #239" w:history="1">
        <w:r w:rsidR="00D307FA">
          <w:rPr>
            <w:noProof/>
          </w:rPr>
          <w:t>100</w:t>
        </w:r>
      </w:hyperlink>
      <w:r w:rsidR="00C54D4B">
        <w:rPr>
          <w:noProof/>
        </w:rPr>
        <w:t>]</w:t>
      </w:r>
      <w:r w:rsidRPr="0025595E">
        <w:fldChar w:fldCharType="end"/>
      </w:r>
      <w:r w:rsidRPr="0025595E">
        <w:t xml:space="preserve">. This vacancy causes a high degree of instability, similar to the carbonium ion, making it a highly reactive and short-lived specie </w:t>
      </w:r>
      <w:r w:rsidRPr="0025595E">
        <w:fldChar w:fldCharType="begin"/>
      </w:r>
      <w:r w:rsidR="00C54D4B">
        <w:instrText xml:space="preserve"> ADDIN EN.CITE &lt;EndNote&gt;&lt;Cite&gt;&lt;Author&gt;Haag&lt;/Author&gt;&lt;Year&gt;1991&lt;/Year&gt;&lt;RecNum&gt;228&lt;/RecNum&gt;&lt;DisplayText&gt;[99]&lt;/DisplayText&gt;&lt;record&gt;&lt;rec-number&gt;228&lt;/rec-number&gt;&lt;foreign-keys&gt;&lt;key app="EN" db-id="59dvwrfdof9dw8exf0kvp0atwazsazeeffsp" timestamp="1677999735"&gt;228&lt;/key&gt;&lt;/foreign-keys&gt;&lt;ref-type name="Journal Article"&gt;17&lt;/ref-type&gt;&lt;contributors&gt;&lt;authors&gt;&lt;author&gt;W.O. Haag&lt;/author&gt;&lt;author&gt;R.M. Dessau&lt;/author&gt;&lt;author&gt;R.M. Lago&lt;/author&gt;&lt;/authors&gt;&lt;/contributors&gt;&lt;titles&gt;&lt;title&gt;Kinetics and Mechanism of Paraffin Cracking with Zeolite Catalysts&lt;/title&gt;&lt;secondary-title&gt;Studies in Surface Science and Catalysis&lt;/secondary-title&gt;&lt;/titles&gt;&lt;periodical&gt;&lt;full-title&gt;Studies in Surface Science and Catalysis&lt;/full-title&gt;&lt;/periodical&gt;&lt;pages&gt;255-265&lt;/pages&gt;&lt;volume&gt;60&lt;/volume&gt;&lt;dates&gt;&lt;year&gt;1991&lt;/year&gt;&lt;/dates&gt;&lt;urls&gt;&lt;/urls&gt;&lt;electronic-resource-num&gt;https://doi.org/10.1016/S0167-2991(08)61903-5&lt;/electronic-resource-num&gt;&lt;/record&gt;&lt;/Cite&gt;&lt;/EndNote&gt;</w:instrText>
      </w:r>
      <w:r w:rsidRPr="0025595E">
        <w:fldChar w:fldCharType="separate"/>
      </w:r>
      <w:r w:rsidR="00C54D4B">
        <w:rPr>
          <w:noProof/>
        </w:rPr>
        <w:t>[</w:t>
      </w:r>
      <w:hyperlink w:anchor="_ENREF_99" w:tooltip="Haag, 1991 #228" w:history="1">
        <w:r w:rsidR="00D307FA">
          <w:rPr>
            <w:noProof/>
          </w:rPr>
          <w:t>99</w:t>
        </w:r>
      </w:hyperlink>
      <w:r w:rsidR="00C54D4B">
        <w:rPr>
          <w:noProof/>
        </w:rPr>
        <w:t>]</w:t>
      </w:r>
      <w:r w:rsidRPr="0025595E">
        <w:fldChar w:fldCharType="end"/>
      </w:r>
      <w:r w:rsidRPr="0025595E">
        <w:t xml:space="preserve">. Analogous to protolytic cracking the carbon-carbon bond cleavage occurs between the carbocation and its adjacent carbon neighbor, resulting in a desorbed alkene and a carbenium ion specie that adsorbed in the surface. Depending on the nature of the reactant feed, H-donor species concentration around the site environment, and the carbenium ion surface coverage, H-transfer is likely to occur, or the carbenium ion may react with a </w:t>
      </w:r>
      <w:r w:rsidRPr="00C80AAF">
        <w:t>nucleophile, losing its positive charge and terminating the reaction chain.</w:t>
      </w:r>
    </w:p>
    <w:p w14:paraId="149277F1" w14:textId="77777777" w:rsidR="00CA0F0A" w:rsidRDefault="00CA0F0A" w:rsidP="00A15F74">
      <w:pPr>
        <w:spacing w:line="480" w:lineRule="auto"/>
        <w:jc w:val="both"/>
      </w:pPr>
      <w:r w:rsidRPr="00C80AAF">
        <w:tab/>
      </w:r>
      <w:r w:rsidRPr="00C80AAF">
        <w:rPr>
          <w:b/>
          <w:bCs/>
        </w:rPr>
        <w:t>Figure 9</w:t>
      </w:r>
      <w:r w:rsidRPr="00C80AAF">
        <w:t xml:space="preserve"> exemplifies</w:t>
      </w:r>
      <w:r w:rsidRPr="0025595E">
        <w:t xml:space="preserve"> the conventional understanding of the catalytic cracking of reaction pathways through a carbenium and a carbonium ion for a certain alkane molecule RH.</w:t>
      </w:r>
    </w:p>
    <w:p w14:paraId="625AAD9C" w14:textId="77777777" w:rsidR="00A86DC5" w:rsidRDefault="00A86DC5" w:rsidP="00A15F74">
      <w:pPr>
        <w:spacing w:line="480" w:lineRule="auto"/>
        <w:jc w:val="both"/>
      </w:pPr>
    </w:p>
    <w:p w14:paraId="18CA17FE" w14:textId="77777777" w:rsidR="00A86DC5" w:rsidRDefault="00A86DC5" w:rsidP="00A15F74">
      <w:pPr>
        <w:spacing w:line="480" w:lineRule="auto"/>
        <w:jc w:val="both"/>
      </w:pPr>
    </w:p>
    <w:p w14:paraId="521017CA" w14:textId="77777777" w:rsidR="00CA0F0A" w:rsidRPr="00617D5F" w:rsidRDefault="00CA0F0A" w:rsidP="00617D5F">
      <w:pPr>
        <w:jc w:val="center"/>
      </w:pPr>
      <w:r w:rsidRPr="00617D5F">
        <w:rPr>
          <w:noProof/>
        </w:rPr>
        <w:lastRenderedPageBreak/>
        <w:drawing>
          <wp:inline distT="0" distB="0" distL="0" distR="0" wp14:anchorId="13E8AEEF" wp14:editId="66DECDF4">
            <wp:extent cx="5521071" cy="2468880"/>
            <wp:effectExtent l="0" t="0" r="381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21071" cy="2468880"/>
                    </a:xfrm>
                    <a:prstGeom prst="rect">
                      <a:avLst/>
                    </a:prstGeom>
                    <a:noFill/>
                  </pic:spPr>
                </pic:pic>
              </a:graphicData>
            </a:graphic>
          </wp:inline>
        </w:drawing>
      </w:r>
    </w:p>
    <w:p w14:paraId="4E6D85E9" w14:textId="6BF4F9AB" w:rsidR="00CA0F0A" w:rsidRPr="00617D5F" w:rsidRDefault="00CA0F0A" w:rsidP="00617D5F">
      <w:pPr>
        <w:jc w:val="both"/>
      </w:pPr>
      <w:bookmarkStart w:id="22" w:name="_Toc131948673"/>
      <w:r w:rsidRPr="00617D5F">
        <w:rPr>
          <w:b/>
          <w:bCs/>
        </w:rPr>
        <w:t xml:space="preserve">Figure </w:t>
      </w:r>
      <w:r w:rsidRPr="00617D5F">
        <w:rPr>
          <w:b/>
          <w:bCs/>
        </w:rPr>
        <w:fldChar w:fldCharType="begin"/>
      </w:r>
      <w:r w:rsidRPr="00617D5F">
        <w:rPr>
          <w:b/>
          <w:bCs/>
        </w:rPr>
        <w:instrText xml:space="preserve"> SEQ Figure \* ARABIC </w:instrText>
      </w:r>
      <w:r w:rsidRPr="00617D5F">
        <w:rPr>
          <w:b/>
          <w:bCs/>
        </w:rPr>
        <w:fldChar w:fldCharType="separate"/>
      </w:r>
      <w:r w:rsidR="001F4741">
        <w:rPr>
          <w:b/>
          <w:bCs/>
          <w:noProof/>
        </w:rPr>
        <w:t>9</w:t>
      </w:r>
      <w:r w:rsidRPr="00617D5F">
        <w:rPr>
          <w:b/>
          <w:bCs/>
        </w:rPr>
        <w:fldChar w:fldCharType="end"/>
      </w:r>
      <w:r w:rsidRPr="00617D5F">
        <w:rPr>
          <w:b/>
          <w:bCs/>
        </w:rPr>
        <w:t>:</w:t>
      </w:r>
      <w:r w:rsidRPr="00617D5F">
        <w:t xml:space="preserve"> a) classical cracking mechanism for an alkane molecule (RH) consisting of a H-transfer step to an absorbed carbenium ion (R1</w:t>
      </w:r>
      <w:r w:rsidRPr="00617D5F">
        <w:rPr>
          <w:vertAlign w:val="superscript"/>
        </w:rPr>
        <w:t>+</w:t>
      </w:r>
      <w:r w:rsidRPr="00617D5F">
        <w:t xml:space="preserve"> followed by β-scission; b) cracking mechanism for an alkane molecule (HR) proceeding via carbonium ion route. Adapted from Ref </w:t>
      </w:r>
      <w:r w:rsidRPr="00617D5F">
        <w:fldChar w:fldCharType="begin"/>
      </w:r>
      <w:r w:rsidR="00C54D4B" w:rsidRPr="00617D5F">
        <w:instrText xml:space="preserve"> ADDIN EN.CITE &lt;EndNote&gt;&lt;Cite&gt;&lt;Author&gt;Kotrel&lt;/Author&gt;&lt;Year&gt;2000&lt;/Year&gt;&lt;RecNum&gt;227&lt;/RecNum&gt;&lt;DisplayText&gt;[101]&lt;/DisplayText&gt;&lt;record&gt;&lt;rec-number&gt;227&lt;/rec-number&gt;&lt;foreign-keys&gt;&lt;key app="EN" db-id="59dvwrfdof9dw8exf0kvp0atwazsazeeffsp" timestamp="1677998757"&gt;227&lt;/key&gt;&lt;/foreign-keys&gt;&lt;ref-type name="Journal Article"&gt;17&lt;/ref-type&gt;&lt;contributors&gt;&lt;authors&gt;&lt;author&gt;S. Kotrel&lt;/author&gt;&lt;author&gt;H. Knözinger&lt;/author&gt;&lt;author&gt;B.C. Gates&lt;/author&gt;&lt;/authors&gt;&lt;/contributors&gt;&lt;titles&gt;&lt;title&gt;The Haag–Dessau mechanism of protolytic cracking of alkanes&lt;/title&gt;&lt;secondary-title&gt;Microporous and Mesoporous Materials&lt;/secondary-title&gt;&lt;/titles&gt;&lt;periodical&gt;&lt;full-title&gt;Microporous and Mesoporous Materials&lt;/full-title&gt;&lt;/periodical&gt;&lt;pages&gt;11-20&lt;/pages&gt;&lt;volume&gt;35-36&lt;/volume&gt;&lt;dates&gt;&lt;year&gt;2000&lt;/year&gt;&lt;/dates&gt;&lt;urls&gt;&lt;/urls&gt;&lt;electronic-resource-num&gt;https://doi.org/10.1016/S1387-1811(99)00204-8&lt;/electronic-resource-num&gt;&lt;/record&gt;&lt;/Cite&gt;&lt;/EndNote&gt;</w:instrText>
      </w:r>
      <w:r w:rsidRPr="00617D5F">
        <w:fldChar w:fldCharType="separate"/>
      </w:r>
      <w:r w:rsidR="00C54D4B" w:rsidRPr="00617D5F">
        <w:rPr>
          <w:noProof/>
        </w:rPr>
        <w:t>[</w:t>
      </w:r>
      <w:hyperlink w:anchor="_ENREF_101" w:tooltip="Kotrel, 2000 #227" w:history="1">
        <w:r w:rsidR="00D307FA" w:rsidRPr="00617D5F">
          <w:rPr>
            <w:noProof/>
          </w:rPr>
          <w:t>101</w:t>
        </w:r>
      </w:hyperlink>
      <w:r w:rsidR="00C54D4B" w:rsidRPr="00617D5F">
        <w:rPr>
          <w:noProof/>
        </w:rPr>
        <w:t>]</w:t>
      </w:r>
      <w:r w:rsidRPr="00617D5F">
        <w:fldChar w:fldCharType="end"/>
      </w:r>
      <w:r w:rsidRPr="00617D5F">
        <w:t>.</w:t>
      </w:r>
      <w:bookmarkEnd w:id="22"/>
    </w:p>
    <w:p w14:paraId="64C93809" w14:textId="77777777" w:rsidR="00617D5F" w:rsidRDefault="00617D5F" w:rsidP="00A15F74">
      <w:pPr>
        <w:spacing w:line="480" w:lineRule="auto"/>
        <w:jc w:val="both"/>
      </w:pPr>
    </w:p>
    <w:p w14:paraId="5AB71A34" w14:textId="363897E5" w:rsidR="00CA0F0A" w:rsidRPr="0025595E" w:rsidRDefault="00CA0F0A" w:rsidP="00A15F74">
      <w:pPr>
        <w:spacing w:line="480" w:lineRule="auto"/>
        <w:jc w:val="both"/>
      </w:pPr>
      <w:r w:rsidRPr="0025595E">
        <w:tab/>
        <w:t xml:space="preserve">An important remark in regards of the H-transfer step is the stability of the resulting intermediate. Smaller molecules are less likely to donate a proton to an adsorbed carbenium ion for its instability in supporting a positive charge in its structure, instead, large and more substituted hydrocarbons are preferential to exert this functionality </w:t>
      </w:r>
      <w:r w:rsidRPr="0025595E">
        <w:fldChar w:fldCharType="begin"/>
      </w:r>
      <w:r w:rsidR="00C54D4B">
        <w:instrText xml:space="preserve"> ADDIN EN.CITE &lt;EndNote&gt;&lt;Cite&gt;&lt;Author&gt;Haag&lt;/Author&gt;&lt;Year&gt;1981&lt;/Year&gt;&lt;RecNum&gt;229&lt;/RecNum&gt;&lt;DisplayText&gt;[102, 103]&lt;/DisplayText&gt;&lt;record&gt;&lt;rec-number&gt;229&lt;/rec-number&gt;&lt;foreign-keys&gt;&lt;key app="EN" db-id="59dvwrfdof9dw8exf0kvp0atwazsazeeffsp" timestamp="1678001319"&gt;229&lt;/key&gt;&lt;/foreign-keys&gt;&lt;ref-type name="Journal Article"&gt;17&lt;/ref-type&gt;&lt;contributors&gt;&lt;authors&gt;&lt;author&gt;Werner O. Haag&lt;/author&gt;&lt;author&gt;Rudolph M. Lago&lt;/author&gt;&lt;author&gt;Paul B. Weisz  &lt;/author&gt;&lt;/authors&gt;&lt;/contributors&gt;&lt;titles&gt;&lt;title&gt;Transport and reactivity of hydrocarbon molecules in a shape-selective zeolite&lt;/title&gt;&lt;secondary-title&gt;Faraday Discussions of the Chemical Society&lt;/secondary-title&gt;&lt;/titles&gt;&lt;periodical&gt;&lt;full-title&gt;Faraday Discussions of the Chemical Society&lt;/full-title&gt;&lt;/periodical&gt;&lt;pages&gt;317-330&lt;/pages&gt;&lt;volume&gt;72&lt;/volume&gt;&lt;dates&gt;&lt;year&gt;1981&lt;/year&gt;&lt;/dates&gt;&lt;urls&gt;&lt;/urls&gt;&lt;electronic-resource-num&gt;https://doi.org/10.1039/DC9817200317&lt;/electronic-resource-num&gt;&lt;/record&gt;&lt;/Cite&gt;&lt;Cite&gt;&lt;Author&gt;Anslyn&lt;/Author&gt;&lt;Year&gt;2005&lt;/Year&gt;&lt;RecNum&gt;240&lt;/RecNum&gt;&lt;record&gt;&lt;rec-number&gt;240&lt;/rec-number&gt;&lt;foreign-keys&gt;&lt;key app="EN" db-id="59dvwrfdof9dw8exf0kvp0atwazsazeeffsp" timestamp="1678076207"&gt;240&lt;/key&gt;&lt;/foreign-keys&gt;&lt;ref-type name="Book"&gt;6&lt;/ref-type&gt;&lt;contributors&gt;&lt;authors&gt;&lt;author&gt;Eric V. Anslyn&lt;/author&gt;&lt;author&gt;Dennis A. Dougherty&lt;/author&gt;&lt;/authors&gt;&lt;/contributors&gt;&lt;titles&gt;&lt;title&gt;Modern Physical Organic Chemistry&lt;/title&gt;&lt;/titles&gt;&lt;section&gt;1104&lt;/section&gt;&lt;dates&gt;&lt;year&gt;2005&lt;/year&gt;&lt;/dates&gt;&lt;publisher&gt;University Science&lt;/publisher&gt;&lt;urls&gt;&lt;/urls&gt;&lt;/record&gt;&lt;/Cite&gt;&lt;/EndNote&gt;</w:instrText>
      </w:r>
      <w:r w:rsidRPr="0025595E">
        <w:fldChar w:fldCharType="separate"/>
      </w:r>
      <w:r w:rsidR="00C54D4B">
        <w:rPr>
          <w:noProof/>
        </w:rPr>
        <w:t>[</w:t>
      </w:r>
      <w:hyperlink w:anchor="_ENREF_102" w:tooltip="Haag, 1981 #229" w:history="1">
        <w:r w:rsidR="00D307FA">
          <w:rPr>
            <w:noProof/>
          </w:rPr>
          <w:t>102</w:t>
        </w:r>
      </w:hyperlink>
      <w:r w:rsidR="00C54D4B">
        <w:rPr>
          <w:noProof/>
        </w:rPr>
        <w:t xml:space="preserve">, </w:t>
      </w:r>
      <w:hyperlink w:anchor="_ENREF_103" w:tooltip="Anslyn, 2005 #240" w:history="1">
        <w:r w:rsidR="00D307FA">
          <w:rPr>
            <w:noProof/>
          </w:rPr>
          <w:t>103</w:t>
        </w:r>
      </w:hyperlink>
      <w:r w:rsidR="00C54D4B">
        <w:rPr>
          <w:noProof/>
        </w:rPr>
        <w:t>]</w:t>
      </w:r>
      <w:r w:rsidRPr="0025595E">
        <w:fldChar w:fldCharType="end"/>
      </w:r>
      <w:r w:rsidRPr="0025595E">
        <w:t xml:space="preserve">. Also, the presence of coking or bulk carbonaceous species serve as a hydrogen supply to these adsorbed species </w:t>
      </w:r>
      <w:r w:rsidRPr="0025595E">
        <w:fldChar w:fldCharType="begin"/>
      </w:r>
      <w:r w:rsidR="00C54D4B">
        <w:instrText xml:space="preserve"> ADDIN EN.CITE &lt;EndNote&gt;&lt;Cite&gt;&lt;Author&gt;Gould&lt;/Author&gt;&lt;Year&gt;2007&lt;/Year&gt;&lt;RecNum&gt;241&lt;/RecNum&gt;&lt;DisplayText&gt;[104]&lt;/DisplayText&gt;&lt;record&gt;&lt;rec-number&gt;241&lt;/rec-number&gt;&lt;foreign-keys&gt;&lt;key app="EN" db-id="59dvwrfdof9dw8exf0kvp0atwazsazeeffsp" timestamp="1678076571"&gt;241&lt;/key&gt;&lt;/foreign-keys&gt;&lt;ref-type name="Journal Article"&gt;17&lt;/ref-type&gt;&lt;contributors&gt;&lt;authors&gt;&lt;author&gt;Kenneth A. Gould&lt;/author&gt;&lt;author&gt;Irwin A. Wiehe&lt;/author&gt;&lt;/authors&gt;&lt;/contributors&gt;&lt;titles&gt;&lt;title&gt;Natural Hydrogen Donors in Petroleum Resids&lt;/title&gt;&lt;secondary-title&gt;Energy &amp;amp; Fuels&lt;/secondary-title&gt;&lt;/titles&gt;&lt;periodical&gt;&lt;full-title&gt;Energy &amp;amp; Fuels&lt;/full-title&gt;&lt;/periodical&gt;&lt;pages&gt;1199-1204&lt;/pages&gt;&lt;volume&gt;21&lt;/volume&gt;&lt;number&gt;3&lt;/number&gt;&lt;dates&gt;&lt;year&gt;2007&lt;/year&gt;&lt;/dates&gt;&lt;urls&gt;&lt;/urls&gt;&lt;electronic-resource-num&gt;https://doi.org/10.1021/ef060349t&lt;/electronic-resource-num&gt;&lt;/record&gt;&lt;/Cite&gt;&lt;/EndNote&gt;</w:instrText>
      </w:r>
      <w:r w:rsidRPr="0025595E">
        <w:fldChar w:fldCharType="separate"/>
      </w:r>
      <w:r w:rsidR="00C54D4B">
        <w:rPr>
          <w:noProof/>
        </w:rPr>
        <w:t>[</w:t>
      </w:r>
      <w:hyperlink w:anchor="_ENREF_104" w:tooltip="Gould, 2007 #241" w:history="1">
        <w:r w:rsidR="00D307FA">
          <w:rPr>
            <w:noProof/>
          </w:rPr>
          <w:t>104</w:t>
        </w:r>
      </w:hyperlink>
      <w:r w:rsidR="00C54D4B">
        <w:rPr>
          <w:noProof/>
        </w:rPr>
        <w:t>]</w:t>
      </w:r>
      <w:r w:rsidRPr="0025595E">
        <w:fldChar w:fldCharType="end"/>
      </w:r>
      <w:r w:rsidRPr="0025595E">
        <w:t>.</w:t>
      </w:r>
    </w:p>
    <w:p w14:paraId="3D751F92" w14:textId="77777777" w:rsidR="00CA0F0A" w:rsidRPr="0025595E" w:rsidRDefault="00CA0F0A" w:rsidP="00A15F74">
      <w:pPr>
        <w:spacing w:line="480" w:lineRule="auto"/>
        <w:jc w:val="both"/>
      </w:pPr>
      <w:r w:rsidRPr="0025595E">
        <w:tab/>
        <w:t>The catalytic cracking mechanism has received substantial attention in the past few decades, resulting in improved understanding of the process. However, due to advancements in computational methods and growing environmental concerns, efforts are still being made to fundamentally comprehend these reactions. By combining this knowledge with an awareness of diffusion constraints in porous catalysts, it is possible to not only improve the efficiency of cracking processes, but also to discern the factors that directly control reaction rates and product selectivity.</w:t>
      </w:r>
    </w:p>
    <w:p w14:paraId="51490658" w14:textId="6D30DD23" w:rsidR="00CA0F0A" w:rsidRPr="0083541A" w:rsidRDefault="00CA0F0A" w:rsidP="00A41B52">
      <w:pPr>
        <w:pStyle w:val="Heading1"/>
        <w:rPr>
          <w:sz w:val="32"/>
          <w:szCs w:val="40"/>
        </w:rPr>
      </w:pPr>
      <w:bookmarkStart w:id="23" w:name="_Toc132924184"/>
      <w:r w:rsidRPr="0083541A">
        <w:rPr>
          <w:sz w:val="32"/>
          <w:szCs w:val="40"/>
        </w:rPr>
        <w:lastRenderedPageBreak/>
        <w:t>Research Objectives</w:t>
      </w:r>
      <w:bookmarkEnd w:id="23"/>
    </w:p>
    <w:p w14:paraId="798543CB" w14:textId="77777777" w:rsidR="00CA0F0A" w:rsidRPr="0025595E" w:rsidRDefault="00CA0F0A" w:rsidP="00D840CE">
      <w:pPr>
        <w:spacing w:line="480" w:lineRule="auto"/>
        <w:jc w:val="both"/>
      </w:pPr>
      <w:r>
        <w:tab/>
      </w:r>
      <w:r w:rsidRPr="0025595E">
        <w:t>Therefore, this dissertation will demonstrate four main works performed directly related to diffusion-reaction strategies used to optimize the understandings of diffusion implications around zeolites, coupling theoretical aspects and proposed experimental approaches to do so.</w:t>
      </w:r>
    </w:p>
    <w:p w14:paraId="0886BD2F" w14:textId="7DCBD205" w:rsidR="00CA0F0A" w:rsidRDefault="00CA0F0A" w:rsidP="00A15F74">
      <w:pPr>
        <w:pStyle w:val="ListParagraph"/>
        <w:numPr>
          <w:ilvl w:val="0"/>
          <w:numId w:val="2"/>
        </w:numPr>
        <w:spacing w:after="160" w:line="480" w:lineRule="auto"/>
        <w:jc w:val="both"/>
      </w:pPr>
      <w:r w:rsidRPr="0025595E">
        <w:t xml:space="preserve">Identification and modeling development of mass-transfer limitations on zeolites through liquid phase self-aldol condensation reaction of acetone and cyclopentanone over zeolites Y and MFI. A focus on tuning the concentration of active sites of a catalyst through pre-treatment with inert-alkali </w:t>
      </w:r>
      <w:r w:rsidR="0002718B" w:rsidRPr="0025595E">
        <w:t>species</w:t>
      </w:r>
      <w:r w:rsidRPr="0025595E">
        <w:t xml:space="preserve"> and an in-situ site deactivation with poison molecule. </w:t>
      </w:r>
    </w:p>
    <w:p w14:paraId="3414600F" w14:textId="451B311F" w:rsidR="00CA0F0A" w:rsidRDefault="00CA0F0A" w:rsidP="00A15F74">
      <w:pPr>
        <w:pStyle w:val="ListParagraph"/>
        <w:numPr>
          <w:ilvl w:val="0"/>
          <w:numId w:val="2"/>
        </w:numPr>
        <w:spacing w:after="160" w:line="480" w:lineRule="auto"/>
        <w:jc w:val="both"/>
      </w:pPr>
      <w:r w:rsidRPr="0025595E">
        <w:t xml:space="preserve">Implications of </w:t>
      </w:r>
      <w:r w:rsidR="001B7A70">
        <w:t xml:space="preserve">a regime transitioning </w:t>
      </w:r>
      <w:r w:rsidR="00BF7E21">
        <w:t xml:space="preserve">in the </w:t>
      </w:r>
      <w:r w:rsidRPr="0025595E">
        <w:t>cross-aldol condensation of acetone and cyclopentanone, a</w:t>
      </w:r>
      <w:r w:rsidR="00BF7E21">
        <w:t>n understanding of diffusion impacts</w:t>
      </w:r>
      <w:r w:rsidRPr="0025595E">
        <w:t>.</w:t>
      </w:r>
    </w:p>
    <w:p w14:paraId="0CB5EAD5" w14:textId="77777777" w:rsidR="00CA0F0A" w:rsidRDefault="00CA0F0A" w:rsidP="00A15F74">
      <w:pPr>
        <w:pStyle w:val="ListParagraph"/>
        <w:numPr>
          <w:ilvl w:val="0"/>
          <w:numId w:val="2"/>
        </w:numPr>
        <w:spacing w:after="160" w:line="480" w:lineRule="auto"/>
        <w:jc w:val="both"/>
      </w:pPr>
      <w:r w:rsidRPr="0025595E">
        <w:t>Particle size dimensions adjustment through zeolite synthesis and its reflection on liquid catalytic activity. Combining theoretical discussions on diffusion constraints with proposed experimental approaches.</w:t>
      </w:r>
    </w:p>
    <w:p w14:paraId="39FE9684" w14:textId="77777777" w:rsidR="00CA0F0A" w:rsidRPr="0025595E" w:rsidRDefault="00CA0F0A" w:rsidP="00A15F74">
      <w:pPr>
        <w:pStyle w:val="ListParagraph"/>
        <w:numPr>
          <w:ilvl w:val="0"/>
          <w:numId w:val="2"/>
        </w:numPr>
        <w:spacing w:after="160" w:line="480" w:lineRule="auto"/>
        <w:jc w:val="both"/>
      </w:pPr>
      <w:r w:rsidRPr="0025595E">
        <w:t xml:space="preserve">Impact of mesoporosity in zeolite Y and its resulting effects on isooctane cracking activity. Acknowledgment of synergistic sites and their functionality on cracking reaction routes. </w:t>
      </w:r>
    </w:p>
    <w:p w14:paraId="76E11513" w14:textId="6D078834" w:rsidR="00CA0F0A" w:rsidRDefault="00CA0F0A" w:rsidP="00CA0F0A"/>
    <w:p w14:paraId="2871244B" w14:textId="77777777" w:rsidR="00241B32" w:rsidRDefault="00241B32" w:rsidP="00CA0F0A"/>
    <w:p w14:paraId="2A396173" w14:textId="77777777" w:rsidR="00241B32" w:rsidRDefault="00241B32" w:rsidP="00CA0F0A"/>
    <w:p w14:paraId="4EA3AB87" w14:textId="77777777" w:rsidR="00241B32" w:rsidRDefault="00241B32" w:rsidP="00CA0F0A"/>
    <w:p w14:paraId="081934B5" w14:textId="77777777" w:rsidR="00241B32" w:rsidRDefault="00241B32" w:rsidP="00CA0F0A"/>
    <w:p w14:paraId="269F9200" w14:textId="77777777" w:rsidR="00241B32" w:rsidRDefault="00241B32" w:rsidP="00CA0F0A"/>
    <w:p w14:paraId="66D6C423" w14:textId="77777777" w:rsidR="00241B32" w:rsidRDefault="00241B32" w:rsidP="00CA0F0A"/>
    <w:p w14:paraId="43C8C5C5" w14:textId="07D8426C" w:rsidR="00A35A08" w:rsidRPr="00CC1AB3" w:rsidRDefault="00A35A08" w:rsidP="00CC1AB3">
      <w:pPr>
        <w:pStyle w:val="Heading1"/>
        <w:spacing w:line="480" w:lineRule="auto"/>
        <w:jc w:val="center"/>
        <w:rPr>
          <w:b w:val="0"/>
          <w:bCs/>
          <w:sz w:val="36"/>
          <w:szCs w:val="36"/>
        </w:rPr>
      </w:pPr>
      <w:bookmarkStart w:id="24" w:name="_Toc132924185"/>
      <w:r w:rsidRPr="00CC1AB3">
        <w:rPr>
          <w:sz w:val="36"/>
          <w:szCs w:val="36"/>
        </w:rPr>
        <w:lastRenderedPageBreak/>
        <w:t>Chapter 2</w:t>
      </w:r>
      <w:r w:rsidR="00CC1AB3" w:rsidRPr="00CC1AB3">
        <w:rPr>
          <w:sz w:val="36"/>
          <w:szCs w:val="36"/>
        </w:rPr>
        <w:t xml:space="preserve"> – </w:t>
      </w:r>
      <w:r w:rsidRPr="00CC1AB3">
        <w:rPr>
          <w:bCs/>
          <w:sz w:val="36"/>
          <w:szCs w:val="36"/>
        </w:rPr>
        <w:t xml:space="preserve">Mass-Transfer Limitations Investigation using Liquid Phase C-C Coupling Aldol Condensation Reactions in Porous </w:t>
      </w:r>
      <w:r w:rsidR="001804D9" w:rsidRPr="00CC1AB3">
        <w:rPr>
          <w:bCs/>
          <w:sz w:val="36"/>
          <w:szCs w:val="36"/>
        </w:rPr>
        <w:t xml:space="preserve">Catalyst </w:t>
      </w:r>
      <w:r w:rsidRPr="00CC1AB3">
        <w:rPr>
          <w:bCs/>
          <w:sz w:val="36"/>
          <w:szCs w:val="36"/>
        </w:rPr>
        <w:t>Media</w:t>
      </w:r>
      <w:bookmarkEnd w:id="24"/>
    </w:p>
    <w:p w14:paraId="31720EA9" w14:textId="77777777" w:rsidR="00A35A08" w:rsidRPr="00A41B52" w:rsidRDefault="00A35A08" w:rsidP="00CC1AB3">
      <w:pPr>
        <w:pStyle w:val="Heading2"/>
        <w:rPr>
          <w:i w:val="0"/>
          <w:iCs/>
          <w:sz w:val="28"/>
          <w:szCs w:val="28"/>
        </w:rPr>
      </w:pPr>
      <w:bookmarkStart w:id="25" w:name="_Toc132924186"/>
      <w:r w:rsidRPr="0083541A">
        <w:rPr>
          <w:i w:val="0"/>
          <w:iCs/>
          <w:sz w:val="28"/>
          <w:szCs w:val="28"/>
        </w:rPr>
        <w:t>2.</w:t>
      </w:r>
      <w:r w:rsidRPr="00A41B52">
        <w:rPr>
          <w:i w:val="0"/>
          <w:iCs/>
          <w:sz w:val="28"/>
          <w:szCs w:val="28"/>
        </w:rPr>
        <w:t>1 Introduction and Literature Review</w:t>
      </w:r>
      <w:bookmarkEnd w:id="25"/>
    </w:p>
    <w:p w14:paraId="7FA93717" w14:textId="5DAF8D6D" w:rsidR="00A35A08" w:rsidRDefault="00A35A08" w:rsidP="00241B32">
      <w:pPr>
        <w:shd w:val="clear" w:color="auto" w:fill="FFFFFF"/>
        <w:spacing w:line="480" w:lineRule="auto"/>
        <w:ind w:firstLine="360"/>
        <w:jc w:val="both"/>
        <w:rPr>
          <w:color w:val="000000" w:themeColor="text1"/>
        </w:rPr>
      </w:pPr>
      <w:r w:rsidRPr="00A41253">
        <w:rPr>
          <w:color w:val="000000" w:themeColor="text1"/>
        </w:rPr>
        <w:tab/>
      </w:r>
      <w:r>
        <w:rPr>
          <w:color w:val="000000" w:themeColor="text1"/>
        </w:rPr>
        <w:t>D</w:t>
      </w:r>
      <w:r w:rsidRPr="00E03E2B">
        <w:rPr>
          <w:color w:val="000000" w:themeColor="text1"/>
        </w:rPr>
        <w:t>iffusion r</w:t>
      </w:r>
      <w:r>
        <w:rPr>
          <w:color w:val="000000" w:themeColor="text1"/>
        </w:rPr>
        <w:t xml:space="preserve">ates of reacting species inside of microporous frameworks can directly affect observed catalytic rates, selectivities, and even catalyst deactivation depending on the products formed and their residence time inside the particle. When pore size and acid site concentration were changed a shift in product selectivity was obtained in zeolite-catalyzed self-aldol condensation of acetone </w:t>
      </w:r>
      <w:r w:rsidRPr="002F31E1">
        <w:fldChar w:fldCharType="begin"/>
      </w:r>
      <w:r w:rsidR="00C54D4B">
        <w:instrText xml:space="preserve"> ADDIN EN.CITE &lt;EndNote&gt;&lt;Cite&gt;&lt;Author&gt;Herrmann&lt;/Author&gt;&lt;Year&gt;2018&lt;/Year&gt;&lt;RecNum&gt;9&lt;/RecNum&gt;&lt;DisplayText&gt;[105]&lt;/DisplayText&gt;&lt;record&gt;&lt;rec-number&gt;9&lt;/rec-number&gt;&lt;foreign-keys&gt;&lt;key app="EN" db-id="59dvwrfdof9dw8exf0kvp0atwazsazeeffsp" timestamp="1667538361"&gt;9&lt;/key&gt;&lt;/foreign-keys&gt;&lt;ref-type name="Journal Article"&gt;17&lt;/ref-type&gt;&lt;contributors&gt;&lt;authors&gt;&lt;author&gt;Stanley Herrmann&lt;/author&gt;&lt;author&gt;Enrique Iglesia&lt;/author&gt;&lt;/authors&gt;&lt;/contributors&gt;&lt;titles&gt;&lt;title&gt;Selective conversion of acetone to isobutene and acetic acid on aluminosilicates: Kinetic coupling between acid-catalyzed and radical-mediated pathways&lt;/title&gt;&lt;secondary-title&gt;Journal of Catalysis&lt;/secondary-title&gt;&lt;/titles&gt;&lt;periodical&gt;&lt;full-title&gt;Journal of Catalysis&lt;/full-title&gt;&lt;/periodical&gt;&lt;pages&gt;66-80&lt;/pages&gt;&lt;volume&gt;360&lt;/volume&gt;&lt;dates&gt;&lt;year&gt;2018&lt;/year&gt;&lt;/dates&gt;&lt;urls&gt;&lt;/urls&gt;&lt;electronic-resource-num&gt;https://doi.org/10.1016/j.jcat.2018.01.032&lt;/electronic-resource-num&gt;&lt;/record&gt;&lt;/Cite&gt;&lt;/EndNote&gt;</w:instrText>
      </w:r>
      <w:r w:rsidRPr="002F31E1">
        <w:fldChar w:fldCharType="separate"/>
      </w:r>
      <w:r w:rsidR="00C54D4B">
        <w:rPr>
          <w:noProof/>
        </w:rPr>
        <w:t>[</w:t>
      </w:r>
      <w:hyperlink w:anchor="_ENREF_105" w:tooltip="Herrmann, 2018 #9" w:history="1">
        <w:r w:rsidR="00D307FA">
          <w:rPr>
            <w:noProof/>
          </w:rPr>
          <w:t>105</w:t>
        </w:r>
      </w:hyperlink>
      <w:r w:rsidR="00C54D4B">
        <w:rPr>
          <w:noProof/>
        </w:rPr>
        <w:t>]</w:t>
      </w:r>
      <w:r w:rsidRPr="002F31E1">
        <w:fldChar w:fldCharType="end"/>
      </w:r>
      <w:r>
        <w:rPr>
          <w:color w:val="000000" w:themeColor="text1"/>
        </w:rPr>
        <w:t>. Those changes were due to secondary reactions of the products led by their high residence time within the microporous system, being the zeolite topo</w:t>
      </w:r>
      <w:r w:rsidR="002C1573">
        <w:rPr>
          <w:color w:val="000000" w:themeColor="text1"/>
        </w:rPr>
        <w:t>graphy</w:t>
      </w:r>
      <w:r>
        <w:rPr>
          <w:color w:val="000000" w:themeColor="text1"/>
        </w:rPr>
        <w:t xml:space="preserve"> and site proximity the main elements to contribute to the shifts </w:t>
      </w:r>
      <w:r>
        <w:rPr>
          <w:color w:val="000000" w:themeColor="text1"/>
        </w:rPr>
        <w:fldChar w:fldCharType="begin"/>
      </w:r>
      <w:r w:rsidR="00C54D4B">
        <w:rPr>
          <w:color w:val="000000" w:themeColor="text1"/>
        </w:rPr>
        <w:instrText xml:space="preserve"> ADDIN EN.CITE &lt;EndNote&gt;&lt;Cite&gt;&lt;Author&gt;Noh&lt;/Author&gt;&lt;Year&gt;2018&lt;/Year&gt;&lt;RecNum&gt;12&lt;/RecNum&gt;&lt;DisplayText&gt;[17]&lt;/DisplayText&gt;&lt;record&gt;&lt;rec-number&gt;12&lt;/rec-number&gt;&lt;foreign-keys&gt;&lt;key app="EN" db-id="59dvwrfdof9dw8exf0kvp0atwazsazeeffsp" timestamp="1667538819"&gt;12&lt;/key&gt;&lt;/foreign-keys&gt;&lt;ref-type name="Journal Article"&gt;17&lt;/ref-type&gt;&lt;contributors&gt;&lt;authors&gt;&lt;author&gt;Gina Noh&lt;/author&gt;&lt;author&gt;Enrique Iglesia&lt;/author&gt;&lt;author&gt;Zhichen Shi&lt;/author&gt;&lt;author&gt;Stacey I. Zones&lt;/author&gt;&lt;/authors&gt;&lt;/contributors&gt;&lt;titles&gt;&lt;title&gt;&lt;style face="normal" font="default" size="100%"&gt;Isomerization and &lt;/style&gt;&lt;style face="normal" font="default" charset="161" size="100%"&gt;β-scission reactions of alkanes on bifunctional metal-acid catalysts: Consequences of confinement and diffusional constraints on reactivity and selectivity&lt;/style&gt;&lt;/title&gt;&lt;secondary-title&gt;Journal of Catalysis&lt;/secondary-title&gt;&lt;/titles&gt;&lt;periodical&gt;&lt;full-title&gt;Journal of Catalysis&lt;/full-title&gt;&lt;/periodical&gt;&lt;pages&gt;389-410&lt;/pages&gt;&lt;volume&gt;368&lt;/volume&gt;&lt;dates&gt;&lt;year&gt;2018&lt;/year&gt;&lt;/dates&gt;&lt;urls&gt;&lt;/urls&gt;&lt;electronic-resource-num&gt;https://doi.org/10.1016/j.jcat.2018.03.033&lt;/electronic-resource-num&gt;&lt;/record&gt;&lt;/Cite&gt;&lt;/EndNote&gt;</w:instrText>
      </w:r>
      <w:r>
        <w:rPr>
          <w:color w:val="000000" w:themeColor="text1"/>
        </w:rPr>
        <w:fldChar w:fldCharType="separate"/>
      </w:r>
      <w:r w:rsidR="00C54D4B">
        <w:rPr>
          <w:noProof/>
          <w:color w:val="000000" w:themeColor="text1"/>
        </w:rPr>
        <w:t>[</w:t>
      </w:r>
      <w:hyperlink w:anchor="_ENREF_17" w:tooltip="Noh, 2018 #12" w:history="1">
        <w:r w:rsidR="00D307FA">
          <w:rPr>
            <w:noProof/>
            <w:color w:val="000000" w:themeColor="text1"/>
          </w:rPr>
          <w:t>17</w:t>
        </w:r>
      </w:hyperlink>
      <w:r w:rsidR="00C54D4B">
        <w:rPr>
          <w:noProof/>
          <w:color w:val="000000" w:themeColor="text1"/>
        </w:rPr>
        <w:t>]</w:t>
      </w:r>
      <w:r>
        <w:rPr>
          <w:color w:val="000000" w:themeColor="text1"/>
        </w:rPr>
        <w:fldChar w:fldCharType="end"/>
      </w:r>
      <w:r>
        <w:rPr>
          <w:color w:val="000000" w:themeColor="text1"/>
        </w:rPr>
        <w:t xml:space="preserve">. Once these differences on diffusional rates exists and influence, one can take advantage of confined environments and acidic characteristics to tune the resulting product selectivity based on size and shape differences in the reactant mixture. One example in is the </w:t>
      </w:r>
      <w:r w:rsidRPr="002F31E1">
        <w:t>(self/cross) aldol condensation reaction</w:t>
      </w:r>
      <w:r>
        <w:t xml:space="preserve">, a reaction used to elongate the C-chain of a molecule through eliminating the O-content while forming C-C bonds, forming stable and energetically valuable compounds </w:t>
      </w:r>
      <w:r>
        <w:fldChar w:fldCharType="begin">
          <w:fldData xml:space="preserve">PEVuZE5vdGU+PENpdGU+PEF1dGhvcj5OYWthZ2F3YTwvQXV0aG9yPjxZZWFyPjIwMTk8L1llYXI+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==
</w:fldData>
        </w:fldChar>
      </w:r>
      <w:r w:rsidR="00C54D4B">
        <w:instrText xml:space="preserve"> ADDIN EN.CITE </w:instrText>
      </w:r>
      <w:r w:rsidR="00C54D4B">
        <w:fldChar w:fldCharType="begin">
          <w:fldData xml:space="preserve">PEVuZE5vdGU+PENpdGU+PEF1dGhvcj5OYWthZ2F3YTwvQXV0aG9yPjxZZWFyPjIwMTk8L1llYXI+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==
</w:fldData>
        </w:fldChar>
      </w:r>
      <w:r w:rsidR="00C54D4B">
        <w:instrText xml:space="preserve"> ADDIN EN.CITE.DATA </w:instrText>
      </w:r>
      <w:r w:rsidR="00C54D4B">
        <w:fldChar w:fldCharType="end"/>
      </w:r>
      <w:r>
        <w:fldChar w:fldCharType="separate"/>
      </w:r>
      <w:r w:rsidR="00C54D4B">
        <w:rPr>
          <w:noProof/>
        </w:rPr>
        <w:t>[</w:t>
      </w:r>
      <w:hyperlink w:anchor="_ENREF_106" w:tooltip="Nakagawa, 2019 #77" w:history="1">
        <w:r w:rsidR="00D307FA">
          <w:rPr>
            <w:noProof/>
          </w:rPr>
          <w:t>106-108</w:t>
        </w:r>
      </w:hyperlink>
      <w:r w:rsidR="00C54D4B">
        <w:rPr>
          <w:noProof/>
        </w:rPr>
        <w:t>]</w:t>
      </w:r>
      <w:r>
        <w:fldChar w:fldCharType="end"/>
      </w:r>
      <w:r>
        <w:t xml:space="preserve">. This reaction is characteristic of ketone molecules as reactants, which are </w:t>
      </w:r>
      <w:r>
        <w:rPr>
          <w:color w:val="000000" w:themeColor="text1"/>
        </w:rPr>
        <w:t xml:space="preserve">obtained through an upgrading of light oxygenates and sugar derived compounds, from biomass pyrolysis </w:t>
      </w:r>
      <w:r>
        <w:rPr>
          <w:color w:val="000000" w:themeColor="text1"/>
        </w:rPr>
        <w:fldChar w:fldCharType="begin">
          <w:fldData xml:space="preserve">PEVuZE5vdGU+PENpdGU+PEF1dGhvcj5IdWJlcjwvQXV0aG9yPjxZZWFyPjIwMDc8L1llYXI+PFJl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</w:fldData>
        </w:fldChar>
      </w:r>
      <w:r w:rsidR="00C54D4B">
        <w:rPr>
          <w:color w:val="000000" w:themeColor="text1"/>
        </w:rPr>
        <w:instrText xml:space="preserve"> ADDIN EN.CITE </w:instrText>
      </w:r>
      <w:r w:rsidR="00C54D4B">
        <w:rPr>
          <w:color w:val="000000" w:themeColor="text1"/>
        </w:rPr>
        <w:fldChar w:fldCharType="begin">
          <w:fldData xml:space="preserve">PEVuZE5vdGU+PENpdGU+PEF1dGhvcj5IdWJlcjwvQXV0aG9yPjxZZWFyPjIwMDc8L1llYXI+PFJl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</w:fldData>
        </w:fldChar>
      </w:r>
      <w:r w:rsidR="00C54D4B">
        <w:rPr>
          <w:color w:val="000000" w:themeColor="text1"/>
        </w:rPr>
        <w:instrText xml:space="preserve"> ADDIN EN.CITE.DATA </w:instrText>
      </w:r>
      <w:r w:rsidR="00C54D4B">
        <w:rPr>
          <w:color w:val="000000" w:themeColor="text1"/>
        </w:rPr>
      </w:r>
      <w:r w:rsidR="00C54D4B">
        <w:rPr>
          <w:color w:val="000000" w:themeColor="text1"/>
        </w:rPr>
        <w:fldChar w:fldCharType="end"/>
      </w:r>
      <w:r>
        <w:rPr>
          <w:color w:val="000000" w:themeColor="text1"/>
        </w:rPr>
      </w:r>
      <w:r>
        <w:rPr>
          <w:color w:val="000000" w:themeColor="text1"/>
        </w:rPr>
        <w:fldChar w:fldCharType="separate"/>
      </w:r>
      <w:r w:rsidR="00C54D4B">
        <w:rPr>
          <w:noProof/>
          <w:color w:val="000000" w:themeColor="text1"/>
        </w:rPr>
        <w:t>[</w:t>
      </w:r>
      <w:hyperlink w:anchor="_ENREF_109" w:tooltip="Huber, 2007 #3" w:history="1">
        <w:r w:rsidR="00D307FA">
          <w:rPr>
            <w:noProof/>
            <w:color w:val="000000" w:themeColor="text1"/>
          </w:rPr>
          <w:t>109-112</w:t>
        </w:r>
      </w:hyperlink>
      <w:r w:rsidR="00C54D4B">
        <w:rPr>
          <w:noProof/>
          <w:color w:val="000000" w:themeColor="text1"/>
        </w:rPr>
        <w:t>]</w:t>
      </w:r>
      <w:r>
        <w:rPr>
          <w:color w:val="000000" w:themeColor="text1"/>
        </w:rPr>
        <w:fldChar w:fldCharType="end"/>
      </w:r>
      <w:r>
        <w:rPr>
          <w:color w:val="000000" w:themeColor="text1"/>
        </w:rPr>
        <w:t xml:space="preserve">. </w:t>
      </w:r>
    </w:p>
    <w:p w14:paraId="19B37B6C" w14:textId="6712145D" w:rsidR="00A35A08" w:rsidRDefault="00A35A08" w:rsidP="00241B32">
      <w:pPr>
        <w:shd w:val="clear" w:color="auto" w:fill="FFFFFF"/>
        <w:spacing w:line="480" w:lineRule="auto"/>
        <w:ind w:firstLine="720"/>
        <w:jc w:val="both"/>
        <w:rPr>
          <w:color w:val="000000" w:themeColor="text1"/>
        </w:rPr>
      </w:pPr>
      <w:r>
        <w:rPr>
          <w:color w:val="000000" w:themeColor="text1"/>
        </w:rPr>
        <w:t xml:space="preserve">The aldol-reaction mechanism comprehension enables the understanding of reaction results in a single-feed and as more than one ketone is fed simultaneously. Each </w:t>
      </w:r>
      <w:r>
        <w:rPr>
          <w:color w:val="000000" w:themeColor="text1"/>
        </w:rPr>
        <w:lastRenderedPageBreak/>
        <w:t xml:space="preserve">molecule consists of particular details that are important for the diffusion-reaction comprehension within microporous-zeolites. The study over acid-catalysts has been widely reported in literature over different microporous and mesoporous catalysts </w:t>
      </w:r>
      <w:r>
        <w:rPr>
          <w:color w:val="000000" w:themeColor="text1"/>
        </w:rPr>
        <w:fldChar w:fldCharType="begin">
          <w:fldData xml:space="preserve">PEVuZE5vdGU+PENpdGU+PEF1dGhvcj5Ew61lejwvQXV0aG9yPjxZZWFyPjIwMDY8L1llYXI+PFJl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</w:fldData>
        </w:fldChar>
      </w:r>
      <w:r w:rsidR="00C54D4B">
        <w:rPr>
          <w:color w:val="000000" w:themeColor="text1"/>
        </w:rPr>
        <w:instrText xml:space="preserve"> ADDIN EN.CITE </w:instrText>
      </w:r>
      <w:r w:rsidR="00C54D4B">
        <w:rPr>
          <w:color w:val="000000" w:themeColor="text1"/>
        </w:rPr>
        <w:fldChar w:fldCharType="begin">
          <w:fldData xml:space="preserve">PEVuZE5vdGU+PENpdGU+PEF1dGhvcj5Ew61lejwvQXV0aG9yPjxZZWFyPjIwMDY8L1llYXI+PFJl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</w:fldData>
        </w:fldChar>
      </w:r>
      <w:r w:rsidR="00C54D4B">
        <w:rPr>
          <w:color w:val="000000" w:themeColor="text1"/>
        </w:rPr>
        <w:instrText xml:space="preserve"> ADDIN EN.CITE.DATA </w:instrText>
      </w:r>
      <w:r w:rsidR="00C54D4B">
        <w:rPr>
          <w:color w:val="000000" w:themeColor="text1"/>
        </w:rPr>
      </w:r>
      <w:r w:rsidR="00C54D4B">
        <w:rPr>
          <w:color w:val="000000" w:themeColor="text1"/>
        </w:rPr>
        <w:fldChar w:fldCharType="end"/>
      </w:r>
      <w:r>
        <w:rPr>
          <w:color w:val="000000" w:themeColor="text1"/>
        </w:rPr>
      </w:r>
      <w:r>
        <w:rPr>
          <w:color w:val="000000" w:themeColor="text1"/>
        </w:rPr>
        <w:fldChar w:fldCharType="separate"/>
      </w:r>
      <w:r w:rsidR="00C54D4B">
        <w:rPr>
          <w:noProof/>
          <w:color w:val="000000" w:themeColor="text1"/>
        </w:rPr>
        <w:t>[</w:t>
      </w:r>
      <w:hyperlink w:anchor="_ENREF_113" w:tooltip="Díez, 2006 #70" w:history="1">
        <w:r w:rsidR="00D307FA">
          <w:rPr>
            <w:noProof/>
            <w:color w:val="000000" w:themeColor="text1"/>
          </w:rPr>
          <w:t>113-117</w:t>
        </w:r>
      </w:hyperlink>
      <w:r w:rsidR="00C54D4B">
        <w:rPr>
          <w:noProof/>
          <w:color w:val="000000" w:themeColor="text1"/>
        </w:rPr>
        <w:t>]</w:t>
      </w:r>
      <w:r>
        <w:rPr>
          <w:color w:val="000000" w:themeColor="text1"/>
        </w:rPr>
        <w:fldChar w:fldCharType="end"/>
      </w:r>
      <w:r>
        <w:rPr>
          <w:color w:val="000000" w:themeColor="text1"/>
        </w:rPr>
        <w:t xml:space="preserve">. The ketone is firstly activated with a simultaneous protonation and tautomerization step by an interaction between a surface proton and the O-atom of the ketone’s carbonyl group </w:t>
      </w:r>
      <w:r>
        <w:rPr>
          <w:color w:val="000000" w:themeColor="text1"/>
        </w:rPr>
        <w:fldChar w:fldCharType="begin"/>
      </w:r>
      <w:r w:rsidR="00C54D4B">
        <w:rPr>
          <w:color w:val="000000" w:themeColor="text1"/>
        </w:rPr>
        <w:instrText xml:space="preserve"> ADDIN EN.CITE &lt;EndNote&gt;&lt;Cite&gt;&lt;Author&gt;Herrmann&lt;/Author&gt;&lt;Year&gt;2017&lt;/Year&gt;&lt;RecNum&gt;75&lt;/RecNum&gt;&lt;DisplayText&gt;[118]&lt;/DisplayText&gt;&lt;record&gt;&lt;rec-number&gt;75&lt;/rec-number&gt;&lt;foreign-keys&gt;&lt;key app="EN" db-id="59dvwrfdof9dw8exf0kvp0atwazsazeeffsp" timestamp="1671747347"&gt;75&lt;/key&gt;&lt;/foreign-keys&gt;&lt;ref-type name="Journal Article"&gt;17&lt;/ref-type&gt;&lt;contributors&gt;&lt;authors&gt;&lt;author&gt;Stanley Herrmann&lt;/author&gt;&lt;author&gt;Enrique Iglesia&lt;/author&gt;&lt;/authors&gt;&lt;/contributors&gt;&lt;titles&gt;&lt;title&gt;Elementary steps in acetone condensation reactions catalyzed by aluminosilicates with diverse void structures&lt;/title&gt;&lt;secondary-title&gt;Journal of Catalysis&lt;/secondary-title&gt;&lt;/titles&gt;&lt;periodical&gt;&lt;full-title&gt;Journal of Catalysis&lt;/full-title&gt;&lt;/periodical&gt;&lt;pages&gt;134-153&lt;/pages&gt;&lt;volume&gt;346&lt;/volume&gt;&lt;dates&gt;&lt;year&gt;2017&lt;/year&gt;&lt;/dates&gt;&lt;urls&gt;&lt;/urls&gt;&lt;electronic-resource-num&gt;https://doi.org/10.1016/j.jcat.2016.12.011&lt;/electronic-resource-num&gt;&lt;/record&gt;&lt;/Cite&gt;&lt;/EndNote&gt;</w:instrText>
      </w:r>
      <w:r>
        <w:rPr>
          <w:color w:val="000000" w:themeColor="text1"/>
        </w:rPr>
        <w:fldChar w:fldCharType="separate"/>
      </w:r>
      <w:r w:rsidR="00C54D4B">
        <w:rPr>
          <w:noProof/>
          <w:color w:val="000000" w:themeColor="text1"/>
        </w:rPr>
        <w:t>[</w:t>
      </w:r>
      <w:hyperlink w:anchor="_ENREF_118" w:tooltip="Herrmann, 2017 #75" w:history="1">
        <w:r w:rsidR="00D307FA">
          <w:rPr>
            <w:noProof/>
            <w:color w:val="000000" w:themeColor="text1"/>
          </w:rPr>
          <w:t>118</w:t>
        </w:r>
      </w:hyperlink>
      <w:r w:rsidR="00C54D4B">
        <w:rPr>
          <w:noProof/>
          <w:color w:val="000000" w:themeColor="text1"/>
        </w:rPr>
        <w:t>]</w:t>
      </w:r>
      <w:r>
        <w:rPr>
          <w:color w:val="000000" w:themeColor="text1"/>
        </w:rPr>
        <w:fldChar w:fldCharType="end"/>
      </w:r>
      <w:r>
        <w:rPr>
          <w:color w:val="000000" w:themeColor="text1"/>
        </w:rPr>
        <w:t xml:space="preserve">. The activated enol can be subjected to either an electrophilic attack on the C-atom from a nearby ketone that is either adsorbed (Langmuir-Hinshelwood mechanism) or in the bulk phase (Eley-Rideal mechanism) </w:t>
      </w:r>
      <w:r>
        <w:rPr>
          <w:color w:val="000000" w:themeColor="text1"/>
        </w:rPr>
        <w:fldChar w:fldCharType="begin"/>
      </w:r>
      <w:r w:rsidR="00C54D4B">
        <w:rPr>
          <w:color w:val="000000" w:themeColor="text1"/>
        </w:rPr>
        <w:instrText xml:space="preserve"> ADDIN EN.CITE &lt;EndNote&gt;&lt;Cite&gt;&lt;Author&gt;Li&lt;/Author&gt;&lt;Year&gt;2019&lt;/Year&gt;&lt;RecNum&gt;49&lt;/RecNum&gt;&lt;DisplayText&gt;[119]&lt;/DisplayText&gt;&lt;record&gt;&lt;rec-number&gt;49&lt;/rec-number&gt;&lt;foreign-keys&gt;&lt;key app="EN" db-id="59dvwrfdof9dw8exf0kvp0atwazsazeeffsp" timestamp="1671730003"&gt;49&lt;/key&gt;&lt;/foreign-keys&gt;&lt;ref-type name="Journal Article"&gt;17&lt;/ref-type&gt;&lt;contributors&gt;&lt;authors&gt;&lt;author&gt;Gengnan Li&lt;/author&gt;&lt;author&gt;Bin Wang&lt;/author&gt;&lt;author&gt;Banghao Chen&lt;/author&gt;&lt;author&gt;Daniel E. Resasco&lt;/author&gt;&lt;/authors&gt;&lt;/contributors&gt;&lt;titles&gt;&lt;title&gt;Role of water in cyclopentanone self-condensation reaction catalyzed by MCM-41 functionalized with sulfonic acid groups&lt;/title&gt;&lt;secondary-title&gt;Journal of Catalysis&lt;/secondary-title&gt;&lt;/titles&gt;&lt;periodical&gt;&lt;full-title&gt;Journal of Catalysis&lt;/full-title&gt;&lt;/periodical&gt;&lt;pages&gt;245-254&lt;/pages&gt;&lt;volume&gt;377&lt;/volume&gt;&lt;dates&gt;&lt;year&gt;2019&lt;/year&gt;&lt;/dates&gt;&lt;urls&gt;&lt;/urls&gt;&lt;electronic-resource-num&gt;https://doi.org/10.1016/j.jcat.2019.07.032&lt;/electronic-resource-num&gt;&lt;/record&gt;&lt;/Cite&gt;&lt;/EndNote&gt;</w:instrText>
      </w:r>
      <w:r>
        <w:rPr>
          <w:color w:val="000000" w:themeColor="text1"/>
        </w:rPr>
        <w:fldChar w:fldCharType="separate"/>
      </w:r>
      <w:r w:rsidR="00C54D4B">
        <w:rPr>
          <w:noProof/>
          <w:color w:val="000000" w:themeColor="text1"/>
        </w:rPr>
        <w:t>[</w:t>
      </w:r>
      <w:hyperlink w:anchor="_ENREF_119" w:tooltip="Li, 2019 #49" w:history="1">
        <w:r w:rsidR="00D307FA">
          <w:rPr>
            <w:noProof/>
            <w:color w:val="000000" w:themeColor="text1"/>
          </w:rPr>
          <w:t>119</w:t>
        </w:r>
      </w:hyperlink>
      <w:r w:rsidR="00C54D4B">
        <w:rPr>
          <w:noProof/>
          <w:color w:val="000000" w:themeColor="text1"/>
        </w:rPr>
        <w:t>]</w:t>
      </w:r>
      <w:r>
        <w:rPr>
          <w:color w:val="000000" w:themeColor="text1"/>
        </w:rPr>
        <w:fldChar w:fldCharType="end"/>
      </w:r>
      <w:r>
        <w:rPr>
          <w:color w:val="000000" w:themeColor="text1"/>
        </w:rPr>
        <w:t>. The formation of the C-C bond is followed by a concerted mechanism in where there is a proton transfer from the enol in the α-C to the O-atom of zeolite while the O-atom in the carbonyl receives the H from a Br</w:t>
      </w:r>
      <w:r w:rsidRPr="00A37874">
        <w:t>ø</w:t>
      </w:r>
      <w:r>
        <w:rPr>
          <w:color w:val="000000" w:themeColor="text1"/>
        </w:rPr>
        <w:t xml:space="preserve">nsted acid site (BAS) </w:t>
      </w:r>
      <w:r>
        <w:rPr>
          <w:color w:val="000000" w:themeColor="text1"/>
        </w:rPr>
        <w:fldChar w:fldCharType="begin"/>
      </w:r>
      <w:r w:rsidR="00C54D4B">
        <w:rPr>
          <w:color w:val="000000" w:themeColor="text1"/>
        </w:rPr>
        <w:instrText xml:space="preserve"> ADDIN EN.CITE &lt;EndNote&gt;&lt;Cite&gt;&lt;Author&gt;Solans-Monfort&lt;/Author&gt;&lt;Year&gt;2002&lt;/Year&gt;&lt;RecNum&gt;76&lt;/RecNum&gt;&lt;DisplayText&gt;[120]&lt;/DisplayText&gt;&lt;record&gt;&lt;rec-number&gt;76&lt;/rec-number&gt;&lt;foreign-keys&gt;&lt;key app="EN" db-id="59dvwrfdof9dw8exf0kvp0atwazsazeeffsp" timestamp="1671747494"&gt;76&lt;/key&gt;&lt;/foreign-keys&gt;&lt;ref-type name="Journal Article"&gt;17&lt;/ref-type&gt;&lt;contributors&gt;&lt;authors&gt;&lt;author&gt;Xavier Solans-Monfort&lt;/author&gt;&lt;author&gt;Joan Bertran&lt;/author&gt;&lt;author&gt;Vicenç Branchadell&lt;/author&gt;&lt;author&gt;Mariona Sodupe&lt;/author&gt;&lt;/authors&gt;&lt;/contributors&gt;&lt;titles&gt;&lt;title&gt;&lt;style face="normal" font="default" size="100%"&gt;Keto&lt;/style&gt;&lt;style face="normal" font="default" charset="1" size="100%"&gt;−&lt;/style&gt;&lt;style face="normal" font="default" size="100%"&gt;Enol Isomerization of Acetaldehyde in HZSM5. A Theoretical Study Using the ONIOM2 Method&lt;/style&gt;&lt;/title&gt;&lt;secondary-title&gt;Journal of Physical Chemistry&lt;/secondary-title&gt;&lt;/titles&gt;&lt;periodical&gt;&lt;full-title&gt;Journal of Physical Chemistry&lt;/full-title&gt;&lt;/periodical&gt;&lt;pages&gt;10220-10226&lt;/pages&gt;&lt;volume&gt;106&lt;/volume&gt;&lt;dates&gt;&lt;year&gt;2002&lt;/year&gt;&lt;/dates&gt;&lt;urls&gt;&lt;/urls&gt;&lt;electronic-resource-num&gt;https://doi.org/10.1021/jp026303s&lt;/electronic-resource-num&gt;&lt;/record&gt;&lt;/Cite&gt;&lt;/EndNote&gt;</w:instrText>
      </w:r>
      <w:r>
        <w:rPr>
          <w:color w:val="000000" w:themeColor="text1"/>
        </w:rPr>
        <w:fldChar w:fldCharType="separate"/>
      </w:r>
      <w:r w:rsidR="00C54D4B">
        <w:rPr>
          <w:noProof/>
          <w:color w:val="000000" w:themeColor="text1"/>
        </w:rPr>
        <w:t>[</w:t>
      </w:r>
      <w:hyperlink w:anchor="_ENREF_120" w:tooltip="Solans-Monfort, 2002 #76" w:history="1">
        <w:r w:rsidR="00D307FA">
          <w:rPr>
            <w:noProof/>
            <w:color w:val="000000" w:themeColor="text1"/>
          </w:rPr>
          <w:t>120</w:t>
        </w:r>
      </w:hyperlink>
      <w:r w:rsidR="00C54D4B">
        <w:rPr>
          <w:noProof/>
          <w:color w:val="000000" w:themeColor="text1"/>
        </w:rPr>
        <w:t>]</w:t>
      </w:r>
      <w:r>
        <w:rPr>
          <w:color w:val="000000" w:themeColor="text1"/>
        </w:rPr>
        <w:fldChar w:fldCharType="end"/>
      </w:r>
      <w:r>
        <w:rPr>
          <w:color w:val="000000" w:themeColor="text1"/>
        </w:rPr>
        <w:t xml:space="preserve">. The product formed is quickly dehydrated to produce a α,β-unsaturated ketone that could undergo desorption </w:t>
      </w:r>
      <w:r w:rsidRPr="00C23384">
        <w:rPr>
          <w:color w:val="000000" w:themeColor="text1"/>
        </w:rPr>
        <w:t xml:space="preserve">or a sequential electrophilic attack, a secondary condensation reaction </w:t>
      </w:r>
      <w:r w:rsidRPr="00B94D53">
        <w:t xml:space="preserve">following the same elementary steps as the primary ketone. These elementary steps are </w:t>
      </w:r>
      <w:r w:rsidRPr="00C80AAF">
        <w:t xml:space="preserve">shown in </w:t>
      </w:r>
      <w:r w:rsidRPr="00C80AAF">
        <w:rPr>
          <w:b/>
          <w:bCs/>
        </w:rPr>
        <w:t>Scheme 1</w:t>
      </w:r>
      <w:r w:rsidRPr="00C80AAF">
        <w:t xml:space="preserve">, in </w:t>
      </w:r>
      <w:r w:rsidRPr="00C80AAF">
        <w:rPr>
          <w:color w:val="000000" w:themeColor="text1"/>
        </w:rPr>
        <w:t>where</w:t>
      </w:r>
      <w:r w:rsidRPr="00C23384">
        <w:rPr>
          <w:color w:val="000000" w:themeColor="text1"/>
        </w:rPr>
        <w:t xml:space="preserve"> </w:t>
      </w:r>
      <w:r>
        <w:rPr>
          <w:color w:val="000000" w:themeColor="text1"/>
        </w:rPr>
        <w:t xml:space="preserve">the cyclopentanone was reacted over </w:t>
      </w:r>
      <w:r w:rsidRPr="00C23384">
        <w:rPr>
          <w:color w:val="000000" w:themeColor="text1"/>
        </w:rPr>
        <w:t>functionalized sulfonic acid groups in MCM-41 support, a mesoporous material.</w:t>
      </w:r>
      <w:r>
        <w:rPr>
          <w:color w:val="000000" w:themeColor="text1"/>
        </w:rPr>
        <w:t xml:space="preserve"> </w:t>
      </w:r>
      <w:r w:rsidRPr="00C23384">
        <w:rPr>
          <w:color w:val="000000" w:themeColor="text1"/>
        </w:rPr>
        <w:t xml:space="preserve">In regards of whether the kinetically relevant step is the tautomerization or the C-C coupling literature has reported that it depends on steric influences </w:t>
      </w:r>
      <w:r>
        <w:rPr>
          <w:color w:val="000000" w:themeColor="text1"/>
        </w:rPr>
        <w:t>of both molecule and zeolite topology, and also the confinement over high-energy intermediate species</w:t>
      </w:r>
      <w:r w:rsidRPr="00C26C28">
        <w:t xml:space="preserve"> </w:t>
      </w:r>
      <w:r w:rsidRPr="00C26C28">
        <w:fldChar w:fldCharType="begin"/>
      </w:r>
      <w:r w:rsidR="00C54D4B">
        <w:instrText xml:space="preserve"> ADDIN EN.CITE &lt;EndNote&gt;&lt;Cite&gt;&lt;Author&gt;Yan&lt;/Author&gt;&lt;Year&gt;2021&lt;/Year&gt;&lt;RecNum&gt;137&lt;/RecNum&gt;&lt;DisplayText&gt;[121, 122]&lt;/DisplayText&gt;&lt;record&gt;&lt;rec-number&gt;137&lt;/rec-number&gt;&lt;foreign-keys&gt;&lt;key app="EN" db-id="59dvwrfdof9dw8exf0kvp0atwazsazeeffsp" timestamp="1674686370"&gt;137&lt;/key&gt;&lt;/foreign-keys&gt;&lt;ref-type name="Journal Article"&gt;17&lt;/ref-type&gt;&lt;contributors&gt;&lt;authors&gt;&lt;author&gt;Tingting Yan&lt;/author&gt;&lt;author&gt;Sikai Yao&lt;/author&gt;&lt;author&gt;Weili Dai&lt;/author&gt;&lt;author&gt;Guangjun Wu&lt;/author&gt;&lt;author&gt;Naijia Guan&lt;/author&gt;&lt;author&gt;Landong Li&lt;/author&gt;&lt;/authors&gt;&lt;/contributors&gt;&lt;titles&gt;&lt;title&gt;Self-aldol condensation of aldehydes over Lewis acidic rare-earth cations stabilized by zeolites&lt;/title&gt;&lt;secondary-title&gt;Chinese Journal of Catalysis&lt;/secondary-title&gt;&lt;/titles&gt;&lt;periodical&gt;&lt;full-title&gt;Chinese Journal of Catalysis&lt;/full-title&gt;&lt;/periodical&gt;&lt;pages&gt;595-605&lt;/pages&gt;&lt;volume&gt;42&lt;/volume&gt;&lt;number&gt;2&lt;/number&gt;&lt;dates&gt;&lt;year&gt;2021&lt;/year&gt;&lt;/dates&gt;&lt;urls&gt;&lt;/urls&gt;&lt;electronic-resource-num&gt;https://doi.org/10.1016/S1872-2067(20)63675-0&lt;/electronic-resource-num&gt;&lt;/record&gt;&lt;/Cite&gt;&lt;Cite&gt;&lt;Author&gt;Perrin&lt;/Author&gt;&lt;Year&gt;2016&lt;/Year&gt;&lt;RecNum&gt;10&lt;/RecNum&gt;&lt;record&gt;&lt;rec-number&gt;10&lt;/rec-number&gt;&lt;foreign-keys&gt;&lt;key app="EN" db-id="fsweetfdks0zv2eedaupasw2t2aw5feer25f" timestamp="1674686391"&gt;10&lt;/key&gt;&lt;/foreign-keys&gt;&lt;ref-type name="Journal Article"&gt;17&lt;/ref-type&gt;&lt;contributors&gt;&lt;authors&gt;&lt;author&gt;Charles L. Perrin&lt;/author&gt;&lt;/authors&gt;&lt;secondary-authors&gt;&lt;author&gt;Kuei-Lin Chang&lt;/author&gt;&lt;/secondary-authors&gt;&lt;/contributors&gt;&lt;titles&gt;&lt;title&gt;The Complete Mechanism of an Aldol Condensation&lt;/title&gt;&lt;secondary-title&gt;The Journal of Organic Chemistry&lt;/secondary-title&gt;&lt;/titles&gt;&lt;pages&gt;5631-5635&lt;/pages&gt;&lt;volume&gt;81&lt;/volume&gt;&lt;number&gt;13&lt;/number&gt;&lt;dates&gt;&lt;year&gt;2016&lt;/year&gt;&lt;/dates&gt;&lt;urls&gt;&lt;/urls&gt;&lt;electronic-resource-num&gt;https://doi.org/10.1021/acs.joc.6b00959&lt;/electronic-resource-num&gt;&lt;/record&gt;&lt;/Cite&gt;&lt;/EndNote&gt;</w:instrText>
      </w:r>
      <w:r w:rsidRPr="00C26C28">
        <w:fldChar w:fldCharType="separate"/>
      </w:r>
      <w:r w:rsidR="00C54D4B">
        <w:rPr>
          <w:noProof/>
        </w:rPr>
        <w:t>[</w:t>
      </w:r>
      <w:hyperlink w:anchor="_ENREF_121" w:tooltip="Yan, 2021 #137" w:history="1">
        <w:r w:rsidR="00D307FA">
          <w:rPr>
            <w:noProof/>
          </w:rPr>
          <w:t>121</w:t>
        </w:r>
      </w:hyperlink>
      <w:r w:rsidR="00C54D4B">
        <w:rPr>
          <w:noProof/>
        </w:rPr>
        <w:t xml:space="preserve">, </w:t>
      </w:r>
      <w:hyperlink w:anchor="_ENREF_122" w:tooltip="Perrin, 2016 #10" w:history="1">
        <w:r w:rsidR="00D307FA">
          <w:rPr>
            <w:noProof/>
          </w:rPr>
          <w:t>122</w:t>
        </w:r>
      </w:hyperlink>
      <w:r w:rsidR="00C54D4B">
        <w:rPr>
          <w:noProof/>
        </w:rPr>
        <w:t>]</w:t>
      </w:r>
      <w:r w:rsidRPr="00C26C28">
        <w:fldChar w:fldCharType="end"/>
      </w:r>
      <w:r w:rsidRPr="00C26C28">
        <w:t xml:space="preserve">. </w:t>
      </w:r>
    </w:p>
    <w:p w14:paraId="1592A0B3" w14:textId="77777777" w:rsidR="00A35A08" w:rsidRPr="00C23384" w:rsidRDefault="00A35A08" w:rsidP="00241B32">
      <w:pPr>
        <w:shd w:val="clear" w:color="auto" w:fill="FFFFFF"/>
        <w:spacing w:line="480" w:lineRule="auto"/>
        <w:ind w:firstLine="360"/>
        <w:jc w:val="both"/>
        <w:rPr>
          <w:color w:val="000000" w:themeColor="text1"/>
        </w:rPr>
      </w:pPr>
    </w:p>
    <w:p w14:paraId="352BAAED" w14:textId="1E75CBB5" w:rsidR="00A35A08" w:rsidRPr="00F94A36" w:rsidRDefault="00A35A08" w:rsidP="00617D5F">
      <w:pPr>
        <w:jc w:val="both"/>
        <w:rPr>
          <w:color w:val="000000" w:themeColor="text1"/>
        </w:rPr>
      </w:pPr>
      <w:r w:rsidRPr="00C23384">
        <w:rPr>
          <w:noProof/>
        </w:rPr>
        <w:lastRenderedPageBreak/>
        <w:drawing>
          <wp:inline distT="0" distB="0" distL="0" distR="0" wp14:anchorId="00395E9F" wp14:editId="4B37A081">
            <wp:extent cx="5414775" cy="288036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23"/>
                    <a:stretch>
                      <a:fillRect/>
                    </a:stretch>
                  </pic:blipFill>
                  <pic:spPr>
                    <a:xfrm>
                      <a:off x="0" y="0"/>
                      <a:ext cx="5414775" cy="2880360"/>
                    </a:xfrm>
                    <a:prstGeom prst="rect">
                      <a:avLst/>
                    </a:prstGeom>
                  </pic:spPr>
                </pic:pic>
              </a:graphicData>
            </a:graphic>
          </wp:inline>
        </w:drawing>
      </w:r>
      <w:r w:rsidRPr="00B94D53">
        <w:rPr>
          <w:b/>
          <w:bCs/>
        </w:rPr>
        <w:t>Scheme 1</w:t>
      </w:r>
      <w:r w:rsidRPr="00B94D53">
        <w:t xml:space="preserve">. Proposed </w:t>
      </w:r>
      <w:r>
        <w:rPr>
          <w:color w:val="000000" w:themeColor="text1"/>
        </w:rPr>
        <w:t xml:space="preserve">mechanisms of CPO self-condensation based on Langmuir-Hinshelwood and Eley-Rideal models under water-free conditions. Reproduced from Ref </w:t>
      </w:r>
      <w:r>
        <w:rPr>
          <w:color w:val="000000" w:themeColor="text1"/>
        </w:rPr>
        <w:fldChar w:fldCharType="begin"/>
      </w:r>
      <w:r w:rsidR="00C54D4B">
        <w:rPr>
          <w:color w:val="000000" w:themeColor="text1"/>
        </w:rPr>
        <w:instrText xml:space="preserve"> ADDIN EN.CITE &lt;EndNote&gt;&lt;Cite&gt;&lt;Author&gt;Li&lt;/Author&gt;&lt;Year&gt;2019&lt;/Year&gt;&lt;RecNum&gt;49&lt;/RecNum&gt;&lt;DisplayText&gt;[119]&lt;/DisplayText&gt;&lt;record&gt;&lt;rec-number&gt;49&lt;/rec-number&gt;&lt;foreign-keys&gt;&lt;key app="EN" db-id="59dvwrfdof9dw8exf0kvp0atwazsazeeffsp" timestamp="1671730003"&gt;49&lt;/key&gt;&lt;/foreign-keys&gt;&lt;ref-type name="Journal Article"&gt;17&lt;/ref-type&gt;&lt;contributors&gt;&lt;authors&gt;&lt;author&gt;Gengnan Li&lt;/author&gt;&lt;author&gt;Bin Wang&lt;/author&gt;&lt;author&gt;Banghao Chen&lt;/author&gt;&lt;author&gt;Daniel E. Resasco&lt;/author&gt;&lt;/authors&gt;&lt;/contributors&gt;&lt;titles&gt;&lt;title&gt;Role of water in cyclopentanone self-condensation reaction catalyzed by MCM-41 functionalized with sulfonic acid groups&lt;/title&gt;&lt;secondary-title&gt;Journal of Catalysis&lt;/secondary-title&gt;&lt;/titles&gt;&lt;periodical&gt;&lt;full-title&gt;Journal of Catalysis&lt;/full-title&gt;&lt;/periodical&gt;&lt;pages&gt;245-254&lt;/pages&gt;&lt;volume&gt;377&lt;/volume&gt;&lt;dates&gt;&lt;year&gt;2019&lt;/year&gt;&lt;/dates&gt;&lt;urls&gt;&lt;/urls&gt;&lt;electronic-resource-num&gt;https://doi.org/10.1016/j.jcat.2019.07.032&lt;/electronic-resource-num&gt;&lt;/record&gt;&lt;/Cite&gt;&lt;/EndNote&gt;</w:instrText>
      </w:r>
      <w:r>
        <w:rPr>
          <w:color w:val="000000" w:themeColor="text1"/>
        </w:rPr>
        <w:fldChar w:fldCharType="separate"/>
      </w:r>
      <w:r w:rsidR="00C54D4B">
        <w:rPr>
          <w:noProof/>
          <w:color w:val="000000" w:themeColor="text1"/>
        </w:rPr>
        <w:t>[</w:t>
      </w:r>
      <w:hyperlink w:anchor="_ENREF_119" w:tooltip="Li, 2019 #49" w:history="1">
        <w:r w:rsidR="00D307FA">
          <w:rPr>
            <w:noProof/>
            <w:color w:val="000000" w:themeColor="text1"/>
          </w:rPr>
          <w:t>119</w:t>
        </w:r>
      </w:hyperlink>
      <w:r w:rsidR="00C54D4B">
        <w:rPr>
          <w:noProof/>
          <w:color w:val="000000" w:themeColor="text1"/>
        </w:rPr>
        <w:t>]</w:t>
      </w:r>
      <w:r>
        <w:rPr>
          <w:color w:val="000000" w:themeColor="text1"/>
        </w:rPr>
        <w:fldChar w:fldCharType="end"/>
      </w:r>
      <w:r>
        <w:rPr>
          <w:color w:val="000000" w:themeColor="text1"/>
        </w:rPr>
        <w:t>.</w:t>
      </w:r>
    </w:p>
    <w:p w14:paraId="3967297C" w14:textId="77777777" w:rsidR="00617D5F" w:rsidRDefault="00617D5F" w:rsidP="00241B32">
      <w:pPr>
        <w:shd w:val="clear" w:color="auto" w:fill="FFFFFF"/>
        <w:spacing w:line="480" w:lineRule="auto"/>
        <w:ind w:firstLine="720"/>
        <w:jc w:val="both"/>
        <w:rPr>
          <w:color w:val="000000" w:themeColor="text1"/>
        </w:rPr>
      </w:pPr>
    </w:p>
    <w:p w14:paraId="67490CE7" w14:textId="145DCD83" w:rsidR="00A35A08" w:rsidRPr="006D4AB2" w:rsidRDefault="00A35A08" w:rsidP="00241B32">
      <w:pPr>
        <w:shd w:val="clear" w:color="auto" w:fill="FFFFFF"/>
        <w:spacing w:line="480" w:lineRule="auto"/>
        <w:ind w:firstLine="720"/>
        <w:jc w:val="both"/>
        <w:rPr>
          <w:color w:val="000000" w:themeColor="text1"/>
        </w:rPr>
      </w:pPr>
      <w:r>
        <w:rPr>
          <w:color w:val="000000" w:themeColor="text1"/>
        </w:rPr>
        <w:t xml:space="preserve">These mechanistic studies are only meaningful when diffusion constraints are not governing the activity inside confined environments. It usually occurs when the dimensional magnitude of the molecule geometry and the material’s apertures are analogous, raising a concern whether mass-transfer limitations (MTL) are present or not. </w:t>
      </w:r>
      <w:r w:rsidRPr="002F31E1">
        <w:rPr>
          <w:color w:val="000000" w:themeColor="text1"/>
        </w:rPr>
        <w:t>To control and tailor the extent of MTL</w:t>
      </w:r>
      <w:r>
        <w:rPr>
          <w:color w:val="000000" w:themeColor="text1"/>
        </w:rPr>
        <w:t xml:space="preserve"> </w:t>
      </w:r>
      <w:r w:rsidRPr="002F31E1">
        <w:rPr>
          <w:color w:val="000000" w:themeColor="text1"/>
        </w:rPr>
        <w:t>one needs to be able to quantify and precisely change the parameters that govern reaction and diffusion for a given reactant/zeolite system</w:t>
      </w:r>
      <w:r>
        <w:rPr>
          <w:color w:val="000000" w:themeColor="text1"/>
        </w:rPr>
        <w:t>, as particle size or site activity on a catalyst</w:t>
      </w:r>
      <w:r w:rsidRPr="002F31E1">
        <w:rPr>
          <w:color w:val="000000" w:themeColor="text1"/>
        </w:rPr>
        <w:t>.</w:t>
      </w:r>
      <w:r w:rsidRPr="002F31E1">
        <w:rPr>
          <w:color w:val="2E74B5" w:themeColor="accent5" w:themeShade="BF"/>
        </w:rPr>
        <w:t xml:space="preserve"> </w:t>
      </w:r>
      <w:r w:rsidRPr="002F31E1">
        <w:rPr>
          <w:color w:val="000000" w:themeColor="text1"/>
        </w:rPr>
        <w:t xml:space="preserve">More than 40 years ago, Madon and Boudart developed an experimental test which compares the observed reaction rates per unit mass for porous catalysts of varying loading of active species – in that case Pt – at similar metal dispersions </w:t>
      </w:r>
      <w:r w:rsidRPr="002F31E1">
        <w:rPr>
          <w:color w:val="000000" w:themeColor="text1"/>
        </w:rPr>
        <w:fldChar w:fldCharType="begin"/>
      </w:r>
      <w:r w:rsidR="00C54D4B">
        <w:rPr>
          <w:color w:val="000000" w:themeColor="text1"/>
        </w:rPr>
        <w:instrText xml:space="preserve"> ADDIN EN.CITE &lt;EndNote&gt;&lt;Cite&gt;&lt;Author&gt;Madon&lt;/Author&gt;&lt;Year&gt;1982&lt;/Year&gt;&lt;RecNum&gt;13&lt;/RecNum&gt;&lt;DisplayText&gt;[123]&lt;/DisplayText&gt;&lt;record&gt;&lt;rec-number&gt;13&lt;/rec-number&gt;&lt;foreign-keys&gt;&lt;key app="EN" db-id="59dvwrfdof9dw8exf0kvp0atwazsazeeffsp" timestamp="1667538980"&gt;13&lt;/key&gt;&lt;/foreign-keys&gt;&lt;ref-type name="Journal Article"&gt;17&lt;/ref-type&gt;&lt;contributors&gt;&lt;authors&gt;&lt;author&gt;Rostam J. Madon&lt;/author&gt;&lt;author&gt;Michel Boudart&lt;/author&gt;&lt;/authors&gt;&lt;/contributors&gt;&lt;titles&gt;&lt;title&gt;Experimental criterion for the absence of artifacts in the measurement of rates of heterogeneous catalytic reactions&lt;/title&gt;&lt;secondary-title&gt;Industrial &amp;amp; Chemical Engineering Fundamentals&lt;/secondary-title&gt;&lt;/titles&gt;&lt;periodical&gt;&lt;full-title&gt;Industrial &amp;amp; Chemical Engineering Fundamentals&lt;/full-title&gt;&lt;/periodical&gt;&lt;pages&gt;438-447&lt;/pages&gt;&lt;volume&gt;21&lt;/volume&gt;&lt;dates&gt;&lt;year&gt;1982&lt;/year&gt;&lt;/dates&gt;&lt;urls&gt;&lt;/urls&gt;&lt;/record&gt;&lt;/Cite&gt;&lt;/EndNote&gt;</w:instrText>
      </w:r>
      <w:r w:rsidRPr="002F31E1">
        <w:rPr>
          <w:color w:val="000000" w:themeColor="text1"/>
        </w:rPr>
        <w:fldChar w:fldCharType="separate"/>
      </w:r>
      <w:r w:rsidR="00C54D4B">
        <w:rPr>
          <w:noProof/>
          <w:color w:val="000000" w:themeColor="text1"/>
        </w:rPr>
        <w:t>[</w:t>
      </w:r>
      <w:hyperlink w:anchor="_ENREF_123" w:tooltip="Madon, 1982 #13" w:history="1">
        <w:r w:rsidR="00D307FA">
          <w:rPr>
            <w:noProof/>
            <w:color w:val="000000" w:themeColor="text1"/>
          </w:rPr>
          <w:t>123</w:t>
        </w:r>
      </w:hyperlink>
      <w:r w:rsidR="00C54D4B">
        <w:rPr>
          <w:noProof/>
          <w:color w:val="000000" w:themeColor="text1"/>
        </w:rPr>
        <w:t>]</w:t>
      </w:r>
      <w:r w:rsidRPr="002F31E1">
        <w:rPr>
          <w:color w:val="000000" w:themeColor="text1"/>
        </w:rPr>
        <w:fldChar w:fldCharType="end"/>
      </w:r>
      <w:r w:rsidRPr="002F31E1">
        <w:rPr>
          <w:color w:val="000000" w:themeColor="text1"/>
        </w:rPr>
        <w:t>. Accordingly, each catalysts contained a different concentration of active sites which should result in different reaction rates. The</w:t>
      </w:r>
      <w:r>
        <w:rPr>
          <w:color w:val="000000" w:themeColor="text1"/>
        </w:rPr>
        <w:t xml:space="preserve"> authors</w:t>
      </w:r>
      <w:r w:rsidRPr="002F31E1">
        <w:rPr>
          <w:color w:val="000000" w:themeColor="text1"/>
        </w:rPr>
        <w:t xml:space="preserve"> indicated that only when the ratio between the observed reaction rate and the density of exposed metal atoms, i.e. the turnover frequency, remains constant for all catalysts one </w:t>
      </w:r>
      <w:r w:rsidRPr="002F31E1">
        <w:rPr>
          <w:color w:val="000000" w:themeColor="text1"/>
        </w:rPr>
        <w:lastRenderedPageBreak/>
        <w:t>could conclude that mass-transfer limitations are absent. By contrast, if the turnover rate frequency (TOF) decreases as the number of sites increases, one can conclude that the inner active sites are not exposed to the same reactant concentration as the outer sites and the system is under MTL.</w:t>
      </w:r>
    </w:p>
    <w:p w14:paraId="7880ECB4" w14:textId="77777777" w:rsidR="00A35A08" w:rsidRDefault="00A35A08" w:rsidP="00241B32">
      <w:pPr>
        <w:shd w:val="clear" w:color="auto" w:fill="FFFFFF"/>
        <w:spacing w:line="480" w:lineRule="auto"/>
        <w:ind w:firstLine="720"/>
        <w:jc w:val="both"/>
        <w:rPr>
          <w:color w:val="000000" w:themeColor="text1"/>
        </w:rPr>
      </w:pPr>
      <w:r>
        <w:rPr>
          <w:color w:val="000000" w:themeColor="text1"/>
        </w:rPr>
        <w:t>To investigate the presence and extent of MTL the present work implements two experimental approaches on acidic zeolite catalysts by adjusting the concentration of active sites and observing further effects on catalytic activity using the aldol condensation as model reaction. Starting with the proton-form of a zeolite, the density of active sites are varied with a gradual site deactivation through cation exchange, a catalyst pre-treatment prior to reaction, and an in-situ titration with a reaction inert molecule.</w:t>
      </w:r>
    </w:p>
    <w:p w14:paraId="0505C016" w14:textId="79FB169E" w:rsidR="00A35A08" w:rsidRPr="008C3E89" w:rsidRDefault="00A35A08" w:rsidP="00241B32">
      <w:pPr>
        <w:shd w:val="clear" w:color="auto" w:fill="FFFFFF"/>
        <w:spacing w:line="480" w:lineRule="auto"/>
        <w:ind w:firstLine="720"/>
        <w:jc w:val="both"/>
        <w:rPr>
          <w:color w:val="000000" w:themeColor="text1"/>
        </w:rPr>
      </w:pPr>
      <w:r>
        <w:rPr>
          <w:color w:val="000000" w:themeColor="text1"/>
        </w:rPr>
        <w:t xml:space="preserve">In literature Na-exchange has been used as a quick experimental test for MTL observance as described by the Madon-Boudart method </w:t>
      </w:r>
      <w:r>
        <w:rPr>
          <w:color w:val="000000" w:themeColor="text1"/>
        </w:rPr>
        <w:fldChar w:fldCharType="begin">
          <w:fldData xml:space="preserve">PEVuZE5vdGU+PENpdGU+PEF1dGhvcj5DaGF1PC9BdXRob3I+PFllYXI+MjAyMjwvWWVhcj48UmVj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</w:fldData>
        </w:fldChar>
      </w:r>
      <w:r w:rsidR="00C54D4B">
        <w:rPr>
          <w:color w:val="000000" w:themeColor="text1"/>
        </w:rPr>
        <w:instrText xml:space="preserve"> ADDIN EN.CITE </w:instrText>
      </w:r>
      <w:r w:rsidR="00C54D4B">
        <w:rPr>
          <w:color w:val="000000" w:themeColor="text1"/>
        </w:rPr>
        <w:fldChar w:fldCharType="begin">
          <w:fldData xml:space="preserve">PEVuZE5vdGU+PENpdGU+PEF1dGhvcj5DaGF1PC9BdXRob3I+PFllYXI+MjAyMjwvWWVhcj48UmVj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</w:fldData>
        </w:fldChar>
      </w:r>
      <w:r w:rsidR="00C54D4B">
        <w:rPr>
          <w:color w:val="000000" w:themeColor="text1"/>
        </w:rPr>
        <w:instrText xml:space="preserve"> ADDIN EN.CITE.DATA </w:instrText>
      </w:r>
      <w:r w:rsidR="00C54D4B">
        <w:rPr>
          <w:color w:val="000000" w:themeColor="text1"/>
        </w:rPr>
      </w:r>
      <w:r w:rsidR="00C54D4B">
        <w:rPr>
          <w:color w:val="000000" w:themeColor="text1"/>
        </w:rPr>
        <w:fldChar w:fldCharType="end"/>
      </w:r>
      <w:r>
        <w:rPr>
          <w:color w:val="000000" w:themeColor="text1"/>
        </w:rPr>
      </w:r>
      <w:r>
        <w:rPr>
          <w:color w:val="000000" w:themeColor="text1"/>
        </w:rPr>
        <w:fldChar w:fldCharType="separate"/>
      </w:r>
      <w:r w:rsidR="00C54D4B">
        <w:rPr>
          <w:noProof/>
          <w:color w:val="000000" w:themeColor="text1"/>
        </w:rPr>
        <w:t>[</w:t>
      </w:r>
      <w:hyperlink w:anchor="_ENREF_124" w:tooltip="Chau, 2022 #62" w:history="1">
        <w:r w:rsidR="00D307FA">
          <w:rPr>
            <w:noProof/>
            <w:color w:val="000000" w:themeColor="text1"/>
          </w:rPr>
          <w:t>124-126</w:t>
        </w:r>
      </w:hyperlink>
      <w:r w:rsidR="00C54D4B">
        <w:rPr>
          <w:noProof/>
          <w:color w:val="000000" w:themeColor="text1"/>
        </w:rPr>
        <w:t>]</w:t>
      </w:r>
      <w:r>
        <w:rPr>
          <w:color w:val="000000" w:themeColor="text1"/>
        </w:rPr>
        <w:fldChar w:fldCharType="end"/>
      </w:r>
      <w:r>
        <w:rPr>
          <w:color w:val="000000" w:themeColor="text1"/>
        </w:rPr>
        <w:t>. Because of its smaller size compared to other cations in the same family group (K</w:t>
      </w:r>
      <w:r w:rsidRPr="00806ADE">
        <w:rPr>
          <w:color w:val="000000" w:themeColor="text1"/>
          <w:vertAlign w:val="superscript"/>
        </w:rPr>
        <w:t>+</w:t>
      </w:r>
      <w:r>
        <w:rPr>
          <w:color w:val="000000" w:themeColor="text1"/>
        </w:rPr>
        <w:t xml:space="preserve"> and Rb</w:t>
      </w:r>
      <w:r w:rsidRPr="00806ADE">
        <w:rPr>
          <w:color w:val="000000" w:themeColor="text1"/>
          <w:vertAlign w:val="superscript"/>
        </w:rPr>
        <w:t>+</w:t>
      </w:r>
      <w:r w:rsidRPr="001A62F9">
        <w:rPr>
          <w:color w:val="000000" w:themeColor="text1"/>
        </w:rPr>
        <w:t xml:space="preserve">, </w:t>
      </w:r>
      <w:r>
        <w:rPr>
          <w:color w:val="000000" w:themeColor="text1"/>
        </w:rPr>
        <w:t xml:space="preserve">e.g.), Na accesses confined environments with smaller apertures in the zeolite framework generally not accessible for reactants, but that are able to partially activate/interact with the reacting species </w:t>
      </w:r>
      <w:r w:rsidRPr="000502EE">
        <w:rPr>
          <w:color w:val="000000" w:themeColor="text1"/>
        </w:rPr>
        <w:fldChar w:fldCharType="begin"/>
      </w:r>
      <w:r w:rsidR="00C54D4B">
        <w:rPr>
          <w:color w:val="000000" w:themeColor="text1"/>
        </w:rPr>
        <w:instrText xml:space="preserve"> ADDIN EN.CITE &lt;EndNote&gt;&lt;Cite&gt;&lt;Author&gt;Kester&lt;/Author&gt;&lt;Year&gt;2021&lt;/Year&gt;&lt;RecNum&gt;50&lt;/RecNum&gt;&lt;DisplayText&gt;[127, 128]&lt;/DisplayText&gt;&lt;record&gt;&lt;rec-number&gt;50&lt;/rec-number&gt;&lt;foreign-keys&gt;&lt;key app="EN" db-id="59dvwrfdof9dw8exf0kvp0atwazsazeeffsp" timestamp="1671732860"&gt;50&lt;/key&gt;&lt;/foreign-keys&gt;&lt;ref-type name="Journal Article"&gt;17&lt;/ref-type&gt;&lt;contributors&gt;&lt;authors&gt;&lt;author&gt;Philip M. Kester&lt;/author&gt;&lt;author&gt;Jerry T. Crumb&lt;/author&gt;&lt;author&gt;Sichi Li&lt;/author&gt;&lt;author&gt;William F. Schneider&lt;/author&gt;&lt;author&gt;Rajamani Gounder&lt;/author&gt;&lt;/authors&gt;&lt;/contributors&gt;&lt;titles&gt;&lt;title&gt;Effects of Brønsted acid site proximity in chabazite zeolites on OH infrared spectra and protolytic propane cracking kinetics&lt;/title&gt;&lt;secondary-title&gt;Journal of Catalysis&lt;/secondary-title&gt;&lt;/titles&gt;&lt;periodical&gt;&lt;full-title&gt;Journal of Catalysis&lt;/full-title&gt;&lt;/periodical&gt;&lt;pages&gt;210-226&lt;/pages&gt;&lt;volume&gt;395&lt;/volume&gt;&lt;dates&gt;&lt;year&gt;2021&lt;/year&gt;&lt;/dates&gt;&lt;urls&gt;&lt;/urls&gt;&lt;electronic-resource-num&gt;https://doi.org/10.1016/j.jcat.2020.12.038&lt;/electronic-resource-num&gt;&lt;/record&gt;&lt;/Cite&gt;&lt;Cite&gt;&lt;Author&gt;Chen&lt;/Author&gt;&lt;Year&gt;2019&lt;/Year&gt;&lt;RecNum&gt;61&lt;/RecNum&gt;&lt;record&gt;&lt;rec-number&gt;61&lt;/rec-number&gt;&lt;foreign-keys&gt;&lt;key app="EN" db-id="59dvwrfdof9dw8exf0kvp0atwazsazeeffsp" timestamp="1671737445"&gt;61&lt;/key&gt;&lt;/foreign-keys&gt;&lt;ref-type name="Journal Article"&gt;17&lt;/ref-type&gt;&lt;contributors&gt;&lt;authors&gt;&lt;author&gt;Kuizhi Chen&lt;/author&gt;&lt;author&gt;Maryam Abdolrahmani&lt;/author&gt;&lt;author&gt;Sarah Horstmeier&lt;/author&gt;&lt;author&gt;Tram N. Pham&lt;/author&gt;&lt;author&gt;Vy T. Nguyen&lt;/author&gt;&lt;author&gt;Michael Zeets&lt;/author&gt;&lt;author&gt;Bin Wang&lt;/author&gt;&lt;author&gt;Steven Crossley&lt;/author&gt;&lt;author&gt;Jeffery L. White&lt;/author&gt;&lt;/authors&gt;&lt;/contributors&gt;&lt;titles&gt;&lt;title&gt;Brønsted–Brønsted Synergies between Framework and Noncrystalline Protons in Zeolite H-ZSM-5&lt;/title&gt;&lt;secondary-title&gt;ACS Catalysis&lt;/secondary-title&gt;&lt;/titles&gt;&lt;periodical&gt;&lt;full-title&gt;ACS Catalysis&lt;/full-title&gt;&lt;/periodical&gt;&lt;pages&gt;6124-6136&lt;/pages&gt;&lt;volume&gt;9&lt;/volume&gt;&lt;number&gt;7&lt;/number&gt;&lt;dates&gt;&lt;year&gt;2019&lt;/year&gt;&lt;/dates&gt;&lt;urls&gt;&lt;/urls&gt;&lt;electronic-resource-num&gt;https://doi.org/10.1021/acscatal.9b01583&lt;/electronic-resource-num&gt;&lt;/record&gt;&lt;/Cite&gt;&lt;/EndNote&gt;</w:instrText>
      </w:r>
      <w:r w:rsidRPr="000502EE">
        <w:rPr>
          <w:color w:val="000000" w:themeColor="text1"/>
        </w:rPr>
        <w:fldChar w:fldCharType="separate"/>
      </w:r>
      <w:r w:rsidR="00C54D4B">
        <w:rPr>
          <w:noProof/>
          <w:color w:val="000000" w:themeColor="text1"/>
        </w:rPr>
        <w:t>[</w:t>
      </w:r>
      <w:hyperlink w:anchor="_ENREF_127" w:tooltip="Kester, 2021 #50" w:history="1">
        <w:r w:rsidR="00D307FA">
          <w:rPr>
            <w:noProof/>
            <w:color w:val="000000" w:themeColor="text1"/>
          </w:rPr>
          <w:t>127</w:t>
        </w:r>
      </w:hyperlink>
      <w:r w:rsidR="00C54D4B">
        <w:rPr>
          <w:noProof/>
          <w:color w:val="000000" w:themeColor="text1"/>
        </w:rPr>
        <w:t xml:space="preserve">, </w:t>
      </w:r>
      <w:hyperlink w:anchor="_ENREF_128" w:tooltip="Chen, 2019 #61" w:history="1">
        <w:r w:rsidR="00D307FA">
          <w:rPr>
            <w:noProof/>
            <w:color w:val="000000" w:themeColor="text1"/>
          </w:rPr>
          <w:t>128</w:t>
        </w:r>
      </w:hyperlink>
      <w:r w:rsidR="00C54D4B">
        <w:rPr>
          <w:noProof/>
          <w:color w:val="000000" w:themeColor="text1"/>
        </w:rPr>
        <w:t>]</w:t>
      </w:r>
      <w:r w:rsidRPr="000502EE">
        <w:rPr>
          <w:color w:val="000000" w:themeColor="text1"/>
        </w:rPr>
        <w:fldChar w:fldCharType="end"/>
      </w:r>
      <w:r>
        <w:rPr>
          <w:color w:val="000000" w:themeColor="text1"/>
        </w:rPr>
        <w:t>. This accessibility allows Na to deactivate acid sites and it is not lost during the reaction due to the chemical character of the species used in the reactions. Here said, reactants and solvent</w:t>
      </w:r>
      <w:r w:rsidR="004772BF">
        <w:rPr>
          <w:color w:val="000000" w:themeColor="text1"/>
        </w:rPr>
        <w:t>s</w:t>
      </w:r>
      <w:r>
        <w:rPr>
          <w:color w:val="000000" w:themeColor="text1"/>
        </w:rPr>
        <w:t xml:space="preserve"> are organic molecules and thus will not extract and change the BAS density and the nature of active site itself. Literature has reported that Na preferentially titrates </w:t>
      </w:r>
      <w:r w:rsidR="0010487F">
        <w:rPr>
          <w:color w:val="000000" w:themeColor="text1"/>
        </w:rPr>
        <w:t>intrinsically more active</w:t>
      </w:r>
      <w:r>
        <w:rPr>
          <w:color w:val="000000" w:themeColor="text1"/>
        </w:rPr>
        <w:t xml:space="preserve"> sites</w:t>
      </w:r>
      <w:r w:rsidR="0010487F">
        <w:rPr>
          <w:color w:val="000000" w:themeColor="text1"/>
        </w:rPr>
        <w:t xml:space="preserve"> </w:t>
      </w:r>
      <w:r>
        <w:rPr>
          <w:color w:val="000000" w:themeColor="text1"/>
        </w:rPr>
        <w:t xml:space="preserve">within the crystalline framework, whether it going to more confined environments, or in positions within the structure that favors reactivity, or at pairs sites </w:t>
      </w:r>
      <w:r>
        <w:rPr>
          <w:color w:val="000000" w:themeColor="text1"/>
        </w:rPr>
        <w:fldChar w:fldCharType="begin"/>
      </w:r>
      <w:r w:rsidR="00C54D4B">
        <w:rPr>
          <w:color w:val="000000" w:themeColor="text1"/>
        </w:rPr>
        <w:instrText xml:space="preserve"> ADDIN EN.CITE &lt;EndNote&gt;&lt;Cite&gt;&lt;Author&gt;Kester&lt;/Author&gt;&lt;Year&gt;2021&lt;/Year&gt;&lt;RecNum&gt;50&lt;/RecNum&gt;&lt;DisplayText&gt;[127, 129]&lt;/DisplayText&gt;&lt;record&gt;&lt;rec-number&gt;50&lt;/rec-number&gt;&lt;foreign-keys&gt;&lt;key app="EN" db-id="59dvwrfdof9dw8exf0kvp0atwazsazeeffsp" timestamp="1671732860"&gt;50&lt;/key&gt;&lt;/foreign-keys&gt;&lt;ref-type name="Journal Article"&gt;17&lt;/ref-type&gt;&lt;contributors&gt;&lt;authors&gt;&lt;author&gt;Philip M. Kester&lt;/author&gt;&lt;author&gt;Jerry T. Crumb&lt;/author&gt;&lt;author&gt;Sichi Li&lt;/author&gt;&lt;author&gt;William F. Schneider&lt;/author&gt;&lt;author&gt;Rajamani Gounder&lt;/author&gt;&lt;/authors&gt;&lt;/contributors&gt;&lt;titles&gt;&lt;title&gt;Effects of Brønsted acid site proximity in chabazite zeolites on OH infrared spectra and protolytic propane cracking kinetics&lt;/title&gt;&lt;secondary-title&gt;Journal of Catalysis&lt;/secondary-title&gt;&lt;/titles&gt;&lt;periodical&gt;&lt;full-title&gt;Journal of Catalysis&lt;/full-title&gt;&lt;/periodical&gt;&lt;pages&gt;210-226&lt;/pages&gt;&lt;volume&gt;395&lt;/volume&gt;&lt;dates&gt;&lt;year&gt;2021&lt;/year&gt;&lt;/dates&gt;&lt;urls&gt;&lt;/urls&gt;&lt;electronic-resource-num&gt;https://doi.org/10.1016/j.jcat.2020.12.038&lt;/electronic-resource-num&gt;&lt;/record&gt;&lt;/Cite&gt;&lt;Cite&gt;&lt;Author&gt;Bhan&lt;/Author&gt;&lt;Year&gt;2007&lt;/Year&gt;&lt;RecNum&gt;57&lt;/RecNum&gt;&lt;record&gt;&lt;rec-number&gt;57&lt;/rec-number&gt;&lt;foreign-keys&gt;&lt;key app="EN" db-id="59dvwrfdof9dw8exf0kvp0atwazsazeeffsp" timestamp="1671735552"&gt;57&lt;/key&gt;&lt;/foreign-keys&gt;&lt;ref-type name="Journal Article"&gt;17&lt;/ref-type&gt;&lt;contributors&gt;&lt;authors&gt;&lt;author&gt;Aditya Bhan&lt;/author&gt;&lt;author&gt;Ayman D. Allian&lt;/author&gt;&lt;author&gt;Glenn J. Sunley&lt;/author&gt;&lt;author&gt;David J. Law&lt;/author&gt;&lt;author&gt;Enrique Iglesia&lt;/author&gt;&lt;/authors&gt;&lt;/contributors&gt;&lt;titles&gt;&lt;title&gt;Specificity of Sites within Eight-Membered Ring Zeolite Channels for Carbonylation of Methyls to Acetyls&lt;/title&gt;&lt;secondary-title&gt;Journal of American Chemical Society&lt;/secondary-title&gt;&lt;/titles&gt;&lt;periodical&gt;&lt;full-title&gt;Journal of American Chemical Society&lt;/full-title&gt;&lt;/periodical&gt;&lt;pages&gt;4919-4924&lt;/pages&gt;&lt;volume&gt;129&lt;/volume&gt;&lt;number&gt;16&lt;/number&gt;&lt;dates&gt;&lt;year&gt;2007&lt;/year&gt;&lt;/dates&gt;&lt;urls&gt;&lt;/urls&gt;&lt;electronic-resource-num&gt;https://doi.org/10.1021/ja070094d&lt;/electronic-resource-num&gt;&lt;/record&gt;&lt;/Cite&gt;&lt;/EndNote&gt;</w:instrText>
      </w:r>
      <w:r>
        <w:rPr>
          <w:color w:val="000000" w:themeColor="text1"/>
        </w:rPr>
        <w:fldChar w:fldCharType="separate"/>
      </w:r>
      <w:r w:rsidR="00C54D4B">
        <w:rPr>
          <w:noProof/>
          <w:color w:val="000000" w:themeColor="text1"/>
        </w:rPr>
        <w:t>[</w:t>
      </w:r>
      <w:hyperlink w:anchor="_ENREF_127" w:tooltip="Kester, 2021 #50" w:history="1">
        <w:r w:rsidR="00D307FA">
          <w:rPr>
            <w:noProof/>
            <w:color w:val="000000" w:themeColor="text1"/>
          </w:rPr>
          <w:t>127</w:t>
        </w:r>
      </w:hyperlink>
      <w:r w:rsidR="00C54D4B">
        <w:rPr>
          <w:noProof/>
          <w:color w:val="000000" w:themeColor="text1"/>
        </w:rPr>
        <w:t xml:space="preserve">, </w:t>
      </w:r>
      <w:hyperlink w:anchor="_ENREF_129" w:tooltip="Bhan, 2007 #57" w:history="1">
        <w:r w:rsidR="00D307FA">
          <w:rPr>
            <w:noProof/>
            <w:color w:val="000000" w:themeColor="text1"/>
          </w:rPr>
          <w:t>129</w:t>
        </w:r>
      </w:hyperlink>
      <w:r w:rsidR="00C54D4B">
        <w:rPr>
          <w:noProof/>
          <w:color w:val="000000" w:themeColor="text1"/>
        </w:rPr>
        <w:t>]</w:t>
      </w:r>
      <w:r>
        <w:rPr>
          <w:color w:val="000000" w:themeColor="text1"/>
        </w:rPr>
        <w:fldChar w:fldCharType="end"/>
      </w:r>
      <w:r>
        <w:rPr>
          <w:color w:val="000000" w:themeColor="text1"/>
        </w:rPr>
        <w:t xml:space="preserve">. One example is the work done by Lercher et al., a gradual addition of Na in MOR titrated the active sites and a resulting drop in the </w:t>
      </w:r>
      <w:r>
        <w:rPr>
          <w:color w:val="000000" w:themeColor="text1"/>
        </w:rPr>
        <w:lastRenderedPageBreak/>
        <w:t>infrared spectroscopy peaks relative to BAS happened. Two identified locations of BAS in the catalyst are at peaks for in 8-</w:t>
      </w:r>
      <w:r w:rsidRPr="00C80AAF">
        <w:rPr>
          <w:color w:val="000000" w:themeColor="text1"/>
        </w:rPr>
        <w:t>membered rings (MR) pockets (3590 cm</w:t>
      </w:r>
      <w:r w:rsidRPr="00C80AAF">
        <w:rPr>
          <w:color w:val="000000" w:themeColor="text1"/>
          <w:vertAlign w:val="superscript"/>
        </w:rPr>
        <w:t>-1</w:t>
      </w:r>
      <w:r w:rsidRPr="00C80AAF">
        <w:rPr>
          <w:color w:val="000000" w:themeColor="text1"/>
        </w:rPr>
        <w:t xml:space="preserve">) and in 12-MR channels (3620 </w:t>
      </w:r>
      <w:r w:rsidRPr="00C80AAF">
        <w:t>cm</w:t>
      </w:r>
      <w:r w:rsidRPr="00C80AAF">
        <w:rPr>
          <w:vertAlign w:val="superscript"/>
        </w:rPr>
        <w:t>-1</w:t>
      </w:r>
      <w:r w:rsidRPr="00C80AAF">
        <w:t>) (</w:t>
      </w:r>
      <w:r w:rsidRPr="00C80AAF">
        <w:rPr>
          <w:b/>
          <w:bCs/>
        </w:rPr>
        <w:t>Figure 1</w:t>
      </w:r>
      <w:r w:rsidR="00820226" w:rsidRPr="00C80AAF">
        <w:rPr>
          <w:b/>
          <w:bCs/>
        </w:rPr>
        <w:t>0</w:t>
      </w:r>
      <w:r w:rsidRPr="00C80AAF">
        <w:t xml:space="preserve">) </w:t>
      </w:r>
      <w:r w:rsidRPr="00C80AAF">
        <w:fldChar w:fldCharType="begin"/>
      </w:r>
      <w:r w:rsidR="00C54D4B" w:rsidRPr="00C80AAF">
        <w:instrText xml:space="preserve"> ADDIN EN.CITE &lt;EndNote&gt;&lt;Cite&gt;&lt;Author&gt;Veefkind&lt;/Author&gt;&lt;Year&gt;2000&lt;/Year&gt;&lt;RecNum&gt;58&lt;/RecNum&gt;&lt;DisplayText&gt;[130]&lt;/DisplayText&gt;&lt;record&gt;&lt;rec-number&gt;58&lt;/rec-number&gt;&lt;foreign-keys&gt;&lt;key app="EN" db-id="59dvwrfdof9dw8exf0kvp0atwazsazeeffsp" timestamp="1671735646"&gt;58&lt;/key&gt;&lt;/foreign-keys&gt;&lt;ref-type name="Journal Article"&gt;17&lt;/ref-type&gt;&lt;contributors&gt;&lt;authors&gt;&lt;author&gt;Victor A. Veefkind&lt;/author&gt;&lt;author&gt;Martin L. Smidt&lt;/author&gt;&lt;author&gt;Johannes A. Lercher&lt;/author&gt;&lt;/authors&gt;&lt;/contributors&gt;&lt;titles&gt;&lt;title&gt;On the role of strength and location of Brønsted acid sites for ethylamine synthesis on mordenite catalysts&lt;/title&gt;&lt;secondary-title&gt;Applied Catalysis A: General&lt;/secondary-title&gt;&lt;/titles&gt;&lt;periodical&gt;&lt;full-title&gt;Applied Catalysis A: General&lt;/full-title&gt;&lt;/periodical&gt;&lt;pages&gt;319-332&lt;/pages&gt;&lt;volume&gt;194-195&lt;/volume&gt;&lt;dates&gt;&lt;year&gt;2000&lt;/year&gt;&lt;/dates&gt;&lt;urls&gt;&lt;/urls&gt;&lt;electronic-resource-num&gt;https://doi.org/10.1016/S0926-860X(99)00378-6&lt;/electronic-resource-num&gt;&lt;/record&gt;&lt;/Cite&gt;&lt;/EndNote&gt;</w:instrText>
      </w:r>
      <w:r w:rsidRPr="00C80AAF">
        <w:fldChar w:fldCharType="separate"/>
      </w:r>
      <w:r w:rsidR="00C54D4B" w:rsidRPr="00C80AAF">
        <w:rPr>
          <w:noProof/>
        </w:rPr>
        <w:t>[</w:t>
      </w:r>
      <w:hyperlink w:anchor="_ENREF_130" w:tooltip="Veefkind, 2000 #58" w:history="1">
        <w:r w:rsidR="00D307FA" w:rsidRPr="00C80AAF">
          <w:rPr>
            <w:noProof/>
          </w:rPr>
          <w:t>130</w:t>
        </w:r>
      </w:hyperlink>
      <w:r w:rsidR="00C54D4B" w:rsidRPr="00C80AAF">
        <w:rPr>
          <w:noProof/>
        </w:rPr>
        <w:t>]</w:t>
      </w:r>
      <w:r w:rsidRPr="00C80AAF">
        <w:fldChar w:fldCharType="end"/>
      </w:r>
      <w:r w:rsidRPr="00C80AAF">
        <w:rPr>
          <w:color w:val="000000" w:themeColor="text1"/>
        </w:rPr>
        <w:t>. With an increase in the Na concentration</w:t>
      </w:r>
      <w:r>
        <w:rPr>
          <w:color w:val="000000" w:themeColor="text1"/>
        </w:rPr>
        <w:t xml:space="preserve"> the BAS peak shifts towards high wavenumbers ascrib</w:t>
      </w:r>
      <w:r w:rsidRPr="008C3E89">
        <w:rPr>
          <w:color w:val="000000" w:themeColor="text1"/>
        </w:rPr>
        <w:t>ed to those sites located in main channels of MOR (12-MR)</w:t>
      </w:r>
      <w:r>
        <w:rPr>
          <w:color w:val="000000" w:themeColor="text1"/>
        </w:rPr>
        <w:t xml:space="preserve">, showing a Na titration preference towards sites located at the MOR pockets </w:t>
      </w:r>
      <w:r w:rsidRPr="008C3E89">
        <w:rPr>
          <w:color w:val="000000" w:themeColor="text1"/>
        </w:rPr>
        <w:fldChar w:fldCharType="begin"/>
      </w:r>
      <w:r w:rsidR="00C54D4B">
        <w:rPr>
          <w:color w:val="000000" w:themeColor="text1"/>
        </w:rPr>
        <w:instrText xml:space="preserve"> ADDIN EN.CITE &lt;EndNote&gt;&lt;Cite&gt;&lt;Author&gt;Zholobenko&lt;/Author&gt;&lt;Year&gt;1993&lt;/Year&gt;&lt;RecNum&gt;59&lt;/RecNum&gt;&lt;DisplayText&gt;[131, 132]&lt;/DisplayText&gt;&lt;record&gt;&lt;rec-number&gt;59&lt;/rec-number&gt;&lt;foreign-keys&gt;&lt;key app="EN" db-id="59dvwrfdof9dw8exf0kvp0atwazsazeeffsp" timestamp="1671736321"&gt;59&lt;/key&gt;&lt;/foreign-keys&gt;&lt;ref-type name="Journal Article"&gt;17&lt;/ref-type&gt;&lt;contributors&gt;&lt;authors&gt;&lt;author&gt;Vladimir L. Zholobenko&lt;/author&gt;&lt;author&gt;Marina A. Makarova&lt;/author&gt;&lt;author&gt;John Dwyer&lt;/author&gt;&lt;/authors&gt;&lt;/contributors&gt;&lt;titles&gt;&lt;title&gt;Inhomogeneity of Broensted acid sites in H-mordenite&lt;/title&gt;&lt;secondary-title&gt;Journal of Physical Chemistry&lt;/secondary-title&gt;&lt;/titles&gt;&lt;periodical&gt;&lt;full-title&gt;Journal of Physical Chemistry&lt;/full-title&gt;&lt;/periodical&gt;&lt;pages&gt;5962-5964&lt;/pages&gt;&lt;volume&gt;97&lt;/volume&gt;&lt;number&gt;22&lt;/number&gt;&lt;dates&gt;&lt;year&gt;1993&lt;/year&gt;&lt;/dates&gt;&lt;urls&gt;&lt;/urls&gt;&lt;electronic-resource-num&gt;https://doi.org/10.1021/j100124a030&lt;/electronic-resource-num&gt;&lt;/record&gt;&lt;/Cite&gt;&lt;Cite&gt;&lt;Author&gt;Makarova&lt;/Author&gt;&lt;Year&gt;1997&lt;/Year&gt;&lt;RecNum&gt;60&lt;/RecNum&gt;&lt;record&gt;&lt;rec-number&gt;60&lt;/rec-number&gt;&lt;foreign-keys&gt;&lt;key app="EN" db-id="59dvwrfdof9dw8exf0kvp0atwazsazeeffsp" timestamp="1671736430"&gt;60&lt;/key&gt;&lt;/foreign-keys&gt;&lt;ref-type name="Journal Article"&gt;17&lt;/ref-type&gt;&lt;contributors&gt;&lt;authors&gt;&lt;author&gt;M. A. Makarova&lt;/author&gt;&lt;author&gt;A. E. Wilson&lt;/author&gt;&lt;author&gt;B. J. van Liemt&lt;/author&gt;&lt;author&gt;C. M. A. M. Mesters&lt;/author&gt;&lt;author&gt;A. W. de Winter&lt;/author&gt;&lt;author&gt;C. Williams&lt;/author&gt;&lt;/authors&gt;&lt;/contributors&gt;&lt;titles&gt;&lt;title&gt;Quantification of Brønsted Acidity in Mordenites&lt;/title&gt;&lt;secondary-title&gt;Journal of Catalysis&lt;/secondary-title&gt;&lt;/titles&gt;&lt;periodical&gt;&lt;full-title&gt;Journal of Catalysis&lt;/full-title&gt;&lt;/periodical&gt;&lt;pages&gt;170-177&lt;/pages&gt;&lt;volume&gt;172&lt;/volume&gt;&lt;number&gt;1&lt;/number&gt;&lt;dates&gt;&lt;year&gt;1997&lt;/year&gt;&lt;/dates&gt;&lt;urls&gt;&lt;/urls&gt;&lt;electronic-resource-num&gt;https://doi.org/10.1006/jcat.1997.1849&lt;/electronic-resource-num&gt;&lt;/record&gt;&lt;/Cite&gt;&lt;/EndNote&gt;</w:instrText>
      </w:r>
      <w:r w:rsidRPr="008C3E89">
        <w:rPr>
          <w:color w:val="000000" w:themeColor="text1"/>
        </w:rPr>
        <w:fldChar w:fldCharType="separate"/>
      </w:r>
      <w:r w:rsidR="00C54D4B">
        <w:rPr>
          <w:noProof/>
          <w:color w:val="000000" w:themeColor="text1"/>
        </w:rPr>
        <w:t>[</w:t>
      </w:r>
      <w:hyperlink w:anchor="_ENREF_131" w:tooltip="Zholobenko, 1993 #59" w:history="1">
        <w:r w:rsidR="00D307FA">
          <w:rPr>
            <w:noProof/>
            <w:color w:val="000000" w:themeColor="text1"/>
          </w:rPr>
          <w:t>131</w:t>
        </w:r>
      </w:hyperlink>
      <w:r w:rsidR="00C54D4B">
        <w:rPr>
          <w:noProof/>
          <w:color w:val="000000" w:themeColor="text1"/>
        </w:rPr>
        <w:t xml:space="preserve">, </w:t>
      </w:r>
      <w:hyperlink w:anchor="_ENREF_132" w:tooltip="Makarova, 1997 #60" w:history="1">
        <w:r w:rsidR="00D307FA">
          <w:rPr>
            <w:noProof/>
            <w:color w:val="000000" w:themeColor="text1"/>
          </w:rPr>
          <w:t>132</w:t>
        </w:r>
      </w:hyperlink>
      <w:r w:rsidR="00C54D4B">
        <w:rPr>
          <w:noProof/>
          <w:color w:val="000000" w:themeColor="text1"/>
        </w:rPr>
        <w:t>]</w:t>
      </w:r>
      <w:r w:rsidRPr="008C3E89">
        <w:rPr>
          <w:color w:val="000000" w:themeColor="text1"/>
        </w:rPr>
        <w:fldChar w:fldCharType="end"/>
      </w:r>
      <w:r w:rsidRPr="008C3E89">
        <w:rPr>
          <w:color w:val="000000" w:themeColor="text1"/>
        </w:rPr>
        <w:t>.</w:t>
      </w:r>
      <w:r>
        <w:rPr>
          <w:color w:val="000000" w:themeColor="text1"/>
        </w:rPr>
        <w:t xml:space="preserve"> Those different site locations had a particular activity, being each of them responsible for distinct formation of products.</w:t>
      </w:r>
    </w:p>
    <w:p w14:paraId="48A6C7DC" w14:textId="77777777" w:rsidR="00A35A08" w:rsidRDefault="00A35A08" w:rsidP="00617D5F">
      <w:pPr>
        <w:keepNext/>
        <w:jc w:val="center"/>
      </w:pPr>
      <w:r w:rsidRPr="008C3E89">
        <w:rPr>
          <w:noProof/>
        </w:rPr>
        <w:drawing>
          <wp:inline distT="0" distB="0" distL="0" distR="0" wp14:anchorId="0AF2E490" wp14:editId="23372B86">
            <wp:extent cx="2883363" cy="2743200"/>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24"/>
                    <a:stretch>
                      <a:fillRect/>
                    </a:stretch>
                  </pic:blipFill>
                  <pic:spPr>
                    <a:xfrm>
                      <a:off x="0" y="0"/>
                      <a:ext cx="2883363" cy="2743200"/>
                    </a:xfrm>
                    <a:prstGeom prst="rect">
                      <a:avLst/>
                    </a:prstGeom>
                  </pic:spPr>
                </pic:pic>
              </a:graphicData>
            </a:graphic>
          </wp:inline>
        </w:drawing>
      </w:r>
    </w:p>
    <w:p w14:paraId="414E21C8" w14:textId="6ED26C15" w:rsidR="00A35A08" w:rsidRPr="00052599" w:rsidRDefault="00A35A08" w:rsidP="00617D5F">
      <w:pPr>
        <w:pStyle w:val="Caption"/>
        <w:jc w:val="both"/>
        <w:rPr>
          <w:rFonts w:eastAsiaTheme="minorHAnsi"/>
          <w:i w:val="0"/>
          <w:iCs w:val="0"/>
          <w:color w:val="auto"/>
          <w:sz w:val="24"/>
          <w:szCs w:val="24"/>
        </w:rPr>
      </w:pPr>
      <w:bookmarkStart w:id="26" w:name="_Toc131948674"/>
      <w:r w:rsidRPr="00052599">
        <w:rPr>
          <w:rFonts w:eastAsiaTheme="minorHAnsi"/>
          <w:b/>
          <w:bCs/>
          <w:i w:val="0"/>
          <w:iCs w:val="0"/>
          <w:color w:val="auto"/>
          <w:sz w:val="24"/>
          <w:szCs w:val="24"/>
        </w:rPr>
        <w:t xml:space="preserve">Figure </w:t>
      </w:r>
      <w:r w:rsidRPr="00052599">
        <w:rPr>
          <w:rFonts w:eastAsiaTheme="minorHAnsi"/>
          <w:b/>
          <w:bCs/>
          <w:i w:val="0"/>
          <w:iCs w:val="0"/>
          <w:color w:val="auto"/>
          <w:sz w:val="24"/>
          <w:szCs w:val="24"/>
        </w:rPr>
        <w:fldChar w:fldCharType="begin"/>
      </w:r>
      <w:r w:rsidRPr="00052599">
        <w:rPr>
          <w:rFonts w:eastAsiaTheme="minorHAnsi"/>
          <w:b/>
          <w:bCs/>
          <w:i w:val="0"/>
          <w:iCs w:val="0"/>
          <w:color w:val="auto"/>
          <w:sz w:val="24"/>
          <w:szCs w:val="24"/>
        </w:rPr>
        <w:instrText xml:space="preserve"> SEQ Figure \* ARABIC </w:instrText>
      </w:r>
      <w:r w:rsidRPr="00052599">
        <w:rPr>
          <w:rFonts w:eastAsiaTheme="minorHAnsi"/>
          <w:b/>
          <w:bCs/>
          <w:i w:val="0"/>
          <w:iCs w:val="0"/>
          <w:color w:val="auto"/>
          <w:sz w:val="24"/>
          <w:szCs w:val="24"/>
        </w:rPr>
        <w:fldChar w:fldCharType="separate"/>
      </w:r>
      <w:r w:rsidR="001F4741">
        <w:rPr>
          <w:rFonts w:eastAsiaTheme="minorHAnsi"/>
          <w:b/>
          <w:bCs/>
          <w:i w:val="0"/>
          <w:iCs w:val="0"/>
          <w:noProof/>
          <w:color w:val="auto"/>
          <w:sz w:val="24"/>
          <w:szCs w:val="24"/>
        </w:rPr>
        <w:t>10</w:t>
      </w:r>
      <w:r w:rsidRPr="00052599">
        <w:rPr>
          <w:rFonts w:eastAsiaTheme="minorHAnsi"/>
          <w:b/>
          <w:bCs/>
          <w:i w:val="0"/>
          <w:iCs w:val="0"/>
          <w:color w:val="auto"/>
          <w:sz w:val="24"/>
          <w:szCs w:val="24"/>
        </w:rPr>
        <w:fldChar w:fldCharType="end"/>
      </w:r>
      <w:r w:rsidRPr="00052599">
        <w:rPr>
          <w:rFonts w:eastAsiaTheme="minorHAnsi"/>
          <w:b/>
          <w:bCs/>
          <w:i w:val="0"/>
          <w:iCs w:val="0"/>
          <w:color w:val="auto"/>
          <w:sz w:val="24"/>
          <w:szCs w:val="24"/>
        </w:rPr>
        <w:t xml:space="preserve">: </w:t>
      </w:r>
      <w:r w:rsidRPr="00052599">
        <w:rPr>
          <w:i w:val="0"/>
          <w:iCs w:val="0"/>
          <w:color w:val="auto"/>
          <w:sz w:val="24"/>
          <w:szCs w:val="24"/>
        </w:rPr>
        <w:t xml:space="preserve">Spectra of hydroxyl region of various exchanged mordenites. Reproduced from Ref </w:t>
      </w:r>
      <w:r w:rsidRPr="00052599">
        <w:rPr>
          <w:i w:val="0"/>
          <w:iCs w:val="0"/>
          <w:color w:val="auto"/>
          <w:sz w:val="24"/>
          <w:szCs w:val="24"/>
        </w:rPr>
        <w:fldChar w:fldCharType="begin"/>
      </w:r>
      <w:r w:rsidR="00C54D4B">
        <w:rPr>
          <w:i w:val="0"/>
          <w:iCs w:val="0"/>
          <w:color w:val="auto"/>
          <w:sz w:val="24"/>
          <w:szCs w:val="24"/>
        </w:rPr>
        <w:instrText xml:space="preserve"> ADDIN EN.CITE &lt;EndNote&gt;&lt;Cite&gt;&lt;Author&gt;Veefkind&lt;/Author&gt;&lt;Year&gt;2000&lt;/Year&gt;&lt;RecNum&gt;58&lt;/RecNum&gt;&lt;DisplayText&gt;[130]&lt;/DisplayText&gt;&lt;record&gt;&lt;rec-number&gt;58&lt;/rec-number&gt;&lt;foreign-keys&gt;&lt;key app="EN" db-id="59dvwrfdof9dw8exf0kvp0atwazsazeeffsp" timestamp="1671735646"&gt;58&lt;/key&gt;&lt;/foreign-keys&gt;&lt;ref-type name="Journal Article"&gt;17&lt;/ref-type&gt;&lt;contributors&gt;&lt;authors&gt;&lt;author&gt;Victor A. Veefkind&lt;/author&gt;&lt;author&gt;Martin L. Smidt&lt;/author&gt;&lt;author&gt;Johannes A. Lercher&lt;/author&gt;&lt;/authors&gt;&lt;/contributors&gt;&lt;titles&gt;&lt;title&gt;On the role of strength and location of Brønsted acid sites for ethylamine synthesis on mordenite catalysts&lt;/title&gt;&lt;secondary-title&gt;Applied Catalysis A: General&lt;/secondary-title&gt;&lt;/titles&gt;&lt;periodical&gt;&lt;full-title&gt;Applied Catalysis A: General&lt;/full-title&gt;&lt;/periodical&gt;&lt;pages&gt;319-332&lt;/pages&gt;&lt;volume&gt;194-195&lt;/volume&gt;&lt;dates&gt;&lt;year&gt;2000&lt;/year&gt;&lt;/dates&gt;&lt;urls&gt;&lt;/urls&gt;&lt;electronic-resource-num&gt;https://doi.org/10.1016/S0926-860X(99)00378-6&lt;/electronic-resource-num&gt;&lt;/record&gt;&lt;/Cite&gt;&lt;/EndNote&gt;</w:instrText>
      </w:r>
      <w:r w:rsidRPr="00052599">
        <w:rPr>
          <w:i w:val="0"/>
          <w:iCs w:val="0"/>
          <w:color w:val="auto"/>
          <w:sz w:val="24"/>
          <w:szCs w:val="24"/>
        </w:rPr>
        <w:fldChar w:fldCharType="separate"/>
      </w:r>
      <w:r w:rsidR="00C54D4B">
        <w:rPr>
          <w:i w:val="0"/>
          <w:iCs w:val="0"/>
          <w:noProof/>
          <w:color w:val="auto"/>
          <w:sz w:val="24"/>
          <w:szCs w:val="24"/>
        </w:rPr>
        <w:t>[</w:t>
      </w:r>
      <w:hyperlink w:anchor="_ENREF_130" w:tooltip="Veefkind, 2000 #58" w:history="1">
        <w:r w:rsidR="00D307FA">
          <w:rPr>
            <w:i w:val="0"/>
            <w:iCs w:val="0"/>
            <w:noProof/>
            <w:color w:val="auto"/>
            <w:sz w:val="24"/>
            <w:szCs w:val="24"/>
          </w:rPr>
          <w:t>130</w:t>
        </w:r>
      </w:hyperlink>
      <w:r w:rsidR="00C54D4B">
        <w:rPr>
          <w:i w:val="0"/>
          <w:iCs w:val="0"/>
          <w:noProof/>
          <w:color w:val="auto"/>
          <w:sz w:val="24"/>
          <w:szCs w:val="24"/>
        </w:rPr>
        <w:t>]</w:t>
      </w:r>
      <w:r w:rsidRPr="00052599">
        <w:rPr>
          <w:i w:val="0"/>
          <w:iCs w:val="0"/>
          <w:color w:val="auto"/>
          <w:sz w:val="24"/>
          <w:szCs w:val="24"/>
        </w:rPr>
        <w:fldChar w:fldCharType="end"/>
      </w:r>
      <w:r w:rsidRPr="00052599">
        <w:rPr>
          <w:i w:val="0"/>
          <w:iCs w:val="0"/>
          <w:color w:val="auto"/>
          <w:sz w:val="24"/>
          <w:szCs w:val="24"/>
        </w:rPr>
        <w:t>.</w:t>
      </w:r>
      <w:bookmarkEnd w:id="26"/>
    </w:p>
    <w:p w14:paraId="6D72CDD8" w14:textId="18C20EAA" w:rsidR="00A35A08" w:rsidRPr="00201EB6" w:rsidRDefault="00A35A08" w:rsidP="00241B32">
      <w:pPr>
        <w:shd w:val="clear" w:color="auto" w:fill="FFFFFF"/>
        <w:spacing w:line="480" w:lineRule="auto"/>
        <w:ind w:firstLine="720"/>
        <w:jc w:val="both"/>
        <w:rPr>
          <w:color w:val="000000" w:themeColor="text1"/>
        </w:rPr>
      </w:pPr>
      <w:r w:rsidRPr="00052599">
        <w:t>Parall</w:t>
      </w:r>
      <w:r w:rsidRPr="008C3E89">
        <w:rPr>
          <w:color w:val="000000" w:themeColor="text1"/>
        </w:rPr>
        <w:t xml:space="preserve">el, pyridine is </w:t>
      </w:r>
      <w:r>
        <w:rPr>
          <w:color w:val="000000" w:themeColor="text1"/>
        </w:rPr>
        <w:t xml:space="preserve">also </w:t>
      </w:r>
      <w:r w:rsidRPr="008C3E89">
        <w:rPr>
          <w:color w:val="000000" w:themeColor="text1"/>
        </w:rPr>
        <w:t xml:space="preserve">used as a common </w:t>
      </w:r>
      <w:r>
        <w:rPr>
          <w:color w:val="000000" w:themeColor="text1"/>
        </w:rPr>
        <w:t>probe to titrate Br</w:t>
      </w:r>
      <w:r w:rsidRPr="00A37874">
        <w:t>ø</w:t>
      </w:r>
      <w:r>
        <w:rPr>
          <w:color w:val="000000" w:themeColor="text1"/>
        </w:rPr>
        <w:t xml:space="preserve">nsted and Lewis acid sites in solid oxides and zeolitic materials </w:t>
      </w:r>
      <w:r>
        <w:rPr>
          <w:color w:val="000000" w:themeColor="text1"/>
        </w:rPr>
        <w:fldChar w:fldCharType="begin">
          <w:fldData xml:space="preserve">PEVuZE5vdGU+PENpdGU+PEF1dGhvcj5XYXJkPC9BdXRob3I+PFllYXI+MTk2ODwvWWVhcj48UmVj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=
</w:fldData>
        </w:fldChar>
      </w:r>
      <w:r w:rsidR="00C54D4B">
        <w:rPr>
          <w:color w:val="000000" w:themeColor="text1"/>
        </w:rPr>
        <w:instrText xml:space="preserve"> ADDIN EN.CITE </w:instrText>
      </w:r>
      <w:r w:rsidR="00C54D4B">
        <w:rPr>
          <w:color w:val="000000" w:themeColor="text1"/>
        </w:rPr>
        <w:fldChar w:fldCharType="begin">
          <w:fldData xml:space="preserve">PEVuZE5vdGU+PENpdGU+PEF1dGhvcj5XYXJkPC9BdXRob3I+PFllYXI+MTk2ODwvWWVhcj48UmVj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=
</w:fldData>
        </w:fldChar>
      </w:r>
      <w:r w:rsidR="00C54D4B">
        <w:rPr>
          <w:color w:val="000000" w:themeColor="text1"/>
        </w:rPr>
        <w:instrText xml:space="preserve"> ADDIN EN.CITE.DATA </w:instrText>
      </w:r>
      <w:r w:rsidR="00C54D4B">
        <w:rPr>
          <w:color w:val="000000" w:themeColor="text1"/>
        </w:rPr>
      </w:r>
      <w:r w:rsidR="00C54D4B">
        <w:rPr>
          <w:color w:val="000000" w:themeColor="text1"/>
        </w:rPr>
        <w:fldChar w:fldCharType="end"/>
      </w:r>
      <w:r>
        <w:rPr>
          <w:color w:val="000000" w:themeColor="text1"/>
        </w:rPr>
      </w:r>
      <w:r>
        <w:rPr>
          <w:color w:val="000000" w:themeColor="text1"/>
        </w:rPr>
        <w:fldChar w:fldCharType="separate"/>
      </w:r>
      <w:r w:rsidR="00C54D4B">
        <w:rPr>
          <w:noProof/>
          <w:color w:val="000000" w:themeColor="text1"/>
        </w:rPr>
        <w:t>[</w:t>
      </w:r>
      <w:hyperlink w:anchor="_ENREF_133" w:tooltip="Ward, 1968 #52" w:history="1">
        <w:r w:rsidR="00D307FA">
          <w:rPr>
            <w:noProof/>
            <w:color w:val="000000" w:themeColor="text1"/>
          </w:rPr>
          <w:t>133-137</w:t>
        </w:r>
      </w:hyperlink>
      <w:r w:rsidR="00C54D4B">
        <w:rPr>
          <w:noProof/>
          <w:color w:val="000000" w:themeColor="text1"/>
        </w:rPr>
        <w:t>]</w:t>
      </w:r>
      <w:r>
        <w:rPr>
          <w:color w:val="000000" w:themeColor="text1"/>
        </w:rPr>
        <w:fldChar w:fldCharType="end"/>
      </w:r>
      <w:r>
        <w:rPr>
          <w:color w:val="000000" w:themeColor="text1"/>
        </w:rPr>
        <w:t xml:space="preserve">. This molecule is mainly recommended to titrate acidic materials due to its tendency to interact with surface protons, but once partially charged atoms serving as Lewis acidic spots are present over the catalyst surface a potential interaction with pyridine exists </w:t>
      </w:r>
      <w:r>
        <w:rPr>
          <w:color w:val="000000" w:themeColor="text1"/>
        </w:rPr>
        <w:fldChar w:fldCharType="begin">
          <w:fldData xml:space="preserve">PEVuZE5vdGU+PENpdGU+PEF1dGhvcj5CbHVkYXU8L0F1dGhvcj48WWVhcj4xOTk4PC9ZZWFyPjxS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</w:fldData>
        </w:fldChar>
      </w:r>
      <w:r w:rsidR="00C54D4B">
        <w:rPr>
          <w:color w:val="000000" w:themeColor="text1"/>
        </w:rPr>
        <w:instrText xml:space="preserve"> ADDIN EN.CITE </w:instrText>
      </w:r>
      <w:r w:rsidR="00C54D4B">
        <w:rPr>
          <w:color w:val="000000" w:themeColor="text1"/>
        </w:rPr>
        <w:fldChar w:fldCharType="begin">
          <w:fldData xml:space="preserve">PEVuZE5vdGU+PENpdGU+PEF1dGhvcj5CbHVkYXU8L0F1dGhvcj48WWVhcj4xOTk4PC9ZZWFyPjxS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</w:fldData>
        </w:fldChar>
      </w:r>
      <w:r w:rsidR="00C54D4B">
        <w:rPr>
          <w:color w:val="000000" w:themeColor="text1"/>
        </w:rPr>
        <w:instrText xml:space="preserve"> ADDIN EN.CITE.DATA </w:instrText>
      </w:r>
      <w:r w:rsidR="00C54D4B">
        <w:rPr>
          <w:color w:val="000000" w:themeColor="text1"/>
        </w:rPr>
      </w:r>
      <w:r w:rsidR="00C54D4B">
        <w:rPr>
          <w:color w:val="000000" w:themeColor="text1"/>
        </w:rPr>
        <w:fldChar w:fldCharType="end"/>
      </w:r>
      <w:r>
        <w:rPr>
          <w:color w:val="000000" w:themeColor="text1"/>
        </w:rPr>
      </w:r>
      <w:r>
        <w:rPr>
          <w:color w:val="000000" w:themeColor="text1"/>
        </w:rPr>
        <w:fldChar w:fldCharType="separate"/>
      </w:r>
      <w:r w:rsidR="00C54D4B">
        <w:rPr>
          <w:noProof/>
          <w:color w:val="000000" w:themeColor="text1"/>
        </w:rPr>
        <w:t>[</w:t>
      </w:r>
      <w:hyperlink w:anchor="_ENREF_138" w:tooltip="Bludau, 1998 #51" w:history="1">
        <w:r w:rsidR="00D307FA">
          <w:rPr>
            <w:noProof/>
            <w:color w:val="000000" w:themeColor="text1"/>
          </w:rPr>
          <w:t>138-140</w:t>
        </w:r>
      </w:hyperlink>
      <w:r w:rsidR="00C54D4B">
        <w:rPr>
          <w:noProof/>
          <w:color w:val="000000" w:themeColor="text1"/>
        </w:rPr>
        <w:t>]</w:t>
      </w:r>
      <w:r>
        <w:rPr>
          <w:color w:val="000000" w:themeColor="text1"/>
        </w:rPr>
        <w:fldChar w:fldCharType="end"/>
      </w:r>
      <w:r>
        <w:rPr>
          <w:color w:val="000000" w:themeColor="text1"/>
        </w:rPr>
        <w:t xml:space="preserve">. Due to that, the stoichiometry correlation belief of one added pyridine corresponding to one deactivated site is not true and its usage not recommended depending on the nature of the zeolite. The goal then is not </w:t>
      </w:r>
      <w:r>
        <w:rPr>
          <w:color w:val="000000" w:themeColor="text1"/>
        </w:rPr>
        <w:lastRenderedPageBreak/>
        <w:t>to use pyridine as a quantitively measurement for acid sites, rather its effect is solely analyzed as a titrant agent as its uptake increases inside the zeolitic structure. A molecule with an analogous capability could be used as an in-situ titrant:</w:t>
      </w:r>
      <w:r w:rsidRPr="00F745AE">
        <w:rPr>
          <w:color w:val="000000" w:themeColor="text1"/>
        </w:rPr>
        <w:t xml:space="preserve"> </w:t>
      </w:r>
      <w:r>
        <w:rPr>
          <w:color w:val="000000" w:themeColor="text1"/>
        </w:rPr>
        <w:t>2,6-ditertbutylpyridine. The spatial arrangement of both tertbutyl groups in the β-carbons of the amine group does not permit its interaction with a surface O-atom (i.e., Lewis acid sites), so its acid-titrant functionality in counting sites is more efficient when compared to pyridine, as observed in Baertsch</w:t>
      </w:r>
      <w:r w:rsidR="00362698">
        <w:rPr>
          <w:color w:val="000000" w:themeColor="text1"/>
        </w:rPr>
        <w:t>’s</w:t>
      </w:r>
      <w:r>
        <w:rPr>
          <w:color w:val="000000" w:themeColor="text1"/>
        </w:rPr>
        <w:t xml:space="preserve"> et al. </w:t>
      </w:r>
      <w:r w:rsidRPr="00C80AAF">
        <w:t>work (</w:t>
      </w:r>
      <w:r w:rsidRPr="00C80AAF">
        <w:rPr>
          <w:b/>
          <w:bCs/>
        </w:rPr>
        <w:t>Figure</w:t>
      </w:r>
      <w:r w:rsidR="00820226" w:rsidRPr="00C80AAF">
        <w:rPr>
          <w:b/>
          <w:bCs/>
        </w:rPr>
        <w:t xml:space="preserve"> 11</w:t>
      </w:r>
      <w:r w:rsidRPr="00C80AAF">
        <w:t xml:space="preserve">) </w:t>
      </w:r>
      <w:r w:rsidRPr="00C80AAF">
        <w:fldChar w:fldCharType="begin"/>
      </w:r>
      <w:r w:rsidR="00C54D4B" w:rsidRPr="00C80AAF">
        <w:instrText xml:space="preserve"> ADDIN EN.CITE &lt;EndNote&gt;&lt;Cite&gt;&lt;Author&gt;Baertsch&lt;/Author&gt;&lt;Year&gt;2002&lt;/Year&gt;&lt;RecNum&gt;65&lt;/RecNum&gt;&lt;DisplayText&gt;[141]&lt;/DisplayText&gt;&lt;record&gt;&lt;rec-number&gt;65&lt;/rec-number&gt;&lt;foreign-keys&gt;&lt;key app="EN" db-id="59dvwrfdof9dw8exf0kvp0atwazsazeeffsp" timestamp="1671744240"&gt;65&lt;/key&gt;&lt;/foreign-keys&gt;&lt;ref-type name="Journal Article"&gt;17&lt;/ref-type&gt;&lt;contributors&gt;&lt;authors&gt;&lt;author&gt;Chelsey D. Baertsch&lt;/author&gt;&lt;author&gt;Kenny T. Komala&lt;/author&gt;&lt;author&gt;Yong-Hwee Chua&lt;/author&gt;&lt;author&gt;Enrique Iglesia&lt;/author&gt;&lt;/authors&gt;&lt;/contributors&gt;&lt;titles&gt;&lt;title&gt;Genesis of Brønsted Acid Sites during Dehydration of 2-Butanol on Tungsten Oxide Catalysts&lt;/title&gt;&lt;secondary-title&gt;Journal of Catalysis&lt;/secondary-title&gt;&lt;/titles&gt;&lt;periodical&gt;&lt;full-title&gt;Journal of Catalysis&lt;/full-title&gt;&lt;/periodical&gt;&lt;pages&gt;44-57&lt;/pages&gt;&lt;volume&gt;205&lt;/volume&gt;&lt;number&gt;1&lt;/number&gt;&lt;dates&gt;&lt;year&gt;2002&lt;/year&gt;&lt;/dates&gt;&lt;urls&gt;&lt;/urls&gt;&lt;electronic-resource-num&gt;https://doi.org/10.1006/jcat.2001.3426&lt;/electronic-resource-num&gt;&lt;/record&gt;&lt;/Cite&gt;&lt;/EndNote&gt;</w:instrText>
      </w:r>
      <w:r w:rsidRPr="00C80AAF">
        <w:fldChar w:fldCharType="separate"/>
      </w:r>
      <w:r w:rsidR="00C54D4B" w:rsidRPr="00C80AAF">
        <w:rPr>
          <w:noProof/>
        </w:rPr>
        <w:t>[</w:t>
      </w:r>
      <w:hyperlink w:anchor="_ENREF_141" w:tooltip="Baertsch, 2002 #65" w:history="1">
        <w:r w:rsidR="00D307FA" w:rsidRPr="00C80AAF">
          <w:rPr>
            <w:noProof/>
          </w:rPr>
          <w:t>141</w:t>
        </w:r>
      </w:hyperlink>
      <w:r w:rsidR="00C54D4B" w:rsidRPr="00C80AAF">
        <w:rPr>
          <w:noProof/>
        </w:rPr>
        <w:t>]</w:t>
      </w:r>
      <w:r w:rsidRPr="00C80AAF">
        <w:fldChar w:fldCharType="end"/>
      </w:r>
      <w:r w:rsidRPr="00C80AAF">
        <w:rPr>
          <w:color w:val="000000" w:themeColor="text1"/>
        </w:rPr>
        <w:t>. The</w:t>
      </w:r>
      <w:r>
        <w:rPr>
          <w:color w:val="000000" w:themeColor="text1"/>
        </w:rPr>
        <w:t xml:space="preserve"> disadvantage relies on its size, usually facing diffusion limitations inside of confined frameworks and acting as a titrant only for those sites located in the outer surface of the catalyst particle </w:t>
      </w:r>
      <w:r>
        <w:rPr>
          <w:color w:val="000000" w:themeColor="text1"/>
        </w:rPr>
        <w:fldChar w:fldCharType="begin"/>
      </w:r>
      <w:r w:rsidR="00C54D4B">
        <w:rPr>
          <w:color w:val="000000" w:themeColor="text1"/>
        </w:rPr>
        <w:instrText xml:space="preserve"> ADDIN EN.CITE &lt;EndNote&gt;&lt;Cite&gt;&lt;Author&gt;Corma&lt;/Author&gt;&lt;Year&gt;1998&lt;/Year&gt;&lt;RecNum&gt;66&lt;/RecNum&gt;&lt;DisplayText&gt;[142, 143]&lt;/DisplayText&gt;&lt;record&gt;&lt;rec-number&gt;66&lt;/rec-number&gt;&lt;foreign-keys&gt;&lt;key app="EN" db-id="59dvwrfdof9dw8exf0kvp0atwazsazeeffsp" timestamp="1671744476"&gt;66&lt;/key&gt;&lt;/foreign-keys&gt;&lt;ref-type name="Journal Article"&gt;17&lt;/ref-type&gt;&lt;contributors&gt;&lt;authors&gt;&lt;author&gt;A. Corma&lt;/author&gt;&lt;author&gt;V. Fornés&lt;/author&gt;&lt;author&gt;L. Forni&lt;/author&gt;&lt;author&gt;F. Márquez&lt;/author&gt;&lt;author&gt;J. Martı́nez-Triguero&lt;/author&gt;&lt;author&gt;D. Moscotti&lt;/author&gt;&lt;/authors&gt;&lt;/contributors&gt;&lt;titles&gt;&lt;title&gt;2,6-Di-Tert-Butyl-Pyridine as a Probe Molecule to Measure External Acidity of Zeolites&lt;/title&gt;&lt;secondary-title&gt;Journal of Catalysis&lt;/secondary-title&gt;&lt;/titles&gt;&lt;periodical&gt;&lt;full-title&gt;Journal of Catalysis&lt;/full-title&gt;&lt;/periodical&gt;&lt;pages&gt;451-458&lt;/pages&gt;&lt;volume&gt;179&lt;/volume&gt;&lt;number&gt;2&lt;/number&gt;&lt;dates&gt;&lt;year&gt;1998&lt;/year&gt;&lt;/dates&gt;&lt;urls&gt;&lt;/urls&gt;&lt;electronic-resource-num&gt;https://doi.org/10.1006/jcat.1998.2233&lt;/electronic-resource-num&gt;&lt;/record&gt;&lt;/Cite&gt;&lt;Cite&gt;&lt;Author&gt;Góra-Marek&lt;/Author&gt;&lt;Year&gt;2014&lt;/Year&gt;&lt;RecNum&gt;67&lt;/RecNum&gt;&lt;record&gt;&lt;rec-number&gt;67&lt;/rec-number&gt;&lt;foreign-keys&gt;&lt;key app="EN" db-id="59dvwrfdof9dw8exf0kvp0atwazsazeeffsp" timestamp="1671744609"&gt;67&lt;/key&gt;&lt;/foreign-keys&gt;&lt;ref-type name="Journal Article"&gt;17&lt;/ref-type&gt;&lt;contributors&gt;&lt;authors&gt;&lt;author&gt;Kinga Góra-Marek&lt;/author&gt;&lt;author&gt;Karolina Tarach&lt;/author&gt;&lt;author&gt;Minkee Choi&lt;/author&gt;&lt;/authors&gt;&lt;/contributors&gt;&lt;titles&gt;&lt;title&gt;2,6-Di-tert-butylpyridine Sorption Approach to Quantify the External Acidity in Hierarchical Zeolites&lt;/title&gt;&lt;secondary-title&gt;Journal of Physical Chemistry&lt;/secondary-title&gt;&lt;/titles&gt;&lt;periodical&gt;&lt;full-title&gt;Journal of Physical Chemistry&lt;/full-title&gt;&lt;/periodical&gt;&lt;pages&gt;12266-12274&lt;/pages&gt;&lt;volume&gt;118&lt;/volume&gt;&lt;number&gt;23&lt;/number&gt;&lt;dates&gt;&lt;year&gt;2014&lt;/year&gt;&lt;/dates&gt;&lt;urls&gt;&lt;/urls&gt;&lt;electronic-resource-num&gt;https://doi.org/10.1021/jp501928k&lt;/electronic-resource-num&gt;&lt;/record&gt;&lt;/Cite&gt;&lt;/EndNote&gt;</w:instrText>
      </w:r>
      <w:r>
        <w:rPr>
          <w:color w:val="000000" w:themeColor="text1"/>
        </w:rPr>
        <w:fldChar w:fldCharType="separate"/>
      </w:r>
      <w:r w:rsidR="00C54D4B">
        <w:rPr>
          <w:noProof/>
          <w:color w:val="000000" w:themeColor="text1"/>
        </w:rPr>
        <w:t>[</w:t>
      </w:r>
      <w:hyperlink w:anchor="_ENREF_142" w:tooltip="Corma, 1998 #66" w:history="1">
        <w:r w:rsidR="00D307FA">
          <w:rPr>
            <w:noProof/>
            <w:color w:val="000000" w:themeColor="text1"/>
          </w:rPr>
          <w:t>142</w:t>
        </w:r>
      </w:hyperlink>
      <w:r w:rsidR="00C54D4B">
        <w:rPr>
          <w:noProof/>
          <w:color w:val="000000" w:themeColor="text1"/>
        </w:rPr>
        <w:t xml:space="preserve">, </w:t>
      </w:r>
      <w:hyperlink w:anchor="_ENREF_143" w:tooltip="Góra-Marek, 2014 #67" w:history="1">
        <w:r w:rsidR="00D307FA">
          <w:rPr>
            <w:noProof/>
            <w:color w:val="000000" w:themeColor="text1"/>
          </w:rPr>
          <w:t>143</w:t>
        </w:r>
      </w:hyperlink>
      <w:r w:rsidR="00C54D4B">
        <w:rPr>
          <w:noProof/>
          <w:color w:val="000000" w:themeColor="text1"/>
        </w:rPr>
        <w:t>]</w:t>
      </w:r>
      <w:r>
        <w:rPr>
          <w:color w:val="000000" w:themeColor="text1"/>
        </w:rPr>
        <w:fldChar w:fldCharType="end"/>
      </w:r>
      <w:r>
        <w:rPr>
          <w:color w:val="000000" w:themeColor="text1"/>
        </w:rPr>
        <w:t xml:space="preserve">. In summary, pyridine in confined </w:t>
      </w:r>
      <w:r w:rsidRPr="00201EB6">
        <w:rPr>
          <w:color w:val="000000" w:themeColor="text1"/>
        </w:rPr>
        <w:t>environments seems to be a more appropriate molecule than 2,6-ditertbutylpyridine for in-situ acid titration</w:t>
      </w:r>
      <w:r>
        <w:rPr>
          <w:color w:val="000000" w:themeColor="text1"/>
        </w:rPr>
        <w:t xml:space="preserve"> even with its secondary function as Lewis acid site titrant</w:t>
      </w:r>
      <w:r w:rsidRPr="00201EB6">
        <w:rPr>
          <w:color w:val="000000" w:themeColor="text1"/>
        </w:rPr>
        <w:t xml:space="preserve">, as well as the use of Na for </w:t>
      </w:r>
      <w:r>
        <w:rPr>
          <w:color w:val="000000" w:themeColor="text1"/>
        </w:rPr>
        <w:t xml:space="preserve">the </w:t>
      </w:r>
      <w:r w:rsidRPr="00201EB6">
        <w:rPr>
          <w:color w:val="000000" w:themeColor="text1"/>
        </w:rPr>
        <w:t>ion-exchange.</w:t>
      </w:r>
    </w:p>
    <w:p w14:paraId="684FCFA7" w14:textId="77777777" w:rsidR="00A35A08" w:rsidRPr="00052599" w:rsidRDefault="00A35A08" w:rsidP="00617D5F">
      <w:pPr>
        <w:keepNext/>
        <w:jc w:val="center"/>
      </w:pPr>
      <w:r w:rsidRPr="00052599">
        <w:rPr>
          <w:noProof/>
        </w:rPr>
        <w:drawing>
          <wp:inline distT="0" distB="0" distL="0" distR="0" wp14:anchorId="168D8AE6" wp14:editId="4F165D84">
            <wp:extent cx="2575356" cy="2743200"/>
            <wp:effectExtent l="0" t="0" r="0" b="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pic:nvPicPr>
                  <pic:blipFill>
                    <a:blip r:embed="rId25"/>
                    <a:stretch>
                      <a:fillRect/>
                    </a:stretch>
                  </pic:blipFill>
                  <pic:spPr>
                    <a:xfrm>
                      <a:off x="0" y="0"/>
                      <a:ext cx="2575356" cy="2743200"/>
                    </a:xfrm>
                    <a:prstGeom prst="rect">
                      <a:avLst/>
                    </a:prstGeom>
                  </pic:spPr>
                </pic:pic>
              </a:graphicData>
            </a:graphic>
          </wp:inline>
        </w:drawing>
      </w:r>
    </w:p>
    <w:p w14:paraId="58DE20FE" w14:textId="095DAEAB" w:rsidR="00A35A08" w:rsidRPr="00790C28" w:rsidRDefault="00A35A08" w:rsidP="00617D5F">
      <w:pPr>
        <w:pStyle w:val="Caption"/>
        <w:jc w:val="both"/>
        <w:rPr>
          <w:rStyle w:val="gmail-apple-converted-space"/>
          <w:i w:val="0"/>
          <w:iCs w:val="0"/>
          <w:color w:val="000000" w:themeColor="text1"/>
          <w:sz w:val="24"/>
          <w:szCs w:val="24"/>
        </w:rPr>
      </w:pPr>
      <w:bookmarkStart w:id="27" w:name="_Toc131948675"/>
      <w:r w:rsidRPr="00DC3648">
        <w:rPr>
          <w:b/>
          <w:bCs/>
          <w:i w:val="0"/>
          <w:iCs w:val="0"/>
          <w:color w:val="auto"/>
          <w:sz w:val="24"/>
          <w:szCs w:val="24"/>
        </w:rPr>
        <w:t xml:space="preserve">Figure </w:t>
      </w:r>
      <w:r w:rsidRPr="00DC3648">
        <w:rPr>
          <w:b/>
          <w:bCs/>
          <w:i w:val="0"/>
          <w:iCs w:val="0"/>
          <w:color w:val="auto"/>
          <w:sz w:val="24"/>
          <w:szCs w:val="24"/>
        </w:rPr>
        <w:fldChar w:fldCharType="begin"/>
      </w:r>
      <w:r w:rsidRPr="00DC3648">
        <w:rPr>
          <w:b/>
          <w:bCs/>
          <w:i w:val="0"/>
          <w:iCs w:val="0"/>
          <w:color w:val="auto"/>
          <w:sz w:val="24"/>
          <w:szCs w:val="24"/>
        </w:rPr>
        <w:instrText xml:space="preserve"> SEQ Figure \* ARABIC </w:instrText>
      </w:r>
      <w:r w:rsidRPr="00DC3648">
        <w:rPr>
          <w:b/>
          <w:bCs/>
          <w:i w:val="0"/>
          <w:iCs w:val="0"/>
          <w:color w:val="auto"/>
          <w:sz w:val="24"/>
          <w:szCs w:val="24"/>
        </w:rPr>
        <w:fldChar w:fldCharType="separate"/>
      </w:r>
      <w:r w:rsidR="001F4741">
        <w:rPr>
          <w:b/>
          <w:bCs/>
          <w:i w:val="0"/>
          <w:iCs w:val="0"/>
          <w:noProof/>
          <w:color w:val="auto"/>
          <w:sz w:val="24"/>
          <w:szCs w:val="24"/>
        </w:rPr>
        <w:t>11</w:t>
      </w:r>
      <w:r w:rsidRPr="00DC3648">
        <w:rPr>
          <w:b/>
          <w:bCs/>
          <w:i w:val="0"/>
          <w:iCs w:val="0"/>
          <w:color w:val="auto"/>
          <w:sz w:val="24"/>
          <w:szCs w:val="24"/>
        </w:rPr>
        <w:fldChar w:fldCharType="end"/>
      </w:r>
      <w:r w:rsidRPr="00DC3648">
        <w:rPr>
          <w:b/>
          <w:bCs/>
          <w:i w:val="0"/>
          <w:iCs w:val="0"/>
          <w:color w:val="auto"/>
          <w:sz w:val="24"/>
          <w:szCs w:val="24"/>
        </w:rPr>
        <w:t>:</w:t>
      </w:r>
      <w:r w:rsidRPr="00052599">
        <w:rPr>
          <w:rStyle w:val="gmail-apple-converted-space"/>
          <w:i w:val="0"/>
          <w:iCs w:val="0"/>
          <w:color w:val="auto"/>
          <w:sz w:val="24"/>
          <w:szCs w:val="24"/>
        </w:rPr>
        <w:t xml:space="preserve"> Catalytic titration of W30Z-14.8: 2-butanol dehydration rate as a function of the cumulative amount of titrant (2,6-di-tert-butyl-pyridine or pyridine) adsorbed during reaction. Reproduced </w:t>
      </w:r>
      <w:r w:rsidRPr="00790C28">
        <w:rPr>
          <w:rStyle w:val="gmail-apple-converted-space"/>
          <w:i w:val="0"/>
          <w:iCs w:val="0"/>
          <w:color w:val="000000" w:themeColor="text1"/>
          <w:sz w:val="24"/>
          <w:szCs w:val="24"/>
        </w:rPr>
        <w:t>from</w:t>
      </w:r>
      <w:r>
        <w:rPr>
          <w:rStyle w:val="gmail-apple-converted-space"/>
          <w:i w:val="0"/>
          <w:iCs w:val="0"/>
          <w:color w:val="000000" w:themeColor="text1"/>
          <w:sz w:val="24"/>
          <w:szCs w:val="24"/>
        </w:rPr>
        <w:t xml:space="preserve"> Ref</w:t>
      </w:r>
      <w:r w:rsidRPr="00790C28">
        <w:rPr>
          <w:rStyle w:val="gmail-apple-converted-space"/>
          <w:i w:val="0"/>
          <w:iCs w:val="0"/>
          <w:color w:val="000000" w:themeColor="text1"/>
          <w:sz w:val="24"/>
          <w:szCs w:val="24"/>
        </w:rPr>
        <w:t xml:space="preserve"> </w:t>
      </w:r>
      <w:r w:rsidRPr="00790C28">
        <w:rPr>
          <w:rStyle w:val="gmail-apple-converted-space"/>
          <w:i w:val="0"/>
          <w:iCs w:val="0"/>
          <w:color w:val="000000" w:themeColor="text1"/>
          <w:sz w:val="24"/>
          <w:szCs w:val="24"/>
        </w:rPr>
        <w:fldChar w:fldCharType="begin"/>
      </w:r>
      <w:r w:rsidR="00C54D4B">
        <w:rPr>
          <w:rStyle w:val="gmail-apple-converted-space"/>
          <w:i w:val="0"/>
          <w:iCs w:val="0"/>
          <w:color w:val="000000" w:themeColor="text1"/>
          <w:sz w:val="24"/>
          <w:szCs w:val="24"/>
        </w:rPr>
        <w:instrText xml:space="preserve"> ADDIN EN.CITE &lt;EndNote&gt;&lt;Cite&gt;&lt;Author&gt;Baertsch&lt;/Author&gt;&lt;Year&gt;2002&lt;/Year&gt;&lt;RecNum&gt;65&lt;/RecNum&gt;&lt;DisplayText&gt;[141]&lt;/DisplayText&gt;&lt;record&gt;&lt;rec-number&gt;65&lt;/rec-number&gt;&lt;foreign-keys&gt;&lt;key app="EN" db-id="59dvwrfdof9dw8exf0kvp0atwazsazeeffsp" timestamp="1671744240"&gt;65&lt;/key&gt;&lt;/foreign-keys&gt;&lt;ref-type name="Journal Article"&gt;17&lt;/ref-type&gt;&lt;contributors&gt;&lt;authors&gt;&lt;author&gt;Chelsey D. Baertsch&lt;/author&gt;&lt;author&gt;Kenny T. Komala&lt;/author&gt;&lt;author&gt;Yong-Hwee Chua&lt;/author&gt;&lt;author&gt;Enrique Iglesia&lt;/author&gt;&lt;/authors&gt;&lt;/contributors&gt;&lt;titles&gt;&lt;title&gt;Genesis of Brønsted Acid Sites during Dehydration of 2-Butanol on Tungsten Oxide Catalysts&lt;/title&gt;&lt;secondary-title&gt;Journal of Catalysis&lt;/secondary-title&gt;&lt;/titles&gt;&lt;periodical&gt;&lt;full-title&gt;Journal of Catalysis&lt;/full-title&gt;&lt;/periodical&gt;&lt;pages&gt;44-57&lt;/pages&gt;&lt;volume&gt;205&lt;/volume&gt;&lt;number&gt;1&lt;/number&gt;&lt;dates&gt;&lt;year&gt;2002&lt;/year&gt;&lt;/dates&gt;&lt;urls&gt;&lt;/urls&gt;&lt;electronic-resource-num&gt;https://doi.org/10.1006/jcat.2001.3426&lt;/electronic-resource-num&gt;&lt;/record&gt;&lt;/Cite&gt;&lt;/EndNote&gt;</w:instrText>
      </w:r>
      <w:r w:rsidRPr="00790C28">
        <w:rPr>
          <w:rStyle w:val="gmail-apple-converted-space"/>
          <w:i w:val="0"/>
          <w:iCs w:val="0"/>
          <w:color w:val="000000" w:themeColor="text1"/>
          <w:sz w:val="24"/>
          <w:szCs w:val="24"/>
        </w:rPr>
        <w:fldChar w:fldCharType="separate"/>
      </w:r>
      <w:r w:rsidR="00C54D4B">
        <w:rPr>
          <w:rStyle w:val="gmail-apple-converted-space"/>
          <w:i w:val="0"/>
          <w:iCs w:val="0"/>
          <w:noProof/>
          <w:color w:val="000000" w:themeColor="text1"/>
          <w:sz w:val="24"/>
          <w:szCs w:val="24"/>
        </w:rPr>
        <w:t>[</w:t>
      </w:r>
      <w:hyperlink w:anchor="_ENREF_141" w:tooltip="Baertsch, 2002 #65" w:history="1">
        <w:r w:rsidR="00D307FA">
          <w:rPr>
            <w:rStyle w:val="gmail-apple-converted-space"/>
            <w:i w:val="0"/>
            <w:iCs w:val="0"/>
            <w:noProof/>
            <w:color w:val="000000" w:themeColor="text1"/>
            <w:sz w:val="24"/>
            <w:szCs w:val="24"/>
          </w:rPr>
          <w:t>141</w:t>
        </w:r>
      </w:hyperlink>
      <w:r w:rsidR="00C54D4B">
        <w:rPr>
          <w:rStyle w:val="gmail-apple-converted-space"/>
          <w:i w:val="0"/>
          <w:iCs w:val="0"/>
          <w:noProof/>
          <w:color w:val="000000" w:themeColor="text1"/>
          <w:sz w:val="24"/>
          <w:szCs w:val="24"/>
        </w:rPr>
        <w:t>]</w:t>
      </w:r>
      <w:r w:rsidRPr="00790C28">
        <w:rPr>
          <w:rStyle w:val="gmail-apple-converted-space"/>
          <w:i w:val="0"/>
          <w:iCs w:val="0"/>
          <w:color w:val="000000" w:themeColor="text1"/>
          <w:sz w:val="24"/>
          <w:szCs w:val="24"/>
        </w:rPr>
        <w:fldChar w:fldCharType="end"/>
      </w:r>
      <w:r w:rsidRPr="00790C28">
        <w:rPr>
          <w:rStyle w:val="gmail-apple-converted-space"/>
          <w:i w:val="0"/>
          <w:iCs w:val="0"/>
          <w:color w:val="000000" w:themeColor="text1"/>
          <w:sz w:val="24"/>
          <w:szCs w:val="24"/>
        </w:rPr>
        <w:t>.</w:t>
      </w:r>
      <w:bookmarkEnd w:id="27"/>
      <w:r w:rsidRPr="00790C28">
        <w:rPr>
          <w:rStyle w:val="gmail-apple-converted-space"/>
          <w:i w:val="0"/>
          <w:iCs w:val="0"/>
          <w:color w:val="000000" w:themeColor="text1"/>
          <w:sz w:val="24"/>
          <w:szCs w:val="24"/>
        </w:rPr>
        <w:t xml:space="preserve"> </w:t>
      </w:r>
    </w:p>
    <w:p w14:paraId="478FCC63" w14:textId="5D7A8646" w:rsidR="005950F5" w:rsidRDefault="00A35A08" w:rsidP="00041564">
      <w:pPr>
        <w:shd w:val="clear" w:color="auto" w:fill="FFFFFF"/>
        <w:spacing w:line="480" w:lineRule="auto"/>
        <w:ind w:firstLine="720"/>
        <w:jc w:val="both"/>
        <w:rPr>
          <w:rStyle w:val="gmail-apple-converted-space"/>
          <w:color w:val="000000" w:themeColor="text1"/>
        </w:rPr>
      </w:pPr>
      <w:r w:rsidRPr="00790C28">
        <w:rPr>
          <w:rStyle w:val="gmail-apple-converted-space"/>
          <w:color w:val="000000" w:themeColor="text1"/>
        </w:rPr>
        <w:t>It is expected that as the titrant amo</w:t>
      </w:r>
      <w:r>
        <w:rPr>
          <w:rStyle w:val="gmail-apple-converted-space"/>
          <w:color w:val="000000" w:themeColor="text1"/>
        </w:rPr>
        <w:t xml:space="preserve">unt increases, more sites will be inactive, and a continuous catalytic activity decay occurs. In </w:t>
      </w:r>
      <w:r w:rsidRPr="007B1EFC">
        <w:rPr>
          <w:rStyle w:val="gmail-apple-converted-space"/>
          <w:color w:val="000000" w:themeColor="text1"/>
        </w:rPr>
        <w:t xml:space="preserve">the absence of MTL </w:t>
      </w:r>
      <w:r>
        <w:rPr>
          <w:rStyle w:val="gmail-apple-converted-space"/>
          <w:color w:val="000000" w:themeColor="text1"/>
        </w:rPr>
        <w:t xml:space="preserve">a </w:t>
      </w:r>
      <w:r w:rsidRPr="007B1EFC">
        <w:rPr>
          <w:rStyle w:val="gmail-apple-converted-space"/>
          <w:color w:val="000000" w:themeColor="text1"/>
        </w:rPr>
        <w:t xml:space="preserve">linear decrease in </w:t>
      </w:r>
      <w:r w:rsidRPr="007B1EFC">
        <w:rPr>
          <w:rStyle w:val="gmail-apple-converted-space"/>
          <w:color w:val="000000" w:themeColor="text1"/>
        </w:rPr>
        <w:lastRenderedPageBreak/>
        <w:t>reaction rate</w:t>
      </w:r>
      <w:r>
        <w:rPr>
          <w:rStyle w:val="gmail-apple-converted-space"/>
          <w:color w:val="000000" w:themeColor="text1"/>
        </w:rPr>
        <w:t xml:space="preserve"> is observed </w:t>
      </w:r>
      <w:r w:rsidRPr="007B1EFC">
        <w:rPr>
          <w:rStyle w:val="gmail-apple-converted-space"/>
          <w:color w:val="000000" w:themeColor="text1"/>
        </w:rPr>
        <w:fldChar w:fldCharType="begin"/>
      </w:r>
      <w:r w:rsidR="00C54D4B">
        <w:rPr>
          <w:rStyle w:val="gmail-apple-converted-space"/>
          <w:color w:val="000000" w:themeColor="text1"/>
        </w:rPr>
        <w:instrText xml:space="preserve"> ADDIN EN.CITE &lt;EndNote&gt;&lt;Cite&gt;&lt;Author&gt;Gumidyala&lt;/Author&gt;&lt;Year&gt;2016&lt;/Year&gt;&lt;RecNum&gt;22&lt;/RecNum&gt;&lt;DisplayText&gt;[125]&lt;/DisplayText&gt;&lt;record&gt;&lt;rec-number&gt;22&lt;/rec-number&gt;&lt;foreign-keys&gt;&lt;key app="EN" db-id="59dvwrfdof9dw8exf0kvp0atwazsazeeffsp" timestamp="1670436910"&gt;22&lt;/key&gt;&lt;/foreign-keys&gt;&lt;ref-type name="Journal Article"&gt;17&lt;/ref-type&gt;&lt;contributors&gt;&lt;authors&gt;&lt;author&gt;Abhishek Gumidyala&lt;/author&gt;&lt;author&gt;Tawan Sooknoi&lt;/author&gt;&lt;author&gt;Steven Crossley&lt;/author&gt;&lt;/authors&gt;&lt;/contributors&gt;&lt;titles&gt;&lt;title&gt;Selective ketonization of acetic acid over HZSM-5: The importance of acyl species and the influence of water&lt;/title&gt;&lt;secondary-title&gt;Journal of Catalysis&lt;/secondary-title&gt;&lt;/titles&gt;&lt;periodical&gt;&lt;full-title&gt;Journal of Catalysis&lt;/full-title&gt;&lt;/periodical&gt;&lt;pages&gt;76-84&lt;/pages&gt;&lt;volume&gt;340&lt;/volume&gt;&lt;dates&gt;&lt;year&gt;2016&lt;/year&gt;&lt;/dates&gt;&lt;urls&gt;&lt;/urls&gt;&lt;electronic-resource-num&gt;https://doi.org/10.1016/j.jcat.2016.04.017&lt;/electronic-resource-num&gt;&lt;/record&gt;&lt;/Cite&gt;&lt;/EndNote&gt;</w:instrText>
      </w:r>
      <w:r w:rsidRPr="007B1EFC">
        <w:rPr>
          <w:rStyle w:val="gmail-apple-converted-space"/>
          <w:color w:val="000000" w:themeColor="text1"/>
        </w:rPr>
        <w:fldChar w:fldCharType="separate"/>
      </w:r>
      <w:r w:rsidR="00C54D4B">
        <w:rPr>
          <w:rStyle w:val="gmail-apple-converted-space"/>
          <w:noProof/>
          <w:color w:val="000000" w:themeColor="text1"/>
        </w:rPr>
        <w:t>[</w:t>
      </w:r>
      <w:hyperlink w:anchor="_ENREF_125" w:tooltip="Gumidyala, 2016 #22" w:history="1">
        <w:r w:rsidR="00D307FA">
          <w:rPr>
            <w:rStyle w:val="gmail-apple-converted-space"/>
            <w:noProof/>
            <w:color w:val="000000" w:themeColor="text1"/>
          </w:rPr>
          <w:t>125</w:t>
        </w:r>
      </w:hyperlink>
      <w:r w:rsidR="00C54D4B">
        <w:rPr>
          <w:rStyle w:val="gmail-apple-converted-space"/>
          <w:noProof/>
          <w:color w:val="000000" w:themeColor="text1"/>
        </w:rPr>
        <w:t>]</w:t>
      </w:r>
      <w:r w:rsidRPr="007B1EFC">
        <w:rPr>
          <w:rStyle w:val="gmail-apple-converted-space"/>
          <w:color w:val="000000" w:themeColor="text1"/>
        </w:rPr>
        <w:fldChar w:fldCharType="end"/>
      </w:r>
      <w:r w:rsidRPr="007B1EFC">
        <w:rPr>
          <w:rStyle w:val="gmail-apple-converted-space"/>
          <w:color w:val="000000" w:themeColor="text1"/>
        </w:rPr>
        <w:t xml:space="preserve">. </w:t>
      </w:r>
      <w:r>
        <w:rPr>
          <w:rStyle w:val="gmail-apple-converted-space"/>
          <w:color w:val="000000" w:themeColor="text1"/>
        </w:rPr>
        <w:t xml:space="preserve">In this case, each site is exposed to the same reaction conditions and maintain an identical catalytic activity. Any modification over the site concentration will thus cause a proportional change </w:t>
      </w:r>
      <w:r w:rsidR="004526A4">
        <w:rPr>
          <w:rStyle w:val="gmail-apple-converted-space"/>
          <w:color w:val="000000" w:themeColor="text1"/>
        </w:rPr>
        <w:t>in</w:t>
      </w:r>
      <w:r>
        <w:rPr>
          <w:rStyle w:val="gmail-apple-converted-space"/>
          <w:color w:val="000000" w:themeColor="text1"/>
        </w:rPr>
        <w:t xml:space="preserve"> reaction rate. </w:t>
      </w:r>
      <w:r w:rsidRPr="007B1EFC">
        <w:rPr>
          <w:rStyle w:val="gmail-apple-converted-space"/>
          <w:color w:val="000000" w:themeColor="text1"/>
        </w:rPr>
        <w:t xml:space="preserve">Contrarily, if MTL are present </w:t>
      </w:r>
      <w:r>
        <w:rPr>
          <w:rStyle w:val="gmail-apple-converted-space"/>
          <w:color w:val="000000" w:themeColor="text1"/>
        </w:rPr>
        <w:t xml:space="preserve">it is expected a non-linear </w:t>
      </w:r>
      <w:r w:rsidRPr="007B1EFC">
        <w:rPr>
          <w:rStyle w:val="gmail-apple-converted-space"/>
          <w:color w:val="000000" w:themeColor="text1"/>
        </w:rPr>
        <w:t>decrease in rate with increasing number of titrates sites linear. As the majority of active sites have been titrated the variation</w:t>
      </w:r>
      <w:r>
        <w:rPr>
          <w:rStyle w:val="gmail-apple-converted-space"/>
          <w:color w:val="000000" w:themeColor="text1"/>
        </w:rPr>
        <w:t xml:space="preserve"> approximates to</w:t>
      </w:r>
      <w:r w:rsidRPr="007B1EFC">
        <w:rPr>
          <w:rStyle w:val="gmail-apple-converted-space"/>
          <w:color w:val="000000" w:themeColor="text1"/>
        </w:rPr>
        <w:t xml:space="preserve"> linear since the concentration of remaining</w:t>
      </w:r>
      <w:r w:rsidRPr="00201EB6">
        <w:rPr>
          <w:rStyle w:val="gmail-apple-converted-space"/>
          <w:color w:val="000000" w:themeColor="text1"/>
        </w:rPr>
        <w:t xml:space="preserve"> active sites is low-enough </w:t>
      </w:r>
      <w:r>
        <w:rPr>
          <w:rStyle w:val="gmail-apple-converted-space"/>
          <w:color w:val="000000" w:themeColor="text1"/>
        </w:rPr>
        <w:t>and most of the sites are exposed to equivalent conditions</w:t>
      </w:r>
      <w:r w:rsidRPr="00201EB6">
        <w:rPr>
          <w:rStyle w:val="gmail-apple-converted-space"/>
          <w:color w:val="000000" w:themeColor="text1"/>
        </w:rPr>
        <w:t xml:space="preserve"> inside the crystalline framework</w:t>
      </w:r>
      <w:r>
        <w:rPr>
          <w:rStyle w:val="gmail-apple-converted-space"/>
          <w:color w:val="000000" w:themeColor="text1"/>
        </w:rPr>
        <w:t xml:space="preserve">. </w:t>
      </w:r>
      <w:r w:rsidRPr="00C0105F">
        <w:rPr>
          <w:rStyle w:val="gmail-apple-converted-space"/>
          <w:color w:val="000000" w:themeColor="text1"/>
        </w:rPr>
        <w:t>In order to prove the presented hypothes</w:t>
      </w:r>
      <w:r>
        <w:rPr>
          <w:rStyle w:val="gmail-apple-converted-space"/>
          <w:color w:val="000000" w:themeColor="text1"/>
        </w:rPr>
        <w:t>ized rate behavior</w:t>
      </w:r>
      <w:r w:rsidRPr="00C0105F">
        <w:rPr>
          <w:rStyle w:val="gmail-apple-converted-space"/>
          <w:color w:val="000000" w:themeColor="text1"/>
        </w:rPr>
        <w:t xml:space="preserve"> and </w:t>
      </w:r>
      <w:r>
        <w:rPr>
          <w:rStyle w:val="gmail-apple-converted-space"/>
          <w:color w:val="000000" w:themeColor="text1"/>
        </w:rPr>
        <w:t xml:space="preserve">to </w:t>
      </w:r>
      <w:r w:rsidRPr="00C0105F">
        <w:rPr>
          <w:rStyle w:val="gmail-apple-converted-space"/>
          <w:color w:val="000000" w:themeColor="text1"/>
        </w:rPr>
        <w:t>be a</w:t>
      </w:r>
      <w:r>
        <w:rPr>
          <w:rStyle w:val="gmail-apple-converted-space"/>
          <w:color w:val="000000" w:themeColor="text1"/>
        </w:rPr>
        <w:t xml:space="preserve">ble to </w:t>
      </w:r>
      <w:r w:rsidR="004902BE">
        <w:rPr>
          <w:rStyle w:val="gmail-apple-converted-space"/>
          <w:color w:val="000000" w:themeColor="text1"/>
        </w:rPr>
        <w:t xml:space="preserve">identify </w:t>
      </w:r>
      <w:r>
        <w:rPr>
          <w:rStyle w:val="gmail-apple-converted-space"/>
          <w:color w:val="000000" w:themeColor="text1"/>
        </w:rPr>
        <w:t>quantify the extent of MTL at zeolitic systems,</w:t>
      </w:r>
      <w:r w:rsidR="00BD6FE8">
        <w:rPr>
          <w:rStyle w:val="gmail-apple-converted-space"/>
          <w:color w:val="000000" w:themeColor="text1"/>
        </w:rPr>
        <w:t xml:space="preserve"> this study objectives </w:t>
      </w:r>
      <w:r w:rsidR="006A69BB">
        <w:rPr>
          <w:rStyle w:val="gmail-apple-converted-space"/>
          <w:color w:val="000000" w:themeColor="text1"/>
        </w:rPr>
        <w:t xml:space="preserve">to </w:t>
      </w:r>
      <w:r w:rsidR="00741041">
        <w:rPr>
          <w:rStyle w:val="gmail-apple-converted-space"/>
          <w:color w:val="000000" w:themeColor="text1"/>
        </w:rPr>
        <w:t xml:space="preserve">perform a set of experimental approaches by adjusting the initial site density of a catalyst and </w:t>
      </w:r>
      <w:r w:rsidR="006A59BE">
        <w:rPr>
          <w:rStyle w:val="gmail-apple-converted-space"/>
          <w:color w:val="000000" w:themeColor="text1"/>
        </w:rPr>
        <w:t>observ</w:t>
      </w:r>
      <w:r w:rsidR="00EE51CE">
        <w:rPr>
          <w:rStyle w:val="gmail-apple-converted-space"/>
          <w:color w:val="000000" w:themeColor="text1"/>
        </w:rPr>
        <w:t>ing</w:t>
      </w:r>
      <w:r w:rsidR="006A59BE">
        <w:rPr>
          <w:rStyle w:val="gmail-apple-converted-space"/>
          <w:color w:val="000000" w:themeColor="text1"/>
        </w:rPr>
        <w:t xml:space="preserve"> the </w:t>
      </w:r>
      <w:r w:rsidR="00EE51CE">
        <w:rPr>
          <w:rStyle w:val="gmail-apple-converted-space"/>
          <w:color w:val="000000" w:themeColor="text1"/>
        </w:rPr>
        <w:t>respective rate drop</w:t>
      </w:r>
      <w:r w:rsidR="00F01664">
        <w:rPr>
          <w:rStyle w:val="gmail-apple-converted-space"/>
          <w:color w:val="000000" w:themeColor="text1"/>
        </w:rPr>
        <w:t>. For this, a</w:t>
      </w:r>
      <w:r w:rsidR="00AA1103">
        <w:rPr>
          <w:rStyle w:val="gmail-apple-converted-space"/>
          <w:color w:val="000000" w:themeColor="text1"/>
        </w:rPr>
        <w:t xml:space="preserve"> reaction-diffusion modeling</w:t>
      </w:r>
      <w:r w:rsidR="00F01664">
        <w:rPr>
          <w:rStyle w:val="gmail-apple-converted-space"/>
          <w:color w:val="000000" w:themeColor="text1"/>
        </w:rPr>
        <w:t xml:space="preserve"> is necessary to replicate </w:t>
      </w:r>
      <w:r w:rsidR="000011C5">
        <w:rPr>
          <w:rStyle w:val="gmail-apple-converted-space"/>
          <w:color w:val="000000" w:themeColor="text1"/>
        </w:rPr>
        <w:t xml:space="preserve">the experimental </w:t>
      </w:r>
      <w:r w:rsidR="00EB518B">
        <w:rPr>
          <w:rStyle w:val="gmail-apple-converted-space"/>
          <w:color w:val="000000" w:themeColor="text1"/>
        </w:rPr>
        <w:t xml:space="preserve">results </w:t>
      </w:r>
      <w:r w:rsidR="00F01664">
        <w:rPr>
          <w:rStyle w:val="gmail-apple-converted-space"/>
          <w:color w:val="000000" w:themeColor="text1"/>
        </w:rPr>
        <w:t>and allow</w:t>
      </w:r>
      <w:r w:rsidR="000011C5">
        <w:rPr>
          <w:rStyle w:val="gmail-apple-converted-space"/>
          <w:color w:val="000000" w:themeColor="text1"/>
        </w:rPr>
        <w:t xml:space="preserve"> such </w:t>
      </w:r>
      <w:r w:rsidR="00EB518B">
        <w:rPr>
          <w:rStyle w:val="gmail-apple-converted-space"/>
          <w:color w:val="000000" w:themeColor="text1"/>
        </w:rPr>
        <w:t xml:space="preserve">direct </w:t>
      </w:r>
      <w:r w:rsidR="000011C5">
        <w:rPr>
          <w:rStyle w:val="gmail-apple-converted-space"/>
          <w:color w:val="000000" w:themeColor="text1"/>
        </w:rPr>
        <w:t>comparison</w:t>
      </w:r>
      <w:r w:rsidR="00EB518B">
        <w:rPr>
          <w:rStyle w:val="gmail-apple-converted-space"/>
          <w:color w:val="000000" w:themeColor="text1"/>
        </w:rPr>
        <w:t>s among different systems.</w:t>
      </w:r>
    </w:p>
    <w:p w14:paraId="5E2417B3" w14:textId="77777777" w:rsidR="000B6009" w:rsidRDefault="000B6009" w:rsidP="00041564">
      <w:pPr>
        <w:shd w:val="clear" w:color="auto" w:fill="FFFFFF"/>
        <w:spacing w:line="480" w:lineRule="auto"/>
        <w:ind w:firstLine="720"/>
        <w:jc w:val="both"/>
        <w:rPr>
          <w:rStyle w:val="gmail-apple-converted-space"/>
          <w:color w:val="000000" w:themeColor="text1"/>
        </w:rPr>
      </w:pPr>
    </w:p>
    <w:p w14:paraId="1DF6ACAA" w14:textId="77777777" w:rsidR="005950F5" w:rsidRDefault="005950F5" w:rsidP="00041564">
      <w:pPr>
        <w:shd w:val="clear" w:color="auto" w:fill="FFFFFF"/>
        <w:spacing w:line="480" w:lineRule="auto"/>
        <w:ind w:firstLine="720"/>
        <w:jc w:val="both"/>
        <w:rPr>
          <w:rStyle w:val="gmail-apple-converted-space"/>
          <w:color w:val="000000" w:themeColor="text1"/>
        </w:rPr>
      </w:pPr>
    </w:p>
    <w:p w14:paraId="1DE30B16" w14:textId="77777777" w:rsidR="005950F5" w:rsidRDefault="005950F5" w:rsidP="00041564">
      <w:pPr>
        <w:shd w:val="clear" w:color="auto" w:fill="FFFFFF"/>
        <w:spacing w:line="480" w:lineRule="auto"/>
        <w:ind w:firstLine="720"/>
        <w:jc w:val="both"/>
        <w:rPr>
          <w:rStyle w:val="gmail-apple-converted-space"/>
          <w:color w:val="000000" w:themeColor="text1"/>
        </w:rPr>
      </w:pPr>
    </w:p>
    <w:p w14:paraId="1EB1AAA9" w14:textId="77777777" w:rsidR="005950F5" w:rsidRDefault="005950F5" w:rsidP="00041564">
      <w:pPr>
        <w:shd w:val="clear" w:color="auto" w:fill="FFFFFF"/>
        <w:spacing w:line="480" w:lineRule="auto"/>
        <w:ind w:firstLine="720"/>
        <w:jc w:val="both"/>
        <w:rPr>
          <w:rStyle w:val="gmail-apple-converted-space"/>
          <w:color w:val="000000" w:themeColor="text1"/>
        </w:rPr>
      </w:pPr>
    </w:p>
    <w:p w14:paraId="385E539D" w14:textId="77777777" w:rsidR="005950F5" w:rsidRDefault="005950F5" w:rsidP="00041564">
      <w:pPr>
        <w:shd w:val="clear" w:color="auto" w:fill="FFFFFF"/>
        <w:spacing w:line="480" w:lineRule="auto"/>
        <w:ind w:firstLine="720"/>
        <w:jc w:val="both"/>
        <w:rPr>
          <w:rStyle w:val="gmail-apple-converted-space"/>
          <w:color w:val="000000" w:themeColor="text1"/>
        </w:rPr>
      </w:pPr>
    </w:p>
    <w:p w14:paraId="0B33D606" w14:textId="77777777" w:rsidR="00EF17D5" w:rsidRDefault="00EF17D5" w:rsidP="00041564">
      <w:pPr>
        <w:shd w:val="clear" w:color="auto" w:fill="FFFFFF"/>
        <w:spacing w:line="480" w:lineRule="auto"/>
        <w:ind w:firstLine="720"/>
        <w:jc w:val="both"/>
        <w:rPr>
          <w:rStyle w:val="gmail-apple-converted-space"/>
          <w:color w:val="000000" w:themeColor="text1"/>
        </w:rPr>
      </w:pPr>
    </w:p>
    <w:p w14:paraId="2EE1BAB9" w14:textId="77777777" w:rsidR="005950F5" w:rsidRDefault="005950F5" w:rsidP="00041564">
      <w:pPr>
        <w:shd w:val="clear" w:color="auto" w:fill="FFFFFF"/>
        <w:spacing w:line="480" w:lineRule="auto"/>
        <w:ind w:firstLine="720"/>
        <w:jc w:val="both"/>
        <w:rPr>
          <w:rStyle w:val="gmail-apple-converted-space"/>
          <w:color w:val="000000" w:themeColor="text1"/>
        </w:rPr>
      </w:pPr>
    </w:p>
    <w:p w14:paraId="37622F1B" w14:textId="77777777" w:rsidR="005950F5" w:rsidRPr="004B3535" w:rsidRDefault="005950F5" w:rsidP="00041564">
      <w:pPr>
        <w:shd w:val="clear" w:color="auto" w:fill="FFFFFF"/>
        <w:spacing w:line="480" w:lineRule="auto"/>
        <w:ind w:firstLine="720"/>
        <w:jc w:val="both"/>
        <w:rPr>
          <w:color w:val="000000" w:themeColor="text1"/>
        </w:rPr>
      </w:pPr>
    </w:p>
    <w:p w14:paraId="59AE4CCA" w14:textId="77777777" w:rsidR="00A35A08" w:rsidRPr="00BC1F7A" w:rsidRDefault="00A35A08" w:rsidP="00041564">
      <w:pPr>
        <w:spacing w:line="480" w:lineRule="auto"/>
        <w:jc w:val="both"/>
        <w:rPr>
          <w:b/>
          <w:bCs/>
        </w:rPr>
      </w:pPr>
    </w:p>
    <w:p w14:paraId="0EC4D0BB" w14:textId="77777777" w:rsidR="00A35A08" w:rsidRPr="00A41B52" w:rsidRDefault="00A35A08" w:rsidP="00A41B52">
      <w:pPr>
        <w:pStyle w:val="Heading2"/>
        <w:rPr>
          <w:i w:val="0"/>
          <w:iCs/>
          <w:sz w:val="28"/>
          <w:szCs w:val="28"/>
        </w:rPr>
      </w:pPr>
      <w:bookmarkStart w:id="28" w:name="_Toc132924187"/>
      <w:r w:rsidRPr="00A41B52">
        <w:rPr>
          <w:i w:val="0"/>
          <w:iCs/>
          <w:sz w:val="28"/>
          <w:szCs w:val="28"/>
        </w:rPr>
        <w:lastRenderedPageBreak/>
        <w:t>2.2 Reaction-Transport Modeling</w:t>
      </w:r>
      <w:bookmarkEnd w:id="28"/>
    </w:p>
    <w:p w14:paraId="2F884644" w14:textId="2BF5B949" w:rsidR="00A35A08" w:rsidRPr="00DC3648" w:rsidRDefault="00A35A08" w:rsidP="00041564">
      <w:pPr>
        <w:spacing w:line="480" w:lineRule="auto"/>
        <w:ind w:firstLine="720"/>
        <w:jc w:val="both"/>
        <w:rPr>
          <w:color w:val="000000" w:themeColor="text1"/>
        </w:rPr>
      </w:pPr>
      <w:r w:rsidRPr="00052599">
        <w:t>To</w:t>
      </w:r>
      <w:r>
        <w:t xml:space="preserve"> model and</w:t>
      </w:r>
      <w:r w:rsidRPr="00052599">
        <w:t xml:space="preserve"> </w:t>
      </w:r>
      <w:r>
        <w:t xml:space="preserve">analyze </w:t>
      </w:r>
      <w:r w:rsidRPr="00052599">
        <w:t xml:space="preserve">the effect of diffusion limitations over the reaction rate a reaction-diffusion mole balance is done over a catalyst particle for a model </w:t>
      </w:r>
      <w:r>
        <w:t xml:space="preserve">reacting </w:t>
      </w:r>
      <w:r w:rsidRPr="00052599">
        <w:t>specie A. Here, the particle is considered to be spherical in all cases and the specie</w:t>
      </w:r>
      <w:r w:rsidR="008309E5">
        <w:t>s</w:t>
      </w:r>
      <w:r w:rsidRPr="00052599">
        <w:t xml:space="preserve"> diffuse radially within the particle channels and not in the polar and azimuthal </w:t>
      </w:r>
      <w:r w:rsidRPr="00C80AAF">
        <w:t xml:space="preserve">coordinates. </w:t>
      </w:r>
      <w:r w:rsidRPr="00C80AAF">
        <w:rPr>
          <w:b/>
          <w:bCs/>
        </w:rPr>
        <w:t>Figure</w:t>
      </w:r>
      <w:r w:rsidR="00820226" w:rsidRPr="00C80AAF">
        <w:rPr>
          <w:b/>
          <w:bCs/>
        </w:rPr>
        <w:t xml:space="preserve"> 12</w:t>
      </w:r>
      <w:r w:rsidRPr="00C80AAF">
        <w:rPr>
          <w:b/>
          <w:bCs/>
        </w:rPr>
        <w:t xml:space="preserve"> </w:t>
      </w:r>
      <w:r w:rsidRPr="00C80AAF">
        <w:t>illustrates a differential volume within a catalyst particle sphere that is integrated from</w:t>
      </w:r>
      <w:r w:rsidRPr="00DC3648">
        <w:t xml:space="preserve"> the outer surface (r = R) to the center of the particle (r = 0).</w:t>
      </w:r>
    </w:p>
    <w:p w14:paraId="19FC5840" w14:textId="77777777" w:rsidR="00A35A08" w:rsidRPr="00052599" w:rsidRDefault="00A35A08" w:rsidP="00617D5F">
      <w:pPr>
        <w:ind w:firstLine="720"/>
        <w:jc w:val="center"/>
      </w:pPr>
      <w:r w:rsidRPr="00052599">
        <w:rPr>
          <w:noProof/>
        </w:rPr>
        <w:drawing>
          <wp:inline distT="0" distB="0" distL="0" distR="0" wp14:anchorId="280E6121" wp14:editId="4AB0F01A">
            <wp:extent cx="4195338" cy="2743200"/>
            <wp:effectExtent l="0" t="0" r="0" b="0"/>
            <wp:docPr id="20" name="Picture 2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iagram&#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95338" cy="2743200"/>
                    </a:xfrm>
                    <a:prstGeom prst="rect">
                      <a:avLst/>
                    </a:prstGeom>
                    <a:noFill/>
                  </pic:spPr>
                </pic:pic>
              </a:graphicData>
            </a:graphic>
          </wp:inline>
        </w:drawing>
      </w:r>
    </w:p>
    <w:p w14:paraId="00D255E9" w14:textId="30E6056F" w:rsidR="00A35A08" w:rsidRPr="00052599" w:rsidRDefault="00A35A08" w:rsidP="00617D5F">
      <w:pPr>
        <w:jc w:val="both"/>
      </w:pPr>
      <w:bookmarkStart w:id="29" w:name="_Toc131948676"/>
      <w:r w:rsidRPr="00052599">
        <w:rPr>
          <w:b/>
          <w:bCs/>
        </w:rPr>
        <w:t xml:space="preserve">Figure </w:t>
      </w:r>
      <w:r w:rsidRPr="00052599">
        <w:rPr>
          <w:b/>
          <w:bCs/>
        </w:rPr>
        <w:fldChar w:fldCharType="begin"/>
      </w:r>
      <w:r w:rsidRPr="00052599">
        <w:rPr>
          <w:b/>
          <w:bCs/>
        </w:rPr>
        <w:instrText xml:space="preserve"> SEQ Figure \* ARABIC </w:instrText>
      </w:r>
      <w:r w:rsidRPr="00052599">
        <w:rPr>
          <w:b/>
          <w:bCs/>
        </w:rPr>
        <w:fldChar w:fldCharType="separate"/>
      </w:r>
      <w:r w:rsidR="001F4741">
        <w:rPr>
          <w:b/>
          <w:bCs/>
          <w:noProof/>
        </w:rPr>
        <w:t>12</w:t>
      </w:r>
      <w:r w:rsidRPr="00052599">
        <w:rPr>
          <w:b/>
          <w:bCs/>
          <w:noProof/>
        </w:rPr>
        <w:fldChar w:fldCharType="end"/>
      </w:r>
      <w:r w:rsidRPr="00052599">
        <w:t>: Catalyst spherical controlled volume description. Draw by the author.</w:t>
      </w:r>
      <w:bookmarkEnd w:id="29"/>
    </w:p>
    <w:p w14:paraId="4A592572" w14:textId="77777777" w:rsidR="00617D5F" w:rsidRDefault="00617D5F" w:rsidP="00041564">
      <w:pPr>
        <w:spacing w:line="480" w:lineRule="auto"/>
        <w:ind w:firstLine="720"/>
        <w:jc w:val="both"/>
      </w:pPr>
    </w:p>
    <w:p w14:paraId="20368A23" w14:textId="083A9455" w:rsidR="00A35A08" w:rsidRPr="00052599" w:rsidRDefault="00A35A08" w:rsidP="00041564">
      <w:pPr>
        <w:spacing w:line="480" w:lineRule="auto"/>
        <w:ind w:firstLine="720"/>
        <w:jc w:val="both"/>
      </w:pPr>
      <w:r w:rsidRPr="00052599">
        <w:t>In a differential volume a specie mole balance inside the spherical particle takes into account:</w:t>
      </w:r>
    </w:p>
    <w:p w14:paraId="675E26EC" w14:textId="77777777" w:rsidR="00A35A08" w:rsidRPr="00052599" w:rsidRDefault="00A35A08" w:rsidP="00041564">
      <w:pPr>
        <w:spacing w:line="480" w:lineRule="auto"/>
        <w:jc w:val="both"/>
        <w:rPr>
          <w:rFonts w:eastAsiaTheme="minorEastAsia"/>
          <w:lang w:val="pt-BR"/>
        </w:rPr>
      </w:pPr>
      <m:oMathPara>
        <m:oMath>
          <m:r>
            <w:rPr>
              <w:rFonts w:ascii="Cambria Math" w:hAnsi="Cambria Math"/>
              <w:lang w:val="pt-BR"/>
            </w:rPr>
            <m:t>Accumulation=In-Out+Reaction</m:t>
          </m:r>
        </m:oMath>
      </m:oMathPara>
    </w:p>
    <w:p w14:paraId="220818A5" w14:textId="77777777" w:rsidR="00A35A08" w:rsidRPr="00052599" w:rsidRDefault="00A35A08" w:rsidP="00041564">
      <w:pPr>
        <w:spacing w:line="480" w:lineRule="auto"/>
        <w:jc w:val="both"/>
        <w:rPr>
          <w:rFonts w:eastAsiaTheme="minorEastAsia"/>
        </w:rPr>
      </w:pPr>
      <w:r w:rsidRPr="00052599">
        <w:rPr>
          <w:rFonts w:eastAsiaTheme="minorEastAsia"/>
        </w:rPr>
        <w:tab/>
      </w:r>
      <w:r w:rsidRPr="00F6562A">
        <w:rPr>
          <w:rFonts w:eastAsiaTheme="minorEastAsia"/>
        </w:rPr>
        <w:t>Each term has its own respective equation based on its nature</w:t>
      </w:r>
      <w:r w:rsidRPr="00052599">
        <w:rPr>
          <w:rFonts w:eastAsiaTheme="minorEastAsia"/>
        </w:rPr>
        <w:t xml:space="preserve">. No accumulation exists and only diffusion and reaction occur </w:t>
      </w:r>
      <w:r>
        <w:rPr>
          <w:rFonts w:eastAsiaTheme="minorEastAsia"/>
        </w:rPr>
        <w:t>along</w:t>
      </w:r>
      <w:r w:rsidRPr="00052599">
        <w:rPr>
          <w:rFonts w:eastAsiaTheme="minorEastAsia"/>
        </w:rPr>
        <w:t xml:space="preserve"> the the catalyst.</w:t>
      </w:r>
    </w:p>
    <w:p w14:paraId="2BA63920" w14:textId="77777777" w:rsidR="00A35A08" w:rsidRPr="00052599" w:rsidRDefault="00A35A08" w:rsidP="00041564">
      <w:pPr>
        <w:spacing w:line="480" w:lineRule="auto"/>
        <w:jc w:val="both"/>
        <w:rPr>
          <w:rFonts w:eastAsiaTheme="minorEastAsia"/>
          <w:lang w:val="pt-BR"/>
        </w:rPr>
      </w:pPr>
      <m:oMathPara>
        <m:oMath>
          <m:r>
            <w:rPr>
              <w:rFonts w:ascii="Cambria Math" w:eastAsiaTheme="minorEastAsia" w:hAnsi="Cambria Math"/>
              <w:lang w:val="pt-BR"/>
            </w:rPr>
            <m:t>0=</m:t>
          </m:r>
          <m:sSub>
            <m:sSubPr>
              <m:ctrlPr>
                <w:rPr>
                  <w:rFonts w:ascii="Cambria Math" w:eastAsiaTheme="minorEastAsia" w:hAnsi="Cambria Math"/>
                  <w:i/>
                  <w:lang w:val="pt-BR"/>
                </w:rPr>
              </m:ctrlPr>
            </m:sSubPr>
            <m:e>
              <m:r>
                <w:rPr>
                  <w:rFonts w:ascii="Cambria Math" w:eastAsiaTheme="minorEastAsia" w:hAnsi="Cambria Math"/>
                  <w:lang w:val="pt-BR"/>
                </w:rPr>
                <m:t>W</m:t>
              </m:r>
            </m:e>
            <m:sub>
              <m:r>
                <w:rPr>
                  <w:rFonts w:ascii="Cambria Math" w:eastAsiaTheme="minorEastAsia" w:hAnsi="Cambria Math"/>
                  <w:lang w:val="pt-BR"/>
                </w:rPr>
                <m:t>Ar</m:t>
              </m:r>
            </m:sub>
          </m:sSub>
          <m:sSub>
            <m:sSubPr>
              <m:ctrlPr>
                <w:rPr>
                  <w:rFonts w:ascii="Cambria Math" w:eastAsiaTheme="minorEastAsia" w:hAnsi="Cambria Math"/>
                  <w:i/>
                  <w:lang w:val="pt-BR"/>
                </w:rPr>
              </m:ctrlPr>
            </m:sSubPr>
            <m:e>
              <m:d>
                <m:dPr>
                  <m:begChr m:val=""/>
                  <m:endChr m:val="|"/>
                  <m:ctrlPr>
                    <w:rPr>
                      <w:rFonts w:ascii="Cambria Math" w:eastAsiaTheme="minorEastAsia" w:hAnsi="Cambria Math"/>
                      <w:i/>
                      <w:lang w:val="pt-BR"/>
                    </w:rPr>
                  </m:ctrlPr>
                </m:dPr>
                <m:e>
                  <m:sSup>
                    <m:sSupPr>
                      <m:ctrlPr>
                        <w:rPr>
                          <w:rFonts w:ascii="Cambria Math" w:eastAsiaTheme="minorEastAsia" w:hAnsi="Cambria Math"/>
                          <w:i/>
                          <w:lang w:val="pt-BR"/>
                        </w:rPr>
                      </m:ctrlPr>
                    </m:sSupPr>
                    <m:e>
                      <m:r>
                        <w:rPr>
                          <w:rFonts w:ascii="Cambria Math" w:eastAsiaTheme="minorEastAsia" w:hAnsi="Cambria Math"/>
                          <w:lang w:val="pt-BR"/>
                        </w:rPr>
                        <m:t>4πr</m:t>
                      </m:r>
                    </m:e>
                    <m:sup>
                      <m:r>
                        <w:rPr>
                          <w:rFonts w:ascii="Cambria Math" w:eastAsiaTheme="minorEastAsia" w:hAnsi="Cambria Math"/>
                          <w:lang w:val="pt-BR"/>
                        </w:rPr>
                        <m:t>2</m:t>
                      </m:r>
                    </m:sup>
                  </m:sSup>
                </m:e>
              </m:d>
            </m:e>
            <m:sub>
              <m:r>
                <w:rPr>
                  <w:rFonts w:ascii="Cambria Math" w:eastAsiaTheme="minorEastAsia" w:hAnsi="Cambria Math"/>
                  <w:lang w:val="pt-BR"/>
                </w:rPr>
                <m:t>r</m:t>
              </m:r>
            </m:sub>
          </m:sSub>
          <m:r>
            <w:rPr>
              <w:rFonts w:ascii="Cambria Math" w:eastAsiaTheme="minorEastAsia" w:hAnsi="Cambria Math"/>
              <w:lang w:val="pt-BR"/>
            </w:rPr>
            <m:t>-</m:t>
          </m:r>
          <m:sSub>
            <m:sSubPr>
              <m:ctrlPr>
                <w:rPr>
                  <w:rFonts w:ascii="Cambria Math" w:eastAsiaTheme="minorEastAsia" w:hAnsi="Cambria Math"/>
                  <w:i/>
                  <w:lang w:val="pt-BR"/>
                </w:rPr>
              </m:ctrlPr>
            </m:sSubPr>
            <m:e>
              <m:r>
                <w:rPr>
                  <w:rFonts w:ascii="Cambria Math" w:eastAsiaTheme="minorEastAsia" w:hAnsi="Cambria Math"/>
                  <w:lang w:val="pt-BR"/>
                </w:rPr>
                <m:t>W</m:t>
              </m:r>
            </m:e>
            <m:sub>
              <m:r>
                <w:rPr>
                  <w:rFonts w:ascii="Cambria Math" w:eastAsiaTheme="minorEastAsia" w:hAnsi="Cambria Math"/>
                  <w:lang w:val="pt-BR"/>
                </w:rPr>
                <m:t>Ar</m:t>
              </m:r>
            </m:sub>
          </m:sSub>
          <m:sSub>
            <m:sSubPr>
              <m:ctrlPr>
                <w:rPr>
                  <w:rFonts w:ascii="Cambria Math" w:eastAsiaTheme="minorEastAsia" w:hAnsi="Cambria Math"/>
                  <w:i/>
                  <w:lang w:val="pt-BR"/>
                </w:rPr>
              </m:ctrlPr>
            </m:sSubPr>
            <m:e>
              <m:d>
                <m:dPr>
                  <m:begChr m:val=""/>
                  <m:endChr m:val="|"/>
                  <m:ctrlPr>
                    <w:rPr>
                      <w:rFonts w:ascii="Cambria Math" w:eastAsiaTheme="minorEastAsia" w:hAnsi="Cambria Math"/>
                      <w:i/>
                      <w:lang w:val="pt-BR"/>
                    </w:rPr>
                  </m:ctrlPr>
                </m:dPr>
                <m:e>
                  <m:sSup>
                    <m:sSupPr>
                      <m:ctrlPr>
                        <w:rPr>
                          <w:rFonts w:ascii="Cambria Math" w:eastAsiaTheme="minorEastAsia" w:hAnsi="Cambria Math"/>
                          <w:i/>
                          <w:lang w:val="pt-BR"/>
                        </w:rPr>
                      </m:ctrlPr>
                    </m:sSupPr>
                    <m:e>
                      <m:r>
                        <w:rPr>
                          <w:rFonts w:ascii="Cambria Math" w:eastAsiaTheme="minorEastAsia" w:hAnsi="Cambria Math"/>
                          <w:lang w:val="pt-BR"/>
                        </w:rPr>
                        <m:t>4πr</m:t>
                      </m:r>
                    </m:e>
                    <m:sup>
                      <m:r>
                        <w:rPr>
                          <w:rFonts w:ascii="Cambria Math" w:eastAsiaTheme="minorEastAsia" w:hAnsi="Cambria Math"/>
                          <w:lang w:val="pt-BR"/>
                        </w:rPr>
                        <m:t>2</m:t>
                      </m:r>
                    </m:sup>
                  </m:sSup>
                </m:e>
              </m:d>
            </m:e>
            <m:sub>
              <m:r>
                <w:rPr>
                  <w:rFonts w:ascii="Cambria Math" w:eastAsiaTheme="minorEastAsia" w:hAnsi="Cambria Math"/>
                  <w:lang w:val="pt-BR"/>
                </w:rPr>
                <m:t>r+∆r</m:t>
              </m:r>
            </m:sub>
          </m:sSub>
          <m:r>
            <w:rPr>
              <w:rFonts w:ascii="Cambria Math" w:eastAsiaTheme="minorEastAsia" w:hAnsi="Cambria Math"/>
              <w:lang w:val="pt-BR"/>
            </w:rPr>
            <m:t>+</m:t>
          </m:r>
          <m:sSub>
            <m:sSubPr>
              <m:ctrlPr>
                <w:rPr>
                  <w:rFonts w:ascii="Cambria Math" w:eastAsiaTheme="minorEastAsia" w:hAnsi="Cambria Math"/>
                  <w:i/>
                  <w:lang w:val="pt-BR"/>
                </w:rPr>
              </m:ctrlPr>
            </m:sSubPr>
            <m:e>
              <m:r>
                <w:rPr>
                  <w:rFonts w:ascii="Cambria Math" w:eastAsiaTheme="minorEastAsia" w:hAnsi="Cambria Math"/>
                  <w:lang w:val="pt-BR"/>
                </w:rPr>
                <m:t>r</m:t>
              </m:r>
            </m:e>
            <m:sub>
              <m:r>
                <w:rPr>
                  <w:rFonts w:ascii="Cambria Math" w:eastAsiaTheme="minorEastAsia" w:hAnsi="Cambria Math"/>
                  <w:lang w:val="pt-BR"/>
                </w:rPr>
                <m:t>A</m:t>
              </m:r>
            </m:sub>
          </m:sSub>
          <m:sSup>
            <m:sSupPr>
              <m:ctrlPr>
                <w:rPr>
                  <w:rFonts w:ascii="Cambria Math" w:eastAsiaTheme="minorEastAsia" w:hAnsi="Cambria Math"/>
                  <w:i/>
                  <w:lang w:val="pt-BR"/>
                </w:rPr>
              </m:ctrlPr>
            </m:sSupPr>
            <m:e>
              <m:r>
                <w:rPr>
                  <w:rFonts w:ascii="Cambria Math" w:eastAsiaTheme="minorEastAsia" w:hAnsi="Cambria Math"/>
                  <w:lang w:val="pt-BR"/>
                </w:rPr>
                <m:t>4πr</m:t>
              </m:r>
            </m:e>
            <m:sup>
              <m:r>
                <w:rPr>
                  <w:rFonts w:ascii="Cambria Math" w:eastAsiaTheme="minorEastAsia" w:hAnsi="Cambria Math"/>
                  <w:lang w:val="pt-BR"/>
                </w:rPr>
                <m:t>2</m:t>
              </m:r>
            </m:sup>
          </m:sSup>
          <m:r>
            <w:rPr>
              <w:rFonts w:ascii="Cambria Math" w:eastAsiaTheme="minorEastAsia" w:hAnsi="Cambria Math"/>
              <w:lang w:val="pt-BR"/>
            </w:rPr>
            <m:t>∆r                      ÷4π∆r</m:t>
          </m:r>
        </m:oMath>
      </m:oMathPara>
    </w:p>
    <w:p w14:paraId="22EA4988" w14:textId="77777777" w:rsidR="00A35A08" w:rsidRPr="00052599" w:rsidRDefault="00A35A08" w:rsidP="00041564">
      <w:pPr>
        <w:spacing w:line="480" w:lineRule="auto"/>
        <w:jc w:val="both"/>
        <w:rPr>
          <w:rFonts w:eastAsiaTheme="minorEastAsia"/>
          <w:lang w:val="pt-BR"/>
        </w:rPr>
      </w:pPr>
      <m:oMathPara>
        <m:oMath>
          <m:r>
            <w:rPr>
              <w:rFonts w:ascii="Cambria Math" w:eastAsiaTheme="minorEastAsia" w:hAnsi="Cambria Math"/>
              <w:lang w:val="pt-BR"/>
            </w:rPr>
            <w:lastRenderedPageBreak/>
            <m:t>0=</m:t>
          </m:r>
          <m:f>
            <m:fPr>
              <m:ctrlPr>
                <w:rPr>
                  <w:rFonts w:ascii="Cambria Math" w:eastAsiaTheme="minorEastAsia" w:hAnsi="Cambria Math"/>
                  <w:i/>
                  <w:lang w:val="pt-BR"/>
                </w:rPr>
              </m:ctrlPr>
            </m:fPr>
            <m:num>
              <m:d>
                <m:dPr>
                  <m:ctrlPr>
                    <w:rPr>
                      <w:rFonts w:ascii="Cambria Math" w:eastAsiaTheme="minorEastAsia" w:hAnsi="Cambria Math"/>
                      <w:i/>
                      <w:lang w:val="pt-BR"/>
                    </w:rPr>
                  </m:ctrlPr>
                </m:dPr>
                <m:e>
                  <m:sSub>
                    <m:sSubPr>
                      <m:ctrlPr>
                        <w:rPr>
                          <w:rFonts w:ascii="Cambria Math" w:eastAsiaTheme="minorEastAsia" w:hAnsi="Cambria Math"/>
                          <w:i/>
                          <w:lang w:val="pt-BR"/>
                        </w:rPr>
                      </m:ctrlPr>
                    </m:sSubPr>
                    <m:e>
                      <m:r>
                        <w:rPr>
                          <w:rFonts w:ascii="Cambria Math" w:eastAsiaTheme="minorEastAsia" w:hAnsi="Cambria Math"/>
                          <w:lang w:val="pt-BR"/>
                        </w:rPr>
                        <m:t>W</m:t>
                      </m:r>
                    </m:e>
                    <m:sub>
                      <m:r>
                        <w:rPr>
                          <w:rFonts w:ascii="Cambria Math" w:eastAsiaTheme="minorEastAsia" w:hAnsi="Cambria Math"/>
                          <w:lang w:val="pt-BR"/>
                        </w:rPr>
                        <m:t>Ar</m:t>
                      </m:r>
                    </m:sub>
                  </m:sSub>
                  <m:sSub>
                    <m:sSubPr>
                      <m:ctrlPr>
                        <w:rPr>
                          <w:rFonts w:ascii="Cambria Math" w:eastAsiaTheme="minorEastAsia" w:hAnsi="Cambria Math"/>
                          <w:i/>
                          <w:lang w:val="pt-BR"/>
                        </w:rPr>
                      </m:ctrlPr>
                    </m:sSubPr>
                    <m:e>
                      <m:d>
                        <m:dPr>
                          <m:begChr m:val=""/>
                          <m:endChr m:val="|"/>
                          <m:ctrlPr>
                            <w:rPr>
                              <w:rFonts w:ascii="Cambria Math" w:eastAsiaTheme="minorEastAsia" w:hAnsi="Cambria Math"/>
                              <w:i/>
                              <w:lang w:val="pt-BR"/>
                            </w:rPr>
                          </m:ctrlPr>
                        </m:dPr>
                        <m:e>
                          <m:sSup>
                            <m:sSupPr>
                              <m:ctrlPr>
                                <w:rPr>
                                  <w:rFonts w:ascii="Cambria Math" w:eastAsiaTheme="minorEastAsia" w:hAnsi="Cambria Math"/>
                                  <w:i/>
                                  <w:lang w:val="pt-BR"/>
                                </w:rPr>
                              </m:ctrlPr>
                            </m:sSupPr>
                            <m:e>
                              <m:r>
                                <w:rPr>
                                  <w:rFonts w:ascii="Cambria Math" w:eastAsiaTheme="minorEastAsia" w:hAnsi="Cambria Math"/>
                                  <w:lang w:val="pt-BR"/>
                                </w:rPr>
                                <m:t>r</m:t>
                              </m:r>
                            </m:e>
                            <m:sup>
                              <m:r>
                                <w:rPr>
                                  <w:rFonts w:ascii="Cambria Math" w:eastAsiaTheme="minorEastAsia" w:hAnsi="Cambria Math"/>
                                  <w:lang w:val="pt-BR"/>
                                </w:rPr>
                                <m:t>2</m:t>
                              </m:r>
                            </m:sup>
                          </m:sSup>
                        </m:e>
                      </m:d>
                    </m:e>
                    <m:sub>
                      <m:r>
                        <w:rPr>
                          <w:rFonts w:ascii="Cambria Math" w:eastAsiaTheme="minorEastAsia" w:hAnsi="Cambria Math"/>
                          <w:lang w:val="pt-BR"/>
                        </w:rPr>
                        <m:t>r</m:t>
                      </m:r>
                    </m:sub>
                  </m:sSub>
                  <m:r>
                    <w:rPr>
                      <w:rFonts w:ascii="Cambria Math" w:eastAsiaTheme="minorEastAsia" w:hAnsi="Cambria Math"/>
                      <w:lang w:val="pt-BR"/>
                    </w:rPr>
                    <m:t>-</m:t>
                  </m:r>
                  <m:sSub>
                    <m:sSubPr>
                      <m:ctrlPr>
                        <w:rPr>
                          <w:rFonts w:ascii="Cambria Math" w:eastAsiaTheme="minorEastAsia" w:hAnsi="Cambria Math"/>
                          <w:i/>
                          <w:lang w:val="pt-BR"/>
                        </w:rPr>
                      </m:ctrlPr>
                    </m:sSubPr>
                    <m:e>
                      <m:r>
                        <w:rPr>
                          <w:rFonts w:ascii="Cambria Math" w:eastAsiaTheme="minorEastAsia" w:hAnsi="Cambria Math"/>
                          <w:lang w:val="pt-BR"/>
                        </w:rPr>
                        <m:t>W</m:t>
                      </m:r>
                    </m:e>
                    <m:sub>
                      <m:r>
                        <w:rPr>
                          <w:rFonts w:ascii="Cambria Math" w:eastAsiaTheme="minorEastAsia" w:hAnsi="Cambria Math"/>
                          <w:lang w:val="pt-BR"/>
                        </w:rPr>
                        <m:t>Ar</m:t>
                      </m:r>
                    </m:sub>
                  </m:sSub>
                  <m:sSub>
                    <m:sSubPr>
                      <m:ctrlPr>
                        <w:rPr>
                          <w:rFonts w:ascii="Cambria Math" w:eastAsiaTheme="minorEastAsia" w:hAnsi="Cambria Math"/>
                          <w:i/>
                          <w:lang w:val="pt-BR"/>
                        </w:rPr>
                      </m:ctrlPr>
                    </m:sSubPr>
                    <m:e>
                      <m:d>
                        <m:dPr>
                          <m:begChr m:val=""/>
                          <m:endChr m:val="|"/>
                          <m:ctrlPr>
                            <w:rPr>
                              <w:rFonts w:ascii="Cambria Math" w:eastAsiaTheme="minorEastAsia" w:hAnsi="Cambria Math"/>
                              <w:i/>
                              <w:lang w:val="pt-BR"/>
                            </w:rPr>
                          </m:ctrlPr>
                        </m:dPr>
                        <m:e>
                          <m:sSup>
                            <m:sSupPr>
                              <m:ctrlPr>
                                <w:rPr>
                                  <w:rFonts w:ascii="Cambria Math" w:eastAsiaTheme="minorEastAsia" w:hAnsi="Cambria Math"/>
                                  <w:i/>
                                  <w:lang w:val="pt-BR"/>
                                </w:rPr>
                              </m:ctrlPr>
                            </m:sSupPr>
                            <m:e>
                              <m:r>
                                <w:rPr>
                                  <w:rFonts w:ascii="Cambria Math" w:eastAsiaTheme="minorEastAsia" w:hAnsi="Cambria Math"/>
                                  <w:lang w:val="pt-BR"/>
                                </w:rPr>
                                <m:t>r</m:t>
                              </m:r>
                            </m:e>
                            <m:sup>
                              <m:r>
                                <w:rPr>
                                  <w:rFonts w:ascii="Cambria Math" w:eastAsiaTheme="minorEastAsia" w:hAnsi="Cambria Math"/>
                                  <w:lang w:val="pt-BR"/>
                                </w:rPr>
                                <m:t>2</m:t>
                              </m:r>
                            </m:sup>
                          </m:sSup>
                        </m:e>
                      </m:d>
                    </m:e>
                    <m:sub>
                      <m:r>
                        <w:rPr>
                          <w:rFonts w:ascii="Cambria Math" w:eastAsiaTheme="minorEastAsia" w:hAnsi="Cambria Math"/>
                          <w:lang w:val="pt-BR"/>
                        </w:rPr>
                        <m:t>r+∆r</m:t>
                      </m:r>
                    </m:sub>
                  </m:sSub>
                </m:e>
              </m:d>
            </m:num>
            <m:den>
              <m:r>
                <w:rPr>
                  <w:rFonts w:ascii="Cambria Math" w:eastAsiaTheme="minorEastAsia" w:hAnsi="Cambria Math"/>
                  <w:lang w:val="pt-BR"/>
                </w:rPr>
                <m:t>∆r</m:t>
              </m:r>
            </m:den>
          </m:f>
          <m:r>
            <w:rPr>
              <w:rFonts w:ascii="Cambria Math" w:eastAsiaTheme="minorEastAsia" w:hAnsi="Cambria Math"/>
              <w:lang w:val="pt-BR"/>
            </w:rPr>
            <m:t>+</m:t>
          </m:r>
          <m:sSub>
            <m:sSubPr>
              <m:ctrlPr>
                <w:rPr>
                  <w:rFonts w:ascii="Cambria Math" w:eastAsiaTheme="minorEastAsia" w:hAnsi="Cambria Math"/>
                  <w:i/>
                  <w:lang w:val="pt-BR"/>
                </w:rPr>
              </m:ctrlPr>
            </m:sSubPr>
            <m:e>
              <m:r>
                <w:rPr>
                  <w:rFonts w:ascii="Cambria Math" w:eastAsiaTheme="minorEastAsia" w:hAnsi="Cambria Math"/>
                  <w:lang w:val="pt-BR"/>
                </w:rPr>
                <m:t>r</m:t>
              </m:r>
            </m:e>
            <m:sub>
              <m:r>
                <w:rPr>
                  <w:rFonts w:ascii="Cambria Math" w:eastAsiaTheme="minorEastAsia" w:hAnsi="Cambria Math"/>
                  <w:lang w:val="pt-BR"/>
                </w:rPr>
                <m:t>A</m:t>
              </m:r>
            </m:sub>
          </m:sSub>
          <m:sSup>
            <m:sSupPr>
              <m:ctrlPr>
                <w:rPr>
                  <w:rFonts w:ascii="Cambria Math" w:eastAsiaTheme="minorEastAsia" w:hAnsi="Cambria Math"/>
                  <w:i/>
                  <w:lang w:val="pt-BR"/>
                </w:rPr>
              </m:ctrlPr>
            </m:sSupPr>
            <m:e>
              <m:r>
                <w:rPr>
                  <w:rFonts w:ascii="Cambria Math" w:eastAsiaTheme="minorEastAsia" w:hAnsi="Cambria Math"/>
                  <w:lang w:val="pt-BR"/>
                </w:rPr>
                <m:t>r</m:t>
              </m:r>
            </m:e>
            <m:sup>
              <m:r>
                <w:rPr>
                  <w:rFonts w:ascii="Cambria Math" w:eastAsiaTheme="minorEastAsia" w:hAnsi="Cambria Math"/>
                  <w:lang w:val="pt-BR"/>
                </w:rPr>
                <m:t>2</m:t>
              </m:r>
            </m:sup>
          </m:sSup>
        </m:oMath>
      </m:oMathPara>
    </w:p>
    <w:p w14:paraId="1113B622" w14:textId="6645ECBF" w:rsidR="00A35A08" w:rsidRPr="00052599" w:rsidRDefault="00A35A08" w:rsidP="00041564">
      <w:pPr>
        <w:spacing w:line="480" w:lineRule="auto"/>
        <w:jc w:val="both"/>
        <w:rPr>
          <w:rFonts w:eastAsiaTheme="minorEastAsia"/>
        </w:rPr>
      </w:pPr>
      <w:r w:rsidRPr="00052599">
        <w:rPr>
          <w:rFonts w:eastAsiaTheme="minorEastAsia"/>
        </w:rPr>
        <w:tab/>
        <w:t>W</w:t>
      </w:r>
      <w:r w:rsidRPr="00052599">
        <w:rPr>
          <w:rFonts w:eastAsiaTheme="minorEastAsia"/>
          <w:vertAlign w:val="subscript"/>
        </w:rPr>
        <w:t>Ar</w:t>
      </w:r>
      <w:r w:rsidRPr="00052599">
        <w:rPr>
          <w:rFonts w:eastAsiaTheme="minorEastAsia"/>
        </w:rPr>
        <w:t xml:space="preserve"> is the diffusion flux of a component A in the particle according to the First Fick’s law equation </w:t>
      </w:r>
      <w:r w:rsidRPr="00052599">
        <w:rPr>
          <w:rFonts w:eastAsiaTheme="minorEastAsia"/>
        </w:rPr>
        <w:fldChar w:fldCharType="begin"/>
      </w:r>
      <w:r w:rsidR="00C54D4B">
        <w:rPr>
          <w:rFonts w:eastAsiaTheme="minorEastAsia"/>
        </w:rPr>
        <w:instrText xml:space="preserve"> ADDIN EN.CITE &lt;EndNote&gt;&lt;Cite&gt;&lt;Author&gt;Fick&lt;/Author&gt;&lt;Year&gt;1855&lt;/Year&gt;&lt;RecNum&gt;23&lt;/RecNum&gt;&lt;DisplayText&gt;[73]&lt;/DisplayText&gt;&lt;record&gt;&lt;rec-number&gt;23&lt;/rec-number&gt;&lt;foreign-keys&gt;&lt;key app="EN" db-id="59dvwrfdof9dw8exf0kvp0atwazsazeeffsp" timestamp="1671314326"&gt;23&lt;/key&gt;&lt;/foreign-keys&gt;&lt;ref-type name="Journal Article"&gt;17&lt;/ref-type&gt;&lt;contributors&gt;&lt;authors&gt;&lt;author&gt;Adolf Fick&lt;/author&gt;&lt;/authors&gt;&lt;/contributors&gt;&lt;titles&gt;&lt;title&gt;Ueber Diffusion&lt;/title&gt;&lt;secondary-title&gt;Annalen der Physik&lt;/secondary-title&gt;&lt;/titles&gt;&lt;periodical&gt;&lt;full-title&gt;Annalen der Physik&lt;/full-title&gt;&lt;/periodical&gt;&lt;pages&gt;59-86&lt;/pages&gt;&lt;volume&gt;170&lt;/volume&gt;&lt;number&gt;1&lt;/number&gt;&lt;dates&gt;&lt;year&gt;1855&lt;/year&gt;&lt;/dates&gt;&lt;urls&gt;&lt;/urls&gt;&lt;electronic-resource-num&gt;https://doi.org/10.1002/andp.18551700105&lt;/electronic-resource-num&gt;&lt;/record&gt;&lt;/Cite&gt;&lt;/EndNote&gt;</w:instrText>
      </w:r>
      <w:r w:rsidRPr="00052599">
        <w:rPr>
          <w:rFonts w:eastAsiaTheme="minorEastAsia"/>
        </w:rPr>
        <w:fldChar w:fldCharType="separate"/>
      </w:r>
      <w:r w:rsidR="00C54D4B">
        <w:rPr>
          <w:rFonts w:eastAsiaTheme="minorEastAsia"/>
          <w:noProof/>
        </w:rPr>
        <w:t>[</w:t>
      </w:r>
      <w:hyperlink w:anchor="_ENREF_73" w:tooltip="Fick, 1855 #23" w:history="1">
        <w:r w:rsidR="00D307FA">
          <w:rPr>
            <w:rFonts w:eastAsiaTheme="minorEastAsia"/>
            <w:noProof/>
          </w:rPr>
          <w:t>73</w:t>
        </w:r>
      </w:hyperlink>
      <w:r w:rsidR="00C54D4B">
        <w:rPr>
          <w:rFonts w:eastAsiaTheme="minorEastAsia"/>
          <w:noProof/>
        </w:rPr>
        <w:t>]</w:t>
      </w:r>
      <w:r w:rsidRPr="00052599">
        <w:rPr>
          <w:rFonts w:eastAsiaTheme="minorEastAsia"/>
        </w:rPr>
        <w:fldChar w:fldCharType="end"/>
      </w:r>
      <w:r w:rsidRPr="00052599">
        <w:rPr>
          <w:rFonts w:eastAsiaTheme="minorEastAsia"/>
        </w:rPr>
        <w:t xml:space="preserve"> , and r</w:t>
      </w:r>
      <w:r w:rsidRPr="00052599">
        <w:rPr>
          <w:rFonts w:eastAsiaTheme="minorEastAsia"/>
          <w:vertAlign w:val="subscript"/>
        </w:rPr>
        <w:t>A</w:t>
      </w:r>
      <w:r w:rsidRPr="00052599">
        <w:rPr>
          <w:rFonts w:eastAsiaTheme="minorEastAsia"/>
        </w:rPr>
        <w:t xml:space="preserve"> is the reaction rate equation of a component A. As the differential volume is approximate to zero (i.e., </w:t>
      </w:r>
      <m:oMath>
        <m:r>
          <w:rPr>
            <w:rFonts w:ascii="Cambria Math" w:eastAsiaTheme="minorEastAsia" w:hAnsi="Cambria Math"/>
          </w:rPr>
          <m:t>∆</m:t>
        </m:r>
        <m:r>
          <w:rPr>
            <w:rFonts w:ascii="Cambria Math" w:eastAsiaTheme="minorEastAsia" w:hAnsi="Cambria Math"/>
            <w:lang w:val="pt-BR"/>
          </w:rPr>
          <m:t>r</m:t>
        </m:r>
        <m:r>
          <w:rPr>
            <w:rFonts w:ascii="Cambria Math" w:eastAsiaTheme="minorEastAsia" w:hAnsi="Cambria Math"/>
          </w:rPr>
          <m:t>→0</m:t>
        </m:r>
      </m:oMath>
      <w:r w:rsidRPr="00052599">
        <w:rPr>
          <w:rFonts w:eastAsiaTheme="minorEastAsia"/>
        </w:rPr>
        <w:t xml:space="preserve">), a differential form from the equation above </w:t>
      </w:r>
      <w:r>
        <w:rPr>
          <w:rFonts w:eastAsiaTheme="minorEastAsia"/>
        </w:rPr>
        <w:t>appears</w:t>
      </w:r>
      <w:r w:rsidRPr="00052599">
        <w:rPr>
          <w:rFonts w:eastAsiaTheme="minorEastAsia"/>
        </w:rPr>
        <w:t>.</w:t>
      </w:r>
    </w:p>
    <w:p w14:paraId="3C3EF405" w14:textId="77777777" w:rsidR="00A35A08" w:rsidRPr="00052599" w:rsidRDefault="00A35A08" w:rsidP="00041564">
      <w:pPr>
        <w:spacing w:line="480" w:lineRule="auto"/>
        <w:jc w:val="both"/>
        <w:rPr>
          <w:rFonts w:eastAsiaTheme="minorEastAsia"/>
          <w:lang w:val="pt-BR"/>
        </w:rPr>
      </w:pPr>
      <m:oMathPara>
        <m:oMath>
          <m:r>
            <w:rPr>
              <w:rFonts w:ascii="Cambria Math" w:eastAsiaTheme="minorEastAsia" w:hAnsi="Cambria Math"/>
              <w:lang w:val="pt-BR"/>
            </w:rPr>
            <m:t>0=-</m:t>
          </m:r>
          <m:f>
            <m:fPr>
              <m:ctrlPr>
                <w:rPr>
                  <w:rFonts w:ascii="Cambria Math" w:eastAsiaTheme="minorEastAsia" w:hAnsi="Cambria Math"/>
                  <w:i/>
                  <w:lang w:val="pt-BR"/>
                </w:rPr>
              </m:ctrlPr>
            </m:fPr>
            <m:num>
              <m:r>
                <w:rPr>
                  <w:rFonts w:ascii="Cambria Math" w:eastAsiaTheme="minorEastAsia" w:hAnsi="Cambria Math"/>
                  <w:lang w:val="pt-BR"/>
                </w:rPr>
                <m:t>d</m:t>
              </m:r>
              <m:d>
                <m:dPr>
                  <m:ctrlPr>
                    <w:rPr>
                      <w:rFonts w:ascii="Cambria Math" w:eastAsiaTheme="minorEastAsia" w:hAnsi="Cambria Math"/>
                      <w:i/>
                      <w:lang w:val="pt-BR"/>
                    </w:rPr>
                  </m:ctrlPr>
                </m:dPr>
                <m:e>
                  <m:sSup>
                    <m:sSupPr>
                      <m:ctrlPr>
                        <w:rPr>
                          <w:rFonts w:ascii="Cambria Math" w:eastAsiaTheme="minorEastAsia" w:hAnsi="Cambria Math"/>
                          <w:i/>
                          <w:lang w:val="pt-BR"/>
                        </w:rPr>
                      </m:ctrlPr>
                    </m:sSupPr>
                    <m:e>
                      <m:r>
                        <w:rPr>
                          <w:rFonts w:ascii="Cambria Math" w:eastAsiaTheme="minorEastAsia" w:hAnsi="Cambria Math"/>
                          <w:lang w:val="pt-BR"/>
                        </w:rPr>
                        <m:t>r</m:t>
                      </m:r>
                    </m:e>
                    <m:sup>
                      <m:r>
                        <w:rPr>
                          <w:rFonts w:ascii="Cambria Math" w:eastAsiaTheme="minorEastAsia" w:hAnsi="Cambria Math"/>
                          <w:lang w:val="pt-BR"/>
                        </w:rPr>
                        <m:t>2</m:t>
                      </m:r>
                    </m:sup>
                  </m:sSup>
                  <m:sSub>
                    <m:sSubPr>
                      <m:ctrlPr>
                        <w:rPr>
                          <w:rFonts w:ascii="Cambria Math" w:eastAsiaTheme="minorEastAsia" w:hAnsi="Cambria Math"/>
                          <w:i/>
                          <w:lang w:val="pt-BR"/>
                        </w:rPr>
                      </m:ctrlPr>
                    </m:sSubPr>
                    <m:e>
                      <m:r>
                        <w:rPr>
                          <w:rFonts w:ascii="Cambria Math" w:eastAsiaTheme="minorEastAsia" w:hAnsi="Cambria Math"/>
                          <w:lang w:val="pt-BR"/>
                        </w:rPr>
                        <m:t>W</m:t>
                      </m:r>
                    </m:e>
                    <m:sub>
                      <m:r>
                        <w:rPr>
                          <w:rFonts w:ascii="Cambria Math" w:eastAsiaTheme="minorEastAsia" w:hAnsi="Cambria Math"/>
                          <w:lang w:val="pt-BR"/>
                        </w:rPr>
                        <m:t>Ar</m:t>
                      </m:r>
                    </m:sub>
                  </m:sSub>
                </m:e>
              </m:d>
            </m:num>
            <m:den>
              <m:r>
                <w:rPr>
                  <w:rFonts w:ascii="Cambria Math" w:eastAsiaTheme="minorEastAsia" w:hAnsi="Cambria Math"/>
                  <w:lang w:val="pt-BR"/>
                </w:rPr>
                <m:t>dr</m:t>
              </m:r>
            </m:den>
          </m:f>
          <m:r>
            <w:rPr>
              <w:rFonts w:ascii="Cambria Math" w:eastAsiaTheme="minorEastAsia" w:hAnsi="Cambria Math"/>
              <w:lang w:val="pt-BR"/>
            </w:rPr>
            <m:t>+</m:t>
          </m:r>
          <m:sSub>
            <m:sSubPr>
              <m:ctrlPr>
                <w:rPr>
                  <w:rFonts w:ascii="Cambria Math" w:eastAsiaTheme="minorEastAsia" w:hAnsi="Cambria Math"/>
                  <w:i/>
                  <w:lang w:val="pt-BR"/>
                </w:rPr>
              </m:ctrlPr>
            </m:sSubPr>
            <m:e>
              <m:r>
                <w:rPr>
                  <w:rFonts w:ascii="Cambria Math" w:eastAsiaTheme="minorEastAsia" w:hAnsi="Cambria Math"/>
                  <w:lang w:val="pt-BR"/>
                </w:rPr>
                <m:t>r</m:t>
              </m:r>
            </m:e>
            <m:sub>
              <m:r>
                <w:rPr>
                  <w:rFonts w:ascii="Cambria Math" w:eastAsiaTheme="minorEastAsia" w:hAnsi="Cambria Math"/>
                  <w:lang w:val="pt-BR"/>
                </w:rPr>
                <m:t>A</m:t>
              </m:r>
            </m:sub>
          </m:sSub>
          <m:sSup>
            <m:sSupPr>
              <m:ctrlPr>
                <w:rPr>
                  <w:rFonts w:ascii="Cambria Math" w:eastAsiaTheme="minorEastAsia" w:hAnsi="Cambria Math"/>
                  <w:i/>
                  <w:lang w:val="pt-BR"/>
                </w:rPr>
              </m:ctrlPr>
            </m:sSupPr>
            <m:e>
              <m:r>
                <w:rPr>
                  <w:rFonts w:ascii="Cambria Math" w:eastAsiaTheme="minorEastAsia" w:hAnsi="Cambria Math"/>
                  <w:lang w:val="pt-BR"/>
                </w:rPr>
                <m:t>r</m:t>
              </m:r>
            </m:e>
            <m:sup>
              <m:r>
                <w:rPr>
                  <w:rFonts w:ascii="Cambria Math" w:eastAsiaTheme="minorEastAsia" w:hAnsi="Cambria Math"/>
                  <w:lang w:val="pt-BR"/>
                </w:rPr>
                <m:t>2</m:t>
              </m:r>
            </m:sup>
          </m:sSup>
        </m:oMath>
      </m:oMathPara>
    </w:p>
    <w:p w14:paraId="56242A19" w14:textId="77777777" w:rsidR="00A35A08" w:rsidRPr="00052599" w:rsidRDefault="00A35A08" w:rsidP="00041564">
      <w:pPr>
        <w:spacing w:line="480" w:lineRule="auto"/>
        <w:jc w:val="both"/>
        <w:rPr>
          <w:rFonts w:eastAsiaTheme="minorEastAsia"/>
        </w:rPr>
      </w:pPr>
      <w:r w:rsidRPr="00052599">
        <w:rPr>
          <w:rFonts w:eastAsiaTheme="minorEastAsia"/>
        </w:rPr>
        <w:tab/>
        <w:t xml:space="preserve">According to the first Fick’s law of diffusion equation, </w:t>
      </w:r>
      <w:r w:rsidRPr="00BA09AA">
        <w:rPr>
          <w:rFonts w:eastAsiaTheme="minorEastAsia"/>
        </w:rPr>
        <w:t>the flux is proportional to the negative of the effective diffusion coefficient of a component, multiplied by the concentration gradient of that component, along the diffusion path</w:t>
      </w:r>
      <w:r w:rsidRPr="00052599">
        <w:rPr>
          <w:rFonts w:eastAsiaTheme="minorEastAsia"/>
        </w:rPr>
        <w:t>.</w:t>
      </w:r>
    </w:p>
    <w:p w14:paraId="446FE975" w14:textId="77777777" w:rsidR="00A35A08" w:rsidRPr="00052599" w:rsidRDefault="00A35A08" w:rsidP="00041564">
      <w:pPr>
        <w:spacing w:line="480" w:lineRule="auto"/>
        <w:jc w:val="both"/>
        <w:rPr>
          <w:rFonts w:eastAsiaTheme="minorEastAsia"/>
        </w:rPr>
      </w:pPr>
      <m:oMathPara>
        <m:oMath>
          <m:r>
            <m:rPr>
              <m:sty m:val="p"/>
            </m:rPr>
            <w:rPr>
              <w:rFonts w:ascii="Cambria Math" w:eastAsiaTheme="minorEastAsia" w:hAnsi="Cambria Math"/>
            </w:rPr>
            <m:t xml:space="preserve">Fick’s first law of diffusion flux: </m:t>
          </m:r>
          <m:sSub>
            <m:sSubPr>
              <m:ctrlPr>
                <w:rPr>
                  <w:rFonts w:ascii="Cambria Math" w:eastAsiaTheme="minorEastAsia" w:hAnsi="Cambria Math"/>
                  <w:i/>
                  <w:lang w:val="pt-BR"/>
                </w:rPr>
              </m:ctrlPr>
            </m:sSubPr>
            <m:e>
              <m:r>
                <w:rPr>
                  <w:rFonts w:ascii="Cambria Math" w:eastAsiaTheme="minorEastAsia" w:hAnsi="Cambria Math"/>
                  <w:lang w:val="pt-BR"/>
                </w:rPr>
                <m:t>W</m:t>
              </m:r>
            </m:e>
            <m:sub>
              <m:r>
                <w:rPr>
                  <w:rFonts w:ascii="Cambria Math" w:eastAsiaTheme="minorEastAsia" w:hAnsi="Cambria Math"/>
                  <w:lang w:val="pt-BR"/>
                </w:rPr>
                <m:t>Ar</m:t>
              </m:r>
            </m:sub>
          </m:sSub>
          <m:r>
            <w:rPr>
              <w:rFonts w:ascii="Cambria Math" w:eastAsiaTheme="minorEastAsia" w:hAnsi="Cambria Math"/>
            </w:rPr>
            <m:t>=-</m:t>
          </m:r>
          <m:sSub>
            <m:sSubPr>
              <m:ctrlPr>
                <w:rPr>
                  <w:rFonts w:ascii="Cambria Math" w:eastAsiaTheme="minorEastAsia" w:hAnsi="Cambria Math"/>
                  <w:i/>
                  <w:lang w:val="pt-BR"/>
                </w:rPr>
              </m:ctrlPr>
            </m:sSubPr>
            <m:e>
              <m:r>
                <m:rPr>
                  <m:scr m:val="script"/>
                </m:rPr>
                <w:rPr>
                  <w:rFonts w:ascii="Cambria Math" w:eastAsiaTheme="minorEastAsia" w:hAnsi="Cambria Math"/>
                  <w:lang w:val="pt-BR"/>
                </w:rPr>
                <m:t>D</m:t>
              </m:r>
            </m:e>
            <m:sub>
              <m:r>
                <w:rPr>
                  <w:rFonts w:ascii="Cambria Math" w:eastAsiaTheme="minorEastAsia" w:hAnsi="Cambria Math"/>
                  <w:lang w:val="pt-BR"/>
                </w:rPr>
                <m:t>e</m:t>
              </m:r>
            </m:sub>
          </m:sSub>
          <m:f>
            <m:fPr>
              <m:ctrlPr>
                <w:rPr>
                  <w:rFonts w:ascii="Cambria Math" w:eastAsiaTheme="minorEastAsia" w:hAnsi="Cambria Math"/>
                  <w:i/>
                  <w:lang w:val="pt-BR"/>
                </w:rPr>
              </m:ctrlPr>
            </m:fPr>
            <m:num>
              <m:sSub>
                <m:sSubPr>
                  <m:ctrlPr>
                    <w:rPr>
                      <w:rFonts w:ascii="Cambria Math" w:eastAsiaTheme="minorEastAsia" w:hAnsi="Cambria Math"/>
                      <w:i/>
                      <w:lang w:val="pt-BR"/>
                    </w:rPr>
                  </m:ctrlPr>
                </m:sSubPr>
                <m:e>
                  <m:r>
                    <w:rPr>
                      <w:rFonts w:ascii="Cambria Math" w:eastAsiaTheme="minorEastAsia" w:hAnsi="Cambria Math"/>
                      <w:lang w:val="pt-BR"/>
                    </w:rPr>
                    <m:t>dC</m:t>
                  </m:r>
                </m:e>
                <m:sub>
                  <m:r>
                    <w:rPr>
                      <w:rFonts w:ascii="Cambria Math" w:eastAsiaTheme="minorEastAsia" w:hAnsi="Cambria Math"/>
                      <w:lang w:val="pt-BR"/>
                    </w:rPr>
                    <m:t>A</m:t>
                  </m:r>
                </m:sub>
              </m:sSub>
            </m:num>
            <m:den>
              <m:r>
                <w:rPr>
                  <w:rFonts w:ascii="Cambria Math" w:eastAsiaTheme="minorEastAsia" w:hAnsi="Cambria Math"/>
                  <w:lang w:val="pt-BR"/>
                </w:rPr>
                <m:t>dr</m:t>
              </m:r>
            </m:den>
          </m:f>
        </m:oMath>
      </m:oMathPara>
    </w:p>
    <w:p w14:paraId="145C0852" w14:textId="77777777" w:rsidR="00A35A08" w:rsidRPr="00052599" w:rsidRDefault="00A35A08" w:rsidP="00041564">
      <w:pPr>
        <w:spacing w:line="480" w:lineRule="auto"/>
        <w:jc w:val="both"/>
        <w:rPr>
          <w:rFonts w:eastAsiaTheme="minorEastAsia"/>
        </w:rPr>
      </w:pPr>
      <w:r w:rsidRPr="00052599">
        <w:rPr>
          <w:rFonts w:eastAsiaTheme="minorEastAsia"/>
        </w:rPr>
        <w:tab/>
        <w:t>The equation can be simplified and rearranged to be in a second order differential equation:</w:t>
      </w:r>
    </w:p>
    <w:p w14:paraId="29B7EAF6" w14:textId="77777777" w:rsidR="00A35A08" w:rsidRPr="00052599" w:rsidRDefault="00000000" w:rsidP="00041564">
      <w:pPr>
        <w:spacing w:line="480" w:lineRule="auto"/>
        <w:jc w:val="both"/>
        <w:rPr>
          <w:rFonts w:eastAsiaTheme="minorEastAsia"/>
          <w:lang w:val="pt-BR"/>
        </w:rPr>
      </w:pPr>
      <m:oMathPara>
        <m:oMath>
          <m:f>
            <m:fPr>
              <m:ctrlPr>
                <w:rPr>
                  <w:rFonts w:ascii="Cambria Math" w:eastAsiaTheme="minorEastAsia" w:hAnsi="Cambria Math"/>
                  <w:i/>
                  <w:lang w:val="pt-BR"/>
                </w:rPr>
              </m:ctrlPr>
            </m:fPr>
            <m:num>
              <m:r>
                <w:rPr>
                  <w:rFonts w:ascii="Cambria Math" w:eastAsiaTheme="minorEastAsia" w:hAnsi="Cambria Math"/>
                  <w:lang w:val="pt-BR"/>
                </w:rPr>
                <m:t>d</m:t>
              </m:r>
              <m:d>
                <m:dPr>
                  <m:ctrlPr>
                    <w:rPr>
                      <w:rFonts w:ascii="Cambria Math" w:eastAsiaTheme="minorEastAsia" w:hAnsi="Cambria Math"/>
                      <w:i/>
                      <w:lang w:val="pt-BR"/>
                    </w:rPr>
                  </m:ctrlPr>
                </m:dPr>
                <m:e>
                  <m:sSup>
                    <m:sSupPr>
                      <m:ctrlPr>
                        <w:rPr>
                          <w:rFonts w:ascii="Cambria Math" w:eastAsiaTheme="minorEastAsia" w:hAnsi="Cambria Math"/>
                          <w:i/>
                          <w:lang w:val="pt-BR"/>
                        </w:rPr>
                      </m:ctrlPr>
                    </m:sSupPr>
                    <m:e>
                      <m:r>
                        <w:rPr>
                          <w:rFonts w:ascii="Cambria Math" w:eastAsiaTheme="minorEastAsia" w:hAnsi="Cambria Math"/>
                          <w:lang w:val="pt-BR"/>
                        </w:rPr>
                        <m:t>r</m:t>
                      </m:r>
                    </m:e>
                    <m:sup>
                      <m:r>
                        <w:rPr>
                          <w:rFonts w:ascii="Cambria Math" w:eastAsiaTheme="minorEastAsia" w:hAnsi="Cambria Math"/>
                          <w:lang w:val="pt-BR"/>
                        </w:rPr>
                        <m:t>2</m:t>
                      </m:r>
                    </m:sup>
                  </m:sSup>
                  <m:sSub>
                    <m:sSubPr>
                      <m:ctrlPr>
                        <w:rPr>
                          <w:rFonts w:ascii="Cambria Math" w:eastAsiaTheme="minorEastAsia" w:hAnsi="Cambria Math"/>
                          <w:i/>
                          <w:lang w:val="pt-BR"/>
                        </w:rPr>
                      </m:ctrlPr>
                    </m:sSubPr>
                    <m:e>
                      <m:r>
                        <m:rPr>
                          <m:scr m:val="script"/>
                        </m:rPr>
                        <w:rPr>
                          <w:rFonts w:ascii="Cambria Math" w:eastAsiaTheme="minorEastAsia" w:hAnsi="Cambria Math"/>
                          <w:lang w:val="pt-BR"/>
                        </w:rPr>
                        <m:t>D</m:t>
                      </m:r>
                    </m:e>
                    <m:sub>
                      <m:r>
                        <w:rPr>
                          <w:rFonts w:ascii="Cambria Math" w:eastAsiaTheme="minorEastAsia" w:hAnsi="Cambria Math"/>
                          <w:lang w:val="pt-BR"/>
                        </w:rPr>
                        <m:t>e</m:t>
                      </m:r>
                    </m:sub>
                  </m:sSub>
                  <m:f>
                    <m:fPr>
                      <m:ctrlPr>
                        <w:rPr>
                          <w:rFonts w:ascii="Cambria Math" w:eastAsiaTheme="minorEastAsia" w:hAnsi="Cambria Math"/>
                          <w:i/>
                          <w:lang w:val="pt-BR"/>
                        </w:rPr>
                      </m:ctrlPr>
                    </m:fPr>
                    <m:num>
                      <m:sSub>
                        <m:sSubPr>
                          <m:ctrlPr>
                            <w:rPr>
                              <w:rFonts w:ascii="Cambria Math" w:eastAsiaTheme="minorEastAsia" w:hAnsi="Cambria Math"/>
                              <w:i/>
                              <w:lang w:val="pt-BR"/>
                            </w:rPr>
                          </m:ctrlPr>
                        </m:sSubPr>
                        <m:e>
                          <m:r>
                            <w:rPr>
                              <w:rFonts w:ascii="Cambria Math" w:eastAsiaTheme="minorEastAsia" w:hAnsi="Cambria Math"/>
                              <w:lang w:val="pt-BR"/>
                            </w:rPr>
                            <m:t>dC</m:t>
                          </m:r>
                        </m:e>
                        <m:sub>
                          <m:r>
                            <w:rPr>
                              <w:rFonts w:ascii="Cambria Math" w:eastAsiaTheme="minorEastAsia" w:hAnsi="Cambria Math"/>
                              <w:lang w:val="pt-BR"/>
                            </w:rPr>
                            <m:t>A</m:t>
                          </m:r>
                        </m:sub>
                      </m:sSub>
                    </m:num>
                    <m:den>
                      <m:r>
                        <w:rPr>
                          <w:rFonts w:ascii="Cambria Math" w:eastAsiaTheme="minorEastAsia" w:hAnsi="Cambria Math"/>
                          <w:lang w:val="pt-BR"/>
                        </w:rPr>
                        <m:t>dr</m:t>
                      </m:r>
                    </m:den>
                  </m:f>
                </m:e>
              </m:d>
            </m:num>
            <m:den>
              <m:r>
                <w:rPr>
                  <w:rFonts w:ascii="Cambria Math" w:eastAsiaTheme="minorEastAsia" w:hAnsi="Cambria Math"/>
                  <w:lang w:val="pt-BR"/>
                </w:rPr>
                <m:t>dr</m:t>
              </m:r>
            </m:den>
          </m:f>
          <m:r>
            <w:rPr>
              <w:rFonts w:ascii="Cambria Math" w:eastAsiaTheme="minorEastAsia" w:hAnsi="Cambria Math"/>
              <w:lang w:val="pt-BR"/>
            </w:rPr>
            <m:t>+</m:t>
          </m:r>
          <m:sSub>
            <m:sSubPr>
              <m:ctrlPr>
                <w:rPr>
                  <w:rFonts w:ascii="Cambria Math" w:eastAsiaTheme="minorEastAsia" w:hAnsi="Cambria Math"/>
                  <w:i/>
                  <w:lang w:val="pt-BR"/>
                </w:rPr>
              </m:ctrlPr>
            </m:sSubPr>
            <m:e>
              <m:r>
                <w:rPr>
                  <w:rFonts w:ascii="Cambria Math" w:eastAsiaTheme="minorEastAsia" w:hAnsi="Cambria Math"/>
                  <w:lang w:val="pt-BR"/>
                </w:rPr>
                <m:t>r</m:t>
              </m:r>
            </m:e>
            <m:sub>
              <m:r>
                <w:rPr>
                  <w:rFonts w:ascii="Cambria Math" w:eastAsiaTheme="minorEastAsia" w:hAnsi="Cambria Math"/>
                  <w:lang w:val="pt-BR"/>
                </w:rPr>
                <m:t>A</m:t>
              </m:r>
            </m:sub>
          </m:sSub>
          <m:sSup>
            <m:sSupPr>
              <m:ctrlPr>
                <w:rPr>
                  <w:rFonts w:ascii="Cambria Math" w:eastAsiaTheme="minorEastAsia" w:hAnsi="Cambria Math"/>
                  <w:i/>
                  <w:lang w:val="pt-BR"/>
                </w:rPr>
              </m:ctrlPr>
            </m:sSupPr>
            <m:e>
              <m:r>
                <w:rPr>
                  <w:rFonts w:ascii="Cambria Math" w:eastAsiaTheme="minorEastAsia" w:hAnsi="Cambria Math"/>
                  <w:lang w:val="pt-BR"/>
                </w:rPr>
                <m:t>r</m:t>
              </m:r>
            </m:e>
            <m:sup>
              <m:r>
                <w:rPr>
                  <w:rFonts w:ascii="Cambria Math" w:eastAsiaTheme="minorEastAsia" w:hAnsi="Cambria Math"/>
                  <w:lang w:val="pt-BR"/>
                </w:rPr>
                <m:t>2</m:t>
              </m:r>
            </m:sup>
          </m:sSup>
          <m:r>
            <w:rPr>
              <w:rFonts w:ascii="Cambria Math" w:eastAsiaTheme="minorEastAsia" w:hAnsi="Cambria Math"/>
              <w:lang w:val="pt-BR"/>
            </w:rPr>
            <m:t xml:space="preserve">=0 </m:t>
          </m:r>
        </m:oMath>
      </m:oMathPara>
    </w:p>
    <w:p w14:paraId="0FBDA98D" w14:textId="77777777" w:rsidR="00A35A08" w:rsidRPr="00052599" w:rsidRDefault="00000000" w:rsidP="00041564">
      <w:pPr>
        <w:spacing w:line="480" w:lineRule="auto"/>
        <w:jc w:val="both"/>
        <w:rPr>
          <w:rFonts w:eastAsiaTheme="minorEastAsia"/>
          <w:lang w:val="pt-BR"/>
        </w:rPr>
      </w:pPr>
      <m:oMathPara>
        <m:oMath>
          <m:sSub>
            <m:sSubPr>
              <m:ctrlPr>
                <w:rPr>
                  <w:rFonts w:ascii="Cambria Math" w:eastAsiaTheme="minorEastAsia" w:hAnsi="Cambria Math"/>
                  <w:i/>
                  <w:lang w:val="pt-BR"/>
                </w:rPr>
              </m:ctrlPr>
            </m:sSubPr>
            <m:e>
              <m:r>
                <m:rPr>
                  <m:scr m:val="script"/>
                </m:rPr>
                <w:rPr>
                  <w:rFonts w:ascii="Cambria Math" w:eastAsiaTheme="minorEastAsia" w:hAnsi="Cambria Math"/>
                  <w:lang w:val="pt-BR"/>
                </w:rPr>
                <m:t>D</m:t>
              </m:r>
            </m:e>
            <m:sub>
              <m:r>
                <w:rPr>
                  <w:rFonts w:ascii="Cambria Math" w:eastAsiaTheme="minorEastAsia" w:hAnsi="Cambria Math"/>
                  <w:lang w:val="pt-BR"/>
                </w:rPr>
                <m:t>e</m:t>
              </m:r>
            </m:sub>
          </m:sSub>
          <m:f>
            <m:fPr>
              <m:ctrlPr>
                <w:rPr>
                  <w:rFonts w:ascii="Cambria Math" w:eastAsiaTheme="minorEastAsia" w:hAnsi="Cambria Math"/>
                  <w:i/>
                  <w:lang w:val="pt-BR"/>
                </w:rPr>
              </m:ctrlPr>
            </m:fPr>
            <m:num>
              <m:r>
                <w:rPr>
                  <w:rFonts w:ascii="Cambria Math" w:eastAsiaTheme="minorEastAsia" w:hAnsi="Cambria Math"/>
                  <w:lang w:val="pt-BR"/>
                </w:rPr>
                <m:t>d</m:t>
              </m:r>
              <m:d>
                <m:dPr>
                  <m:ctrlPr>
                    <w:rPr>
                      <w:rFonts w:ascii="Cambria Math" w:eastAsiaTheme="minorEastAsia" w:hAnsi="Cambria Math"/>
                      <w:i/>
                      <w:lang w:val="pt-BR"/>
                    </w:rPr>
                  </m:ctrlPr>
                </m:dPr>
                <m:e>
                  <m:sSup>
                    <m:sSupPr>
                      <m:ctrlPr>
                        <w:rPr>
                          <w:rFonts w:ascii="Cambria Math" w:eastAsiaTheme="minorEastAsia" w:hAnsi="Cambria Math"/>
                          <w:i/>
                          <w:lang w:val="pt-BR"/>
                        </w:rPr>
                      </m:ctrlPr>
                    </m:sSupPr>
                    <m:e>
                      <m:r>
                        <w:rPr>
                          <w:rFonts w:ascii="Cambria Math" w:eastAsiaTheme="minorEastAsia" w:hAnsi="Cambria Math"/>
                          <w:lang w:val="pt-BR"/>
                        </w:rPr>
                        <m:t>r</m:t>
                      </m:r>
                    </m:e>
                    <m:sup>
                      <m:r>
                        <w:rPr>
                          <w:rFonts w:ascii="Cambria Math" w:eastAsiaTheme="minorEastAsia" w:hAnsi="Cambria Math"/>
                          <w:lang w:val="pt-BR"/>
                        </w:rPr>
                        <m:t>2</m:t>
                      </m:r>
                    </m:sup>
                  </m:sSup>
                  <m:f>
                    <m:fPr>
                      <m:ctrlPr>
                        <w:rPr>
                          <w:rFonts w:ascii="Cambria Math" w:eastAsiaTheme="minorEastAsia" w:hAnsi="Cambria Math"/>
                          <w:i/>
                          <w:lang w:val="pt-BR"/>
                        </w:rPr>
                      </m:ctrlPr>
                    </m:fPr>
                    <m:num>
                      <m:sSub>
                        <m:sSubPr>
                          <m:ctrlPr>
                            <w:rPr>
                              <w:rFonts w:ascii="Cambria Math" w:eastAsiaTheme="minorEastAsia" w:hAnsi="Cambria Math"/>
                              <w:i/>
                              <w:lang w:val="pt-BR"/>
                            </w:rPr>
                          </m:ctrlPr>
                        </m:sSubPr>
                        <m:e>
                          <m:r>
                            <w:rPr>
                              <w:rFonts w:ascii="Cambria Math" w:eastAsiaTheme="minorEastAsia" w:hAnsi="Cambria Math"/>
                              <w:lang w:val="pt-BR"/>
                            </w:rPr>
                            <m:t>dC</m:t>
                          </m:r>
                        </m:e>
                        <m:sub>
                          <m:r>
                            <w:rPr>
                              <w:rFonts w:ascii="Cambria Math" w:eastAsiaTheme="minorEastAsia" w:hAnsi="Cambria Math"/>
                              <w:lang w:val="pt-BR"/>
                            </w:rPr>
                            <m:t>A</m:t>
                          </m:r>
                        </m:sub>
                      </m:sSub>
                    </m:num>
                    <m:den>
                      <m:r>
                        <w:rPr>
                          <w:rFonts w:ascii="Cambria Math" w:eastAsiaTheme="minorEastAsia" w:hAnsi="Cambria Math"/>
                          <w:lang w:val="pt-BR"/>
                        </w:rPr>
                        <m:t>dr</m:t>
                      </m:r>
                    </m:den>
                  </m:f>
                </m:e>
              </m:d>
            </m:num>
            <m:den>
              <m:r>
                <w:rPr>
                  <w:rFonts w:ascii="Cambria Math" w:eastAsiaTheme="minorEastAsia" w:hAnsi="Cambria Math"/>
                  <w:lang w:val="pt-BR"/>
                </w:rPr>
                <m:t>dr</m:t>
              </m:r>
            </m:den>
          </m:f>
          <m:r>
            <w:rPr>
              <w:rFonts w:ascii="Cambria Math" w:eastAsiaTheme="minorEastAsia" w:hAnsi="Cambria Math"/>
              <w:lang w:val="pt-BR"/>
            </w:rPr>
            <m:t>+</m:t>
          </m:r>
          <m:sSub>
            <m:sSubPr>
              <m:ctrlPr>
                <w:rPr>
                  <w:rFonts w:ascii="Cambria Math" w:eastAsiaTheme="minorEastAsia" w:hAnsi="Cambria Math"/>
                  <w:i/>
                  <w:lang w:val="pt-BR"/>
                </w:rPr>
              </m:ctrlPr>
            </m:sSubPr>
            <m:e>
              <m:r>
                <w:rPr>
                  <w:rFonts w:ascii="Cambria Math" w:eastAsiaTheme="minorEastAsia" w:hAnsi="Cambria Math"/>
                  <w:lang w:val="pt-BR"/>
                </w:rPr>
                <m:t>r</m:t>
              </m:r>
            </m:e>
            <m:sub>
              <m:r>
                <w:rPr>
                  <w:rFonts w:ascii="Cambria Math" w:eastAsiaTheme="minorEastAsia" w:hAnsi="Cambria Math"/>
                  <w:lang w:val="pt-BR"/>
                </w:rPr>
                <m:t>A</m:t>
              </m:r>
            </m:sub>
          </m:sSub>
          <m:sSup>
            <m:sSupPr>
              <m:ctrlPr>
                <w:rPr>
                  <w:rFonts w:ascii="Cambria Math" w:eastAsiaTheme="minorEastAsia" w:hAnsi="Cambria Math"/>
                  <w:i/>
                  <w:lang w:val="pt-BR"/>
                </w:rPr>
              </m:ctrlPr>
            </m:sSupPr>
            <m:e>
              <m:r>
                <w:rPr>
                  <w:rFonts w:ascii="Cambria Math" w:eastAsiaTheme="minorEastAsia" w:hAnsi="Cambria Math"/>
                  <w:lang w:val="pt-BR"/>
                </w:rPr>
                <m:t>r</m:t>
              </m:r>
            </m:e>
            <m:sup>
              <m:r>
                <w:rPr>
                  <w:rFonts w:ascii="Cambria Math" w:eastAsiaTheme="minorEastAsia" w:hAnsi="Cambria Math"/>
                  <w:lang w:val="pt-BR"/>
                </w:rPr>
                <m:t>2</m:t>
              </m:r>
            </m:sup>
          </m:sSup>
          <m:r>
            <w:rPr>
              <w:rFonts w:ascii="Cambria Math" w:eastAsiaTheme="minorEastAsia" w:hAnsi="Cambria Math"/>
              <w:lang w:val="pt-BR"/>
            </w:rPr>
            <m:t>=0</m:t>
          </m:r>
        </m:oMath>
      </m:oMathPara>
    </w:p>
    <w:p w14:paraId="7A1E32F4" w14:textId="77777777" w:rsidR="00A35A08" w:rsidRPr="00052599" w:rsidRDefault="00000000" w:rsidP="00041564">
      <w:pPr>
        <w:spacing w:line="480" w:lineRule="auto"/>
        <w:ind w:firstLine="360"/>
        <w:jc w:val="both"/>
        <w:rPr>
          <w:rFonts w:eastAsiaTheme="minorEastAsia"/>
          <w:lang w:val="pt-BR"/>
        </w:rPr>
      </w:pPr>
      <m:oMathPara>
        <m:oMath>
          <m:f>
            <m:fPr>
              <m:ctrlPr>
                <w:rPr>
                  <w:rFonts w:ascii="Cambria Math" w:eastAsiaTheme="minorEastAsia" w:hAnsi="Cambria Math"/>
                  <w:i/>
                  <w:lang w:val="pt-BR"/>
                </w:rPr>
              </m:ctrlPr>
            </m:fPr>
            <m:num>
              <m:sSup>
                <m:sSupPr>
                  <m:ctrlPr>
                    <w:rPr>
                      <w:rFonts w:ascii="Cambria Math" w:eastAsiaTheme="minorEastAsia" w:hAnsi="Cambria Math"/>
                      <w:i/>
                      <w:lang w:val="pt-BR"/>
                    </w:rPr>
                  </m:ctrlPr>
                </m:sSupPr>
                <m:e>
                  <m:r>
                    <w:rPr>
                      <w:rFonts w:ascii="Cambria Math" w:eastAsiaTheme="minorEastAsia" w:hAnsi="Cambria Math"/>
                      <w:lang w:val="pt-BR"/>
                    </w:rPr>
                    <m:t>d</m:t>
                  </m:r>
                </m:e>
                <m:sup>
                  <m:r>
                    <w:rPr>
                      <w:rFonts w:ascii="Cambria Math" w:eastAsiaTheme="minorEastAsia" w:hAnsi="Cambria Math"/>
                      <w:lang w:val="pt-BR"/>
                    </w:rPr>
                    <m:t>2</m:t>
                  </m:r>
                </m:sup>
              </m:sSup>
              <m:sSub>
                <m:sSubPr>
                  <m:ctrlPr>
                    <w:rPr>
                      <w:rFonts w:ascii="Cambria Math" w:eastAsiaTheme="minorEastAsia" w:hAnsi="Cambria Math"/>
                      <w:i/>
                      <w:lang w:val="pt-BR"/>
                    </w:rPr>
                  </m:ctrlPr>
                </m:sSubPr>
                <m:e>
                  <m:r>
                    <w:rPr>
                      <w:rFonts w:ascii="Cambria Math" w:eastAsiaTheme="minorEastAsia" w:hAnsi="Cambria Math"/>
                      <w:lang w:val="pt-BR"/>
                    </w:rPr>
                    <m:t>C</m:t>
                  </m:r>
                </m:e>
                <m:sub>
                  <m:r>
                    <w:rPr>
                      <w:rFonts w:ascii="Cambria Math" w:eastAsiaTheme="minorEastAsia" w:hAnsi="Cambria Math"/>
                      <w:lang w:val="pt-BR"/>
                    </w:rPr>
                    <m:t>A</m:t>
                  </m:r>
                </m:sub>
              </m:sSub>
            </m:num>
            <m:den>
              <m:sSup>
                <m:sSupPr>
                  <m:ctrlPr>
                    <w:rPr>
                      <w:rFonts w:ascii="Cambria Math" w:eastAsiaTheme="minorEastAsia" w:hAnsi="Cambria Math"/>
                      <w:i/>
                      <w:lang w:val="pt-BR"/>
                    </w:rPr>
                  </m:ctrlPr>
                </m:sSupPr>
                <m:e>
                  <m:r>
                    <w:rPr>
                      <w:rFonts w:ascii="Cambria Math" w:eastAsiaTheme="minorEastAsia" w:hAnsi="Cambria Math"/>
                      <w:lang w:val="pt-BR"/>
                    </w:rPr>
                    <m:t>dr</m:t>
                  </m:r>
                </m:e>
                <m:sup>
                  <m:r>
                    <w:rPr>
                      <w:rFonts w:ascii="Cambria Math" w:eastAsiaTheme="minorEastAsia" w:hAnsi="Cambria Math"/>
                      <w:lang w:val="pt-BR"/>
                    </w:rPr>
                    <m:t>2</m:t>
                  </m:r>
                </m:sup>
              </m:sSup>
            </m:den>
          </m:f>
          <m:r>
            <w:rPr>
              <w:rFonts w:ascii="Cambria Math" w:eastAsiaTheme="minorEastAsia" w:hAnsi="Cambria Math"/>
              <w:lang w:val="pt-BR"/>
            </w:rPr>
            <m:t>+</m:t>
          </m:r>
          <m:f>
            <m:fPr>
              <m:ctrlPr>
                <w:rPr>
                  <w:rFonts w:ascii="Cambria Math" w:eastAsiaTheme="minorEastAsia" w:hAnsi="Cambria Math"/>
                  <w:i/>
                  <w:lang w:val="pt-BR"/>
                </w:rPr>
              </m:ctrlPr>
            </m:fPr>
            <m:num>
              <m:r>
                <w:rPr>
                  <w:rFonts w:ascii="Cambria Math" w:eastAsiaTheme="minorEastAsia" w:hAnsi="Cambria Math"/>
                  <w:lang w:val="pt-BR"/>
                </w:rPr>
                <m:t>2</m:t>
              </m:r>
            </m:num>
            <m:den>
              <m:r>
                <w:rPr>
                  <w:rFonts w:ascii="Cambria Math" w:eastAsiaTheme="minorEastAsia" w:hAnsi="Cambria Math"/>
                  <w:lang w:val="pt-BR"/>
                </w:rPr>
                <m:t>r</m:t>
              </m:r>
            </m:den>
          </m:f>
          <m:f>
            <m:fPr>
              <m:ctrlPr>
                <w:rPr>
                  <w:rFonts w:ascii="Cambria Math" w:eastAsiaTheme="minorEastAsia" w:hAnsi="Cambria Math"/>
                  <w:i/>
                  <w:lang w:val="pt-BR"/>
                </w:rPr>
              </m:ctrlPr>
            </m:fPr>
            <m:num>
              <m:r>
                <w:rPr>
                  <w:rFonts w:ascii="Cambria Math" w:eastAsiaTheme="minorEastAsia" w:hAnsi="Cambria Math"/>
                  <w:lang w:val="pt-BR"/>
                </w:rPr>
                <m:t>d</m:t>
              </m:r>
              <m:sSub>
                <m:sSubPr>
                  <m:ctrlPr>
                    <w:rPr>
                      <w:rFonts w:ascii="Cambria Math" w:eastAsiaTheme="minorEastAsia" w:hAnsi="Cambria Math"/>
                      <w:i/>
                      <w:lang w:val="pt-BR"/>
                    </w:rPr>
                  </m:ctrlPr>
                </m:sSubPr>
                <m:e>
                  <m:r>
                    <w:rPr>
                      <w:rFonts w:ascii="Cambria Math" w:eastAsiaTheme="minorEastAsia" w:hAnsi="Cambria Math"/>
                      <w:lang w:val="pt-BR"/>
                    </w:rPr>
                    <m:t>C</m:t>
                  </m:r>
                </m:e>
                <m:sub>
                  <m:r>
                    <w:rPr>
                      <w:rFonts w:ascii="Cambria Math" w:eastAsiaTheme="minorEastAsia" w:hAnsi="Cambria Math"/>
                      <w:lang w:val="pt-BR"/>
                    </w:rPr>
                    <m:t>A</m:t>
                  </m:r>
                </m:sub>
              </m:sSub>
            </m:num>
            <m:den>
              <m:r>
                <w:rPr>
                  <w:rFonts w:ascii="Cambria Math" w:eastAsiaTheme="minorEastAsia" w:hAnsi="Cambria Math"/>
                  <w:lang w:val="pt-BR"/>
                </w:rPr>
                <m:t>dr</m:t>
              </m:r>
            </m:den>
          </m:f>
          <m:r>
            <w:rPr>
              <w:rFonts w:ascii="Cambria Math" w:eastAsiaTheme="minorEastAsia" w:hAnsi="Cambria Math"/>
              <w:lang w:val="pt-BR"/>
            </w:rPr>
            <m:t>+</m:t>
          </m:r>
          <m:f>
            <m:fPr>
              <m:ctrlPr>
                <w:rPr>
                  <w:rFonts w:ascii="Cambria Math" w:eastAsiaTheme="minorEastAsia" w:hAnsi="Cambria Math"/>
                  <w:i/>
                  <w:lang w:val="pt-BR"/>
                </w:rPr>
              </m:ctrlPr>
            </m:fPr>
            <m:num>
              <m:sSub>
                <m:sSubPr>
                  <m:ctrlPr>
                    <w:rPr>
                      <w:rFonts w:ascii="Cambria Math" w:eastAsiaTheme="minorEastAsia" w:hAnsi="Cambria Math"/>
                      <w:i/>
                      <w:lang w:val="pt-BR"/>
                    </w:rPr>
                  </m:ctrlPr>
                </m:sSubPr>
                <m:e>
                  <m:r>
                    <w:rPr>
                      <w:rFonts w:ascii="Cambria Math" w:eastAsiaTheme="minorEastAsia" w:hAnsi="Cambria Math"/>
                      <w:lang w:val="pt-BR"/>
                    </w:rPr>
                    <m:t>r</m:t>
                  </m:r>
                </m:e>
                <m:sub>
                  <m:r>
                    <w:rPr>
                      <w:rFonts w:ascii="Cambria Math" w:eastAsiaTheme="minorEastAsia" w:hAnsi="Cambria Math"/>
                      <w:lang w:val="pt-BR"/>
                    </w:rPr>
                    <m:t>A</m:t>
                  </m:r>
                </m:sub>
              </m:sSub>
            </m:num>
            <m:den>
              <m:sSub>
                <m:sSubPr>
                  <m:ctrlPr>
                    <w:rPr>
                      <w:rFonts w:ascii="Cambria Math" w:eastAsiaTheme="minorEastAsia" w:hAnsi="Cambria Math"/>
                      <w:i/>
                      <w:lang w:val="pt-BR"/>
                    </w:rPr>
                  </m:ctrlPr>
                </m:sSubPr>
                <m:e>
                  <m:r>
                    <m:rPr>
                      <m:scr m:val="script"/>
                    </m:rPr>
                    <w:rPr>
                      <w:rFonts w:ascii="Cambria Math" w:eastAsiaTheme="minorEastAsia" w:hAnsi="Cambria Math"/>
                      <w:lang w:val="pt-BR"/>
                    </w:rPr>
                    <m:t>D</m:t>
                  </m:r>
                </m:e>
                <m:sub>
                  <m:r>
                    <w:rPr>
                      <w:rFonts w:ascii="Cambria Math" w:eastAsiaTheme="minorEastAsia" w:hAnsi="Cambria Math"/>
                      <w:lang w:val="pt-BR"/>
                    </w:rPr>
                    <m:t>e</m:t>
                  </m:r>
                </m:sub>
              </m:sSub>
            </m:den>
          </m:f>
          <m:r>
            <w:rPr>
              <w:rFonts w:ascii="Cambria Math" w:eastAsiaTheme="minorEastAsia" w:hAnsi="Cambria Math"/>
              <w:lang w:val="pt-BR"/>
            </w:rPr>
            <m:t>=0</m:t>
          </m:r>
        </m:oMath>
      </m:oMathPara>
    </w:p>
    <w:p w14:paraId="7395A556" w14:textId="24A657C5" w:rsidR="00A35A08" w:rsidRPr="00052599" w:rsidRDefault="00A35A08" w:rsidP="00041564">
      <w:pPr>
        <w:spacing w:line="480" w:lineRule="auto"/>
        <w:ind w:firstLine="720"/>
        <w:jc w:val="both"/>
        <w:rPr>
          <w:rFonts w:eastAsiaTheme="minorEastAsia"/>
        </w:rPr>
      </w:pPr>
      <w:r w:rsidRPr="00052599">
        <w:t>In order to be able to</w:t>
      </w:r>
      <w:r>
        <w:t xml:space="preserve"> numerically</w:t>
      </w:r>
      <w:r w:rsidRPr="00052599">
        <w:t xml:space="preserve"> solve this equation and f</w:t>
      </w:r>
      <w:r w:rsidRPr="00052599">
        <w:rPr>
          <w:rFonts w:eastAsiaTheme="minorEastAsia"/>
        </w:rPr>
        <w:t xml:space="preserve">or simplification purposes a first order reaction rate dependence on specie A (reactant) concentration will be used and dimensionless adjustments done. If needed, further modifications will be taken in the equation as the research results presents different considerations </w:t>
      </w:r>
      <w:r>
        <w:rPr>
          <w:rFonts w:eastAsiaTheme="minorEastAsia"/>
        </w:rPr>
        <w:t>than</w:t>
      </w:r>
      <w:r w:rsidRPr="00052599">
        <w:rPr>
          <w:rFonts w:eastAsiaTheme="minorEastAsia"/>
        </w:rPr>
        <w:t xml:space="preserve"> those adopted. Assuming a first order type of reaction (</w:t>
      </w:r>
      <m:oMath>
        <m:sSub>
          <m:sSubPr>
            <m:ctrlPr>
              <w:rPr>
                <w:rFonts w:ascii="Cambria Math" w:eastAsiaTheme="minorEastAsia" w:hAnsi="Cambria Math"/>
                <w:i/>
                <w:lang w:val="pt-BR"/>
              </w:rPr>
            </m:ctrlPr>
          </m:sSubPr>
          <m:e>
            <m:r>
              <w:rPr>
                <w:rFonts w:ascii="Cambria Math" w:eastAsiaTheme="minorEastAsia" w:hAnsi="Cambria Math"/>
                <w:lang w:val="pt-BR"/>
              </w:rPr>
              <m:t>r</m:t>
            </m:r>
          </m:e>
          <m:sub>
            <m:r>
              <w:rPr>
                <w:rFonts w:ascii="Cambria Math" w:eastAsiaTheme="minorEastAsia" w:hAnsi="Cambria Math"/>
                <w:lang w:val="pt-BR"/>
              </w:rPr>
              <m:t>A</m:t>
            </m:r>
          </m:sub>
        </m:sSub>
        <m:r>
          <w:rPr>
            <w:rFonts w:ascii="Cambria Math" w:eastAsiaTheme="minorEastAsia" w:hAnsi="Cambria Math"/>
          </w:rPr>
          <m:t>=</m:t>
        </m:r>
        <m:r>
          <w:rPr>
            <w:rFonts w:ascii="Cambria Math" w:eastAsiaTheme="minorEastAsia" w:hAnsi="Cambria Math"/>
            <w:lang w:val="pt-BR"/>
          </w:rPr>
          <m:t>k</m:t>
        </m:r>
        <m:sSub>
          <m:sSubPr>
            <m:ctrlPr>
              <w:rPr>
                <w:rFonts w:ascii="Cambria Math" w:eastAsiaTheme="minorEastAsia" w:hAnsi="Cambria Math"/>
                <w:i/>
                <w:lang w:val="pt-BR"/>
              </w:rPr>
            </m:ctrlPr>
          </m:sSubPr>
          <m:e>
            <m:r>
              <w:rPr>
                <w:rFonts w:ascii="Cambria Math" w:eastAsiaTheme="minorEastAsia" w:hAnsi="Cambria Math"/>
                <w:lang w:val="pt-BR"/>
              </w:rPr>
              <m:t>C</m:t>
            </m:r>
          </m:e>
          <m:sub>
            <m:r>
              <w:rPr>
                <w:rFonts w:ascii="Cambria Math" w:eastAsiaTheme="minorEastAsia" w:hAnsi="Cambria Math"/>
                <w:lang w:val="pt-BR"/>
              </w:rPr>
              <m:t>A</m:t>
            </m:r>
          </m:sub>
        </m:sSub>
      </m:oMath>
      <w:r w:rsidRPr="00052599">
        <w:rPr>
          <w:rFonts w:eastAsiaTheme="minorEastAsia"/>
        </w:rPr>
        <w:t xml:space="preserve">), C being the dimensionless </w:t>
      </w:r>
      <w:r w:rsidRPr="00052599">
        <w:rPr>
          <w:rFonts w:eastAsiaTheme="minorEastAsia"/>
        </w:rPr>
        <w:lastRenderedPageBreak/>
        <w:t>concentration variable for A (</w:t>
      </w:r>
      <m:oMath>
        <m:r>
          <w:rPr>
            <w:rFonts w:ascii="Cambria Math" w:eastAsiaTheme="minorEastAsia" w:hAnsi="Cambria Math"/>
            <w:lang w:val="pt-BR"/>
          </w:rPr>
          <m:t>C</m:t>
        </m:r>
        <m:r>
          <w:rPr>
            <w:rFonts w:ascii="Cambria Math" w:eastAsiaTheme="minorEastAsia" w:hAnsi="Cambria Math"/>
          </w:rPr>
          <m:t xml:space="preserve">= </m:t>
        </m:r>
        <m:f>
          <m:fPr>
            <m:type m:val="lin"/>
            <m:ctrlPr>
              <w:rPr>
                <w:rFonts w:ascii="Cambria Math" w:eastAsiaTheme="minorEastAsia" w:hAnsi="Cambria Math"/>
                <w:i/>
                <w:lang w:val="pt-BR"/>
              </w:rPr>
            </m:ctrlPr>
          </m:fPr>
          <m:num>
            <m:sSub>
              <m:sSubPr>
                <m:ctrlPr>
                  <w:rPr>
                    <w:rFonts w:ascii="Cambria Math" w:eastAsiaTheme="minorEastAsia" w:hAnsi="Cambria Math"/>
                    <w:i/>
                    <w:lang w:val="pt-BR"/>
                  </w:rPr>
                </m:ctrlPr>
              </m:sSubPr>
              <m:e>
                <m:r>
                  <w:rPr>
                    <w:rFonts w:ascii="Cambria Math" w:eastAsiaTheme="minorEastAsia" w:hAnsi="Cambria Math"/>
                    <w:lang w:val="pt-BR"/>
                  </w:rPr>
                  <m:t>C</m:t>
                </m:r>
              </m:e>
              <m:sub>
                <m:r>
                  <w:rPr>
                    <w:rFonts w:ascii="Cambria Math" w:eastAsiaTheme="minorEastAsia" w:hAnsi="Cambria Math"/>
                    <w:lang w:val="pt-BR"/>
                  </w:rPr>
                  <m:t>A</m:t>
                </m:r>
              </m:sub>
            </m:sSub>
          </m:num>
          <m:den>
            <m:sSub>
              <m:sSubPr>
                <m:ctrlPr>
                  <w:rPr>
                    <w:rFonts w:ascii="Cambria Math" w:eastAsiaTheme="minorEastAsia" w:hAnsi="Cambria Math"/>
                    <w:i/>
                    <w:lang w:val="pt-BR"/>
                  </w:rPr>
                </m:ctrlPr>
              </m:sSubPr>
              <m:e>
                <m:r>
                  <w:rPr>
                    <w:rFonts w:ascii="Cambria Math" w:eastAsiaTheme="minorEastAsia" w:hAnsi="Cambria Math"/>
                    <w:lang w:val="pt-BR"/>
                  </w:rPr>
                  <m:t>C</m:t>
                </m:r>
              </m:e>
              <m:sub>
                <m:r>
                  <w:rPr>
                    <w:rFonts w:ascii="Cambria Math" w:eastAsiaTheme="minorEastAsia" w:hAnsi="Cambria Math"/>
                    <w:lang w:val="pt-BR"/>
                  </w:rPr>
                  <m:t>A</m:t>
                </m:r>
                <m:r>
                  <w:rPr>
                    <w:rFonts w:ascii="Cambria Math" w:eastAsiaTheme="minorEastAsia" w:hAnsi="Cambria Math"/>
                  </w:rPr>
                  <m:t xml:space="preserve"> max</m:t>
                </m:r>
              </m:sub>
            </m:sSub>
          </m:den>
        </m:f>
      </m:oMath>
      <w:r w:rsidRPr="00052599">
        <w:rPr>
          <w:rFonts w:eastAsiaTheme="minorEastAsia"/>
        </w:rPr>
        <w:t>; in where C</w:t>
      </w:r>
      <w:r w:rsidRPr="00052599">
        <w:rPr>
          <w:rFonts w:eastAsiaTheme="minorEastAsia"/>
          <w:vertAlign w:val="subscript"/>
        </w:rPr>
        <w:t>A</w:t>
      </w:r>
      <w:r>
        <w:rPr>
          <w:rFonts w:eastAsiaTheme="minorEastAsia"/>
          <w:vertAlign w:val="subscript"/>
        </w:rPr>
        <w:t xml:space="preserve"> </w:t>
      </w:r>
      <w:r w:rsidRPr="00052599">
        <w:rPr>
          <w:rFonts w:eastAsiaTheme="minorEastAsia"/>
          <w:vertAlign w:val="subscript"/>
        </w:rPr>
        <w:t>max</w:t>
      </w:r>
      <w:r w:rsidRPr="00052599">
        <w:rPr>
          <w:rFonts w:eastAsiaTheme="minorEastAsia"/>
        </w:rPr>
        <w:t xml:space="preserve"> is the A concentration at the outer particle surface), and </w:t>
      </w:r>
      <m:oMath>
        <m:r>
          <w:rPr>
            <w:rFonts w:ascii="Cambria Math" w:eastAsiaTheme="minorEastAsia" w:hAnsi="Cambria Math"/>
          </w:rPr>
          <m:t>λ</m:t>
        </m:r>
      </m:oMath>
      <w:r>
        <w:rPr>
          <w:rFonts w:eastAsiaTheme="minorEastAsia"/>
        </w:rPr>
        <w:t>,</w:t>
      </w:r>
      <w:r w:rsidRPr="00052599">
        <w:rPr>
          <w:rFonts w:eastAsiaTheme="minorEastAsia"/>
        </w:rPr>
        <w:t xml:space="preserve"> the dimensionless form of the radius (</w:t>
      </w:r>
      <m:oMath>
        <m:r>
          <w:rPr>
            <w:rFonts w:ascii="Cambria Math" w:eastAsiaTheme="minorEastAsia" w:hAnsi="Cambria Math"/>
          </w:rPr>
          <m:t xml:space="preserve">λ= </m:t>
        </m:r>
        <m:f>
          <m:fPr>
            <m:type m:val="lin"/>
            <m:ctrlPr>
              <w:rPr>
                <w:rFonts w:ascii="Cambria Math" w:eastAsiaTheme="minorEastAsia" w:hAnsi="Cambria Math"/>
                <w:i/>
                <w:lang w:val="pt-BR"/>
              </w:rPr>
            </m:ctrlPr>
          </m:fPr>
          <m:num>
            <m:r>
              <w:rPr>
                <w:rFonts w:ascii="Cambria Math" w:eastAsiaTheme="minorEastAsia" w:hAnsi="Cambria Math"/>
                <w:lang w:val="pt-BR"/>
              </w:rPr>
              <m:t>r</m:t>
            </m:r>
          </m:num>
          <m:den>
            <m:r>
              <w:rPr>
                <w:rFonts w:ascii="Cambria Math" w:eastAsiaTheme="minorEastAsia" w:hAnsi="Cambria Math"/>
                <w:lang w:val="pt-BR"/>
              </w:rPr>
              <m:t>R</m:t>
            </m:r>
          </m:den>
        </m:f>
      </m:oMath>
      <w:r w:rsidRPr="00052599">
        <w:rPr>
          <w:rFonts w:eastAsiaTheme="minorEastAsia"/>
        </w:rPr>
        <w:t>)</w:t>
      </w:r>
      <w:r>
        <w:rPr>
          <w:rFonts w:eastAsiaTheme="minorEastAsia"/>
        </w:rPr>
        <w:t>,</w:t>
      </w:r>
      <w:r w:rsidRPr="00052599">
        <w:rPr>
          <w:rFonts w:eastAsiaTheme="minorEastAsia"/>
        </w:rPr>
        <w:t xml:space="preserve"> the equation can now </w:t>
      </w:r>
      <w:r>
        <w:rPr>
          <w:rFonts w:eastAsiaTheme="minorEastAsia"/>
        </w:rPr>
        <w:t xml:space="preserve">be </w:t>
      </w:r>
      <w:r w:rsidRPr="00052599">
        <w:rPr>
          <w:rFonts w:eastAsiaTheme="minorEastAsia"/>
        </w:rPr>
        <w:t xml:space="preserve">resolved </w:t>
      </w:r>
      <w:r>
        <w:rPr>
          <w:rFonts w:eastAsiaTheme="minorEastAsia"/>
        </w:rPr>
        <w:t>as follows</w:t>
      </w:r>
      <w:r w:rsidRPr="00052599">
        <w:rPr>
          <w:rFonts w:eastAsiaTheme="minorEastAsia"/>
        </w:rPr>
        <w:t>:</w:t>
      </w:r>
    </w:p>
    <w:p w14:paraId="4EF4C742" w14:textId="77777777" w:rsidR="00A35A08" w:rsidRPr="00052599" w:rsidRDefault="00000000" w:rsidP="00041564">
      <w:pPr>
        <w:spacing w:line="480" w:lineRule="auto"/>
        <w:ind w:firstLine="360"/>
        <w:jc w:val="both"/>
        <w:rPr>
          <w:rFonts w:eastAsiaTheme="minorEastAsia"/>
          <w:lang w:val="pt-BR"/>
        </w:rPr>
      </w:pPr>
      <m:oMathPara>
        <m:oMath>
          <m:f>
            <m:fPr>
              <m:ctrlPr>
                <w:rPr>
                  <w:rFonts w:ascii="Cambria Math" w:eastAsiaTheme="minorEastAsia" w:hAnsi="Cambria Math"/>
                  <w:i/>
                  <w:lang w:val="pt-BR"/>
                </w:rPr>
              </m:ctrlPr>
            </m:fPr>
            <m:num>
              <m:sSup>
                <m:sSupPr>
                  <m:ctrlPr>
                    <w:rPr>
                      <w:rFonts w:ascii="Cambria Math" w:eastAsiaTheme="minorEastAsia" w:hAnsi="Cambria Math"/>
                      <w:i/>
                      <w:lang w:val="pt-BR"/>
                    </w:rPr>
                  </m:ctrlPr>
                </m:sSupPr>
                <m:e>
                  <m:r>
                    <w:rPr>
                      <w:rFonts w:ascii="Cambria Math" w:eastAsiaTheme="minorEastAsia" w:hAnsi="Cambria Math"/>
                      <w:lang w:val="pt-BR"/>
                    </w:rPr>
                    <m:t>d</m:t>
                  </m:r>
                </m:e>
                <m:sup>
                  <m:r>
                    <w:rPr>
                      <w:rFonts w:ascii="Cambria Math" w:eastAsiaTheme="minorEastAsia" w:hAnsi="Cambria Math"/>
                      <w:lang w:val="pt-BR"/>
                    </w:rPr>
                    <m:t>2</m:t>
                  </m:r>
                </m:sup>
              </m:sSup>
              <m:d>
                <m:dPr>
                  <m:ctrlPr>
                    <w:rPr>
                      <w:rFonts w:ascii="Cambria Math" w:eastAsiaTheme="minorEastAsia" w:hAnsi="Cambria Math"/>
                      <w:i/>
                      <w:lang w:val="pt-BR"/>
                    </w:rPr>
                  </m:ctrlPr>
                </m:dPr>
                <m:e>
                  <m:sSub>
                    <m:sSubPr>
                      <m:ctrlPr>
                        <w:rPr>
                          <w:rFonts w:ascii="Cambria Math" w:eastAsiaTheme="minorEastAsia" w:hAnsi="Cambria Math"/>
                          <w:i/>
                          <w:lang w:val="pt-BR"/>
                        </w:rPr>
                      </m:ctrlPr>
                    </m:sSubPr>
                    <m:e>
                      <m:r>
                        <w:rPr>
                          <w:rFonts w:ascii="Cambria Math" w:eastAsiaTheme="minorEastAsia" w:hAnsi="Cambria Math"/>
                          <w:lang w:val="pt-BR"/>
                        </w:rPr>
                        <m:t>CC</m:t>
                      </m:r>
                    </m:e>
                    <m:sub>
                      <m:r>
                        <w:rPr>
                          <w:rFonts w:ascii="Cambria Math" w:eastAsiaTheme="minorEastAsia" w:hAnsi="Cambria Math"/>
                          <w:lang w:val="pt-BR"/>
                        </w:rPr>
                        <m:t>A max</m:t>
                      </m:r>
                    </m:sub>
                  </m:sSub>
                </m:e>
              </m:d>
            </m:num>
            <m:den>
              <m:sSup>
                <m:sSupPr>
                  <m:ctrlPr>
                    <w:rPr>
                      <w:rFonts w:ascii="Cambria Math" w:eastAsiaTheme="minorEastAsia" w:hAnsi="Cambria Math"/>
                      <w:i/>
                      <w:lang w:val="pt-BR"/>
                    </w:rPr>
                  </m:ctrlPr>
                </m:sSupPr>
                <m:e>
                  <m:r>
                    <w:rPr>
                      <w:rFonts w:ascii="Cambria Math" w:eastAsiaTheme="minorEastAsia" w:hAnsi="Cambria Math"/>
                      <w:lang w:val="pt-BR"/>
                    </w:rPr>
                    <m:t>d</m:t>
                  </m:r>
                  <m:d>
                    <m:dPr>
                      <m:ctrlPr>
                        <w:rPr>
                          <w:rFonts w:ascii="Cambria Math" w:eastAsiaTheme="minorEastAsia" w:hAnsi="Cambria Math"/>
                          <w:i/>
                          <w:lang w:val="pt-BR"/>
                        </w:rPr>
                      </m:ctrlPr>
                    </m:dPr>
                    <m:e>
                      <m:r>
                        <w:rPr>
                          <w:rFonts w:ascii="Cambria Math" w:eastAsiaTheme="minorEastAsia" w:hAnsi="Cambria Math"/>
                          <w:lang w:val="pt-BR"/>
                        </w:rPr>
                        <m:t>λR</m:t>
                      </m:r>
                    </m:e>
                  </m:d>
                </m:e>
                <m:sup>
                  <m:r>
                    <w:rPr>
                      <w:rFonts w:ascii="Cambria Math" w:eastAsiaTheme="minorEastAsia" w:hAnsi="Cambria Math"/>
                      <w:lang w:val="pt-BR"/>
                    </w:rPr>
                    <m:t>2</m:t>
                  </m:r>
                </m:sup>
              </m:sSup>
            </m:den>
          </m:f>
          <m:r>
            <w:rPr>
              <w:rFonts w:ascii="Cambria Math" w:eastAsiaTheme="minorEastAsia" w:hAnsi="Cambria Math"/>
              <w:lang w:val="pt-BR"/>
            </w:rPr>
            <m:t>+</m:t>
          </m:r>
          <m:f>
            <m:fPr>
              <m:ctrlPr>
                <w:rPr>
                  <w:rFonts w:ascii="Cambria Math" w:eastAsiaTheme="minorEastAsia" w:hAnsi="Cambria Math"/>
                  <w:i/>
                  <w:lang w:val="pt-BR"/>
                </w:rPr>
              </m:ctrlPr>
            </m:fPr>
            <m:num>
              <m:r>
                <w:rPr>
                  <w:rFonts w:ascii="Cambria Math" w:eastAsiaTheme="minorEastAsia" w:hAnsi="Cambria Math"/>
                  <w:lang w:val="pt-BR"/>
                </w:rPr>
                <m:t>2</m:t>
              </m:r>
            </m:num>
            <m:den>
              <m:d>
                <m:dPr>
                  <m:ctrlPr>
                    <w:rPr>
                      <w:rFonts w:ascii="Cambria Math" w:eastAsiaTheme="minorEastAsia" w:hAnsi="Cambria Math"/>
                      <w:i/>
                      <w:lang w:val="pt-BR"/>
                    </w:rPr>
                  </m:ctrlPr>
                </m:dPr>
                <m:e>
                  <m:r>
                    <w:rPr>
                      <w:rFonts w:ascii="Cambria Math" w:eastAsiaTheme="minorEastAsia" w:hAnsi="Cambria Math"/>
                      <w:lang w:val="pt-BR"/>
                    </w:rPr>
                    <m:t>λR</m:t>
                  </m:r>
                </m:e>
              </m:d>
            </m:den>
          </m:f>
          <m:f>
            <m:fPr>
              <m:ctrlPr>
                <w:rPr>
                  <w:rFonts w:ascii="Cambria Math" w:eastAsiaTheme="minorEastAsia" w:hAnsi="Cambria Math"/>
                  <w:i/>
                  <w:lang w:val="pt-BR"/>
                </w:rPr>
              </m:ctrlPr>
            </m:fPr>
            <m:num>
              <m:r>
                <w:rPr>
                  <w:rFonts w:ascii="Cambria Math" w:eastAsiaTheme="minorEastAsia" w:hAnsi="Cambria Math"/>
                  <w:lang w:val="pt-BR"/>
                </w:rPr>
                <m:t>d</m:t>
              </m:r>
              <m:d>
                <m:dPr>
                  <m:ctrlPr>
                    <w:rPr>
                      <w:rFonts w:ascii="Cambria Math" w:eastAsiaTheme="minorEastAsia" w:hAnsi="Cambria Math"/>
                      <w:i/>
                      <w:lang w:val="pt-BR"/>
                    </w:rPr>
                  </m:ctrlPr>
                </m:dPr>
                <m:e>
                  <m:sSub>
                    <m:sSubPr>
                      <m:ctrlPr>
                        <w:rPr>
                          <w:rFonts w:ascii="Cambria Math" w:eastAsiaTheme="minorEastAsia" w:hAnsi="Cambria Math"/>
                          <w:i/>
                          <w:lang w:val="pt-BR"/>
                        </w:rPr>
                      </m:ctrlPr>
                    </m:sSubPr>
                    <m:e>
                      <m:r>
                        <w:rPr>
                          <w:rFonts w:ascii="Cambria Math" w:eastAsiaTheme="minorEastAsia" w:hAnsi="Cambria Math"/>
                          <w:lang w:val="pt-BR"/>
                        </w:rPr>
                        <m:t>CC</m:t>
                      </m:r>
                    </m:e>
                    <m:sub>
                      <m:r>
                        <w:rPr>
                          <w:rFonts w:ascii="Cambria Math" w:eastAsiaTheme="minorEastAsia" w:hAnsi="Cambria Math"/>
                          <w:lang w:val="pt-BR"/>
                        </w:rPr>
                        <m:t>A max</m:t>
                      </m:r>
                    </m:sub>
                  </m:sSub>
                </m:e>
              </m:d>
            </m:num>
            <m:den>
              <m:r>
                <w:rPr>
                  <w:rFonts w:ascii="Cambria Math" w:eastAsiaTheme="minorEastAsia" w:hAnsi="Cambria Math"/>
                  <w:lang w:val="pt-BR"/>
                </w:rPr>
                <m:t>d</m:t>
              </m:r>
              <m:d>
                <m:dPr>
                  <m:ctrlPr>
                    <w:rPr>
                      <w:rFonts w:ascii="Cambria Math" w:eastAsiaTheme="minorEastAsia" w:hAnsi="Cambria Math"/>
                      <w:i/>
                      <w:lang w:val="pt-BR"/>
                    </w:rPr>
                  </m:ctrlPr>
                </m:dPr>
                <m:e>
                  <m:r>
                    <w:rPr>
                      <w:rFonts w:ascii="Cambria Math" w:eastAsiaTheme="minorEastAsia" w:hAnsi="Cambria Math"/>
                      <w:lang w:val="pt-BR"/>
                    </w:rPr>
                    <m:t>λR</m:t>
                  </m:r>
                </m:e>
              </m:d>
            </m:den>
          </m:f>
          <m:r>
            <w:rPr>
              <w:rFonts w:ascii="Cambria Math" w:eastAsiaTheme="minorEastAsia" w:hAnsi="Cambria Math"/>
              <w:lang w:val="pt-BR"/>
            </w:rPr>
            <m:t>+</m:t>
          </m:r>
          <m:f>
            <m:fPr>
              <m:ctrlPr>
                <w:rPr>
                  <w:rFonts w:ascii="Cambria Math" w:eastAsiaTheme="minorEastAsia" w:hAnsi="Cambria Math"/>
                  <w:i/>
                  <w:lang w:val="pt-BR"/>
                </w:rPr>
              </m:ctrlPr>
            </m:fPr>
            <m:num>
              <m:r>
                <w:rPr>
                  <w:rFonts w:ascii="Cambria Math" w:eastAsiaTheme="minorEastAsia" w:hAnsi="Cambria Math"/>
                  <w:lang w:val="pt-BR"/>
                </w:rPr>
                <m:t>k</m:t>
              </m:r>
              <m:d>
                <m:dPr>
                  <m:ctrlPr>
                    <w:rPr>
                      <w:rFonts w:ascii="Cambria Math" w:eastAsiaTheme="minorEastAsia" w:hAnsi="Cambria Math"/>
                      <w:i/>
                      <w:lang w:val="pt-BR"/>
                    </w:rPr>
                  </m:ctrlPr>
                </m:dPr>
                <m:e>
                  <m:sSub>
                    <m:sSubPr>
                      <m:ctrlPr>
                        <w:rPr>
                          <w:rFonts w:ascii="Cambria Math" w:eastAsiaTheme="minorEastAsia" w:hAnsi="Cambria Math"/>
                          <w:i/>
                          <w:lang w:val="pt-BR"/>
                        </w:rPr>
                      </m:ctrlPr>
                    </m:sSubPr>
                    <m:e>
                      <m:r>
                        <w:rPr>
                          <w:rFonts w:ascii="Cambria Math" w:eastAsiaTheme="minorEastAsia" w:hAnsi="Cambria Math"/>
                          <w:lang w:val="pt-BR"/>
                        </w:rPr>
                        <m:t>CC</m:t>
                      </m:r>
                    </m:e>
                    <m:sub>
                      <m:r>
                        <w:rPr>
                          <w:rFonts w:ascii="Cambria Math" w:eastAsiaTheme="minorEastAsia" w:hAnsi="Cambria Math"/>
                          <w:lang w:val="pt-BR"/>
                        </w:rPr>
                        <m:t>A max</m:t>
                      </m:r>
                    </m:sub>
                  </m:sSub>
                </m:e>
              </m:d>
            </m:num>
            <m:den>
              <m:sSub>
                <m:sSubPr>
                  <m:ctrlPr>
                    <w:rPr>
                      <w:rFonts w:ascii="Cambria Math" w:eastAsiaTheme="minorEastAsia" w:hAnsi="Cambria Math"/>
                      <w:i/>
                      <w:lang w:val="pt-BR"/>
                    </w:rPr>
                  </m:ctrlPr>
                </m:sSubPr>
                <m:e>
                  <m:r>
                    <m:rPr>
                      <m:scr m:val="script"/>
                    </m:rPr>
                    <w:rPr>
                      <w:rFonts w:ascii="Cambria Math" w:eastAsiaTheme="minorEastAsia" w:hAnsi="Cambria Math"/>
                      <w:lang w:val="pt-BR"/>
                    </w:rPr>
                    <m:t>D</m:t>
                  </m:r>
                </m:e>
                <m:sub>
                  <m:r>
                    <w:rPr>
                      <w:rFonts w:ascii="Cambria Math" w:eastAsiaTheme="minorEastAsia" w:hAnsi="Cambria Math"/>
                      <w:lang w:val="pt-BR"/>
                    </w:rPr>
                    <m:t>e</m:t>
                  </m:r>
                </m:sub>
              </m:sSub>
            </m:den>
          </m:f>
          <m:r>
            <w:rPr>
              <w:rFonts w:ascii="Cambria Math" w:eastAsiaTheme="minorEastAsia" w:hAnsi="Cambria Math"/>
              <w:lang w:val="pt-BR"/>
            </w:rPr>
            <m:t>=0</m:t>
          </m:r>
        </m:oMath>
      </m:oMathPara>
    </w:p>
    <w:p w14:paraId="1F8D01ED" w14:textId="77777777" w:rsidR="00A35A08" w:rsidRPr="00052599" w:rsidRDefault="00000000" w:rsidP="00041564">
      <w:pPr>
        <w:spacing w:line="480" w:lineRule="auto"/>
        <w:ind w:firstLine="360"/>
        <w:jc w:val="both"/>
        <w:rPr>
          <w:rFonts w:eastAsiaTheme="minorEastAsia"/>
          <w:lang w:val="pt-BR"/>
        </w:rPr>
      </w:pPr>
      <m:oMathPara>
        <m:oMath>
          <m:f>
            <m:fPr>
              <m:ctrlPr>
                <w:rPr>
                  <w:rFonts w:ascii="Cambria Math" w:eastAsiaTheme="minorEastAsia" w:hAnsi="Cambria Math"/>
                  <w:i/>
                  <w:lang w:val="pt-BR"/>
                </w:rPr>
              </m:ctrlPr>
            </m:fPr>
            <m:num>
              <m:sSub>
                <m:sSubPr>
                  <m:ctrlPr>
                    <w:rPr>
                      <w:rFonts w:ascii="Cambria Math" w:eastAsiaTheme="minorEastAsia" w:hAnsi="Cambria Math"/>
                      <w:i/>
                      <w:lang w:val="pt-BR"/>
                    </w:rPr>
                  </m:ctrlPr>
                </m:sSubPr>
                <m:e>
                  <m:r>
                    <w:rPr>
                      <w:rFonts w:ascii="Cambria Math" w:eastAsiaTheme="minorEastAsia" w:hAnsi="Cambria Math"/>
                      <w:lang w:val="pt-BR"/>
                    </w:rPr>
                    <m:t>C</m:t>
                  </m:r>
                </m:e>
                <m:sub>
                  <m:r>
                    <w:rPr>
                      <w:rFonts w:ascii="Cambria Math" w:eastAsiaTheme="minorEastAsia" w:hAnsi="Cambria Math"/>
                      <w:lang w:val="pt-BR"/>
                    </w:rPr>
                    <m:t>A max</m:t>
                  </m:r>
                </m:sub>
              </m:sSub>
            </m:num>
            <m:den>
              <m:sSup>
                <m:sSupPr>
                  <m:ctrlPr>
                    <w:rPr>
                      <w:rFonts w:ascii="Cambria Math" w:eastAsiaTheme="minorEastAsia" w:hAnsi="Cambria Math"/>
                      <w:i/>
                      <w:lang w:val="pt-BR"/>
                    </w:rPr>
                  </m:ctrlPr>
                </m:sSupPr>
                <m:e>
                  <m:r>
                    <w:rPr>
                      <w:rFonts w:ascii="Cambria Math" w:eastAsiaTheme="minorEastAsia" w:hAnsi="Cambria Math"/>
                      <w:lang w:val="pt-BR"/>
                    </w:rPr>
                    <m:t>R</m:t>
                  </m:r>
                </m:e>
                <m:sup>
                  <m:r>
                    <w:rPr>
                      <w:rFonts w:ascii="Cambria Math" w:eastAsiaTheme="minorEastAsia" w:hAnsi="Cambria Math"/>
                      <w:lang w:val="pt-BR"/>
                    </w:rPr>
                    <m:t>2</m:t>
                  </m:r>
                </m:sup>
              </m:sSup>
            </m:den>
          </m:f>
          <m:f>
            <m:fPr>
              <m:ctrlPr>
                <w:rPr>
                  <w:rFonts w:ascii="Cambria Math" w:eastAsiaTheme="minorEastAsia" w:hAnsi="Cambria Math"/>
                  <w:i/>
                  <w:lang w:val="pt-BR"/>
                </w:rPr>
              </m:ctrlPr>
            </m:fPr>
            <m:num>
              <m:sSup>
                <m:sSupPr>
                  <m:ctrlPr>
                    <w:rPr>
                      <w:rFonts w:ascii="Cambria Math" w:eastAsiaTheme="minorEastAsia" w:hAnsi="Cambria Math"/>
                      <w:i/>
                      <w:lang w:val="pt-BR"/>
                    </w:rPr>
                  </m:ctrlPr>
                </m:sSupPr>
                <m:e>
                  <m:r>
                    <w:rPr>
                      <w:rFonts w:ascii="Cambria Math" w:eastAsiaTheme="minorEastAsia" w:hAnsi="Cambria Math"/>
                      <w:lang w:val="pt-BR"/>
                    </w:rPr>
                    <m:t>d</m:t>
                  </m:r>
                </m:e>
                <m:sup>
                  <m:r>
                    <w:rPr>
                      <w:rFonts w:ascii="Cambria Math" w:eastAsiaTheme="minorEastAsia" w:hAnsi="Cambria Math"/>
                      <w:lang w:val="pt-BR"/>
                    </w:rPr>
                    <m:t>2</m:t>
                  </m:r>
                </m:sup>
              </m:sSup>
              <m:r>
                <w:rPr>
                  <w:rFonts w:ascii="Cambria Math" w:eastAsiaTheme="minorEastAsia" w:hAnsi="Cambria Math"/>
                  <w:lang w:val="pt-BR"/>
                </w:rPr>
                <m:t>C</m:t>
              </m:r>
            </m:num>
            <m:den>
              <m:sSup>
                <m:sSupPr>
                  <m:ctrlPr>
                    <w:rPr>
                      <w:rFonts w:ascii="Cambria Math" w:eastAsiaTheme="minorEastAsia" w:hAnsi="Cambria Math"/>
                      <w:i/>
                      <w:lang w:val="pt-BR"/>
                    </w:rPr>
                  </m:ctrlPr>
                </m:sSupPr>
                <m:e>
                  <m:r>
                    <w:rPr>
                      <w:rFonts w:ascii="Cambria Math" w:eastAsiaTheme="minorEastAsia" w:hAnsi="Cambria Math"/>
                      <w:lang w:val="pt-BR"/>
                    </w:rPr>
                    <m:t>dλ</m:t>
                  </m:r>
                </m:e>
                <m:sup>
                  <m:r>
                    <w:rPr>
                      <w:rFonts w:ascii="Cambria Math" w:eastAsiaTheme="minorEastAsia" w:hAnsi="Cambria Math"/>
                      <w:lang w:val="pt-BR"/>
                    </w:rPr>
                    <m:t>2</m:t>
                  </m:r>
                </m:sup>
              </m:sSup>
            </m:den>
          </m:f>
          <m:r>
            <w:rPr>
              <w:rFonts w:ascii="Cambria Math" w:eastAsiaTheme="minorEastAsia" w:hAnsi="Cambria Math"/>
              <w:lang w:val="pt-BR"/>
            </w:rPr>
            <m:t>+</m:t>
          </m:r>
          <m:f>
            <m:fPr>
              <m:ctrlPr>
                <w:rPr>
                  <w:rFonts w:ascii="Cambria Math" w:eastAsiaTheme="minorEastAsia" w:hAnsi="Cambria Math"/>
                  <w:i/>
                  <w:lang w:val="pt-BR"/>
                </w:rPr>
              </m:ctrlPr>
            </m:fPr>
            <m:num>
              <m:r>
                <w:rPr>
                  <w:rFonts w:ascii="Cambria Math" w:eastAsiaTheme="minorEastAsia" w:hAnsi="Cambria Math"/>
                  <w:lang w:val="pt-BR"/>
                </w:rPr>
                <m:t>2</m:t>
              </m:r>
              <m:sSub>
                <m:sSubPr>
                  <m:ctrlPr>
                    <w:rPr>
                      <w:rFonts w:ascii="Cambria Math" w:eastAsiaTheme="minorEastAsia" w:hAnsi="Cambria Math"/>
                      <w:i/>
                      <w:lang w:val="pt-BR"/>
                    </w:rPr>
                  </m:ctrlPr>
                </m:sSubPr>
                <m:e>
                  <m:r>
                    <w:rPr>
                      <w:rFonts w:ascii="Cambria Math" w:eastAsiaTheme="minorEastAsia" w:hAnsi="Cambria Math"/>
                      <w:lang w:val="pt-BR"/>
                    </w:rPr>
                    <m:t>C</m:t>
                  </m:r>
                </m:e>
                <m:sub>
                  <m:r>
                    <w:rPr>
                      <w:rFonts w:ascii="Cambria Math" w:eastAsiaTheme="minorEastAsia" w:hAnsi="Cambria Math"/>
                      <w:lang w:val="pt-BR"/>
                    </w:rPr>
                    <m:t>A max</m:t>
                  </m:r>
                </m:sub>
              </m:sSub>
            </m:num>
            <m:den>
              <m:d>
                <m:dPr>
                  <m:ctrlPr>
                    <w:rPr>
                      <w:rFonts w:ascii="Cambria Math" w:eastAsiaTheme="minorEastAsia" w:hAnsi="Cambria Math"/>
                      <w:i/>
                      <w:lang w:val="pt-BR"/>
                    </w:rPr>
                  </m:ctrlPr>
                </m:dPr>
                <m:e>
                  <m:r>
                    <w:rPr>
                      <w:rFonts w:ascii="Cambria Math" w:eastAsiaTheme="minorEastAsia" w:hAnsi="Cambria Math"/>
                      <w:lang w:val="pt-BR"/>
                    </w:rPr>
                    <m:t>λ</m:t>
                  </m:r>
                  <m:sSup>
                    <m:sSupPr>
                      <m:ctrlPr>
                        <w:rPr>
                          <w:rFonts w:ascii="Cambria Math" w:eastAsiaTheme="minorEastAsia" w:hAnsi="Cambria Math"/>
                          <w:i/>
                          <w:lang w:val="pt-BR"/>
                        </w:rPr>
                      </m:ctrlPr>
                    </m:sSupPr>
                    <m:e>
                      <m:r>
                        <w:rPr>
                          <w:rFonts w:ascii="Cambria Math" w:eastAsiaTheme="minorEastAsia" w:hAnsi="Cambria Math"/>
                          <w:lang w:val="pt-BR"/>
                        </w:rPr>
                        <m:t>R</m:t>
                      </m:r>
                    </m:e>
                    <m:sup>
                      <m:r>
                        <w:rPr>
                          <w:rFonts w:ascii="Cambria Math" w:eastAsiaTheme="minorEastAsia" w:hAnsi="Cambria Math"/>
                          <w:lang w:val="pt-BR"/>
                        </w:rPr>
                        <m:t>2</m:t>
                      </m:r>
                    </m:sup>
                  </m:sSup>
                </m:e>
              </m:d>
            </m:den>
          </m:f>
          <m:f>
            <m:fPr>
              <m:ctrlPr>
                <w:rPr>
                  <w:rFonts w:ascii="Cambria Math" w:eastAsiaTheme="minorEastAsia" w:hAnsi="Cambria Math"/>
                  <w:i/>
                  <w:lang w:val="pt-BR"/>
                </w:rPr>
              </m:ctrlPr>
            </m:fPr>
            <m:num>
              <m:r>
                <w:rPr>
                  <w:rFonts w:ascii="Cambria Math" w:eastAsiaTheme="minorEastAsia" w:hAnsi="Cambria Math"/>
                  <w:lang w:val="pt-BR"/>
                </w:rPr>
                <m:t>dC</m:t>
              </m:r>
            </m:num>
            <m:den>
              <m:r>
                <w:rPr>
                  <w:rFonts w:ascii="Cambria Math" w:eastAsiaTheme="minorEastAsia" w:hAnsi="Cambria Math"/>
                  <w:lang w:val="pt-BR"/>
                </w:rPr>
                <m:t>dλ</m:t>
              </m:r>
            </m:den>
          </m:f>
          <m:r>
            <w:rPr>
              <w:rFonts w:ascii="Cambria Math" w:eastAsiaTheme="minorEastAsia" w:hAnsi="Cambria Math"/>
              <w:lang w:val="pt-BR"/>
            </w:rPr>
            <m:t>+</m:t>
          </m:r>
          <m:f>
            <m:fPr>
              <m:ctrlPr>
                <w:rPr>
                  <w:rFonts w:ascii="Cambria Math" w:eastAsiaTheme="minorEastAsia" w:hAnsi="Cambria Math"/>
                  <w:i/>
                  <w:lang w:val="pt-BR"/>
                </w:rPr>
              </m:ctrlPr>
            </m:fPr>
            <m:num>
              <m:sSub>
                <m:sSubPr>
                  <m:ctrlPr>
                    <w:rPr>
                      <w:rFonts w:ascii="Cambria Math" w:eastAsiaTheme="minorEastAsia" w:hAnsi="Cambria Math"/>
                      <w:i/>
                      <w:lang w:val="pt-BR"/>
                    </w:rPr>
                  </m:ctrlPr>
                </m:sSubPr>
                <m:e>
                  <m:r>
                    <w:rPr>
                      <w:rFonts w:ascii="Cambria Math" w:eastAsiaTheme="minorEastAsia" w:hAnsi="Cambria Math"/>
                      <w:lang w:val="pt-BR"/>
                    </w:rPr>
                    <m:t>C</m:t>
                  </m:r>
                </m:e>
                <m:sub>
                  <m:r>
                    <w:rPr>
                      <w:rFonts w:ascii="Cambria Math" w:eastAsiaTheme="minorEastAsia" w:hAnsi="Cambria Math"/>
                      <w:lang w:val="pt-BR"/>
                    </w:rPr>
                    <m:t>A max</m:t>
                  </m:r>
                </m:sub>
              </m:sSub>
              <m:r>
                <w:rPr>
                  <w:rFonts w:ascii="Cambria Math" w:eastAsiaTheme="minorEastAsia" w:hAnsi="Cambria Math"/>
                  <w:lang w:val="pt-BR"/>
                </w:rPr>
                <m:t>kC</m:t>
              </m:r>
            </m:num>
            <m:den>
              <m:sSub>
                <m:sSubPr>
                  <m:ctrlPr>
                    <w:rPr>
                      <w:rFonts w:ascii="Cambria Math" w:eastAsiaTheme="minorEastAsia" w:hAnsi="Cambria Math"/>
                      <w:i/>
                      <w:lang w:val="pt-BR"/>
                    </w:rPr>
                  </m:ctrlPr>
                </m:sSubPr>
                <m:e>
                  <m:r>
                    <m:rPr>
                      <m:scr m:val="script"/>
                    </m:rPr>
                    <w:rPr>
                      <w:rFonts w:ascii="Cambria Math" w:eastAsiaTheme="minorEastAsia" w:hAnsi="Cambria Math"/>
                      <w:lang w:val="pt-BR"/>
                    </w:rPr>
                    <m:t>D</m:t>
                  </m:r>
                </m:e>
                <m:sub>
                  <m:r>
                    <w:rPr>
                      <w:rFonts w:ascii="Cambria Math" w:eastAsiaTheme="minorEastAsia" w:hAnsi="Cambria Math"/>
                      <w:lang w:val="pt-BR"/>
                    </w:rPr>
                    <m:t>e</m:t>
                  </m:r>
                </m:sub>
              </m:sSub>
            </m:den>
          </m:f>
          <m:r>
            <w:rPr>
              <w:rFonts w:ascii="Cambria Math" w:eastAsiaTheme="minorEastAsia" w:hAnsi="Cambria Math"/>
              <w:lang w:val="pt-BR"/>
            </w:rPr>
            <m:t>=0</m:t>
          </m:r>
        </m:oMath>
      </m:oMathPara>
    </w:p>
    <w:p w14:paraId="7F8F977E" w14:textId="77777777" w:rsidR="00A35A08" w:rsidRPr="00052599" w:rsidRDefault="00000000" w:rsidP="00041564">
      <w:pPr>
        <w:spacing w:line="480" w:lineRule="auto"/>
        <w:ind w:firstLine="360"/>
        <w:jc w:val="both"/>
        <w:rPr>
          <w:rFonts w:eastAsiaTheme="minorEastAsia"/>
          <w:lang w:val="pt-BR"/>
        </w:rPr>
      </w:pPr>
      <m:oMathPara>
        <m:oMath>
          <m:f>
            <m:fPr>
              <m:ctrlPr>
                <w:rPr>
                  <w:rFonts w:ascii="Cambria Math" w:eastAsiaTheme="minorEastAsia" w:hAnsi="Cambria Math"/>
                  <w:i/>
                  <w:lang w:val="pt-BR"/>
                </w:rPr>
              </m:ctrlPr>
            </m:fPr>
            <m:num>
              <m:r>
                <w:rPr>
                  <w:rFonts w:ascii="Cambria Math" w:eastAsiaTheme="minorEastAsia" w:hAnsi="Cambria Math"/>
                  <w:lang w:val="pt-BR"/>
                </w:rPr>
                <m:t>1</m:t>
              </m:r>
            </m:num>
            <m:den>
              <m:sSup>
                <m:sSupPr>
                  <m:ctrlPr>
                    <w:rPr>
                      <w:rFonts w:ascii="Cambria Math" w:eastAsiaTheme="minorEastAsia" w:hAnsi="Cambria Math"/>
                      <w:i/>
                      <w:lang w:val="pt-BR"/>
                    </w:rPr>
                  </m:ctrlPr>
                </m:sSupPr>
                <m:e>
                  <m:r>
                    <w:rPr>
                      <w:rFonts w:ascii="Cambria Math" w:eastAsiaTheme="minorEastAsia" w:hAnsi="Cambria Math"/>
                      <w:lang w:val="pt-BR"/>
                    </w:rPr>
                    <m:t>R</m:t>
                  </m:r>
                </m:e>
                <m:sup>
                  <m:r>
                    <w:rPr>
                      <w:rFonts w:ascii="Cambria Math" w:eastAsiaTheme="minorEastAsia" w:hAnsi="Cambria Math"/>
                      <w:lang w:val="pt-BR"/>
                    </w:rPr>
                    <m:t>2</m:t>
                  </m:r>
                </m:sup>
              </m:sSup>
            </m:den>
          </m:f>
          <m:f>
            <m:fPr>
              <m:ctrlPr>
                <w:rPr>
                  <w:rFonts w:ascii="Cambria Math" w:eastAsiaTheme="minorEastAsia" w:hAnsi="Cambria Math"/>
                  <w:i/>
                  <w:lang w:val="pt-BR"/>
                </w:rPr>
              </m:ctrlPr>
            </m:fPr>
            <m:num>
              <m:sSup>
                <m:sSupPr>
                  <m:ctrlPr>
                    <w:rPr>
                      <w:rFonts w:ascii="Cambria Math" w:eastAsiaTheme="minorEastAsia" w:hAnsi="Cambria Math"/>
                      <w:i/>
                      <w:lang w:val="pt-BR"/>
                    </w:rPr>
                  </m:ctrlPr>
                </m:sSupPr>
                <m:e>
                  <m:r>
                    <w:rPr>
                      <w:rFonts w:ascii="Cambria Math" w:eastAsiaTheme="minorEastAsia" w:hAnsi="Cambria Math"/>
                      <w:lang w:val="pt-BR"/>
                    </w:rPr>
                    <m:t>d</m:t>
                  </m:r>
                </m:e>
                <m:sup>
                  <m:r>
                    <w:rPr>
                      <w:rFonts w:ascii="Cambria Math" w:eastAsiaTheme="minorEastAsia" w:hAnsi="Cambria Math"/>
                      <w:lang w:val="pt-BR"/>
                    </w:rPr>
                    <m:t>2</m:t>
                  </m:r>
                </m:sup>
              </m:sSup>
              <m:r>
                <w:rPr>
                  <w:rFonts w:ascii="Cambria Math" w:eastAsiaTheme="minorEastAsia" w:hAnsi="Cambria Math"/>
                  <w:lang w:val="pt-BR"/>
                </w:rPr>
                <m:t>C</m:t>
              </m:r>
            </m:num>
            <m:den>
              <m:sSup>
                <m:sSupPr>
                  <m:ctrlPr>
                    <w:rPr>
                      <w:rFonts w:ascii="Cambria Math" w:eastAsiaTheme="minorEastAsia" w:hAnsi="Cambria Math"/>
                      <w:i/>
                      <w:lang w:val="pt-BR"/>
                    </w:rPr>
                  </m:ctrlPr>
                </m:sSupPr>
                <m:e>
                  <m:r>
                    <w:rPr>
                      <w:rFonts w:ascii="Cambria Math" w:eastAsiaTheme="minorEastAsia" w:hAnsi="Cambria Math"/>
                      <w:lang w:val="pt-BR"/>
                    </w:rPr>
                    <m:t>dλ</m:t>
                  </m:r>
                </m:e>
                <m:sup>
                  <m:r>
                    <w:rPr>
                      <w:rFonts w:ascii="Cambria Math" w:eastAsiaTheme="minorEastAsia" w:hAnsi="Cambria Math"/>
                      <w:lang w:val="pt-BR"/>
                    </w:rPr>
                    <m:t>2</m:t>
                  </m:r>
                </m:sup>
              </m:sSup>
            </m:den>
          </m:f>
          <m:r>
            <w:rPr>
              <w:rFonts w:ascii="Cambria Math" w:eastAsiaTheme="minorEastAsia" w:hAnsi="Cambria Math"/>
              <w:lang w:val="pt-BR"/>
            </w:rPr>
            <m:t>+</m:t>
          </m:r>
          <m:f>
            <m:fPr>
              <m:ctrlPr>
                <w:rPr>
                  <w:rFonts w:ascii="Cambria Math" w:eastAsiaTheme="minorEastAsia" w:hAnsi="Cambria Math"/>
                  <w:i/>
                  <w:lang w:val="pt-BR"/>
                </w:rPr>
              </m:ctrlPr>
            </m:fPr>
            <m:num>
              <m:r>
                <w:rPr>
                  <w:rFonts w:ascii="Cambria Math" w:eastAsiaTheme="minorEastAsia" w:hAnsi="Cambria Math"/>
                  <w:lang w:val="pt-BR"/>
                </w:rPr>
                <m:t>2</m:t>
              </m:r>
            </m:num>
            <m:den>
              <m:d>
                <m:dPr>
                  <m:ctrlPr>
                    <w:rPr>
                      <w:rFonts w:ascii="Cambria Math" w:eastAsiaTheme="minorEastAsia" w:hAnsi="Cambria Math"/>
                      <w:i/>
                      <w:lang w:val="pt-BR"/>
                    </w:rPr>
                  </m:ctrlPr>
                </m:dPr>
                <m:e>
                  <m:r>
                    <w:rPr>
                      <w:rFonts w:ascii="Cambria Math" w:eastAsiaTheme="minorEastAsia" w:hAnsi="Cambria Math"/>
                      <w:lang w:val="pt-BR"/>
                    </w:rPr>
                    <m:t>λ</m:t>
                  </m:r>
                  <m:sSup>
                    <m:sSupPr>
                      <m:ctrlPr>
                        <w:rPr>
                          <w:rFonts w:ascii="Cambria Math" w:eastAsiaTheme="minorEastAsia" w:hAnsi="Cambria Math"/>
                          <w:i/>
                          <w:lang w:val="pt-BR"/>
                        </w:rPr>
                      </m:ctrlPr>
                    </m:sSupPr>
                    <m:e>
                      <m:r>
                        <w:rPr>
                          <w:rFonts w:ascii="Cambria Math" w:eastAsiaTheme="minorEastAsia" w:hAnsi="Cambria Math"/>
                          <w:lang w:val="pt-BR"/>
                        </w:rPr>
                        <m:t>R</m:t>
                      </m:r>
                    </m:e>
                    <m:sup>
                      <m:r>
                        <w:rPr>
                          <w:rFonts w:ascii="Cambria Math" w:eastAsiaTheme="minorEastAsia" w:hAnsi="Cambria Math"/>
                          <w:lang w:val="pt-BR"/>
                        </w:rPr>
                        <m:t>2</m:t>
                      </m:r>
                    </m:sup>
                  </m:sSup>
                </m:e>
              </m:d>
            </m:den>
          </m:f>
          <m:f>
            <m:fPr>
              <m:ctrlPr>
                <w:rPr>
                  <w:rFonts w:ascii="Cambria Math" w:eastAsiaTheme="minorEastAsia" w:hAnsi="Cambria Math"/>
                  <w:i/>
                  <w:lang w:val="pt-BR"/>
                </w:rPr>
              </m:ctrlPr>
            </m:fPr>
            <m:num>
              <m:r>
                <w:rPr>
                  <w:rFonts w:ascii="Cambria Math" w:eastAsiaTheme="minorEastAsia" w:hAnsi="Cambria Math"/>
                  <w:lang w:val="pt-BR"/>
                </w:rPr>
                <m:t>dC</m:t>
              </m:r>
            </m:num>
            <m:den>
              <m:r>
                <w:rPr>
                  <w:rFonts w:ascii="Cambria Math" w:eastAsiaTheme="minorEastAsia" w:hAnsi="Cambria Math"/>
                  <w:lang w:val="pt-BR"/>
                </w:rPr>
                <m:t>dλ</m:t>
              </m:r>
            </m:den>
          </m:f>
          <m:r>
            <w:rPr>
              <w:rFonts w:ascii="Cambria Math" w:eastAsiaTheme="minorEastAsia" w:hAnsi="Cambria Math"/>
              <w:lang w:val="pt-BR"/>
            </w:rPr>
            <m:t>+</m:t>
          </m:r>
          <m:f>
            <m:fPr>
              <m:ctrlPr>
                <w:rPr>
                  <w:rFonts w:ascii="Cambria Math" w:eastAsiaTheme="minorEastAsia" w:hAnsi="Cambria Math"/>
                  <w:i/>
                  <w:lang w:val="pt-BR"/>
                </w:rPr>
              </m:ctrlPr>
            </m:fPr>
            <m:num>
              <m:r>
                <w:rPr>
                  <w:rFonts w:ascii="Cambria Math" w:eastAsiaTheme="minorEastAsia" w:hAnsi="Cambria Math"/>
                  <w:lang w:val="pt-BR"/>
                </w:rPr>
                <m:t>kC</m:t>
              </m:r>
            </m:num>
            <m:den>
              <m:sSub>
                <m:sSubPr>
                  <m:ctrlPr>
                    <w:rPr>
                      <w:rFonts w:ascii="Cambria Math" w:eastAsiaTheme="minorEastAsia" w:hAnsi="Cambria Math"/>
                      <w:i/>
                      <w:lang w:val="pt-BR"/>
                    </w:rPr>
                  </m:ctrlPr>
                </m:sSubPr>
                <m:e>
                  <m:r>
                    <m:rPr>
                      <m:scr m:val="script"/>
                    </m:rPr>
                    <w:rPr>
                      <w:rFonts w:ascii="Cambria Math" w:eastAsiaTheme="minorEastAsia" w:hAnsi="Cambria Math"/>
                      <w:lang w:val="pt-BR"/>
                    </w:rPr>
                    <m:t>D</m:t>
                  </m:r>
                </m:e>
                <m:sub>
                  <m:r>
                    <w:rPr>
                      <w:rFonts w:ascii="Cambria Math" w:eastAsiaTheme="minorEastAsia" w:hAnsi="Cambria Math"/>
                      <w:lang w:val="pt-BR"/>
                    </w:rPr>
                    <m:t>e</m:t>
                  </m:r>
                </m:sub>
              </m:sSub>
            </m:den>
          </m:f>
          <m:r>
            <w:rPr>
              <w:rFonts w:ascii="Cambria Math" w:eastAsiaTheme="minorEastAsia" w:hAnsi="Cambria Math"/>
              <w:lang w:val="pt-BR"/>
            </w:rPr>
            <m:t>=0</m:t>
          </m:r>
        </m:oMath>
      </m:oMathPara>
    </w:p>
    <w:p w14:paraId="42B3B808" w14:textId="77777777" w:rsidR="00A35A08" w:rsidRPr="00052599" w:rsidRDefault="00A35A08" w:rsidP="00041564">
      <w:pPr>
        <w:spacing w:line="480" w:lineRule="auto"/>
        <w:ind w:firstLine="720"/>
        <w:jc w:val="both"/>
        <w:rPr>
          <w:rFonts w:eastAsiaTheme="minorEastAsia"/>
        </w:rPr>
      </w:pPr>
      <w:r w:rsidRPr="00052599">
        <w:rPr>
          <w:rFonts w:eastAsiaTheme="minorEastAsia"/>
        </w:rPr>
        <w:t xml:space="preserve">And in order to become a first order differential equation, </w:t>
      </w:r>
      <m:oMath>
        <m:sSup>
          <m:sSupPr>
            <m:ctrlPr>
              <w:rPr>
                <w:rFonts w:ascii="Cambria Math" w:eastAsiaTheme="minorEastAsia" w:hAnsi="Cambria Math"/>
                <w:i/>
                <w:lang w:val="pt-BR"/>
              </w:rPr>
            </m:ctrlPr>
          </m:sSupPr>
          <m:e>
            <m:r>
              <w:rPr>
                <w:rFonts w:ascii="Cambria Math" w:eastAsiaTheme="minorEastAsia" w:hAnsi="Cambria Math"/>
                <w:lang w:val="pt-BR"/>
              </w:rPr>
              <m:t>C</m:t>
            </m:r>
          </m:e>
          <m:sup>
            <m:r>
              <w:rPr>
                <w:rFonts w:ascii="Cambria Math" w:eastAsiaTheme="minorEastAsia" w:hAnsi="Cambria Math"/>
              </w:rPr>
              <m:t>'</m:t>
            </m:r>
          </m:sup>
        </m:sSup>
      </m:oMath>
      <w:r w:rsidRPr="00052599">
        <w:rPr>
          <w:rFonts w:eastAsiaTheme="minorEastAsia"/>
        </w:rPr>
        <w:t xml:space="preserve"> is considered accordingly, which is the </w:t>
      </w:r>
      <w:r>
        <w:rPr>
          <w:rFonts w:eastAsiaTheme="minorEastAsia"/>
        </w:rPr>
        <w:t xml:space="preserve">dimensionless </w:t>
      </w:r>
      <w:r w:rsidRPr="00052599">
        <w:rPr>
          <w:rFonts w:eastAsiaTheme="minorEastAsia"/>
        </w:rPr>
        <w:t>concentration gradient of A:</w:t>
      </w:r>
    </w:p>
    <w:p w14:paraId="03A7DD1B" w14:textId="77777777" w:rsidR="00A35A08" w:rsidRPr="00052599" w:rsidRDefault="00000000" w:rsidP="00041564">
      <w:pPr>
        <w:spacing w:line="480" w:lineRule="auto"/>
        <w:jc w:val="both"/>
        <w:rPr>
          <w:rFonts w:eastAsiaTheme="minorEastAsia"/>
          <w:lang w:val="pt-BR"/>
        </w:rPr>
      </w:pPr>
      <m:oMathPara>
        <m:oMath>
          <m:sSup>
            <m:sSupPr>
              <m:ctrlPr>
                <w:rPr>
                  <w:rFonts w:ascii="Cambria Math" w:eastAsiaTheme="minorEastAsia" w:hAnsi="Cambria Math"/>
                  <w:i/>
                  <w:lang w:val="pt-BR"/>
                </w:rPr>
              </m:ctrlPr>
            </m:sSupPr>
            <m:e>
              <m:r>
                <w:rPr>
                  <w:rFonts w:ascii="Cambria Math" w:eastAsiaTheme="minorEastAsia" w:hAnsi="Cambria Math"/>
                  <w:lang w:val="pt-BR"/>
                </w:rPr>
                <m:t>C</m:t>
              </m:r>
            </m:e>
            <m:sup>
              <m:r>
                <w:rPr>
                  <w:rFonts w:ascii="Cambria Math" w:eastAsiaTheme="minorEastAsia" w:hAnsi="Cambria Math"/>
                  <w:lang w:val="pt-BR"/>
                </w:rPr>
                <m:t>'</m:t>
              </m:r>
            </m:sup>
          </m:sSup>
          <m:r>
            <w:rPr>
              <w:rFonts w:ascii="Cambria Math" w:eastAsiaTheme="minorEastAsia" w:hAnsi="Cambria Math"/>
              <w:lang w:val="pt-BR"/>
            </w:rPr>
            <m:t>=</m:t>
          </m:r>
          <m:f>
            <m:fPr>
              <m:ctrlPr>
                <w:rPr>
                  <w:rFonts w:ascii="Cambria Math" w:eastAsiaTheme="minorEastAsia" w:hAnsi="Cambria Math"/>
                  <w:i/>
                  <w:lang w:val="pt-BR"/>
                </w:rPr>
              </m:ctrlPr>
            </m:fPr>
            <m:num>
              <m:r>
                <w:rPr>
                  <w:rFonts w:ascii="Cambria Math" w:eastAsiaTheme="minorEastAsia" w:hAnsi="Cambria Math"/>
                  <w:lang w:val="pt-BR"/>
                </w:rPr>
                <m:t>dC</m:t>
              </m:r>
            </m:num>
            <m:den>
              <m:r>
                <w:rPr>
                  <w:rFonts w:ascii="Cambria Math" w:eastAsiaTheme="minorEastAsia" w:hAnsi="Cambria Math"/>
                  <w:lang w:val="pt-BR"/>
                </w:rPr>
                <m:t>dλ</m:t>
              </m:r>
            </m:den>
          </m:f>
        </m:oMath>
      </m:oMathPara>
    </w:p>
    <w:p w14:paraId="59DA1240" w14:textId="77777777" w:rsidR="00A35A08" w:rsidRPr="00052599" w:rsidRDefault="00A35A08" w:rsidP="00041564">
      <w:pPr>
        <w:spacing w:line="480" w:lineRule="auto"/>
        <w:jc w:val="both"/>
        <w:rPr>
          <w:rFonts w:eastAsiaTheme="minorEastAsia"/>
        </w:rPr>
      </w:pPr>
      <w:r w:rsidRPr="00052599">
        <w:rPr>
          <w:rFonts w:eastAsiaTheme="minorEastAsia"/>
        </w:rPr>
        <w:tab/>
        <w:t>The final dimensionless reaction-diffusion equation is:</w:t>
      </w:r>
    </w:p>
    <w:p w14:paraId="1DFAF8FE" w14:textId="77777777" w:rsidR="00A35A08" w:rsidRPr="00052599" w:rsidRDefault="00000000" w:rsidP="00041564">
      <w:pPr>
        <w:spacing w:line="480" w:lineRule="auto"/>
        <w:ind w:firstLine="360"/>
        <w:jc w:val="both"/>
        <w:rPr>
          <w:rFonts w:eastAsiaTheme="minorEastAsia"/>
        </w:rPr>
      </w:pPr>
      <m:oMathPara>
        <m:oMath>
          <m:f>
            <m:fPr>
              <m:ctrlPr>
                <w:rPr>
                  <w:rFonts w:ascii="Cambria Math" w:eastAsiaTheme="minorEastAsia" w:hAnsi="Cambria Math"/>
                  <w:i/>
                  <w:lang w:val="pt-BR"/>
                </w:rPr>
              </m:ctrlPr>
            </m:fPr>
            <m:num>
              <m:r>
                <w:rPr>
                  <w:rFonts w:ascii="Cambria Math" w:eastAsiaTheme="minorEastAsia" w:hAnsi="Cambria Math"/>
                  <w:lang w:val="pt-BR"/>
                </w:rPr>
                <m:t>d</m:t>
              </m:r>
              <m:sSup>
                <m:sSupPr>
                  <m:ctrlPr>
                    <w:rPr>
                      <w:rFonts w:ascii="Cambria Math" w:eastAsiaTheme="minorEastAsia" w:hAnsi="Cambria Math"/>
                      <w:i/>
                    </w:rPr>
                  </m:ctrlPr>
                </m:sSupPr>
                <m:e>
                  <m:r>
                    <w:rPr>
                      <w:rFonts w:ascii="Cambria Math" w:eastAsiaTheme="minorEastAsia" w:hAnsi="Cambria Math"/>
                      <w:lang w:val="pt-BR"/>
                    </w:rPr>
                    <m:t>C</m:t>
                  </m:r>
                  <m:ctrlPr>
                    <w:rPr>
                      <w:rFonts w:ascii="Cambria Math" w:eastAsiaTheme="minorEastAsia" w:hAnsi="Cambria Math"/>
                      <w:i/>
                      <w:lang w:val="pt-BR"/>
                    </w:rPr>
                  </m:ctrlPr>
                </m:e>
                <m:sup>
                  <m:r>
                    <w:rPr>
                      <w:rFonts w:ascii="Cambria Math" w:eastAsiaTheme="minorEastAsia" w:hAnsi="Cambria Math"/>
                    </w:rPr>
                    <m:t>'</m:t>
                  </m:r>
                </m:sup>
              </m:sSup>
            </m:num>
            <m:den>
              <m:r>
                <w:rPr>
                  <w:rFonts w:ascii="Cambria Math" w:eastAsiaTheme="minorEastAsia" w:hAnsi="Cambria Math"/>
                  <w:lang w:val="pt-BR"/>
                </w:rPr>
                <m:t>dλ</m:t>
              </m:r>
            </m:den>
          </m:f>
          <m:r>
            <w:rPr>
              <w:rFonts w:ascii="Cambria Math" w:eastAsiaTheme="minorEastAsia" w:hAnsi="Cambria Math"/>
            </w:rPr>
            <m:t>+</m:t>
          </m:r>
          <m:f>
            <m:fPr>
              <m:ctrlPr>
                <w:rPr>
                  <w:rFonts w:ascii="Cambria Math" w:eastAsiaTheme="minorEastAsia" w:hAnsi="Cambria Math"/>
                  <w:i/>
                  <w:lang w:val="pt-BR"/>
                </w:rPr>
              </m:ctrlPr>
            </m:fPr>
            <m:num>
              <m:r>
                <w:rPr>
                  <w:rFonts w:ascii="Cambria Math" w:eastAsiaTheme="minorEastAsia" w:hAnsi="Cambria Math"/>
                </w:rPr>
                <m:t>2</m:t>
              </m:r>
            </m:num>
            <m:den>
              <m:r>
                <w:rPr>
                  <w:rFonts w:ascii="Cambria Math" w:eastAsiaTheme="minorEastAsia" w:hAnsi="Cambria Math"/>
                  <w:lang w:val="pt-BR"/>
                </w:rPr>
                <m:t>λ</m:t>
              </m:r>
            </m:den>
          </m:f>
          <m:sSup>
            <m:sSupPr>
              <m:ctrlPr>
                <w:rPr>
                  <w:rFonts w:ascii="Cambria Math" w:eastAsiaTheme="minorEastAsia" w:hAnsi="Cambria Math"/>
                  <w:i/>
                </w:rPr>
              </m:ctrlPr>
            </m:sSupPr>
            <m:e>
              <m:r>
                <w:rPr>
                  <w:rFonts w:ascii="Cambria Math" w:eastAsiaTheme="minorEastAsia" w:hAnsi="Cambria Math"/>
                  <w:lang w:val="pt-BR"/>
                </w:rPr>
                <m:t>C</m:t>
              </m:r>
              <m:ctrlPr>
                <w:rPr>
                  <w:rFonts w:ascii="Cambria Math" w:eastAsiaTheme="minorEastAsia" w:hAnsi="Cambria Math"/>
                  <w:i/>
                  <w:lang w:val="pt-BR"/>
                </w:rPr>
              </m:ctrlP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lang w:val="pt-BR"/>
                </w:rPr>
              </m:ctrlPr>
            </m:fPr>
            <m:num>
              <m:r>
                <w:rPr>
                  <w:rFonts w:ascii="Cambria Math" w:eastAsiaTheme="minorEastAsia" w:hAnsi="Cambria Math"/>
                  <w:lang w:val="pt-BR"/>
                </w:rPr>
                <m:t>k</m:t>
              </m:r>
              <m:sSup>
                <m:sSupPr>
                  <m:ctrlPr>
                    <w:rPr>
                      <w:rFonts w:ascii="Cambria Math" w:eastAsiaTheme="minorEastAsia" w:hAnsi="Cambria Math"/>
                      <w:i/>
                      <w:lang w:val="pt-BR"/>
                    </w:rPr>
                  </m:ctrlPr>
                </m:sSupPr>
                <m:e>
                  <m:r>
                    <w:rPr>
                      <w:rFonts w:ascii="Cambria Math" w:eastAsiaTheme="minorEastAsia" w:hAnsi="Cambria Math"/>
                      <w:lang w:val="pt-BR"/>
                    </w:rPr>
                    <m:t>R</m:t>
                  </m:r>
                </m:e>
                <m:sup>
                  <m:r>
                    <w:rPr>
                      <w:rFonts w:ascii="Cambria Math" w:eastAsiaTheme="minorEastAsia" w:hAnsi="Cambria Math"/>
                    </w:rPr>
                    <m:t>2</m:t>
                  </m:r>
                </m:sup>
              </m:sSup>
            </m:num>
            <m:den>
              <m:sSub>
                <m:sSubPr>
                  <m:ctrlPr>
                    <w:rPr>
                      <w:rFonts w:ascii="Cambria Math" w:eastAsiaTheme="minorEastAsia" w:hAnsi="Cambria Math"/>
                      <w:i/>
                      <w:lang w:val="pt-BR"/>
                    </w:rPr>
                  </m:ctrlPr>
                </m:sSubPr>
                <m:e>
                  <m:r>
                    <m:rPr>
                      <m:scr m:val="script"/>
                    </m:rPr>
                    <w:rPr>
                      <w:rFonts w:ascii="Cambria Math" w:eastAsiaTheme="minorEastAsia" w:hAnsi="Cambria Math"/>
                      <w:lang w:val="pt-BR"/>
                    </w:rPr>
                    <m:t>D</m:t>
                  </m:r>
                </m:e>
                <m:sub>
                  <m:r>
                    <w:rPr>
                      <w:rFonts w:ascii="Cambria Math" w:eastAsiaTheme="minorEastAsia" w:hAnsi="Cambria Math"/>
                      <w:lang w:val="pt-BR"/>
                    </w:rPr>
                    <m:t>e</m:t>
                  </m:r>
                </m:sub>
              </m:sSub>
            </m:den>
          </m:f>
          <m:r>
            <w:rPr>
              <w:rFonts w:ascii="Cambria Math" w:eastAsiaTheme="minorEastAsia" w:hAnsi="Cambria Math"/>
            </w:rPr>
            <m:t>=0</m:t>
          </m:r>
        </m:oMath>
      </m:oMathPara>
    </w:p>
    <w:p w14:paraId="402EF6A6" w14:textId="69DDA2DF" w:rsidR="00A35A08" w:rsidRPr="00052599" w:rsidRDefault="00A35A08" w:rsidP="00041564">
      <w:pPr>
        <w:spacing w:line="480" w:lineRule="auto"/>
        <w:ind w:firstLine="360"/>
        <w:jc w:val="both"/>
        <w:rPr>
          <w:rFonts w:eastAsiaTheme="minorEastAsia"/>
        </w:rPr>
      </w:pPr>
      <w:r w:rsidRPr="00052599">
        <w:tab/>
        <w:t xml:space="preserve">The last term in the equation </w:t>
      </w:r>
      <w:r>
        <w:t xml:space="preserve">is </w:t>
      </w:r>
      <w:r w:rsidRPr="00052599">
        <w:rPr>
          <w:rFonts w:eastAsiaTheme="minorEastAsia"/>
        </w:rPr>
        <w:t xml:space="preserve">as Thiele modulus, a </w:t>
      </w:r>
      <w:r>
        <w:rPr>
          <w:rFonts w:eastAsiaTheme="minorEastAsia"/>
        </w:rPr>
        <w:t xml:space="preserve">diffusion-reaction </w:t>
      </w:r>
      <w:r w:rsidRPr="00052599">
        <w:rPr>
          <w:rFonts w:eastAsiaTheme="minorEastAsia"/>
        </w:rPr>
        <w:t xml:space="preserve">parameter </w:t>
      </w:r>
      <w:r w:rsidRPr="00E85469">
        <w:rPr>
          <w:rFonts w:eastAsiaTheme="minorEastAsia"/>
        </w:rPr>
        <w:t>used to evaluate the degree of diffusion constraint to which a molecule is subject in a confined environment</w:t>
      </w:r>
      <w:r>
        <w:rPr>
          <w:rFonts w:eastAsiaTheme="minorEastAsia"/>
        </w:rPr>
        <w:t>; o</w:t>
      </w:r>
      <w:r w:rsidRPr="00052599">
        <w:rPr>
          <w:rFonts w:eastAsiaTheme="minorEastAsia"/>
        </w:rPr>
        <w:t xml:space="preserve">ther way of </w:t>
      </w:r>
      <w:r>
        <w:rPr>
          <w:rFonts w:eastAsiaTheme="minorEastAsia"/>
        </w:rPr>
        <w:t>interpreting</w:t>
      </w:r>
      <w:r w:rsidRPr="00052599">
        <w:rPr>
          <w:rFonts w:eastAsiaTheme="minorEastAsia"/>
        </w:rPr>
        <w:t xml:space="preserve"> it is the ratio of reaction rate and its diffusion along the catalyst particle  </w:t>
      </w:r>
      <w:r w:rsidRPr="00052599">
        <w:rPr>
          <w:rFonts w:eastAsiaTheme="minorEastAsia"/>
        </w:rPr>
        <w:fldChar w:fldCharType="begin"/>
      </w:r>
      <w:r w:rsidR="00C54D4B">
        <w:rPr>
          <w:rFonts w:eastAsiaTheme="minorEastAsia"/>
        </w:rPr>
        <w:instrText xml:space="preserve"> ADDIN EN.CITE &lt;EndNote&gt;&lt;Cite&gt;&lt;Author&gt;Fogler&lt;/Author&gt;&lt;Year&gt;2016&lt;/Year&gt;&lt;RecNum&gt;14&lt;/RecNum&gt;&lt;DisplayText&gt;[76]&lt;/DisplayText&gt;&lt;record&gt;&lt;rec-number&gt;14&lt;/rec-number&gt;&lt;foreign-keys&gt;&lt;key app="EN" db-id="59dvwrfdof9dw8exf0kvp0atwazsazeeffsp" timestamp="1667539159"&gt;14&lt;/key&gt;&lt;/foreign-keys&gt;&lt;ref-type name="Book"&gt;6&lt;/ref-type&gt;&lt;contributors&gt;&lt;authors&gt;&lt;author&gt;H. Scott Fogler&lt;/author&gt;&lt;/authors&gt;&lt;/contributors&gt;&lt;titles&gt;&lt;title&gt;Elements of Chemical Reaction Engineering&lt;/title&gt;&lt;/titles&gt;&lt;pages&gt;957&lt;/pages&gt;&lt;dates&gt;&lt;year&gt;2016&lt;/year&gt;&lt;/dates&gt;&lt;publisher&gt;Pearson&lt;/publisher&gt;&lt;urls&gt;&lt;/urls&gt;&lt;/record&gt;&lt;/Cite&gt;&lt;/EndNote&gt;</w:instrText>
      </w:r>
      <w:r w:rsidRPr="00052599">
        <w:rPr>
          <w:rFonts w:eastAsiaTheme="minorEastAsia"/>
        </w:rPr>
        <w:fldChar w:fldCharType="separate"/>
      </w:r>
      <w:r w:rsidR="00C54D4B">
        <w:rPr>
          <w:rFonts w:eastAsiaTheme="minorEastAsia"/>
          <w:noProof/>
        </w:rPr>
        <w:t>[</w:t>
      </w:r>
      <w:hyperlink w:anchor="_ENREF_76" w:tooltip="Fogler, 2016 #14" w:history="1">
        <w:r w:rsidR="00D307FA">
          <w:rPr>
            <w:rFonts w:eastAsiaTheme="minorEastAsia"/>
            <w:noProof/>
          </w:rPr>
          <w:t>76</w:t>
        </w:r>
      </w:hyperlink>
      <w:r w:rsidR="00C54D4B">
        <w:rPr>
          <w:rFonts w:eastAsiaTheme="minorEastAsia"/>
          <w:noProof/>
        </w:rPr>
        <w:t>]</w:t>
      </w:r>
      <w:r w:rsidRPr="00052599">
        <w:rPr>
          <w:rFonts w:eastAsiaTheme="minorEastAsia"/>
        </w:rPr>
        <w:fldChar w:fldCharType="end"/>
      </w:r>
      <w:r w:rsidRPr="00052599">
        <w:rPr>
          <w:rFonts w:eastAsiaTheme="minorEastAsia"/>
        </w:rPr>
        <w:t>. For a reaction rate with a first order dependence on a specie A,</w:t>
      </w:r>
      <w:r>
        <w:rPr>
          <w:rFonts w:eastAsiaTheme="minorEastAsia"/>
        </w:rPr>
        <w:t xml:space="preserve"> Thiele modulus</w:t>
      </w:r>
      <w:r w:rsidRPr="00052599">
        <w:rPr>
          <w:rFonts w:eastAsiaTheme="minorEastAsia"/>
        </w:rPr>
        <w:t xml:space="preserve"> is represented by:</w:t>
      </w:r>
    </w:p>
    <w:p w14:paraId="64B917FE" w14:textId="77777777" w:rsidR="00A35A08" w:rsidRPr="00052599" w:rsidRDefault="00000000" w:rsidP="00041564">
      <w:pPr>
        <w:spacing w:line="480" w:lineRule="auto"/>
        <w:jc w:val="both"/>
        <w:rPr>
          <w:rFonts w:eastAsiaTheme="minorEastAsia"/>
          <w:lang w:val="pt-BR"/>
        </w:rPr>
      </w:pPr>
      <m:oMathPara>
        <m:oMath>
          <m:sSup>
            <m:sSupPr>
              <m:ctrlPr>
                <w:rPr>
                  <w:rFonts w:ascii="Cambria Math" w:eastAsiaTheme="minorEastAsia" w:hAnsi="Cambria Math"/>
                  <w:i/>
                  <w:lang w:val="pt-BR"/>
                </w:rPr>
              </m:ctrlPr>
            </m:sSupPr>
            <m:e>
              <m:r>
                <w:rPr>
                  <w:rFonts w:ascii="Cambria Math" w:eastAsiaTheme="minorEastAsia" w:hAnsi="Cambria Math"/>
                  <w:lang w:val="pt-BR"/>
                </w:rPr>
                <m:t>ϕ</m:t>
              </m:r>
            </m:e>
            <m:sup>
              <m:r>
                <w:rPr>
                  <w:rFonts w:ascii="Cambria Math" w:eastAsiaTheme="minorEastAsia" w:hAnsi="Cambria Math"/>
                  <w:lang w:val="pt-BR"/>
                </w:rPr>
                <m:t>2</m:t>
              </m:r>
            </m:sup>
          </m:sSup>
          <m:r>
            <w:rPr>
              <w:rFonts w:ascii="Cambria Math" w:eastAsiaTheme="minorEastAsia" w:hAnsi="Cambria Math"/>
              <w:lang w:val="pt-BR"/>
            </w:rPr>
            <m:t>=</m:t>
          </m:r>
          <m:f>
            <m:fPr>
              <m:ctrlPr>
                <w:rPr>
                  <w:rFonts w:ascii="Cambria Math" w:eastAsiaTheme="minorEastAsia" w:hAnsi="Cambria Math"/>
                  <w:i/>
                  <w:lang w:val="pt-BR"/>
                </w:rPr>
              </m:ctrlPr>
            </m:fPr>
            <m:num>
              <m:r>
                <w:rPr>
                  <w:rFonts w:ascii="Cambria Math" w:eastAsiaTheme="minorEastAsia" w:hAnsi="Cambria Math"/>
                  <w:lang w:val="pt-BR"/>
                </w:rPr>
                <m:t>k</m:t>
              </m:r>
              <m:sSup>
                <m:sSupPr>
                  <m:ctrlPr>
                    <w:rPr>
                      <w:rFonts w:ascii="Cambria Math" w:eastAsiaTheme="minorEastAsia" w:hAnsi="Cambria Math"/>
                      <w:i/>
                      <w:lang w:val="pt-BR"/>
                    </w:rPr>
                  </m:ctrlPr>
                </m:sSupPr>
                <m:e>
                  <m:r>
                    <w:rPr>
                      <w:rFonts w:ascii="Cambria Math" w:eastAsiaTheme="minorEastAsia" w:hAnsi="Cambria Math"/>
                      <w:lang w:val="pt-BR"/>
                    </w:rPr>
                    <m:t>R</m:t>
                  </m:r>
                </m:e>
                <m:sup>
                  <m:r>
                    <w:rPr>
                      <w:rFonts w:ascii="Cambria Math" w:eastAsiaTheme="minorEastAsia" w:hAnsi="Cambria Math"/>
                      <w:lang w:val="pt-BR"/>
                    </w:rPr>
                    <m:t>2</m:t>
                  </m:r>
                </m:sup>
              </m:sSup>
            </m:num>
            <m:den>
              <m:sSub>
                <m:sSubPr>
                  <m:ctrlPr>
                    <w:rPr>
                      <w:rFonts w:ascii="Cambria Math" w:eastAsiaTheme="minorEastAsia" w:hAnsi="Cambria Math"/>
                      <w:i/>
                      <w:lang w:val="pt-BR"/>
                    </w:rPr>
                  </m:ctrlPr>
                </m:sSubPr>
                <m:e>
                  <m:r>
                    <m:rPr>
                      <m:scr m:val="script"/>
                    </m:rPr>
                    <w:rPr>
                      <w:rFonts w:ascii="Cambria Math" w:eastAsiaTheme="minorEastAsia" w:hAnsi="Cambria Math"/>
                      <w:lang w:val="pt-BR"/>
                    </w:rPr>
                    <m:t>D</m:t>
                  </m:r>
                </m:e>
                <m:sub>
                  <m:r>
                    <w:rPr>
                      <w:rFonts w:ascii="Cambria Math" w:eastAsiaTheme="minorEastAsia" w:hAnsi="Cambria Math"/>
                      <w:lang w:val="pt-BR"/>
                    </w:rPr>
                    <m:t>e</m:t>
                  </m:r>
                </m:sub>
              </m:sSub>
            </m:den>
          </m:f>
        </m:oMath>
      </m:oMathPara>
    </w:p>
    <w:p w14:paraId="2BDA5560" w14:textId="77777777" w:rsidR="00A35A08" w:rsidRPr="00052599" w:rsidRDefault="00A35A08" w:rsidP="00041564">
      <w:pPr>
        <w:spacing w:line="480" w:lineRule="auto"/>
        <w:ind w:firstLine="720"/>
        <w:jc w:val="both"/>
        <w:rPr>
          <w:rFonts w:eastAsiaTheme="minorEastAsia"/>
        </w:rPr>
      </w:pPr>
      <w:r w:rsidRPr="00052599">
        <w:rPr>
          <w:rFonts w:eastAsiaTheme="minorEastAsia"/>
        </w:rPr>
        <w:t>Once the reaction constant is directly proportional to the density of active sites (L)</w:t>
      </w:r>
      <w:r>
        <w:rPr>
          <w:rFonts w:eastAsiaTheme="minorEastAsia"/>
        </w:rPr>
        <w:t>,</w:t>
      </w:r>
      <w:r w:rsidRPr="00052599">
        <w:rPr>
          <w:rFonts w:eastAsiaTheme="minorEastAsia"/>
        </w:rPr>
        <w:t xml:space="preserve"> any site </w:t>
      </w:r>
      <w:r>
        <w:rPr>
          <w:rFonts w:eastAsiaTheme="minorEastAsia"/>
        </w:rPr>
        <w:t>modification</w:t>
      </w:r>
      <w:r w:rsidRPr="00052599">
        <w:rPr>
          <w:rFonts w:eastAsiaTheme="minorEastAsia"/>
        </w:rPr>
        <w:t xml:space="preserve"> will result in a change in Thiele modulus</w:t>
      </w:r>
      <w:r>
        <w:rPr>
          <w:rFonts w:eastAsiaTheme="minorEastAsia"/>
        </w:rPr>
        <w:t>,</w:t>
      </w:r>
      <w:r w:rsidRPr="00052599">
        <w:rPr>
          <w:rFonts w:eastAsiaTheme="minorEastAsia"/>
        </w:rPr>
        <w:t xml:space="preserve"> as represented in the equation below.</w:t>
      </w:r>
    </w:p>
    <w:p w14:paraId="7209FF24" w14:textId="77777777" w:rsidR="00A35A08" w:rsidRPr="00052599" w:rsidRDefault="00A35A08" w:rsidP="00041564">
      <w:pPr>
        <w:spacing w:line="480" w:lineRule="auto"/>
        <w:ind w:firstLine="720"/>
        <w:jc w:val="both"/>
        <w:rPr>
          <w:rFonts w:eastAsiaTheme="minorEastAsia"/>
          <w:color w:val="000000" w:themeColor="text1"/>
        </w:rPr>
      </w:pPr>
      <m:oMathPara>
        <m:oMath>
          <m:r>
            <w:rPr>
              <w:rFonts w:ascii="Cambria Math" w:hAnsi="Cambria Math"/>
              <w:color w:val="000000" w:themeColor="text1"/>
            </w:rPr>
            <w:lastRenderedPageBreak/>
            <m:t>ϕ</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ϕ</m:t>
              </m:r>
            </m:e>
            <m:sub>
              <m:r>
                <w:rPr>
                  <w:rFonts w:ascii="Cambria Math" w:hAnsi="Cambria Math"/>
                  <w:color w:val="000000" w:themeColor="text1"/>
                </w:rPr>
                <m:t>0</m:t>
              </m:r>
            </m:sub>
          </m:sSub>
          <m:rad>
            <m:radPr>
              <m:degHide m:val="1"/>
              <m:ctrlPr>
                <w:rPr>
                  <w:rFonts w:ascii="Cambria Math" w:hAnsi="Cambria Math"/>
                  <w:i/>
                  <w:color w:val="000000" w:themeColor="text1"/>
                </w:rPr>
              </m:ctrlPr>
            </m:radPr>
            <m:deg/>
            <m:e>
              <m:f>
                <m:fPr>
                  <m:type m:val="lin"/>
                  <m:ctrlPr>
                    <w:rPr>
                      <w:rFonts w:ascii="Cambria Math" w:hAnsi="Cambria Math"/>
                      <w:i/>
                      <w:color w:val="000000" w:themeColor="text1"/>
                    </w:rPr>
                  </m:ctrlPr>
                </m:fPr>
                <m:num>
                  <m:r>
                    <w:rPr>
                      <w:rFonts w:ascii="Cambria Math" w:hAnsi="Cambria Math"/>
                      <w:color w:val="000000" w:themeColor="text1"/>
                    </w:rPr>
                    <m:t>L</m:t>
                  </m:r>
                </m:num>
                <m:den>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0</m:t>
                      </m:r>
                    </m:sub>
                  </m:sSub>
                </m:den>
              </m:f>
            </m:e>
          </m:rad>
        </m:oMath>
      </m:oMathPara>
    </w:p>
    <w:p w14:paraId="048DFBEC" w14:textId="77777777" w:rsidR="00A35A08" w:rsidRPr="00052599" w:rsidRDefault="00A35A08" w:rsidP="00041564">
      <w:pPr>
        <w:spacing w:line="480" w:lineRule="auto"/>
        <w:jc w:val="both"/>
        <w:rPr>
          <w:rFonts w:eastAsiaTheme="minorEastAsia"/>
        </w:rPr>
      </w:pPr>
      <w:r w:rsidRPr="00052599">
        <w:rPr>
          <w:rFonts w:eastAsiaTheme="minorEastAsia"/>
        </w:rPr>
        <w:t>where</w:t>
      </w:r>
      <w:r w:rsidRPr="00052599">
        <w:rPr>
          <w:rFonts w:eastAsiaTheme="minorEastAsia"/>
        </w:rPr>
        <w:tab/>
      </w:r>
      <m:oMath>
        <m:sSub>
          <m:sSubPr>
            <m:ctrlPr>
              <w:rPr>
                <w:rFonts w:ascii="Cambria Math" w:hAnsi="Cambria Math"/>
              </w:rPr>
            </m:ctrlPr>
          </m:sSubPr>
          <m:e>
            <m:r>
              <w:rPr>
                <w:rFonts w:ascii="Cambria Math" w:hAnsi="Cambria Math"/>
              </w:rPr>
              <m:t>ϕ</m:t>
            </m:r>
          </m:e>
          <m:sub>
            <m:r>
              <w:rPr>
                <w:rFonts w:ascii="Cambria Math" w:hAnsi="Cambria Math"/>
              </w:rPr>
              <m:t>0</m:t>
            </m:r>
          </m:sub>
        </m:sSub>
      </m:oMath>
      <w:r w:rsidRPr="00052599">
        <w:rPr>
          <w:rFonts w:eastAsiaTheme="minorEastAsia"/>
        </w:rPr>
        <w:t xml:space="preserve"> is the original</w:t>
      </w:r>
      <w:r>
        <w:rPr>
          <w:rFonts w:eastAsiaTheme="minorEastAsia"/>
        </w:rPr>
        <w:t xml:space="preserve"> (or initial)</w:t>
      </w:r>
      <w:r w:rsidRPr="00052599">
        <w:rPr>
          <w:rFonts w:eastAsiaTheme="minorEastAsia"/>
        </w:rPr>
        <w:t xml:space="preserve"> Thiele modulus for the total number of sites (</w:t>
      </w:r>
      <m:oMath>
        <m:sSub>
          <m:sSubPr>
            <m:ctrlPr>
              <w:rPr>
                <w:rFonts w:ascii="Cambria Math" w:hAnsi="Cambria Math"/>
                <w:i/>
              </w:rPr>
            </m:ctrlPr>
          </m:sSubPr>
          <m:e>
            <m:r>
              <w:rPr>
                <w:rFonts w:ascii="Cambria Math" w:hAnsi="Cambria Math"/>
              </w:rPr>
              <m:t>L</m:t>
            </m:r>
          </m:e>
          <m:sub>
            <m:r>
              <w:rPr>
                <w:rFonts w:ascii="Cambria Math" w:hAnsi="Cambria Math"/>
              </w:rPr>
              <m:t>0</m:t>
            </m:r>
          </m:sub>
        </m:sSub>
        <m:r>
          <w:rPr>
            <w:rFonts w:ascii="Cambria Math" w:hAnsi="Cambria Math"/>
          </w:rPr>
          <m:t>)</m:t>
        </m:r>
      </m:oMath>
      <w:r w:rsidRPr="00052599">
        <w:rPr>
          <w:rFonts w:eastAsiaTheme="minorEastAsia"/>
        </w:rPr>
        <w:t xml:space="preserve">, and </w:t>
      </w:r>
      <m:oMath>
        <m:r>
          <w:rPr>
            <w:rFonts w:ascii="Cambria Math" w:hAnsi="Cambria Math"/>
          </w:rPr>
          <m:t>ϕ</m:t>
        </m:r>
      </m:oMath>
      <w:r w:rsidRPr="00052599">
        <w:rPr>
          <w:rFonts w:eastAsiaTheme="minorEastAsia"/>
        </w:rPr>
        <w:t xml:space="preserve"> the new Thiele modulus as sites are </w:t>
      </w:r>
      <w:r>
        <w:rPr>
          <w:rFonts w:eastAsiaTheme="minorEastAsia"/>
        </w:rPr>
        <w:t>changed</w:t>
      </w:r>
      <w:r w:rsidRPr="00052599">
        <w:rPr>
          <w:rFonts w:eastAsiaTheme="minorEastAsia"/>
        </w:rPr>
        <w:t xml:space="preserve">. </w:t>
      </w:r>
    </w:p>
    <w:p w14:paraId="56063951" w14:textId="77777777" w:rsidR="00A35A08" w:rsidRPr="00052599" w:rsidRDefault="00A35A08" w:rsidP="00041564">
      <w:pPr>
        <w:spacing w:line="480" w:lineRule="auto"/>
        <w:ind w:firstLine="720"/>
        <w:jc w:val="both"/>
        <w:rPr>
          <w:rFonts w:eastAsiaTheme="minorEastAsia"/>
          <w:color w:val="000000" w:themeColor="text1"/>
        </w:rPr>
      </w:pPr>
      <w:r w:rsidRPr="00052599">
        <w:rPr>
          <w:rFonts w:eastAsiaTheme="minorEastAsia"/>
        </w:rPr>
        <w:t xml:space="preserve">In the presence of a concentration gradient, </w:t>
      </w:r>
      <w:r>
        <w:rPr>
          <w:rFonts w:eastAsiaTheme="minorEastAsia"/>
        </w:rPr>
        <w:t>that is</w:t>
      </w:r>
      <w:r w:rsidRPr="00052599">
        <w:rPr>
          <w:rFonts w:eastAsiaTheme="minorEastAsia"/>
        </w:rPr>
        <w:t>, mass-transfer limitations, two reaction rates will coexist: a measured rate and a maximum rate. The last is the rate defined as the rate if all the sites were exposed to the same reaction conditions in the catalyst particle, e.g., the reaction rate found if no mass-transfer limitation exists. As the system distances from a system without mass-transfer limitations, more the measured rate distances itself from the maximum rate. The ratio between the two is understood to be the effectiveness factor (</w:t>
      </w:r>
      <m:oMath>
        <m:r>
          <w:rPr>
            <w:rFonts w:ascii="Cambria Math" w:eastAsiaTheme="minorEastAsia" w:hAnsi="Cambria Math"/>
            <w:color w:val="000000" w:themeColor="text1"/>
          </w:rPr>
          <m:t>η)</m:t>
        </m:r>
      </m:oMath>
      <w:r w:rsidRPr="00052599">
        <w:rPr>
          <w:rFonts w:eastAsiaTheme="minorEastAsia"/>
          <w:color w:val="000000" w:themeColor="text1"/>
        </w:rPr>
        <w:t>, which also is expressed in terms of Thiele modulus:</w:t>
      </w:r>
    </w:p>
    <w:p w14:paraId="47D1B530" w14:textId="77777777" w:rsidR="00A35A08" w:rsidRPr="00052599" w:rsidRDefault="00A35A08" w:rsidP="00041564">
      <w:pPr>
        <w:spacing w:line="480" w:lineRule="auto"/>
        <w:ind w:left="1440" w:firstLine="720"/>
        <w:jc w:val="both"/>
        <w:rPr>
          <w:rFonts w:eastAsiaTheme="minorEastAsia"/>
          <w:color w:val="000000" w:themeColor="text1"/>
        </w:rPr>
      </w:pPr>
      <m:oMath>
        <m:r>
          <w:rPr>
            <w:rFonts w:ascii="Cambria Math" w:eastAsiaTheme="minorEastAsia" w:hAnsi="Cambria Math"/>
            <w:color w:val="000000" w:themeColor="text1"/>
          </w:rPr>
          <m:t>η=</m:t>
        </m:r>
        <m:f>
          <m:fPr>
            <m:ctrlPr>
              <w:rPr>
                <w:rFonts w:ascii="Cambria Math" w:eastAsiaTheme="minorEastAsia" w:hAnsi="Cambria Math"/>
                <w:i/>
                <w:color w:val="000000" w:themeColor="text1"/>
              </w:rPr>
            </m:ctrlPr>
          </m:fPr>
          <m:num>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r</m:t>
                </m:r>
              </m:e>
              <m:sub>
                <m:r>
                  <w:rPr>
                    <w:rFonts w:ascii="Cambria Math" w:eastAsiaTheme="minorEastAsia" w:hAnsi="Cambria Math"/>
                    <w:color w:val="000000" w:themeColor="text1"/>
                  </w:rPr>
                  <m:t>A</m:t>
                </m:r>
              </m:sub>
            </m:sSub>
          </m:num>
          <m:den>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r</m:t>
                </m:r>
              </m:e>
              <m:sub>
                <m:r>
                  <w:rPr>
                    <w:rFonts w:ascii="Cambria Math" w:eastAsiaTheme="minorEastAsia" w:hAnsi="Cambria Math"/>
                    <w:color w:val="000000" w:themeColor="text1"/>
                  </w:rPr>
                  <m:t>max</m:t>
                </m:r>
              </m:sub>
            </m:sSub>
          </m:den>
        </m:f>
      </m:oMath>
      <w:r w:rsidRPr="00052599">
        <w:rPr>
          <w:rFonts w:eastAsiaTheme="minorEastAsia"/>
          <w:i/>
          <w:color w:val="000000" w:themeColor="text1"/>
        </w:rPr>
        <w:tab/>
      </w:r>
      <w:r w:rsidRPr="00052599">
        <w:rPr>
          <w:rFonts w:eastAsiaTheme="minorEastAsia"/>
          <w:i/>
          <w:color w:val="000000" w:themeColor="text1"/>
        </w:rPr>
        <w:tab/>
      </w:r>
      <m:oMath>
        <m:r>
          <w:rPr>
            <w:rFonts w:ascii="Cambria Math" w:eastAsiaTheme="minorEastAsia" w:hAnsi="Cambria Math"/>
            <w:color w:val="000000" w:themeColor="text1"/>
          </w:rPr>
          <m:t>η=</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3</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ϕ</m:t>
                </m:r>
                <m:func>
                  <m:funcPr>
                    <m:ctrlPr>
                      <w:rPr>
                        <w:rFonts w:ascii="Cambria Math" w:eastAsiaTheme="minorEastAsia" w:hAnsi="Cambria Math"/>
                        <w:i/>
                        <w:color w:val="000000" w:themeColor="text1"/>
                      </w:rPr>
                    </m:ctrlPr>
                  </m:funcPr>
                  <m:fName>
                    <m:r>
                      <m:rPr>
                        <m:sty m:val="p"/>
                      </m:rPr>
                      <w:rPr>
                        <w:rFonts w:ascii="Cambria Math" w:eastAsiaTheme="minorEastAsia" w:hAnsi="Cambria Math"/>
                        <w:color w:val="000000" w:themeColor="text1"/>
                      </w:rPr>
                      <m:t>coth</m:t>
                    </m:r>
                  </m:fName>
                  <m:e>
                    <m:r>
                      <w:rPr>
                        <w:rFonts w:ascii="Cambria Math" w:eastAsiaTheme="minorEastAsia" w:hAnsi="Cambria Math"/>
                        <w:color w:val="000000" w:themeColor="text1"/>
                      </w:rPr>
                      <m:t>ϕ</m:t>
                    </m:r>
                  </m:e>
                </m:func>
                <m:r>
                  <w:rPr>
                    <w:rFonts w:ascii="Cambria Math" w:eastAsiaTheme="minorEastAsia" w:hAnsi="Cambria Math"/>
                    <w:color w:val="000000" w:themeColor="text1"/>
                  </w:rPr>
                  <m:t>-1</m:t>
                </m:r>
              </m:e>
            </m:d>
          </m:num>
          <m:den>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ϕ</m:t>
                </m:r>
              </m:e>
              <m:sup>
                <m:r>
                  <w:rPr>
                    <w:rFonts w:ascii="Cambria Math" w:eastAsiaTheme="minorEastAsia" w:hAnsi="Cambria Math"/>
                    <w:color w:val="000000" w:themeColor="text1"/>
                  </w:rPr>
                  <m:t>2</m:t>
                </m:r>
              </m:sup>
            </m:sSup>
          </m:den>
        </m:f>
      </m:oMath>
    </w:p>
    <w:p w14:paraId="5320C755" w14:textId="5C8C17B4" w:rsidR="00A35A08" w:rsidRPr="00052599" w:rsidRDefault="00A35A08" w:rsidP="00041564">
      <w:pPr>
        <w:spacing w:line="480" w:lineRule="auto"/>
        <w:ind w:firstLine="720"/>
        <w:jc w:val="both"/>
        <w:rPr>
          <w:rFonts w:eastAsiaTheme="minorEastAsia"/>
        </w:rPr>
      </w:pPr>
      <w:r w:rsidRPr="00052599">
        <w:rPr>
          <w:rFonts w:eastAsiaTheme="minorEastAsia"/>
        </w:rPr>
        <w:t xml:space="preserve">The last is resolved for a spherical catalyst </w:t>
      </w:r>
      <w:r w:rsidRPr="00C80AAF">
        <w:rPr>
          <w:rFonts w:eastAsiaTheme="minorEastAsia"/>
        </w:rPr>
        <w:t xml:space="preserve">particle. </w:t>
      </w:r>
      <w:r w:rsidRPr="00C80AAF">
        <w:rPr>
          <w:rFonts w:eastAsiaTheme="minorEastAsia"/>
          <w:b/>
          <w:bCs/>
        </w:rPr>
        <w:t xml:space="preserve">Figure </w:t>
      </w:r>
      <w:r w:rsidR="00820226" w:rsidRPr="00C80AAF">
        <w:rPr>
          <w:rFonts w:eastAsiaTheme="minorEastAsia"/>
          <w:b/>
          <w:bCs/>
        </w:rPr>
        <w:t>13</w:t>
      </w:r>
      <w:r w:rsidRPr="00C80AAF">
        <w:rPr>
          <w:rFonts w:eastAsiaTheme="minorEastAsia"/>
        </w:rPr>
        <w:t xml:space="preserve"> shows</w:t>
      </w:r>
      <w:r w:rsidRPr="00B94D53">
        <w:rPr>
          <w:rFonts w:eastAsiaTheme="minorEastAsia"/>
        </w:rPr>
        <w:t xml:space="preserve"> a graphical correlation </w:t>
      </w:r>
      <w:r w:rsidRPr="00052599">
        <w:rPr>
          <w:rFonts w:eastAsiaTheme="minorEastAsia"/>
          <w:color w:val="000000" w:themeColor="text1"/>
        </w:rPr>
        <w:t xml:space="preserve">between </w:t>
      </w:r>
      <m:oMath>
        <m:r>
          <w:rPr>
            <w:rFonts w:ascii="Cambria Math" w:eastAsiaTheme="minorEastAsia" w:hAnsi="Cambria Math"/>
            <w:color w:val="000000" w:themeColor="text1"/>
          </w:rPr>
          <m:t>η</m:t>
        </m:r>
      </m:oMath>
      <w:r w:rsidRPr="00052599">
        <w:rPr>
          <w:rFonts w:eastAsiaTheme="minorEastAsia"/>
          <w:color w:val="000000" w:themeColor="text1"/>
        </w:rPr>
        <w:t xml:space="preserve"> and </w:t>
      </w:r>
      <m:oMath>
        <m:r>
          <w:rPr>
            <w:rFonts w:ascii="Cambria Math" w:hAnsi="Cambria Math"/>
            <w:color w:val="000000" w:themeColor="text1"/>
          </w:rPr>
          <m:t>ϕ</m:t>
        </m:r>
      </m:oMath>
      <w:r w:rsidRPr="00052599">
        <w:rPr>
          <w:rFonts w:eastAsiaTheme="minorEastAsia"/>
          <w:color w:val="000000" w:themeColor="text1"/>
        </w:rPr>
        <w:t xml:space="preserve"> </w:t>
      </w:r>
      <w:r w:rsidRPr="00052599">
        <w:rPr>
          <w:rFonts w:eastAsiaTheme="minorEastAsia"/>
          <w:color w:val="000000" w:themeColor="text1"/>
        </w:rPr>
        <w:fldChar w:fldCharType="begin"/>
      </w:r>
      <w:r w:rsidR="00C54D4B">
        <w:rPr>
          <w:rFonts w:eastAsiaTheme="minorEastAsia"/>
          <w:color w:val="000000" w:themeColor="text1"/>
        </w:rPr>
        <w:instrText xml:space="preserve"> ADDIN EN.CITE &lt;EndNote&gt;&lt;Cite&gt;&lt;Author&gt;Fogler&lt;/Author&gt;&lt;Year&gt;2016&lt;/Year&gt;&lt;RecNum&gt;14&lt;/RecNum&gt;&lt;DisplayText&gt;[76]&lt;/DisplayText&gt;&lt;record&gt;&lt;rec-number&gt;14&lt;/rec-number&gt;&lt;foreign-keys&gt;&lt;key app="EN" db-id="59dvwrfdof9dw8exf0kvp0atwazsazeeffsp" timestamp="1667539159"&gt;14&lt;/key&gt;&lt;/foreign-keys&gt;&lt;ref-type name="Book"&gt;6&lt;/ref-type&gt;&lt;contributors&gt;&lt;authors&gt;&lt;author&gt;H. Scott Fogler&lt;/author&gt;&lt;/authors&gt;&lt;/contributors&gt;&lt;titles&gt;&lt;title&gt;Elements of Chemical Reaction Engineering&lt;/title&gt;&lt;/titles&gt;&lt;pages&gt;957&lt;/pages&gt;&lt;dates&gt;&lt;year&gt;2016&lt;/year&gt;&lt;/dates&gt;&lt;publisher&gt;Pearson&lt;/publisher&gt;&lt;urls&gt;&lt;/urls&gt;&lt;/record&gt;&lt;/Cite&gt;&lt;/EndNote&gt;</w:instrText>
      </w:r>
      <w:r w:rsidRPr="00052599">
        <w:rPr>
          <w:rFonts w:eastAsiaTheme="minorEastAsia"/>
          <w:color w:val="000000" w:themeColor="text1"/>
        </w:rPr>
        <w:fldChar w:fldCharType="separate"/>
      </w:r>
      <w:r w:rsidR="00C54D4B">
        <w:rPr>
          <w:rFonts w:eastAsiaTheme="minorEastAsia"/>
          <w:noProof/>
          <w:color w:val="000000" w:themeColor="text1"/>
        </w:rPr>
        <w:t>[</w:t>
      </w:r>
      <w:hyperlink w:anchor="_ENREF_76" w:tooltip="Fogler, 2016 #14" w:history="1">
        <w:r w:rsidR="00D307FA">
          <w:rPr>
            <w:rFonts w:eastAsiaTheme="minorEastAsia"/>
            <w:noProof/>
            <w:color w:val="000000" w:themeColor="text1"/>
          </w:rPr>
          <w:t>76</w:t>
        </w:r>
      </w:hyperlink>
      <w:r w:rsidR="00C54D4B">
        <w:rPr>
          <w:rFonts w:eastAsiaTheme="minorEastAsia"/>
          <w:noProof/>
          <w:color w:val="000000" w:themeColor="text1"/>
        </w:rPr>
        <w:t>]</w:t>
      </w:r>
      <w:r w:rsidRPr="00052599">
        <w:rPr>
          <w:rFonts w:eastAsiaTheme="minorEastAsia"/>
          <w:color w:val="000000" w:themeColor="text1"/>
        </w:rPr>
        <w:fldChar w:fldCharType="end"/>
      </w:r>
      <w:r w:rsidRPr="00052599">
        <w:rPr>
          <w:rFonts w:eastAsiaTheme="minorEastAsia"/>
        </w:rPr>
        <w:t xml:space="preserve">. Higher the Thiele modulus, lower the effectiveness factor. As the density of acid sites decreases a consequent decrease in </w:t>
      </w:r>
      <m:oMath>
        <m:r>
          <w:rPr>
            <w:rFonts w:ascii="Cambria Math" w:eastAsiaTheme="minorEastAsia" w:hAnsi="Cambria Math"/>
            <w:color w:val="000000" w:themeColor="text1"/>
          </w:rPr>
          <m:t>ϕ</m:t>
        </m:r>
      </m:oMath>
      <w:r w:rsidRPr="00052599">
        <w:rPr>
          <w:rFonts w:eastAsiaTheme="minorEastAsia"/>
        </w:rPr>
        <w:t xml:space="preserve"> occurs and </w:t>
      </w:r>
      <w:r>
        <w:rPr>
          <w:rFonts w:eastAsiaTheme="minorEastAsia"/>
        </w:rPr>
        <w:t xml:space="preserve">a resulting </w:t>
      </w:r>
      <w:r w:rsidRPr="00052599">
        <w:rPr>
          <w:rFonts w:eastAsiaTheme="minorEastAsia"/>
        </w:rPr>
        <w:t xml:space="preserve">increase in </w:t>
      </w:r>
      <m:oMath>
        <m:r>
          <w:rPr>
            <w:rFonts w:ascii="Cambria Math" w:eastAsiaTheme="minorEastAsia" w:hAnsi="Cambria Math"/>
            <w:color w:val="000000" w:themeColor="text1"/>
          </w:rPr>
          <m:t>η</m:t>
        </m:r>
      </m:oMath>
      <w:r w:rsidRPr="00052599">
        <w:rPr>
          <w:rFonts w:eastAsiaTheme="minorEastAsia"/>
          <w:color w:val="000000" w:themeColor="text1"/>
        </w:rPr>
        <w:t xml:space="preserve">. </w:t>
      </w:r>
    </w:p>
    <w:p w14:paraId="2B8BDA00" w14:textId="77777777" w:rsidR="00A35A08" w:rsidRPr="00790C28" w:rsidRDefault="00A35A08" w:rsidP="00617D5F">
      <w:pPr>
        <w:keepNext/>
        <w:jc w:val="center"/>
      </w:pPr>
      <w:r w:rsidRPr="00790C28">
        <w:rPr>
          <w:rFonts w:eastAsiaTheme="minorEastAsia"/>
          <w:noProof/>
        </w:rPr>
        <w:drawing>
          <wp:inline distT="0" distB="0" distL="0" distR="0" wp14:anchorId="00F7E95F" wp14:editId="41C07F69">
            <wp:extent cx="3735317" cy="2286000"/>
            <wp:effectExtent l="0" t="0" r="0" b="0"/>
            <wp:docPr id="25" name="Picture 2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35317" cy="2286000"/>
                    </a:xfrm>
                    <a:prstGeom prst="rect">
                      <a:avLst/>
                    </a:prstGeom>
                    <a:noFill/>
                  </pic:spPr>
                </pic:pic>
              </a:graphicData>
            </a:graphic>
          </wp:inline>
        </w:drawing>
      </w:r>
    </w:p>
    <w:p w14:paraId="2F370ED6" w14:textId="41936E79" w:rsidR="00A35A08" w:rsidRPr="00052599" w:rsidRDefault="00A35A08" w:rsidP="00617D5F">
      <w:pPr>
        <w:pStyle w:val="Caption"/>
        <w:jc w:val="both"/>
        <w:rPr>
          <w:i w:val="0"/>
          <w:iCs w:val="0"/>
          <w:color w:val="000000" w:themeColor="text1"/>
          <w:sz w:val="24"/>
          <w:szCs w:val="24"/>
        </w:rPr>
      </w:pPr>
      <w:bookmarkStart w:id="30" w:name="_Toc131948677"/>
      <w:r w:rsidRPr="00790C28">
        <w:rPr>
          <w:b/>
          <w:bCs/>
          <w:i w:val="0"/>
          <w:iCs w:val="0"/>
          <w:color w:val="auto"/>
          <w:sz w:val="24"/>
          <w:szCs w:val="24"/>
        </w:rPr>
        <w:t xml:space="preserve">Figure </w:t>
      </w:r>
      <w:r w:rsidRPr="00790C28">
        <w:rPr>
          <w:b/>
          <w:bCs/>
          <w:i w:val="0"/>
          <w:iCs w:val="0"/>
          <w:color w:val="auto"/>
          <w:sz w:val="24"/>
          <w:szCs w:val="24"/>
        </w:rPr>
        <w:fldChar w:fldCharType="begin"/>
      </w:r>
      <w:r w:rsidRPr="00790C28">
        <w:rPr>
          <w:b/>
          <w:bCs/>
          <w:i w:val="0"/>
          <w:iCs w:val="0"/>
          <w:color w:val="auto"/>
          <w:sz w:val="24"/>
          <w:szCs w:val="24"/>
        </w:rPr>
        <w:instrText xml:space="preserve"> SEQ Figure \* ARABIC </w:instrText>
      </w:r>
      <w:r w:rsidRPr="00790C28">
        <w:rPr>
          <w:b/>
          <w:bCs/>
          <w:i w:val="0"/>
          <w:iCs w:val="0"/>
          <w:color w:val="auto"/>
          <w:sz w:val="24"/>
          <w:szCs w:val="24"/>
        </w:rPr>
        <w:fldChar w:fldCharType="separate"/>
      </w:r>
      <w:r w:rsidR="001F4741">
        <w:rPr>
          <w:b/>
          <w:bCs/>
          <w:i w:val="0"/>
          <w:iCs w:val="0"/>
          <w:noProof/>
          <w:color w:val="auto"/>
          <w:sz w:val="24"/>
          <w:szCs w:val="24"/>
        </w:rPr>
        <w:t>13</w:t>
      </w:r>
      <w:r w:rsidRPr="00790C28">
        <w:rPr>
          <w:b/>
          <w:bCs/>
          <w:i w:val="0"/>
          <w:iCs w:val="0"/>
          <w:color w:val="auto"/>
          <w:sz w:val="24"/>
          <w:szCs w:val="24"/>
        </w:rPr>
        <w:fldChar w:fldCharType="end"/>
      </w:r>
      <w:r w:rsidRPr="00790C28">
        <w:rPr>
          <w:b/>
          <w:bCs/>
          <w:i w:val="0"/>
          <w:iCs w:val="0"/>
          <w:color w:val="auto"/>
          <w:sz w:val="24"/>
          <w:szCs w:val="24"/>
        </w:rPr>
        <w:t>:</w:t>
      </w:r>
      <w:r w:rsidRPr="00790C28">
        <w:rPr>
          <w:i w:val="0"/>
          <w:iCs w:val="0"/>
          <w:color w:val="auto"/>
          <w:sz w:val="24"/>
          <w:szCs w:val="24"/>
        </w:rPr>
        <w:t xml:space="preserve"> Graphical correlation of effectiveness factor as Thiele modulus changes in a spherical </w:t>
      </w:r>
      <w:r w:rsidRPr="00052599">
        <w:rPr>
          <w:i w:val="0"/>
          <w:iCs w:val="0"/>
          <w:color w:val="000000" w:themeColor="text1"/>
          <w:sz w:val="24"/>
          <w:szCs w:val="24"/>
        </w:rPr>
        <w:t>catalyst particle. Generated by the author.</w:t>
      </w:r>
      <w:bookmarkEnd w:id="30"/>
    </w:p>
    <w:p w14:paraId="6E41039A" w14:textId="77777777" w:rsidR="00A35A08" w:rsidRPr="00052599" w:rsidRDefault="00A35A08" w:rsidP="00041564">
      <w:pPr>
        <w:spacing w:line="480" w:lineRule="auto"/>
        <w:ind w:firstLine="720"/>
        <w:jc w:val="both"/>
        <w:rPr>
          <w:rFonts w:eastAsiaTheme="minorEastAsia"/>
        </w:rPr>
      </w:pPr>
      <w:r w:rsidRPr="00052599">
        <w:rPr>
          <w:rFonts w:eastAsiaTheme="minorEastAsia"/>
          <w:color w:val="000000" w:themeColor="text1"/>
        </w:rPr>
        <w:lastRenderedPageBreak/>
        <w:t xml:space="preserve">It is expected that a combination of the presented equations offers a solution to find the Thiele modulus of a specific system as the concentration of active sites is changed within a particle catalyst. For this reason, </w:t>
      </w:r>
      <w:r w:rsidRPr="00052599">
        <w:rPr>
          <w:rFonts w:eastAsiaTheme="minorEastAsia"/>
        </w:rPr>
        <w:t>the final dimensionless form of the first order differential equation that will be used in the reaction rate modeling is:</w:t>
      </w:r>
    </w:p>
    <w:p w14:paraId="4F341F4F" w14:textId="77777777" w:rsidR="00A35A08" w:rsidRPr="00052599" w:rsidRDefault="00000000" w:rsidP="00041564">
      <w:pPr>
        <w:spacing w:line="480" w:lineRule="auto"/>
        <w:ind w:firstLine="360"/>
        <w:jc w:val="both"/>
        <w:rPr>
          <w:rFonts w:eastAsiaTheme="minorEastAsia"/>
          <w:lang w:val="pt-BR"/>
        </w:rPr>
      </w:pPr>
      <m:oMathPara>
        <m:oMath>
          <m:f>
            <m:fPr>
              <m:ctrlPr>
                <w:rPr>
                  <w:rFonts w:ascii="Cambria Math" w:eastAsiaTheme="minorEastAsia" w:hAnsi="Cambria Math"/>
                  <w:i/>
                  <w:lang w:val="pt-BR"/>
                </w:rPr>
              </m:ctrlPr>
            </m:fPr>
            <m:num>
              <m:r>
                <w:rPr>
                  <w:rFonts w:ascii="Cambria Math" w:eastAsiaTheme="minorEastAsia" w:hAnsi="Cambria Math"/>
                  <w:lang w:val="pt-BR"/>
                </w:rPr>
                <m:t>dC'</m:t>
              </m:r>
            </m:num>
            <m:den>
              <m:r>
                <w:rPr>
                  <w:rFonts w:ascii="Cambria Math" w:eastAsiaTheme="minorEastAsia" w:hAnsi="Cambria Math"/>
                  <w:lang w:val="pt-BR"/>
                </w:rPr>
                <m:t>dλ</m:t>
              </m:r>
            </m:den>
          </m:f>
          <m:r>
            <w:rPr>
              <w:rFonts w:ascii="Cambria Math" w:eastAsiaTheme="minorEastAsia" w:hAnsi="Cambria Math"/>
              <w:lang w:val="pt-BR"/>
            </w:rPr>
            <m:t>+</m:t>
          </m:r>
          <m:f>
            <m:fPr>
              <m:ctrlPr>
                <w:rPr>
                  <w:rFonts w:ascii="Cambria Math" w:eastAsiaTheme="minorEastAsia" w:hAnsi="Cambria Math"/>
                  <w:i/>
                  <w:lang w:val="pt-BR"/>
                </w:rPr>
              </m:ctrlPr>
            </m:fPr>
            <m:num>
              <m:r>
                <w:rPr>
                  <w:rFonts w:ascii="Cambria Math" w:eastAsiaTheme="minorEastAsia" w:hAnsi="Cambria Math"/>
                  <w:lang w:val="pt-BR"/>
                </w:rPr>
                <m:t>2</m:t>
              </m:r>
            </m:num>
            <m:den>
              <m:r>
                <w:rPr>
                  <w:rFonts w:ascii="Cambria Math" w:eastAsiaTheme="minorEastAsia" w:hAnsi="Cambria Math"/>
                  <w:lang w:val="pt-BR"/>
                </w:rPr>
                <m:t>λ</m:t>
              </m:r>
            </m:den>
          </m:f>
          <m:r>
            <w:rPr>
              <w:rFonts w:ascii="Cambria Math" w:eastAsiaTheme="minorEastAsia" w:hAnsi="Cambria Math"/>
              <w:lang w:val="pt-BR"/>
            </w:rPr>
            <m:t>C'-</m:t>
          </m:r>
          <m:sSup>
            <m:sSupPr>
              <m:ctrlPr>
                <w:rPr>
                  <w:rFonts w:ascii="Cambria Math" w:eastAsiaTheme="minorEastAsia" w:hAnsi="Cambria Math"/>
                  <w:i/>
                  <w:lang w:val="pt-BR"/>
                </w:rPr>
              </m:ctrlPr>
            </m:sSupPr>
            <m:e>
              <m:r>
                <w:rPr>
                  <w:rFonts w:ascii="Cambria Math" w:eastAsiaTheme="minorEastAsia" w:hAnsi="Cambria Math"/>
                  <w:lang w:val="pt-BR"/>
                </w:rPr>
                <m:t>ϕ</m:t>
              </m:r>
            </m:e>
            <m:sup>
              <m:r>
                <w:rPr>
                  <w:rFonts w:ascii="Cambria Math" w:eastAsiaTheme="minorEastAsia" w:hAnsi="Cambria Math"/>
                  <w:lang w:val="pt-BR"/>
                </w:rPr>
                <m:t>2</m:t>
              </m:r>
            </m:sup>
          </m:sSup>
          <m:r>
            <w:rPr>
              <w:rFonts w:ascii="Cambria Math" w:eastAsiaTheme="minorEastAsia" w:hAnsi="Cambria Math"/>
              <w:lang w:val="pt-BR"/>
            </w:rPr>
            <m:t>=0</m:t>
          </m:r>
        </m:oMath>
      </m:oMathPara>
    </w:p>
    <w:p w14:paraId="1DA1F6FD" w14:textId="41315EB4" w:rsidR="00A35A08" w:rsidRPr="00B94D53" w:rsidRDefault="00A35A08" w:rsidP="00041564">
      <w:pPr>
        <w:spacing w:line="480" w:lineRule="auto"/>
        <w:ind w:firstLine="720"/>
        <w:jc w:val="both"/>
      </w:pPr>
      <w:r>
        <w:rPr>
          <w:rFonts w:eastAsiaTheme="minorEastAsia"/>
        </w:rPr>
        <w:t>Once it is experimentally easier to modify the site concentration through site titration, t</w:t>
      </w:r>
      <w:r w:rsidRPr="00052599">
        <w:rPr>
          <w:rFonts w:eastAsiaTheme="minorEastAsia"/>
        </w:rPr>
        <w:t xml:space="preserve">wo models are proposed to represent the way sites are </w:t>
      </w:r>
      <w:r>
        <w:rPr>
          <w:rFonts w:eastAsiaTheme="minorEastAsia"/>
        </w:rPr>
        <w:t>deactivated</w:t>
      </w:r>
      <w:r w:rsidRPr="00052599">
        <w:rPr>
          <w:rFonts w:eastAsiaTheme="minorEastAsia"/>
        </w:rPr>
        <w:t xml:space="preserve"> </w:t>
      </w:r>
      <w:r>
        <w:rPr>
          <w:rFonts w:eastAsiaTheme="minorEastAsia"/>
        </w:rPr>
        <w:t>as</w:t>
      </w:r>
      <w:r w:rsidRPr="00052599">
        <w:rPr>
          <w:rFonts w:eastAsiaTheme="minorEastAsia"/>
        </w:rPr>
        <w:t xml:space="preserve"> the poison specie is added: a Uniform Titration model and a Shrinking Core Titration model. The Uniform model consists of a homogeneous distribution of titrant along the spherical catalyst particle, causing a proportional decrease in site density along the whole catalyst volume. Whereas </w:t>
      </w:r>
      <w:r>
        <w:rPr>
          <w:rFonts w:eastAsiaTheme="minorEastAsia"/>
        </w:rPr>
        <w:t>the</w:t>
      </w:r>
      <w:r w:rsidRPr="00052599">
        <w:rPr>
          <w:rFonts w:eastAsiaTheme="minorEastAsia"/>
        </w:rPr>
        <w:t xml:space="preserve"> Shrinking Core considers a shell type of site titration, decreasing the active volume radius as the uptake occurs.</w:t>
      </w:r>
      <w:r w:rsidRPr="00052599">
        <w:t xml:space="preserve"> The outer sites are first deactivated, resulting in an exterior dead shell volume composed of </w:t>
      </w:r>
      <w:r>
        <w:t xml:space="preserve">a </w:t>
      </w:r>
      <w:r w:rsidRPr="00052599">
        <w:t>diffusion</w:t>
      </w:r>
      <w:r>
        <w:t xml:space="preserve"> component </w:t>
      </w:r>
      <w:r w:rsidRPr="00052599">
        <w:t>only, and an inner volume with an invariant site density compared to its free-of-titrant state but with a smaller radius</w:t>
      </w:r>
      <w:r>
        <w:t xml:space="preserve"> compared to</w:t>
      </w:r>
      <w:r w:rsidRPr="00052599">
        <w:t xml:space="preserve"> its non-modified </w:t>
      </w:r>
      <w:r w:rsidRPr="00C80AAF">
        <w:t>form (</w:t>
      </w:r>
      <w:r w:rsidRPr="00C80AAF">
        <w:rPr>
          <w:b/>
          <w:bCs/>
        </w:rPr>
        <w:t xml:space="preserve">Figure </w:t>
      </w:r>
      <w:r w:rsidR="00820226" w:rsidRPr="00C80AAF">
        <w:rPr>
          <w:b/>
          <w:bCs/>
        </w:rPr>
        <w:t>14</w:t>
      </w:r>
      <w:r w:rsidRPr="00C80AAF">
        <w:t>).</w:t>
      </w:r>
    </w:p>
    <w:p w14:paraId="698D00DA" w14:textId="77777777" w:rsidR="00A35A08" w:rsidRDefault="00A35A08" w:rsidP="00617D5F">
      <w:pPr>
        <w:keepNext/>
        <w:ind w:firstLine="720"/>
        <w:jc w:val="center"/>
      </w:pPr>
      <w:r w:rsidRPr="00052599">
        <w:rPr>
          <w:noProof/>
        </w:rPr>
        <w:drawing>
          <wp:inline distT="0" distB="0" distL="0" distR="0" wp14:anchorId="10E4A4D5" wp14:editId="2E943B79">
            <wp:extent cx="1841869" cy="1846729"/>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28"/>
                    <a:stretch>
                      <a:fillRect/>
                    </a:stretch>
                  </pic:blipFill>
                  <pic:spPr>
                    <a:xfrm>
                      <a:off x="0" y="0"/>
                      <a:ext cx="1845970" cy="1850841"/>
                    </a:xfrm>
                    <a:prstGeom prst="rect">
                      <a:avLst/>
                    </a:prstGeom>
                  </pic:spPr>
                </pic:pic>
              </a:graphicData>
            </a:graphic>
          </wp:inline>
        </w:drawing>
      </w:r>
    </w:p>
    <w:p w14:paraId="6166AD32" w14:textId="2D251B2E" w:rsidR="00A35A08" w:rsidRPr="00052599" w:rsidRDefault="00A35A08" w:rsidP="00617D5F">
      <w:pPr>
        <w:pStyle w:val="Caption"/>
        <w:jc w:val="both"/>
        <w:rPr>
          <w:i w:val="0"/>
          <w:iCs w:val="0"/>
          <w:color w:val="000000" w:themeColor="text1"/>
          <w:sz w:val="24"/>
          <w:szCs w:val="24"/>
        </w:rPr>
      </w:pPr>
      <w:bookmarkStart w:id="31" w:name="_Toc131948678"/>
      <w:r w:rsidRPr="00790C28">
        <w:rPr>
          <w:b/>
          <w:bCs/>
          <w:i w:val="0"/>
          <w:iCs w:val="0"/>
          <w:color w:val="auto"/>
          <w:sz w:val="24"/>
          <w:szCs w:val="24"/>
        </w:rPr>
        <w:t xml:space="preserve">Figure </w:t>
      </w:r>
      <w:r w:rsidRPr="00790C28">
        <w:rPr>
          <w:b/>
          <w:bCs/>
          <w:i w:val="0"/>
          <w:iCs w:val="0"/>
          <w:color w:val="auto"/>
          <w:sz w:val="24"/>
          <w:szCs w:val="24"/>
        </w:rPr>
        <w:fldChar w:fldCharType="begin"/>
      </w:r>
      <w:r w:rsidRPr="00790C28">
        <w:rPr>
          <w:b/>
          <w:bCs/>
          <w:i w:val="0"/>
          <w:iCs w:val="0"/>
          <w:color w:val="auto"/>
          <w:sz w:val="24"/>
          <w:szCs w:val="24"/>
        </w:rPr>
        <w:instrText xml:space="preserve"> SEQ Figure \* ARABIC </w:instrText>
      </w:r>
      <w:r w:rsidRPr="00790C28">
        <w:rPr>
          <w:b/>
          <w:bCs/>
          <w:i w:val="0"/>
          <w:iCs w:val="0"/>
          <w:color w:val="auto"/>
          <w:sz w:val="24"/>
          <w:szCs w:val="24"/>
        </w:rPr>
        <w:fldChar w:fldCharType="separate"/>
      </w:r>
      <w:r w:rsidR="001F4741">
        <w:rPr>
          <w:b/>
          <w:bCs/>
          <w:i w:val="0"/>
          <w:iCs w:val="0"/>
          <w:noProof/>
          <w:color w:val="auto"/>
          <w:sz w:val="24"/>
          <w:szCs w:val="24"/>
        </w:rPr>
        <w:t>14</w:t>
      </w:r>
      <w:r w:rsidRPr="00790C28">
        <w:rPr>
          <w:b/>
          <w:bCs/>
          <w:i w:val="0"/>
          <w:iCs w:val="0"/>
          <w:color w:val="auto"/>
          <w:sz w:val="24"/>
          <w:szCs w:val="24"/>
        </w:rPr>
        <w:fldChar w:fldCharType="end"/>
      </w:r>
      <w:r w:rsidRPr="00790C28">
        <w:rPr>
          <w:b/>
          <w:bCs/>
          <w:i w:val="0"/>
          <w:iCs w:val="0"/>
          <w:color w:val="auto"/>
          <w:sz w:val="24"/>
          <w:szCs w:val="24"/>
        </w:rPr>
        <w:t>:</w:t>
      </w:r>
      <w:r w:rsidRPr="00790C28">
        <w:rPr>
          <w:i w:val="0"/>
          <w:iCs w:val="0"/>
          <w:color w:val="auto"/>
          <w:sz w:val="24"/>
          <w:szCs w:val="24"/>
        </w:rPr>
        <w:t xml:space="preserve"> I</w:t>
      </w:r>
      <w:r w:rsidRPr="00052599">
        <w:rPr>
          <w:i w:val="0"/>
          <w:iCs w:val="0"/>
          <w:color w:val="000000" w:themeColor="text1"/>
          <w:sz w:val="24"/>
          <w:szCs w:val="24"/>
        </w:rPr>
        <w:t>mage representation of a titrated catalyst particle with an inner active volume (‘</w:t>
      </w:r>
      <w:r w:rsidRPr="00052599">
        <w:rPr>
          <w:color w:val="000000" w:themeColor="text1"/>
          <w:sz w:val="24"/>
          <w:szCs w:val="24"/>
        </w:rPr>
        <w:t>a)</w:t>
      </w:r>
      <w:r w:rsidRPr="00052599">
        <w:rPr>
          <w:i w:val="0"/>
          <w:iCs w:val="0"/>
          <w:color w:val="000000" w:themeColor="text1"/>
          <w:sz w:val="24"/>
          <w:szCs w:val="24"/>
        </w:rPr>
        <w:t>’) and deactivated volume (‘</w:t>
      </w:r>
      <w:r w:rsidRPr="00052599">
        <w:rPr>
          <w:color w:val="000000" w:themeColor="text1"/>
          <w:sz w:val="24"/>
          <w:szCs w:val="24"/>
        </w:rPr>
        <w:t>b)</w:t>
      </w:r>
      <w:r w:rsidRPr="00052599">
        <w:rPr>
          <w:i w:val="0"/>
          <w:iCs w:val="0"/>
          <w:color w:val="000000" w:themeColor="text1"/>
          <w:sz w:val="24"/>
          <w:szCs w:val="24"/>
        </w:rPr>
        <w:t>’). Drawn by the author.</w:t>
      </w:r>
      <w:bookmarkEnd w:id="31"/>
    </w:p>
    <w:p w14:paraId="3B0F36A0" w14:textId="77777777" w:rsidR="00A35A08" w:rsidRPr="00052599" w:rsidRDefault="00A35A08" w:rsidP="00041564">
      <w:pPr>
        <w:spacing w:line="480" w:lineRule="auto"/>
        <w:ind w:firstLine="720"/>
        <w:jc w:val="both"/>
        <w:rPr>
          <w:rFonts w:eastAsiaTheme="minorEastAsia"/>
        </w:rPr>
      </w:pPr>
      <w:r w:rsidRPr="00052599">
        <w:rPr>
          <w:rFonts w:eastAsiaTheme="minorEastAsia"/>
        </w:rPr>
        <w:lastRenderedPageBreak/>
        <w:t xml:space="preserve">Mathematically, both models utilize the same final dimensionless form of the </w:t>
      </w:r>
      <w:r w:rsidRPr="00052599">
        <w:t xml:space="preserve">mole balance throughout the catalyst particle. The difference resides during the numerical integration. In Uniform model the </w:t>
      </w:r>
      <w:r w:rsidRPr="00C37A0E">
        <w:t>Thiele modulus is altered as a function of the decrease in active site density, and the integration occurs along the entire catalyst particle, with the diffusion-reaction terms through the entire range of integration</w:t>
      </w:r>
      <w:r w:rsidRPr="00052599">
        <w:rPr>
          <w:color w:val="000000" w:themeColor="text1"/>
        </w:rPr>
        <w:t xml:space="preserve">. </w:t>
      </w:r>
      <w:r w:rsidRPr="00052599">
        <w:t>In Shrinking Core, Thiele modulus changes as a function of the particle radius only, and the integration is divided in two regions: the first is comprised of diffusion</w:t>
      </w:r>
      <w:r>
        <w:t xml:space="preserve"> only</w:t>
      </w:r>
      <w:r w:rsidRPr="00052599">
        <w:t xml:space="preserve"> in the “</w:t>
      </w:r>
      <w:r w:rsidRPr="00052599">
        <w:rPr>
          <w:i/>
          <w:iCs/>
        </w:rPr>
        <w:t>dead</w:t>
      </w:r>
      <w:r w:rsidRPr="00052599">
        <w:t>” volume (</w:t>
      </w:r>
      <m:oMath>
        <m:r>
          <w:rPr>
            <w:rFonts w:ascii="Cambria Math" w:hAnsi="Cambria Math"/>
            <w:color w:val="000000" w:themeColor="text1"/>
          </w:rPr>
          <m:t>ϕ</m:t>
        </m:r>
        <m:r>
          <m:rPr>
            <m:sty m:val="p"/>
          </m:rPr>
          <w:rPr>
            <w:rFonts w:ascii="Cambria Math" w:hAnsi="Cambria Math"/>
            <w:color w:val="000000" w:themeColor="text1"/>
          </w:rPr>
          <m:t>=0</m:t>
        </m:r>
      </m:oMath>
      <w:r w:rsidRPr="00052599">
        <w:rPr>
          <w:color w:val="000000" w:themeColor="text1"/>
        </w:rPr>
        <w:t xml:space="preserve">, e.g. no reaction), </w:t>
      </w:r>
      <w:r w:rsidRPr="00052599">
        <w:t>and a following second volume which is active with an unchanged site density but the a lower radius. The radius is calculated based on the percentage of active sites remained after titration (</w:t>
      </w:r>
      <m:oMath>
        <m:r>
          <w:rPr>
            <w:rFonts w:ascii="Cambria Math" w:hAnsi="Cambria Math"/>
          </w:rPr>
          <m:t>r=R</m:t>
        </m:r>
        <m:rad>
          <m:radPr>
            <m:ctrlPr>
              <w:rPr>
                <w:rFonts w:ascii="Cambria Math" w:hAnsi="Cambria Math"/>
                <w:i/>
              </w:rPr>
            </m:ctrlPr>
          </m:radPr>
          <m:deg>
            <m:r>
              <w:rPr>
                <w:rFonts w:ascii="Cambria Math" w:hAnsi="Cambria Math"/>
              </w:rPr>
              <m:t>3</m:t>
            </m:r>
          </m:deg>
          <m:e>
            <m:f>
              <m:fPr>
                <m:ctrlPr>
                  <w:rPr>
                    <w:rFonts w:ascii="Cambria Math" w:hAnsi="Cambria Math"/>
                    <w:i/>
                  </w:rPr>
                </m:ctrlPr>
              </m:fPr>
              <m:num>
                <m:r>
                  <w:rPr>
                    <w:rFonts w:ascii="Cambria Math" w:hAnsi="Cambria Math"/>
                  </w:rPr>
                  <m:t>L</m:t>
                </m:r>
              </m:num>
              <m:den>
                <m:sSub>
                  <m:sSubPr>
                    <m:ctrlPr>
                      <w:rPr>
                        <w:rFonts w:ascii="Cambria Math" w:hAnsi="Cambria Math"/>
                        <w:i/>
                      </w:rPr>
                    </m:ctrlPr>
                  </m:sSubPr>
                  <m:e>
                    <m:r>
                      <w:rPr>
                        <w:rFonts w:ascii="Cambria Math" w:hAnsi="Cambria Math"/>
                      </w:rPr>
                      <m:t>L</m:t>
                    </m:r>
                  </m:e>
                  <m:sub>
                    <m:r>
                      <w:rPr>
                        <w:rFonts w:ascii="Cambria Math" w:hAnsi="Cambria Math"/>
                      </w:rPr>
                      <m:t>o</m:t>
                    </m:r>
                  </m:sub>
                </m:sSub>
              </m:den>
            </m:f>
          </m:e>
        </m:rad>
      </m:oMath>
      <w:r w:rsidRPr="00052599">
        <w:t xml:space="preserve">). </w:t>
      </w:r>
    </w:p>
    <w:p w14:paraId="51AF5B56" w14:textId="7495ADD0" w:rsidR="00A35A08" w:rsidRPr="00052599" w:rsidRDefault="00A35A08" w:rsidP="00041564">
      <w:pPr>
        <w:spacing w:line="480" w:lineRule="auto"/>
        <w:ind w:firstLine="720"/>
        <w:jc w:val="both"/>
        <w:rPr>
          <w:rStyle w:val="gmail-apple-converted-space"/>
          <w:color w:val="000000" w:themeColor="text1"/>
        </w:rPr>
      </w:pPr>
      <w:r w:rsidRPr="00052599">
        <w:rPr>
          <w:rFonts w:eastAsiaTheme="minorEastAsia"/>
        </w:rPr>
        <w:t xml:space="preserve">In a regime free of diffusion limitations, e.g. </w:t>
      </w:r>
      <m:oMath>
        <m:r>
          <w:rPr>
            <w:rFonts w:ascii="Cambria Math" w:hAnsi="Cambria Math"/>
            <w:color w:val="000000" w:themeColor="text1"/>
          </w:rPr>
          <m:t>ϕ</m:t>
        </m:r>
        <m:r>
          <m:rPr>
            <m:sty m:val="p"/>
          </m:rPr>
          <w:rPr>
            <w:rFonts w:ascii="Cambria Math" w:hAnsi="Cambria Math"/>
            <w:color w:val="000000" w:themeColor="text1"/>
          </w:rPr>
          <m:t>→0</m:t>
        </m:r>
      </m:oMath>
      <w:r w:rsidRPr="00052599">
        <w:rPr>
          <w:rFonts w:eastAsiaTheme="minorEastAsia"/>
          <w:color w:val="000000" w:themeColor="text1"/>
        </w:rPr>
        <w:t>, no concentration gradient exists (</w:t>
      </w:r>
      <m:oMath>
        <m:f>
          <m:fPr>
            <m:type m:val="lin"/>
            <m:ctrlPr>
              <w:rPr>
                <w:rFonts w:ascii="Cambria Math" w:eastAsiaTheme="minorEastAsia" w:hAnsi="Cambria Math"/>
                <w:i/>
                <w:color w:val="000000" w:themeColor="text1"/>
              </w:rPr>
            </m:ctrlPr>
          </m:fPr>
          <m:num>
            <m:r>
              <w:rPr>
                <w:rFonts w:ascii="Cambria Math" w:eastAsiaTheme="minorEastAsia" w:hAnsi="Cambria Math"/>
                <w:color w:val="000000" w:themeColor="text1"/>
              </w:rPr>
              <m:t>dC</m:t>
            </m:r>
          </m:num>
          <m:den>
            <m:r>
              <w:rPr>
                <w:rFonts w:ascii="Cambria Math" w:eastAsiaTheme="minorEastAsia" w:hAnsi="Cambria Math"/>
                <w:color w:val="000000" w:themeColor="text1"/>
              </w:rPr>
              <m:t>d</m:t>
            </m:r>
            <m:r>
              <w:rPr>
                <w:rFonts w:ascii="Cambria Math" w:eastAsiaTheme="minorEastAsia" w:hAnsi="Cambria Math"/>
                <w:lang w:val="pt-BR"/>
              </w:rPr>
              <m:t>λ</m:t>
            </m:r>
          </m:den>
        </m:f>
        <m:r>
          <w:rPr>
            <w:rFonts w:ascii="Cambria Math" w:eastAsiaTheme="minorEastAsia" w:hAnsi="Cambria Math"/>
            <w:color w:val="000000" w:themeColor="text1"/>
          </w:rPr>
          <m:t>=0</m:t>
        </m:r>
      </m:oMath>
      <w:r w:rsidRPr="00052599">
        <w:rPr>
          <w:rFonts w:eastAsiaTheme="minorEastAsia"/>
          <w:color w:val="000000" w:themeColor="text1"/>
        </w:rPr>
        <w:t xml:space="preserve">) and the variation of </w:t>
      </w:r>
      <m:oMath>
        <m:f>
          <m:fPr>
            <m:ctrlPr>
              <w:rPr>
                <w:rFonts w:ascii="Cambria Math" w:hAnsi="Cambria Math"/>
                <w:i/>
                <w:color w:val="000000" w:themeColor="text1"/>
              </w:rPr>
            </m:ctrlPr>
          </m:fPr>
          <m:num>
            <m:r>
              <w:rPr>
                <w:rFonts w:ascii="Cambria Math" w:hAnsi="Cambria Math"/>
                <w:color w:val="000000" w:themeColor="text1"/>
              </w:rPr>
              <m:t>r</m:t>
            </m:r>
          </m:num>
          <m:den>
            <m:sSub>
              <m:sSubPr>
                <m:ctrlPr>
                  <w:rPr>
                    <w:rFonts w:ascii="Cambria Math" w:hAnsi="Cambria Math"/>
                    <w:i/>
                    <w:color w:val="000000" w:themeColor="text1"/>
                  </w:rPr>
                </m:ctrlPr>
              </m:sSubPr>
              <m:e>
                <m:r>
                  <w:rPr>
                    <w:rFonts w:ascii="Cambria Math" w:hAnsi="Cambria Math"/>
                    <w:color w:val="000000" w:themeColor="text1"/>
                  </w:rPr>
                  <m:t>r</m:t>
                </m:r>
              </m:e>
              <m:sub>
                <m:func>
                  <m:funcPr>
                    <m:ctrlPr>
                      <w:rPr>
                        <w:rFonts w:ascii="Cambria Math" w:hAnsi="Cambria Math"/>
                        <w:i/>
                        <w:color w:val="000000" w:themeColor="text1"/>
                      </w:rPr>
                    </m:ctrlPr>
                  </m:funcPr>
                  <m:fName>
                    <m:r>
                      <m:rPr>
                        <m:sty m:val="p"/>
                      </m:rPr>
                      <w:rPr>
                        <w:rFonts w:ascii="Cambria Math" w:hAnsi="Cambria Math"/>
                        <w:color w:val="000000" w:themeColor="text1"/>
                      </w:rPr>
                      <m:t>max</m:t>
                    </m:r>
                  </m:fName>
                  <m:e>
                    <m:r>
                      <w:rPr>
                        <w:rFonts w:ascii="Cambria Math" w:hAnsi="Cambria Math"/>
                        <w:color w:val="000000" w:themeColor="text1"/>
                      </w:rPr>
                      <m:t xml:space="preserve">at </m:t>
                    </m:r>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o</m:t>
                        </m:r>
                      </m:sub>
                    </m:sSub>
                  </m:e>
                </m:func>
              </m:sub>
            </m:sSub>
          </m:den>
        </m:f>
        <m:r>
          <w:rPr>
            <w:rFonts w:ascii="Cambria Math" w:hAnsi="Cambria Math"/>
            <w:color w:val="000000" w:themeColor="text1"/>
          </w:rPr>
          <m:t xml:space="preserve"> </m:t>
        </m:r>
      </m:oMath>
      <w:r w:rsidRPr="00052599">
        <w:rPr>
          <w:rFonts w:eastAsiaTheme="minorEastAsia"/>
          <w:iCs/>
          <w:color w:val="000000" w:themeColor="text1"/>
        </w:rPr>
        <w:t xml:space="preserve">as a function of the density of titrated sites is a decreasing straight line, i.e. constant TOF, as described by the Madon-Boudart criterion </w:t>
      </w:r>
      <w:r w:rsidRPr="00052599">
        <w:rPr>
          <w:rFonts w:eastAsiaTheme="minorEastAsia"/>
          <w:iCs/>
          <w:color w:val="000000" w:themeColor="text1"/>
        </w:rPr>
        <w:fldChar w:fldCharType="begin"/>
      </w:r>
      <w:r w:rsidR="00C54D4B">
        <w:rPr>
          <w:rFonts w:eastAsiaTheme="minorEastAsia"/>
          <w:iCs/>
          <w:color w:val="000000" w:themeColor="text1"/>
        </w:rPr>
        <w:instrText xml:space="preserve"> ADDIN EN.CITE &lt;EndNote&gt;&lt;Cite&gt;&lt;Author&gt;Madon&lt;/Author&gt;&lt;Year&gt;1982&lt;/Year&gt;&lt;RecNum&gt;13&lt;/RecNum&gt;&lt;DisplayText&gt;[123]&lt;/DisplayText&gt;&lt;record&gt;&lt;rec-number&gt;13&lt;/rec-number&gt;&lt;foreign-keys&gt;&lt;key app="EN" db-id="59dvwrfdof9dw8exf0kvp0atwazsazeeffsp" timestamp="1667538980"&gt;13&lt;/key&gt;&lt;/foreign-keys&gt;&lt;ref-type name="Journal Article"&gt;17&lt;/ref-type&gt;&lt;contributors&gt;&lt;authors&gt;&lt;author&gt;Rostam J. Madon&lt;/author&gt;&lt;author&gt;Michel Boudart&lt;/author&gt;&lt;/authors&gt;&lt;/contributors&gt;&lt;titles&gt;&lt;title&gt;Experimental criterion for the absence of artifacts in the measurement of rates of heterogeneous catalytic reactions&lt;/title&gt;&lt;secondary-title&gt;Industrial &amp;amp; Chemical Engineering Fundamentals&lt;/secondary-title&gt;&lt;/titles&gt;&lt;periodical&gt;&lt;full-title&gt;Industrial &amp;amp; Chemical Engineering Fundamentals&lt;/full-title&gt;&lt;/periodical&gt;&lt;pages&gt;438-447&lt;/pages&gt;&lt;volume&gt;21&lt;/volume&gt;&lt;dates&gt;&lt;year&gt;1982&lt;/year&gt;&lt;/dates&gt;&lt;urls&gt;&lt;/urls&gt;&lt;/record&gt;&lt;/Cite&gt;&lt;/EndNote&gt;</w:instrText>
      </w:r>
      <w:r w:rsidRPr="00052599">
        <w:rPr>
          <w:rFonts w:eastAsiaTheme="minorEastAsia"/>
          <w:iCs/>
          <w:color w:val="000000" w:themeColor="text1"/>
        </w:rPr>
        <w:fldChar w:fldCharType="separate"/>
      </w:r>
      <w:r w:rsidR="00C54D4B">
        <w:rPr>
          <w:rFonts w:eastAsiaTheme="minorEastAsia"/>
          <w:iCs/>
          <w:noProof/>
          <w:color w:val="000000" w:themeColor="text1"/>
        </w:rPr>
        <w:t>[</w:t>
      </w:r>
      <w:hyperlink w:anchor="_ENREF_123" w:tooltip="Madon, 1982 #13" w:history="1">
        <w:r w:rsidR="00D307FA">
          <w:rPr>
            <w:rFonts w:eastAsiaTheme="minorEastAsia"/>
            <w:iCs/>
            <w:noProof/>
            <w:color w:val="000000" w:themeColor="text1"/>
          </w:rPr>
          <w:t>123</w:t>
        </w:r>
      </w:hyperlink>
      <w:r w:rsidR="00C54D4B">
        <w:rPr>
          <w:rFonts w:eastAsiaTheme="minorEastAsia"/>
          <w:iCs/>
          <w:noProof/>
          <w:color w:val="000000" w:themeColor="text1"/>
        </w:rPr>
        <w:t>]</w:t>
      </w:r>
      <w:r w:rsidRPr="00052599">
        <w:rPr>
          <w:rFonts w:eastAsiaTheme="minorEastAsia"/>
          <w:iCs/>
          <w:color w:val="000000" w:themeColor="text1"/>
        </w:rPr>
        <w:fldChar w:fldCharType="end"/>
      </w:r>
      <w:r w:rsidRPr="00052599">
        <w:rPr>
          <w:rFonts w:eastAsiaTheme="minorEastAsia"/>
          <w:iCs/>
          <w:color w:val="000000" w:themeColor="text1"/>
        </w:rPr>
        <w:t xml:space="preserve">. However, as such limitations are present, a non-linear decay in rate takes place. The effectiveness factor is calculated based on an initial guess on </w:t>
      </w:r>
      <w:r w:rsidRPr="00052599">
        <w:rPr>
          <w:color w:val="000000" w:themeColor="text1"/>
        </w:rPr>
        <w:t>r</w:t>
      </w:r>
      <w:r w:rsidRPr="00052599">
        <w:rPr>
          <w:i/>
          <w:iCs/>
          <w:color w:val="000000" w:themeColor="text1"/>
          <w:vertAlign w:val="subscript"/>
        </w:rPr>
        <w:t>max</w:t>
      </w:r>
      <w:r w:rsidRPr="00052599">
        <w:rPr>
          <w:rStyle w:val="gmail-apple-converted-space"/>
          <w:color w:val="000000" w:themeColor="text1"/>
        </w:rPr>
        <w:t xml:space="preserve"> and adjusted </w:t>
      </w:r>
      <w:r>
        <w:rPr>
          <w:rStyle w:val="gmail-apple-converted-space"/>
          <w:color w:val="000000" w:themeColor="text1"/>
        </w:rPr>
        <w:t xml:space="preserve">by </w:t>
      </w:r>
      <w:r w:rsidRPr="00052599">
        <w:rPr>
          <w:rStyle w:val="gmail-apple-converted-space"/>
          <w:color w:val="000000" w:themeColor="text1"/>
        </w:rPr>
        <w:t xml:space="preserve">decreasing the error between the modeled and the experimental reaction rate. Thiele modulus changes respectively as a function of both </w:t>
      </w:r>
      <m:oMath>
        <m:r>
          <w:rPr>
            <w:rFonts w:ascii="Cambria Math" w:eastAsiaTheme="minorEastAsia" w:hAnsi="Cambria Math"/>
            <w:color w:val="000000" w:themeColor="text1"/>
          </w:rPr>
          <m:t>η</m:t>
        </m:r>
      </m:oMath>
      <w:r w:rsidRPr="00052599">
        <w:rPr>
          <w:color w:val="000000" w:themeColor="text1"/>
        </w:rPr>
        <w:t xml:space="preserve"> and site density.</w:t>
      </w:r>
    </w:p>
    <w:p w14:paraId="4F4FC975" w14:textId="77777777" w:rsidR="00A35A08" w:rsidRPr="00052599" w:rsidRDefault="00A35A08" w:rsidP="00041564">
      <w:pPr>
        <w:spacing w:line="480" w:lineRule="auto"/>
        <w:ind w:firstLine="720"/>
        <w:jc w:val="both"/>
        <w:rPr>
          <w:rFonts w:eastAsiaTheme="minorEastAsia"/>
        </w:rPr>
      </w:pPr>
      <w:r w:rsidRPr="00052599">
        <w:rPr>
          <w:rFonts w:eastAsiaTheme="minorEastAsia"/>
        </w:rPr>
        <w:t>The numerical integration</w:t>
      </w:r>
      <w:r>
        <w:rPr>
          <w:rFonts w:eastAsiaTheme="minorEastAsia"/>
        </w:rPr>
        <w:t xml:space="preserve"> resolution</w:t>
      </w:r>
      <w:r w:rsidRPr="00052599">
        <w:rPr>
          <w:rFonts w:eastAsiaTheme="minorEastAsia"/>
        </w:rPr>
        <w:t xml:space="preserve"> is constituted of two boundary conditions for both models:</w:t>
      </w:r>
    </w:p>
    <w:p w14:paraId="42F077D4" w14:textId="77777777" w:rsidR="00A35A08" w:rsidRPr="00052599" w:rsidRDefault="00A35A08" w:rsidP="00041564">
      <w:pPr>
        <w:spacing w:line="480" w:lineRule="auto"/>
        <w:jc w:val="both"/>
        <w:rPr>
          <w:rFonts w:eastAsiaTheme="minorEastAsia"/>
        </w:rPr>
      </w:pPr>
      <w:r w:rsidRPr="00052599">
        <w:tab/>
        <w:t>1</w:t>
      </w:r>
      <w:r w:rsidRPr="00052599">
        <w:rPr>
          <w:vertAlign w:val="superscript"/>
        </w:rPr>
        <w:t>st</w:t>
      </w:r>
      <w:r w:rsidRPr="00052599">
        <w:t xml:space="preserve">: </w:t>
      </w:r>
      <m:oMath>
        <m:sSub>
          <m:sSubPr>
            <m:ctrlPr>
              <w:rPr>
                <w:rFonts w:ascii="Cambria Math" w:eastAsiaTheme="minorEastAsia" w:hAnsi="Cambria Math"/>
                <w:i/>
                <w:lang w:val="pt-BR"/>
              </w:rPr>
            </m:ctrlPr>
          </m:sSubPr>
          <m:e>
            <m:d>
              <m:dPr>
                <m:begChr m:val=""/>
                <m:endChr m:val="|"/>
                <m:ctrlPr>
                  <w:rPr>
                    <w:rFonts w:ascii="Cambria Math" w:eastAsiaTheme="minorEastAsia" w:hAnsi="Cambria Math"/>
                    <w:i/>
                    <w:lang w:val="pt-BR"/>
                  </w:rPr>
                </m:ctrlPr>
              </m:dPr>
              <m:e>
                <m:sSup>
                  <m:sSupPr>
                    <m:ctrlPr>
                      <w:rPr>
                        <w:rFonts w:ascii="Cambria Math" w:eastAsiaTheme="minorEastAsia" w:hAnsi="Cambria Math"/>
                        <w:i/>
                        <w:lang w:val="pt-BR"/>
                      </w:rPr>
                    </m:ctrlPr>
                  </m:sSupPr>
                  <m:e>
                    <m:r>
                      <w:rPr>
                        <w:rFonts w:ascii="Cambria Math" w:eastAsiaTheme="minorEastAsia" w:hAnsi="Cambria Math"/>
                        <w:lang w:val="pt-BR"/>
                      </w:rPr>
                      <m:t>C</m:t>
                    </m:r>
                  </m:e>
                  <m:sup>
                    <m:r>
                      <w:rPr>
                        <w:rFonts w:ascii="Cambria Math" w:eastAsiaTheme="minorEastAsia" w:hAnsi="Cambria Math"/>
                      </w:rPr>
                      <m:t>'</m:t>
                    </m:r>
                  </m:sup>
                </m:sSup>
              </m:e>
            </m:d>
          </m:e>
          <m:sub>
            <m:r>
              <w:rPr>
                <w:rFonts w:ascii="Cambria Math" w:eastAsiaTheme="minorEastAsia" w:hAnsi="Cambria Math"/>
                <w:lang w:val="pt-BR"/>
              </w:rPr>
              <m:t>λ</m:t>
            </m:r>
            <m:r>
              <w:rPr>
                <w:rFonts w:ascii="Cambria Math" w:eastAsiaTheme="minorEastAsia" w:hAnsi="Cambria Math"/>
              </w:rPr>
              <m:t>=0</m:t>
            </m:r>
          </m:sub>
        </m:sSub>
        <m:r>
          <w:rPr>
            <w:rFonts w:ascii="Cambria Math" w:eastAsiaTheme="minorEastAsia" w:hAnsi="Cambria Math"/>
          </w:rPr>
          <m:t>=0</m:t>
        </m:r>
      </m:oMath>
      <w:r w:rsidRPr="00052599">
        <w:rPr>
          <w:rFonts w:eastAsiaTheme="minorEastAsia"/>
        </w:rPr>
        <w:t>;</w:t>
      </w:r>
    </w:p>
    <w:p w14:paraId="1E31D031" w14:textId="77777777" w:rsidR="00A35A08" w:rsidRPr="00052599" w:rsidRDefault="00A35A08" w:rsidP="00041564">
      <w:pPr>
        <w:spacing w:line="480" w:lineRule="auto"/>
        <w:jc w:val="both"/>
        <w:rPr>
          <w:rFonts w:eastAsiaTheme="minorEastAsia"/>
        </w:rPr>
      </w:pPr>
      <w:r w:rsidRPr="00052599">
        <w:rPr>
          <w:rFonts w:eastAsiaTheme="minorEastAsia"/>
        </w:rPr>
        <w:tab/>
        <w:t>2</w:t>
      </w:r>
      <w:r w:rsidRPr="00052599">
        <w:rPr>
          <w:rFonts w:eastAsiaTheme="minorEastAsia"/>
          <w:vertAlign w:val="superscript"/>
        </w:rPr>
        <w:t>nd</w:t>
      </w:r>
      <w:r w:rsidRPr="00052599">
        <w:rPr>
          <w:rFonts w:eastAsiaTheme="minorEastAsia"/>
        </w:rPr>
        <w:t xml:space="preserve">: </w:t>
      </w:r>
      <m:oMath>
        <m:sSub>
          <m:sSubPr>
            <m:ctrlPr>
              <w:rPr>
                <w:rFonts w:ascii="Cambria Math" w:eastAsiaTheme="minorEastAsia" w:hAnsi="Cambria Math"/>
                <w:i/>
                <w:lang w:val="pt-BR"/>
              </w:rPr>
            </m:ctrlPr>
          </m:sSubPr>
          <m:e>
            <m:d>
              <m:dPr>
                <m:begChr m:val=""/>
                <m:endChr m:val="|"/>
                <m:ctrlPr>
                  <w:rPr>
                    <w:rFonts w:ascii="Cambria Math" w:eastAsiaTheme="minorEastAsia" w:hAnsi="Cambria Math"/>
                    <w:i/>
                    <w:lang w:val="pt-BR"/>
                  </w:rPr>
                </m:ctrlPr>
              </m:dPr>
              <m:e>
                <m:r>
                  <w:rPr>
                    <w:rFonts w:ascii="Cambria Math" w:eastAsiaTheme="minorEastAsia" w:hAnsi="Cambria Math"/>
                    <w:lang w:val="pt-BR"/>
                  </w:rPr>
                  <m:t>C</m:t>
                </m:r>
              </m:e>
            </m:d>
          </m:e>
          <m:sub>
            <m:r>
              <w:rPr>
                <w:rFonts w:ascii="Cambria Math" w:eastAsiaTheme="minorEastAsia" w:hAnsi="Cambria Math"/>
                <w:lang w:val="pt-BR"/>
              </w:rPr>
              <m:t>λ</m:t>
            </m:r>
            <m:r>
              <w:rPr>
                <w:rFonts w:ascii="Cambria Math" w:eastAsiaTheme="minorEastAsia" w:hAnsi="Cambria Math"/>
              </w:rPr>
              <m:t>=1</m:t>
            </m:r>
          </m:sub>
        </m:sSub>
        <m:r>
          <w:rPr>
            <w:rFonts w:ascii="Cambria Math" w:eastAsiaTheme="minorEastAsia" w:hAnsi="Cambria Math"/>
          </w:rPr>
          <m:t>=1.</m:t>
        </m:r>
      </m:oMath>
    </w:p>
    <w:p w14:paraId="780CA8E9" w14:textId="22101C98" w:rsidR="00A35A08" w:rsidRPr="00052599" w:rsidRDefault="00A35A08" w:rsidP="00041564">
      <w:pPr>
        <w:spacing w:line="480" w:lineRule="auto"/>
        <w:ind w:firstLine="720"/>
        <w:jc w:val="both"/>
        <w:rPr>
          <w:rFonts w:eastAsiaTheme="minorEastAsia"/>
        </w:rPr>
      </w:pPr>
      <w:r w:rsidRPr="00052599">
        <w:rPr>
          <w:rFonts w:eastAsiaTheme="minorEastAsia"/>
        </w:rPr>
        <w:lastRenderedPageBreak/>
        <w:t>In words, the first considers no concentration gradient in the particle center, and the second affirm a unit value for the dimensionless reactant concentration (</w:t>
      </w:r>
      <m:oMath>
        <m:sSub>
          <m:sSubPr>
            <m:ctrlPr>
              <w:rPr>
                <w:rFonts w:ascii="Cambria Math" w:eastAsiaTheme="minorEastAsia" w:hAnsi="Cambria Math"/>
                <w:i/>
                <w:lang w:val="pt-BR"/>
              </w:rPr>
            </m:ctrlPr>
          </m:sSubPr>
          <m:e>
            <m:d>
              <m:dPr>
                <m:begChr m:val=""/>
                <m:endChr m:val="|"/>
                <m:ctrlPr>
                  <w:rPr>
                    <w:rFonts w:ascii="Cambria Math" w:eastAsiaTheme="minorEastAsia" w:hAnsi="Cambria Math"/>
                    <w:i/>
                    <w:lang w:val="pt-BR"/>
                  </w:rPr>
                </m:ctrlPr>
              </m:dPr>
              <m:e>
                <m:sSub>
                  <m:sSubPr>
                    <m:ctrlPr>
                      <w:rPr>
                        <w:rFonts w:ascii="Cambria Math" w:eastAsiaTheme="minorEastAsia" w:hAnsi="Cambria Math"/>
                        <w:i/>
                        <w:lang w:val="pt-BR"/>
                      </w:rPr>
                    </m:ctrlPr>
                  </m:sSubPr>
                  <m:e>
                    <m:r>
                      <w:rPr>
                        <w:rFonts w:ascii="Cambria Math" w:eastAsiaTheme="minorEastAsia" w:hAnsi="Cambria Math"/>
                        <w:lang w:val="pt-BR"/>
                      </w:rPr>
                      <m:t>C</m:t>
                    </m:r>
                  </m:e>
                  <m:sub>
                    <m:r>
                      <w:rPr>
                        <w:rFonts w:ascii="Cambria Math" w:eastAsiaTheme="minorEastAsia" w:hAnsi="Cambria Math"/>
                        <w:lang w:val="pt-BR"/>
                      </w:rPr>
                      <m:t>A</m:t>
                    </m:r>
                  </m:sub>
                </m:sSub>
              </m:e>
            </m:d>
          </m:e>
          <m:sub>
            <m:r>
              <w:rPr>
                <w:rFonts w:ascii="Cambria Math" w:eastAsiaTheme="minorEastAsia" w:hAnsi="Cambria Math"/>
                <w:lang w:val="pt-BR"/>
              </w:rPr>
              <m:t>R</m:t>
            </m:r>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lang w:val="pt-BR"/>
              </w:rPr>
            </m:ctrlPr>
          </m:sSubPr>
          <m:e>
            <m:r>
              <w:rPr>
                <w:rFonts w:ascii="Cambria Math" w:eastAsiaTheme="minorEastAsia" w:hAnsi="Cambria Math"/>
                <w:lang w:val="pt-BR"/>
              </w:rPr>
              <m:t>C</m:t>
            </m:r>
          </m:e>
          <m:sub>
            <m:r>
              <w:rPr>
                <w:rFonts w:ascii="Cambria Math" w:eastAsiaTheme="minorEastAsia" w:hAnsi="Cambria Math"/>
                <w:lang w:val="pt-BR"/>
              </w:rPr>
              <m:t>A</m:t>
            </m:r>
            <m:r>
              <w:rPr>
                <w:rFonts w:ascii="Cambria Math" w:eastAsiaTheme="minorEastAsia" w:hAnsi="Cambria Math"/>
              </w:rPr>
              <m:t xml:space="preserve"> max</m:t>
            </m:r>
          </m:sub>
        </m:sSub>
      </m:oMath>
      <w:r w:rsidRPr="00052599">
        <w:rPr>
          <w:rFonts w:eastAsiaTheme="minorEastAsia"/>
        </w:rPr>
        <w:t xml:space="preserve">) at the particle outer </w:t>
      </w:r>
      <w:r w:rsidRPr="00C80AAF">
        <w:rPr>
          <w:rFonts w:eastAsiaTheme="minorEastAsia"/>
        </w:rPr>
        <w:t>surface (</w:t>
      </w:r>
      <m:oMath>
        <m:r>
          <w:rPr>
            <w:rFonts w:ascii="Cambria Math" w:eastAsiaTheme="minorEastAsia" w:hAnsi="Cambria Math"/>
          </w:rPr>
          <m:t>r=R</m:t>
        </m:r>
      </m:oMath>
      <w:r w:rsidRPr="00C80AAF">
        <w:rPr>
          <w:rFonts w:eastAsiaTheme="minorEastAsia"/>
        </w:rPr>
        <w:t xml:space="preserve">). The last agrees that no external diffusion limitations are present in the system. </w:t>
      </w:r>
      <w:r w:rsidRPr="00C80AAF">
        <w:rPr>
          <w:rFonts w:eastAsiaTheme="minorEastAsia"/>
          <w:b/>
          <w:bCs/>
        </w:rPr>
        <w:t xml:space="preserve">Figure </w:t>
      </w:r>
      <w:r w:rsidR="00820226" w:rsidRPr="00C80AAF">
        <w:rPr>
          <w:rFonts w:eastAsiaTheme="minorEastAsia"/>
          <w:b/>
          <w:bCs/>
        </w:rPr>
        <w:t>15</w:t>
      </w:r>
      <w:r w:rsidRPr="00C80AAF">
        <w:rPr>
          <w:rFonts w:eastAsiaTheme="minorEastAsia"/>
        </w:rPr>
        <w:t xml:space="preserve"> shows the rate decay profile for</w:t>
      </w:r>
      <w:r w:rsidRPr="00052599">
        <w:rPr>
          <w:rFonts w:eastAsiaTheme="minorEastAsia"/>
        </w:rPr>
        <w:t xml:space="preserve"> both titration models as a function of percentage of titrated sites. The Shrinking Core model shows </w:t>
      </w:r>
      <w:r w:rsidR="006D1DF0">
        <w:rPr>
          <w:rFonts w:eastAsiaTheme="minorEastAsia"/>
        </w:rPr>
        <w:t xml:space="preserve">a </w:t>
      </w:r>
      <w:r w:rsidRPr="00052599">
        <w:rPr>
          <w:rFonts w:eastAsiaTheme="minorEastAsia"/>
        </w:rPr>
        <w:t xml:space="preserve">sharp drop in rate even with a system with no MTL, not </w:t>
      </w:r>
      <w:r>
        <w:rPr>
          <w:rFonts w:eastAsiaTheme="minorEastAsia"/>
        </w:rPr>
        <w:t>observed</w:t>
      </w:r>
      <w:r w:rsidRPr="00052599">
        <w:rPr>
          <w:rFonts w:eastAsiaTheme="minorEastAsia"/>
        </w:rPr>
        <w:t xml:space="preserve"> </w:t>
      </w:r>
      <w:r>
        <w:rPr>
          <w:rFonts w:eastAsiaTheme="minorEastAsia"/>
        </w:rPr>
        <w:t xml:space="preserve">by </w:t>
      </w:r>
      <w:r w:rsidRPr="00052599">
        <w:rPr>
          <w:rFonts w:eastAsiaTheme="minorEastAsia"/>
        </w:rPr>
        <w:t>Madon-Boudart and also in other works in literature. One might expect the Uniform type of titration, but the second model is considered and mentioned for research purposes. As observed, the two models has a different rate decay with or without titration which can be easily identified by plotting the experimental catalytic results as a function of titrant uptake. Thiele modulus is later calculated and optimized by using the proposed models.</w:t>
      </w:r>
    </w:p>
    <w:p w14:paraId="18B8ECEE" w14:textId="77777777" w:rsidR="00A35A08" w:rsidRPr="00790C28" w:rsidRDefault="00A35A08" w:rsidP="00617D5F">
      <w:pPr>
        <w:keepNext/>
        <w:jc w:val="center"/>
      </w:pPr>
      <w:r w:rsidRPr="00790C28">
        <w:rPr>
          <w:noProof/>
        </w:rPr>
        <w:drawing>
          <wp:inline distT="0" distB="0" distL="0" distR="0" wp14:anchorId="07BA5E5D" wp14:editId="23801D4C">
            <wp:extent cx="5453469" cy="1783080"/>
            <wp:effectExtent l="0" t="0" r="0" b="7620"/>
            <wp:docPr id="26" name="Picture 2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53469" cy="1783080"/>
                    </a:xfrm>
                    <a:prstGeom prst="rect">
                      <a:avLst/>
                    </a:prstGeom>
                    <a:noFill/>
                  </pic:spPr>
                </pic:pic>
              </a:graphicData>
            </a:graphic>
          </wp:inline>
        </w:drawing>
      </w:r>
    </w:p>
    <w:p w14:paraId="09662AB9" w14:textId="224C5D13" w:rsidR="00A35A08" w:rsidRPr="00790C28" w:rsidRDefault="00A35A08" w:rsidP="00617D5F">
      <w:pPr>
        <w:pStyle w:val="Caption"/>
        <w:jc w:val="both"/>
        <w:rPr>
          <w:i w:val="0"/>
          <w:iCs w:val="0"/>
          <w:color w:val="auto"/>
          <w:sz w:val="24"/>
          <w:szCs w:val="24"/>
        </w:rPr>
      </w:pPr>
      <w:bookmarkStart w:id="32" w:name="_Toc131948679"/>
      <w:r w:rsidRPr="00790C28">
        <w:rPr>
          <w:b/>
          <w:bCs/>
          <w:i w:val="0"/>
          <w:iCs w:val="0"/>
          <w:color w:val="auto"/>
          <w:sz w:val="24"/>
          <w:szCs w:val="24"/>
        </w:rPr>
        <w:t xml:space="preserve">Figure </w:t>
      </w:r>
      <w:r w:rsidRPr="00790C28">
        <w:rPr>
          <w:b/>
          <w:bCs/>
          <w:i w:val="0"/>
          <w:iCs w:val="0"/>
          <w:color w:val="auto"/>
          <w:sz w:val="24"/>
          <w:szCs w:val="24"/>
        </w:rPr>
        <w:fldChar w:fldCharType="begin"/>
      </w:r>
      <w:r w:rsidRPr="00790C28">
        <w:rPr>
          <w:b/>
          <w:bCs/>
          <w:i w:val="0"/>
          <w:iCs w:val="0"/>
          <w:color w:val="auto"/>
          <w:sz w:val="24"/>
          <w:szCs w:val="24"/>
        </w:rPr>
        <w:instrText xml:space="preserve"> SEQ Figure \* ARABIC </w:instrText>
      </w:r>
      <w:r w:rsidRPr="00790C28">
        <w:rPr>
          <w:b/>
          <w:bCs/>
          <w:i w:val="0"/>
          <w:iCs w:val="0"/>
          <w:color w:val="auto"/>
          <w:sz w:val="24"/>
          <w:szCs w:val="24"/>
        </w:rPr>
        <w:fldChar w:fldCharType="separate"/>
      </w:r>
      <w:r w:rsidR="001F4741">
        <w:rPr>
          <w:b/>
          <w:bCs/>
          <w:i w:val="0"/>
          <w:iCs w:val="0"/>
          <w:noProof/>
          <w:color w:val="auto"/>
          <w:sz w:val="24"/>
          <w:szCs w:val="24"/>
        </w:rPr>
        <w:t>15</w:t>
      </w:r>
      <w:r w:rsidRPr="00790C28">
        <w:rPr>
          <w:b/>
          <w:bCs/>
          <w:i w:val="0"/>
          <w:iCs w:val="0"/>
          <w:color w:val="auto"/>
          <w:sz w:val="24"/>
          <w:szCs w:val="24"/>
        </w:rPr>
        <w:fldChar w:fldCharType="end"/>
      </w:r>
      <w:r w:rsidRPr="00790C28">
        <w:rPr>
          <w:b/>
          <w:bCs/>
          <w:i w:val="0"/>
          <w:iCs w:val="0"/>
          <w:color w:val="auto"/>
          <w:sz w:val="24"/>
          <w:szCs w:val="24"/>
        </w:rPr>
        <w:t>:</w:t>
      </w:r>
      <w:r w:rsidRPr="00790C28">
        <w:rPr>
          <w:i w:val="0"/>
          <w:iCs w:val="0"/>
          <w:color w:val="auto"/>
          <w:sz w:val="24"/>
          <w:szCs w:val="24"/>
        </w:rPr>
        <w:t xml:space="preserve"> Reaction rate profile as a function of titrant uptake for Uniform Titration model (‘a)’) and Shrinking Core model (‘b)’). Generated by the author with representative value</w:t>
      </w:r>
      <w:r w:rsidR="00703A9A">
        <w:rPr>
          <w:i w:val="0"/>
          <w:iCs w:val="0"/>
          <w:color w:val="auto"/>
          <w:sz w:val="24"/>
          <w:szCs w:val="24"/>
        </w:rPr>
        <w:t>s</w:t>
      </w:r>
      <w:r w:rsidRPr="00790C28">
        <w:rPr>
          <w:i w:val="0"/>
          <w:iCs w:val="0"/>
          <w:color w:val="auto"/>
          <w:sz w:val="24"/>
          <w:szCs w:val="24"/>
        </w:rPr>
        <w:t xml:space="preserve"> for Thiele modulus.</w:t>
      </w:r>
      <w:bookmarkEnd w:id="32"/>
    </w:p>
    <w:p w14:paraId="2F81C0E4" w14:textId="04B36934" w:rsidR="00A35A08" w:rsidRDefault="00A35A08" w:rsidP="00041564">
      <w:pPr>
        <w:spacing w:line="480" w:lineRule="auto"/>
        <w:jc w:val="both"/>
        <w:rPr>
          <w:b/>
          <w:bCs/>
        </w:rPr>
      </w:pPr>
    </w:p>
    <w:p w14:paraId="71D79713" w14:textId="77777777" w:rsidR="00617D5F" w:rsidRPr="00C8056B" w:rsidRDefault="00617D5F" w:rsidP="00041564">
      <w:pPr>
        <w:spacing w:line="480" w:lineRule="auto"/>
        <w:jc w:val="both"/>
        <w:rPr>
          <w:b/>
          <w:bCs/>
        </w:rPr>
      </w:pPr>
    </w:p>
    <w:p w14:paraId="1FD1C1D2" w14:textId="77777777" w:rsidR="00A35A08" w:rsidRPr="00A41B52" w:rsidRDefault="00A35A08" w:rsidP="00A41B52">
      <w:pPr>
        <w:pStyle w:val="Heading2"/>
        <w:rPr>
          <w:i w:val="0"/>
          <w:iCs/>
          <w:sz w:val="28"/>
          <w:szCs w:val="28"/>
        </w:rPr>
      </w:pPr>
      <w:bookmarkStart w:id="33" w:name="_Toc132924188"/>
      <w:r w:rsidRPr="00A41B52">
        <w:rPr>
          <w:i w:val="0"/>
          <w:iCs/>
          <w:sz w:val="28"/>
          <w:szCs w:val="28"/>
        </w:rPr>
        <w:lastRenderedPageBreak/>
        <w:t>2.3 Experimental Methods</w:t>
      </w:r>
      <w:bookmarkEnd w:id="33"/>
    </w:p>
    <w:p w14:paraId="4D056AB5" w14:textId="77777777" w:rsidR="00A35A08" w:rsidRPr="000C0C64" w:rsidRDefault="00A35A08" w:rsidP="00A41B52">
      <w:pPr>
        <w:pStyle w:val="Heading3"/>
        <w:rPr>
          <w:i w:val="0"/>
          <w:iCs/>
          <w:u w:val="single"/>
        </w:rPr>
      </w:pPr>
      <w:bookmarkStart w:id="34" w:name="_Toc132924189"/>
      <w:r w:rsidRPr="000C0C64">
        <w:rPr>
          <w:i w:val="0"/>
          <w:iCs/>
          <w:u w:val="single"/>
        </w:rPr>
        <w:t>2.3.1 Chemicals and Materials</w:t>
      </w:r>
      <w:bookmarkEnd w:id="34"/>
    </w:p>
    <w:p w14:paraId="63DB7E4A" w14:textId="77777777" w:rsidR="00A35A08" w:rsidRPr="009566B6" w:rsidRDefault="00A35A08" w:rsidP="00041564">
      <w:pPr>
        <w:spacing w:line="480" w:lineRule="auto"/>
        <w:ind w:firstLine="720"/>
        <w:jc w:val="both"/>
      </w:pPr>
      <w:r w:rsidRPr="009566B6">
        <w:t>The zeolites used were obtained directly from Zeolyst International in their NH</w:t>
      </w:r>
      <w:r w:rsidRPr="009566B6">
        <w:rPr>
          <w:vertAlign w:val="subscript"/>
        </w:rPr>
        <w:t>4</w:t>
      </w:r>
      <w:r w:rsidRPr="009566B6">
        <w:rPr>
          <w:vertAlign w:val="superscript"/>
        </w:rPr>
        <w:t>+</w:t>
      </w:r>
      <w:r w:rsidRPr="009566B6">
        <w:t>-form and used after thermal pre-treatment: ZSM5 (CBV</w:t>
      </w:r>
      <w:r>
        <w:t xml:space="preserve"> </w:t>
      </w:r>
      <w:r w:rsidRPr="009566B6">
        <w:t>28014, Si/Al=140, and CBV</w:t>
      </w:r>
      <w:r>
        <w:t xml:space="preserve"> </w:t>
      </w:r>
      <w:r w:rsidRPr="009566B6">
        <w:t>8014, Si/Al=40) and Y (CBV</w:t>
      </w:r>
      <w:r>
        <w:t xml:space="preserve"> </w:t>
      </w:r>
      <w:r w:rsidRPr="009566B6">
        <w:t xml:space="preserve">760, Si/Al=30). </w:t>
      </w:r>
      <w:r>
        <w:t xml:space="preserve">The catalysts will be denoted here and on as Z140 (ZSM5 Si/Al=140), Z40 (ZSM5 Si/Al=140) and Y30 (Y Si/Al=30). </w:t>
      </w:r>
      <w:r w:rsidRPr="009566B6">
        <w:t xml:space="preserve">All chemicals were purchased from Sigma Aldrich and used as provided: cyclopentanone (&gt;99%), acetone (HPLC grade, &gt;99%), cyclohexane (HPLC grade, 99.9%), </w:t>
      </w:r>
      <w:r>
        <w:t xml:space="preserve">phenol (&gt;99%), </w:t>
      </w:r>
      <w:r w:rsidRPr="009566B6">
        <w:t xml:space="preserve">pyridine (&gt;99%), and sodium nitrate. </w:t>
      </w:r>
    </w:p>
    <w:p w14:paraId="7688C33B" w14:textId="77777777" w:rsidR="00A35A08" w:rsidRPr="00D44A7D" w:rsidRDefault="00A35A08" w:rsidP="00A41B52">
      <w:pPr>
        <w:pStyle w:val="Heading3"/>
        <w:rPr>
          <w:i w:val="0"/>
          <w:iCs/>
          <w:u w:val="single"/>
        </w:rPr>
      </w:pPr>
      <w:bookmarkStart w:id="35" w:name="_Toc132924190"/>
      <w:r w:rsidRPr="00D44A7D">
        <w:rPr>
          <w:i w:val="0"/>
          <w:iCs/>
          <w:u w:val="single"/>
        </w:rPr>
        <w:t>2.3.2 Catalyst Preparation</w:t>
      </w:r>
      <w:bookmarkEnd w:id="35"/>
      <w:r w:rsidRPr="00D44A7D">
        <w:rPr>
          <w:i w:val="0"/>
          <w:iCs/>
          <w:u w:val="single"/>
        </w:rPr>
        <w:t xml:space="preserve"> </w:t>
      </w:r>
    </w:p>
    <w:p w14:paraId="77B6B347" w14:textId="430912E4" w:rsidR="00A35A08" w:rsidRPr="009566B6" w:rsidRDefault="00A35A08" w:rsidP="00041564">
      <w:pPr>
        <w:spacing w:line="480" w:lineRule="auto"/>
        <w:ind w:firstLine="720"/>
        <w:jc w:val="both"/>
      </w:pPr>
      <w:r w:rsidRPr="009566B6">
        <w:t xml:space="preserve">To obtain the proton form of the two zeolites, calcination of the ammonium form samples was performed at 550 </w:t>
      </w:r>
      <w:r w:rsidRPr="009566B6">
        <w:rPr>
          <w:vertAlign w:val="superscript"/>
        </w:rPr>
        <w:t>o</w:t>
      </w:r>
      <w:r w:rsidRPr="009566B6">
        <w:t>C for 5 h in 150mL/min air flow. A series of partially Na-titrated samples were obtained from each of these proton form zeolites by conducting Na-exchanges at varying concentrations. In each case, the parent H-Y or H-ZSM5 zeolite was exposed to a solution containing different Na</w:t>
      </w:r>
      <w:r w:rsidR="00CA3373">
        <w:t>NO</w:t>
      </w:r>
      <w:r w:rsidR="00CA3373" w:rsidRPr="00CA3373">
        <w:rPr>
          <w:vertAlign w:val="subscript"/>
        </w:rPr>
        <w:t>3</w:t>
      </w:r>
      <w:r w:rsidRPr="009566B6">
        <w:t xml:space="preserve"> concentrations at room temperature for 1 h. Then, the exchanged sample was washed with deionized water and dried overnight in a vacuum oven at 80 </w:t>
      </w:r>
      <w:r w:rsidRPr="009566B6">
        <w:rPr>
          <w:vertAlign w:val="superscript"/>
        </w:rPr>
        <w:t>o</w:t>
      </w:r>
      <w:r w:rsidRPr="009566B6">
        <w:t xml:space="preserve">C. To reach higher levels of exchange avoiding Na precipitation and pore plugging some samples were subject to sequential exchanges. In these cases, intermediate calcination steps were performed at 300 </w:t>
      </w:r>
      <w:r w:rsidRPr="009566B6">
        <w:rPr>
          <w:vertAlign w:val="superscript"/>
        </w:rPr>
        <w:t>o</w:t>
      </w:r>
      <w:r w:rsidRPr="009566B6">
        <w:t>C to remove excess of water and impurities before the following exchange.</w:t>
      </w:r>
    </w:p>
    <w:p w14:paraId="3708ACF2" w14:textId="77777777" w:rsidR="00A35A08" w:rsidRPr="00D44A7D" w:rsidRDefault="00A35A08" w:rsidP="00A41B52">
      <w:pPr>
        <w:pStyle w:val="Heading3"/>
        <w:rPr>
          <w:i w:val="0"/>
          <w:iCs/>
          <w:u w:val="single"/>
        </w:rPr>
      </w:pPr>
      <w:bookmarkStart w:id="36" w:name="_Toc132924191"/>
      <w:r w:rsidRPr="00D44A7D">
        <w:rPr>
          <w:i w:val="0"/>
          <w:iCs/>
          <w:u w:val="single"/>
        </w:rPr>
        <w:t>2.3.3 Site-density Quantification</w:t>
      </w:r>
      <w:bookmarkEnd w:id="36"/>
    </w:p>
    <w:p w14:paraId="62DF8705" w14:textId="2F8302D5" w:rsidR="00A35A08" w:rsidRPr="00544A30" w:rsidRDefault="00A35A08" w:rsidP="00041564">
      <w:pPr>
        <w:spacing w:line="480" w:lineRule="auto"/>
        <w:ind w:firstLine="720"/>
        <w:jc w:val="both"/>
      </w:pPr>
      <w:r w:rsidRPr="009566B6">
        <w:t xml:space="preserve">BAS density of each zeolite </w:t>
      </w:r>
      <w:r>
        <w:t xml:space="preserve">was obtained through the </w:t>
      </w:r>
      <w:r w:rsidRPr="009566B6">
        <w:t xml:space="preserve">temperature programmed decomposition of adsorbed isopropyl-amine (IPA-TPD). Such technique relies on the </w:t>
      </w:r>
      <w:r w:rsidRPr="009566B6">
        <w:lastRenderedPageBreak/>
        <w:t xml:space="preserve">stoichiometry adsorption of one IPA into one active site. At high temperatures IPA </w:t>
      </w:r>
      <w:r w:rsidRPr="00C80AAF">
        <w:t>undergoes through Hoffman elimination and propylene leaves as one of the products (</w:t>
      </w:r>
      <w:r w:rsidRPr="00C80AAF">
        <w:rPr>
          <w:b/>
          <w:bCs/>
        </w:rPr>
        <w:t xml:space="preserve">Figure </w:t>
      </w:r>
      <w:r w:rsidR="00820226" w:rsidRPr="00C80AAF">
        <w:rPr>
          <w:b/>
          <w:bCs/>
        </w:rPr>
        <w:t>16</w:t>
      </w:r>
      <w:r w:rsidRPr="00C80AAF">
        <w:t>). By using</w:t>
      </w:r>
      <w:r w:rsidRPr="00544A30">
        <w:t xml:space="preserve"> a mass spectroscopy (MS), one is able to track the propylene amount as a function of temperature (or time).</w:t>
      </w:r>
    </w:p>
    <w:p w14:paraId="344BB31E" w14:textId="77777777" w:rsidR="00A35A08" w:rsidRDefault="00A35A08" w:rsidP="00617D5F">
      <w:pPr>
        <w:keepNext/>
        <w:jc w:val="center"/>
      </w:pPr>
      <w:r>
        <w:rPr>
          <w:noProof/>
        </w:rPr>
        <w:drawing>
          <wp:inline distT="0" distB="0" distL="0" distR="0" wp14:anchorId="30965932" wp14:editId="12E8AFEE">
            <wp:extent cx="2860179" cy="1005840"/>
            <wp:effectExtent l="0" t="0" r="0" b="0"/>
            <wp:docPr id="43" name="Picture 43"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arrow&#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60179" cy="1005840"/>
                    </a:xfrm>
                    <a:prstGeom prst="rect">
                      <a:avLst/>
                    </a:prstGeom>
                    <a:noFill/>
                  </pic:spPr>
                </pic:pic>
              </a:graphicData>
            </a:graphic>
          </wp:inline>
        </w:drawing>
      </w:r>
    </w:p>
    <w:p w14:paraId="572359BE" w14:textId="284FFE60" w:rsidR="00A35A08" w:rsidRPr="00544A30" w:rsidRDefault="00A35A08" w:rsidP="00617D5F">
      <w:pPr>
        <w:pStyle w:val="Caption"/>
        <w:jc w:val="center"/>
        <w:rPr>
          <w:i w:val="0"/>
          <w:iCs w:val="0"/>
          <w:color w:val="auto"/>
          <w:sz w:val="24"/>
          <w:szCs w:val="24"/>
        </w:rPr>
      </w:pPr>
      <w:bookmarkStart w:id="37" w:name="_Toc131948680"/>
      <w:r w:rsidRPr="00544A30">
        <w:rPr>
          <w:b/>
          <w:bCs/>
          <w:i w:val="0"/>
          <w:iCs w:val="0"/>
          <w:color w:val="auto"/>
          <w:sz w:val="24"/>
          <w:szCs w:val="24"/>
        </w:rPr>
        <w:t xml:space="preserve">Figure </w:t>
      </w:r>
      <w:r w:rsidRPr="00544A30">
        <w:rPr>
          <w:b/>
          <w:bCs/>
          <w:i w:val="0"/>
          <w:iCs w:val="0"/>
          <w:color w:val="auto"/>
          <w:sz w:val="24"/>
          <w:szCs w:val="24"/>
        </w:rPr>
        <w:fldChar w:fldCharType="begin"/>
      </w:r>
      <w:r w:rsidRPr="00544A30">
        <w:rPr>
          <w:b/>
          <w:bCs/>
          <w:i w:val="0"/>
          <w:iCs w:val="0"/>
          <w:color w:val="auto"/>
          <w:sz w:val="24"/>
          <w:szCs w:val="24"/>
        </w:rPr>
        <w:instrText xml:space="preserve"> SEQ Figure \* ARABIC </w:instrText>
      </w:r>
      <w:r w:rsidRPr="00544A30">
        <w:rPr>
          <w:b/>
          <w:bCs/>
          <w:i w:val="0"/>
          <w:iCs w:val="0"/>
          <w:color w:val="auto"/>
          <w:sz w:val="24"/>
          <w:szCs w:val="24"/>
        </w:rPr>
        <w:fldChar w:fldCharType="separate"/>
      </w:r>
      <w:r w:rsidR="001F4741">
        <w:rPr>
          <w:b/>
          <w:bCs/>
          <w:i w:val="0"/>
          <w:iCs w:val="0"/>
          <w:noProof/>
          <w:color w:val="auto"/>
          <w:sz w:val="24"/>
          <w:szCs w:val="24"/>
        </w:rPr>
        <w:t>16</w:t>
      </w:r>
      <w:r w:rsidRPr="00544A30">
        <w:rPr>
          <w:b/>
          <w:bCs/>
          <w:i w:val="0"/>
          <w:iCs w:val="0"/>
          <w:color w:val="auto"/>
          <w:sz w:val="24"/>
          <w:szCs w:val="24"/>
        </w:rPr>
        <w:fldChar w:fldCharType="end"/>
      </w:r>
      <w:r w:rsidRPr="00544A30">
        <w:rPr>
          <w:b/>
          <w:bCs/>
          <w:i w:val="0"/>
          <w:iCs w:val="0"/>
          <w:color w:val="auto"/>
          <w:sz w:val="24"/>
          <w:szCs w:val="24"/>
        </w:rPr>
        <w:t>:</w:t>
      </w:r>
      <w:r w:rsidRPr="00544A30">
        <w:rPr>
          <w:i w:val="0"/>
          <w:iCs w:val="0"/>
          <w:color w:val="auto"/>
          <w:sz w:val="24"/>
          <w:szCs w:val="24"/>
        </w:rPr>
        <w:t xml:space="preserve"> Isopropyl amine Hofmann elimination reaction representation.</w:t>
      </w:r>
      <w:bookmarkEnd w:id="37"/>
    </w:p>
    <w:p w14:paraId="0236B1AF" w14:textId="77777777" w:rsidR="00A35A08" w:rsidRPr="00544A30" w:rsidRDefault="00A35A08" w:rsidP="00041564">
      <w:pPr>
        <w:spacing w:line="480" w:lineRule="auto"/>
        <w:jc w:val="both"/>
      </w:pPr>
      <w:r w:rsidRPr="00544A30">
        <w:tab/>
        <w:t xml:space="preserve">The procedure consists of pelleting the catalyst and placing between two fine glass wool beds in a ¼” diameter quartz tube. In-situ pre-treatment was performed at 300 </w:t>
      </w:r>
      <w:r w:rsidRPr="00544A30">
        <w:rPr>
          <w:vertAlign w:val="superscript"/>
        </w:rPr>
        <w:t>o</w:t>
      </w:r>
      <w:r w:rsidRPr="00544A30">
        <w:t xml:space="preserve">C for 2 hours followed by cooling down to 100 </w:t>
      </w:r>
      <w:r w:rsidRPr="00544A30">
        <w:rPr>
          <w:vertAlign w:val="superscript"/>
        </w:rPr>
        <w:t>o</w:t>
      </w:r>
      <w:r w:rsidRPr="00544A30">
        <w:t xml:space="preserve">C. 2 </w:t>
      </w:r>
      <w:r w:rsidRPr="00544A30">
        <w:sym w:font="Symbol" w:char="F06D"/>
      </w:r>
      <w:r w:rsidRPr="00544A30">
        <w:t xml:space="preserve">L IPA injections were done until the IPA signal at MS program remained unchanged. Temperature ramp-up occurred from 100 </w:t>
      </w:r>
      <w:r w:rsidRPr="00544A30">
        <w:rPr>
          <w:vertAlign w:val="superscript"/>
        </w:rPr>
        <w:t>o</w:t>
      </w:r>
      <w:r w:rsidRPr="00544A30">
        <w:t xml:space="preserve">C until 550 </w:t>
      </w:r>
      <w:r w:rsidRPr="00544A30">
        <w:rPr>
          <w:vertAlign w:val="superscript"/>
        </w:rPr>
        <w:t>o</w:t>
      </w:r>
      <w:r w:rsidRPr="00544A30">
        <w:t xml:space="preserve">C at a rate of 10 </w:t>
      </w:r>
      <w:r w:rsidRPr="00544A30">
        <w:rPr>
          <w:vertAlign w:val="superscript"/>
        </w:rPr>
        <w:t>o</w:t>
      </w:r>
      <w:r w:rsidRPr="00544A30">
        <w:t>C/min. Propylene signal was recorded and used to calculate the respective site density after following calibration.</w:t>
      </w:r>
    </w:p>
    <w:p w14:paraId="074B2A05" w14:textId="77777777" w:rsidR="00A35A08" w:rsidRPr="00D44A7D" w:rsidRDefault="00A35A08" w:rsidP="00A41B52">
      <w:pPr>
        <w:pStyle w:val="Heading3"/>
        <w:rPr>
          <w:i w:val="0"/>
          <w:iCs/>
          <w:u w:val="single"/>
        </w:rPr>
      </w:pPr>
      <w:bookmarkStart w:id="38" w:name="_Toc132924192"/>
      <w:r w:rsidRPr="00D44A7D">
        <w:rPr>
          <w:i w:val="0"/>
          <w:iCs/>
          <w:u w:val="single"/>
        </w:rPr>
        <w:t>2.3.4 X-ray diffraction Characterization</w:t>
      </w:r>
      <w:bookmarkEnd w:id="38"/>
    </w:p>
    <w:p w14:paraId="6997B212" w14:textId="77777777" w:rsidR="00A35A08" w:rsidRPr="00F35481" w:rsidRDefault="00A35A08" w:rsidP="00041564">
      <w:pPr>
        <w:spacing w:line="480" w:lineRule="auto"/>
        <w:ind w:firstLine="720"/>
        <w:jc w:val="both"/>
      </w:pPr>
      <w:r>
        <w:t xml:space="preserve">Crystalline pattern of the commercial samples were conducted </w:t>
      </w:r>
      <w:r w:rsidRPr="00F852D8">
        <w:t xml:space="preserve">on an XRD unit, D8 Series </w:t>
      </w:r>
      <w:r w:rsidRPr="00F35481">
        <w:t>II X-ray diffractometer BRUKER AXS, in reflection geometry using CuKα radiation generated at 40 kV and 35 mA in the 2θ = 2-70° diffraction angle range.</w:t>
      </w:r>
    </w:p>
    <w:p w14:paraId="7B974C78" w14:textId="77777777" w:rsidR="00A35A08" w:rsidRPr="00D44A7D" w:rsidRDefault="00A35A08" w:rsidP="00A41B52">
      <w:pPr>
        <w:pStyle w:val="Heading3"/>
        <w:rPr>
          <w:i w:val="0"/>
          <w:iCs/>
          <w:u w:val="single"/>
        </w:rPr>
      </w:pPr>
      <w:bookmarkStart w:id="39" w:name="_Toc132924193"/>
      <w:r w:rsidRPr="00D44A7D">
        <w:rPr>
          <w:i w:val="0"/>
          <w:iCs/>
          <w:u w:val="single"/>
        </w:rPr>
        <w:t>2.3.5 Particle Size Measurements</w:t>
      </w:r>
      <w:bookmarkEnd w:id="39"/>
    </w:p>
    <w:p w14:paraId="765D96BE" w14:textId="77777777" w:rsidR="00A35A08" w:rsidRPr="009566B6" w:rsidRDefault="00A35A08" w:rsidP="00041564">
      <w:pPr>
        <w:spacing w:line="480" w:lineRule="auto"/>
        <w:ind w:firstLine="720"/>
        <w:jc w:val="both"/>
      </w:pPr>
      <w:r w:rsidRPr="00F35481">
        <w:t xml:space="preserve">The particle size estimations were done using a Scanning Electron Microscopy (SEM) </w:t>
      </w:r>
      <w:r w:rsidRPr="009566B6">
        <w:t>analysis</w:t>
      </w:r>
      <w:r>
        <w:t xml:space="preserve">, </w:t>
      </w:r>
      <w:r w:rsidRPr="009566B6">
        <w:t>conducted in a Zeiss NEON 40 EsB Field-Emission Scanning Electron Microscope at an accelerating voltage of 5 kV.</w:t>
      </w:r>
      <w:r>
        <w:t xml:space="preserve"> </w:t>
      </w:r>
    </w:p>
    <w:p w14:paraId="7F6D00AA" w14:textId="77777777" w:rsidR="00A35A08" w:rsidRPr="00D44A7D" w:rsidRDefault="00A35A08" w:rsidP="00A41B52">
      <w:pPr>
        <w:pStyle w:val="Heading3"/>
        <w:rPr>
          <w:i w:val="0"/>
          <w:iCs/>
          <w:u w:val="single"/>
        </w:rPr>
      </w:pPr>
      <w:bookmarkStart w:id="40" w:name="_Toc132924194"/>
      <w:r w:rsidRPr="00D44A7D">
        <w:rPr>
          <w:i w:val="0"/>
          <w:iCs/>
          <w:u w:val="single"/>
        </w:rPr>
        <w:lastRenderedPageBreak/>
        <w:t>2.3.6 Catalytic Reaction Measurements</w:t>
      </w:r>
      <w:bookmarkEnd w:id="40"/>
      <w:r w:rsidRPr="00D44A7D">
        <w:rPr>
          <w:i w:val="0"/>
          <w:iCs/>
          <w:u w:val="single"/>
        </w:rPr>
        <w:t xml:space="preserve"> </w:t>
      </w:r>
    </w:p>
    <w:p w14:paraId="13BF6D86" w14:textId="7F12C19F" w:rsidR="00A35A08" w:rsidRPr="00D43203" w:rsidRDefault="00A35A08" w:rsidP="00041564">
      <w:pPr>
        <w:spacing w:line="480" w:lineRule="auto"/>
        <w:ind w:firstLine="720"/>
        <w:jc w:val="both"/>
      </w:pPr>
      <w:r w:rsidRPr="009566B6">
        <w:t xml:space="preserve">Catalytic reactions were conducted in the liquid phase in a Mini-Bench Top Parr high-pressure </w:t>
      </w:r>
      <w:r w:rsidRPr="00C80AAF">
        <w:t>reactor (Model Parr 4565) equipped with a Parr 4848 reactor controller (</w:t>
      </w:r>
      <w:r w:rsidRPr="00C80AAF">
        <w:rPr>
          <w:b/>
          <w:bCs/>
        </w:rPr>
        <w:t xml:space="preserve">Figure </w:t>
      </w:r>
      <w:r w:rsidR="00820226" w:rsidRPr="00C80AAF">
        <w:rPr>
          <w:b/>
          <w:bCs/>
        </w:rPr>
        <w:t>17</w:t>
      </w:r>
      <w:r w:rsidRPr="00C80AAF">
        <w:t>). Initially</w:t>
      </w:r>
      <w:r w:rsidRPr="009566B6">
        <w:t xml:space="preserve"> a specific amount of catalyst was placed with the solvent (cyclohexane) into a stainless-steel vessel and heated up to the desired temperature. </w:t>
      </w:r>
      <w:r w:rsidR="00BA2720">
        <w:t xml:space="preserve">Amounts relative to 1 mol of </w:t>
      </w:r>
      <w:r w:rsidR="00F917EB">
        <w:t>reactant (</w:t>
      </w:r>
      <w:r w:rsidR="00BA2720">
        <w:t>a</w:t>
      </w:r>
      <w:r w:rsidR="004E31E9">
        <w:t>cetone and/or cyclopentanone</w:t>
      </w:r>
      <w:r w:rsidR="00F917EB">
        <w:t>)</w:t>
      </w:r>
      <w:r w:rsidRPr="009566B6">
        <w:t xml:space="preserve"> </w:t>
      </w:r>
      <w:r w:rsidR="00BA2720">
        <w:t xml:space="preserve">per liter </w:t>
      </w:r>
      <w:r w:rsidR="009644F4">
        <w:t xml:space="preserve">of reaction solution </w:t>
      </w:r>
      <w:r w:rsidR="00D50782">
        <w:t>was</w:t>
      </w:r>
      <w:r w:rsidRPr="009566B6">
        <w:t xml:space="preserve"> injected from a feeding cylinder when the reaction temperature was reached</w:t>
      </w:r>
      <w:r w:rsidR="001445EA">
        <w:t xml:space="preserve"> </w:t>
      </w:r>
      <w:r w:rsidR="007625FE">
        <w:t xml:space="preserve">(200-250 </w:t>
      </w:r>
      <w:r w:rsidR="007625FE" w:rsidRPr="007625FE">
        <w:rPr>
          <w:vertAlign w:val="superscript"/>
        </w:rPr>
        <w:t>o</w:t>
      </w:r>
      <w:r w:rsidR="007625FE">
        <w:t xml:space="preserve">C) </w:t>
      </w:r>
      <w:r w:rsidR="004E31E9">
        <w:t>maintaining a</w:t>
      </w:r>
      <w:r w:rsidR="001445EA">
        <w:t xml:space="preserve"> constant reaction pressure of </w:t>
      </w:r>
      <w:r w:rsidR="004E31E9">
        <w:t>700 psi</w:t>
      </w:r>
      <w:r w:rsidR="00D50782">
        <w:t xml:space="preserve"> using </w:t>
      </w:r>
      <w:r w:rsidR="0016446A">
        <w:t xml:space="preserve">inert </w:t>
      </w:r>
      <w:r w:rsidR="00D50782">
        <w:t>N</w:t>
      </w:r>
      <w:r w:rsidR="00D50782" w:rsidRPr="0016446A">
        <w:rPr>
          <w:vertAlign w:val="subscript"/>
        </w:rPr>
        <w:t>2</w:t>
      </w:r>
      <w:r w:rsidR="00D50782">
        <w:t xml:space="preserve"> </w:t>
      </w:r>
      <w:r w:rsidR="0016446A">
        <w:t>for the purging step. T</w:t>
      </w:r>
      <w:r w:rsidRPr="009566B6">
        <w:t>he time zero of the reaction period</w:t>
      </w:r>
      <w:r w:rsidR="0016446A">
        <w:t xml:space="preserve"> was then started</w:t>
      </w:r>
      <w:r w:rsidRPr="009566B6">
        <w:t>. Conversion was kept low (&lt;</w:t>
      </w:r>
      <w:r>
        <w:t>1</w:t>
      </w:r>
      <w:r w:rsidRPr="009566B6">
        <w:t xml:space="preserve">0%) to avoid secondary reactions and minimize </w:t>
      </w:r>
      <w:r>
        <w:t>equilibrium</w:t>
      </w:r>
      <w:r w:rsidRPr="009566B6">
        <w:t xml:space="preserve"> effects. Composition after reaction was determined both qualitatively and quantitatively using a combination of </w:t>
      </w:r>
      <w:r>
        <w:t xml:space="preserve">gas chromatograph-mass spectroscopy (GC-MS) and </w:t>
      </w:r>
      <w:r w:rsidR="003C06F4">
        <w:t>gas</w:t>
      </w:r>
      <w:r>
        <w:t xml:space="preserve"> chromatography flame ionization (</w:t>
      </w:r>
      <w:r w:rsidRPr="00D43203">
        <w:t>GC-FID</w:t>
      </w:r>
      <w:r>
        <w:t>)</w:t>
      </w:r>
      <w:r w:rsidRPr="00D43203">
        <w:t xml:space="preserve">. </w:t>
      </w:r>
    </w:p>
    <w:p w14:paraId="31D97995" w14:textId="77777777" w:rsidR="00A35A08" w:rsidRPr="00FB7B38" w:rsidRDefault="00A35A08" w:rsidP="00617D5F">
      <w:pPr>
        <w:keepNext/>
        <w:jc w:val="center"/>
      </w:pPr>
      <w:r w:rsidRPr="00FB7B38">
        <w:rPr>
          <w:noProof/>
        </w:rPr>
        <w:drawing>
          <wp:inline distT="0" distB="0" distL="0" distR="0" wp14:anchorId="03B1EBFF" wp14:editId="5BB74165">
            <wp:extent cx="2914325" cy="182880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4325" cy="1828800"/>
                    </a:xfrm>
                    <a:prstGeom prst="rect">
                      <a:avLst/>
                    </a:prstGeom>
                    <a:noFill/>
                  </pic:spPr>
                </pic:pic>
              </a:graphicData>
            </a:graphic>
          </wp:inline>
        </w:drawing>
      </w:r>
    </w:p>
    <w:p w14:paraId="7F1A230A" w14:textId="366E2FB7" w:rsidR="00A35A08" w:rsidRPr="00FB7B38" w:rsidRDefault="00A35A08" w:rsidP="00617D5F">
      <w:pPr>
        <w:pStyle w:val="Caption"/>
        <w:jc w:val="both"/>
        <w:rPr>
          <w:i w:val="0"/>
          <w:iCs w:val="0"/>
          <w:color w:val="auto"/>
          <w:sz w:val="24"/>
          <w:szCs w:val="24"/>
        </w:rPr>
      </w:pPr>
      <w:bookmarkStart w:id="41" w:name="_Toc131948681"/>
      <w:r w:rsidRPr="00FB7B38">
        <w:rPr>
          <w:b/>
          <w:bCs/>
          <w:i w:val="0"/>
          <w:iCs w:val="0"/>
          <w:color w:val="auto"/>
          <w:sz w:val="24"/>
          <w:szCs w:val="24"/>
        </w:rPr>
        <w:t xml:space="preserve">Figure </w:t>
      </w:r>
      <w:r w:rsidRPr="00FB7B38">
        <w:rPr>
          <w:b/>
          <w:bCs/>
          <w:i w:val="0"/>
          <w:iCs w:val="0"/>
          <w:color w:val="auto"/>
          <w:sz w:val="24"/>
          <w:szCs w:val="24"/>
        </w:rPr>
        <w:fldChar w:fldCharType="begin"/>
      </w:r>
      <w:r w:rsidRPr="00FB7B38">
        <w:rPr>
          <w:b/>
          <w:bCs/>
          <w:i w:val="0"/>
          <w:iCs w:val="0"/>
          <w:color w:val="auto"/>
          <w:sz w:val="24"/>
          <w:szCs w:val="24"/>
        </w:rPr>
        <w:instrText xml:space="preserve"> SEQ Figure \* ARABIC </w:instrText>
      </w:r>
      <w:r w:rsidRPr="00FB7B38">
        <w:rPr>
          <w:b/>
          <w:bCs/>
          <w:i w:val="0"/>
          <w:iCs w:val="0"/>
          <w:color w:val="auto"/>
          <w:sz w:val="24"/>
          <w:szCs w:val="24"/>
        </w:rPr>
        <w:fldChar w:fldCharType="separate"/>
      </w:r>
      <w:r w:rsidR="001F4741">
        <w:rPr>
          <w:b/>
          <w:bCs/>
          <w:i w:val="0"/>
          <w:iCs w:val="0"/>
          <w:noProof/>
          <w:color w:val="auto"/>
          <w:sz w:val="24"/>
          <w:szCs w:val="24"/>
        </w:rPr>
        <w:t>17</w:t>
      </w:r>
      <w:r w:rsidRPr="00FB7B38">
        <w:rPr>
          <w:b/>
          <w:bCs/>
          <w:i w:val="0"/>
          <w:iCs w:val="0"/>
          <w:color w:val="auto"/>
          <w:sz w:val="24"/>
          <w:szCs w:val="24"/>
        </w:rPr>
        <w:fldChar w:fldCharType="end"/>
      </w:r>
      <w:r w:rsidRPr="00FB7B38">
        <w:rPr>
          <w:b/>
          <w:bCs/>
          <w:i w:val="0"/>
          <w:iCs w:val="0"/>
          <w:color w:val="auto"/>
          <w:sz w:val="24"/>
          <w:szCs w:val="24"/>
        </w:rPr>
        <w:t>:</w:t>
      </w:r>
      <w:r w:rsidRPr="00FB7B38">
        <w:rPr>
          <w:i w:val="0"/>
          <w:iCs w:val="0"/>
          <w:color w:val="auto"/>
          <w:sz w:val="24"/>
          <w:szCs w:val="24"/>
        </w:rPr>
        <w:t xml:space="preserve"> Graphical representation of a high pressure batch reactor used for the catalytic measurements.</w:t>
      </w:r>
      <w:bookmarkEnd w:id="41"/>
    </w:p>
    <w:p w14:paraId="28BF35A3" w14:textId="2D24F8B4" w:rsidR="00A35A08" w:rsidRDefault="00A35A08" w:rsidP="00041564">
      <w:pPr>
        <w:spacing w:line="480" w:lineRule="auto"/>
        <w:ind w:firstLine="720"/>
        <w:jc w:val="both"/>
      </w:pPr>
      <w:r w:rsidRPr="00FB7B38">
        <w:t>In a</w:t>
      </w:r>
      <w:r w:rsidRPr="00D43203">
        <w:t xml:space="preserve">ll catalytic </w:t>
      </w:r>
      <w:r>
        <w:t xml:space="preserve">runs, each </w:t>
      </w:r>
      <w:r w:rsidR="00FA6FCF">
        <w:t xml:space="preserve">reactant and products </w:t>
      </w:r>
      <w:r>
        <w:t>concentration</w:t>
      </w:r>
      <w:r w:rsidR="00FA6FCF">
        <w:t>s</w:t>
      </w:r>
      <w:r>
        <w:t xml:space="preserve"> </w:t>
      </w:r>
      <w:r w:rsidR="00FA6FCF">
        <w:t>were</w:t>
      </w:r>
      <w:r>
        <w:t xml:space="preserve"> calculated based on a </w:t>
      </w:r>
      <w:r w:rsidR="005F6BD1">
        <w:t xml:space="preserve">direct </w:t>
      </w:r>
      <w:r>
        <w:t xml:space="preserve">calibration </w:t>
      </w:r>
      <w:r w:rsidR="00461D12">
        <w:t>using</w:t>
      </w:r>
      <w:r>
        <w:t xml:space="preserve"> an external standard (phenol). </w:t>
      </w:r>
      <w:r w:rsidR="00461D12">
        <w:t>For this, prior to the reactions, solutions containing different concentration</w:t>
      </w:r>
      <w:r w:rsidR="00E3493F">
        <w:t>s</w:t>
      </w:r>
      <w:r w:rsidR="00461D12">
        <w:t xml:space="preserve"> were generated with a </w:t>
      </w:r>
      <w:r w:rsidR="00CB1854">
        <w:t>similar amount of phenol</w:t>
      </w:r>
      <w:r w:rsidR="00461D12">
        <w:t xml:space="preserve"> and analyzed at the </w:t>
      </w:r>
      <w:r w:rsidR="00270A9F">
        <w:t xml:space="preserve">GC-FID. </w:t>
      </w:r>
      <w:r w:rsidR="004541DA">
        <w:t>C</w:t>
      </w:r>
      <w:r w:rsidR="00270A9F">
        <w:t>orrespondent linear correlation</w:t>
      </w:r>
      <w:r w:rsidR="004541DA">
        <w:t>s</w:t>
      </w:r>
      <w:r w:rsidR="00270A9F">
        <w:t xml:space="preserve"> between </w:t>
      </w:r>
      <w:r w:rsidR="004E3C68">
        <w:lastRenderedPageBreak/>
        <w:t xml:space="preserve">concentration and area </w:t>
      </w:r>
      <w:r w:rsidR="004541DA">
        <w:t>were</w:t>
      </w:r>
      <w:r w:rsidR="004E3C68">
        <w:t xml:space="preserve"> found </w:t>
      </w:r>
      <w:r w:rsidR="000E0804">
        <w:t xml:space="preserve">for each compound </w:t>
      </w:r>
      <w:r w:rsidR="00CB1854">
        <w:t>a</w:t>
      </w:r>
      <w:r w:rsidR="002B0D17">
        <w:t>nd</w:t>
      </w:r>
      <w:r w:rsidR="00CB1854">
        <w:t xml:space="preserve"> </w:t>
      </w:r>
      <w:r w:rsidR="002B0D17">
        <w:t xml:space="preserve">further reaction calculations </w:t>
      </w:r>
      <w:r w:rsidR="000B5154">
        <w:t>were performed</w:t>
      </w:r>
      <w:r w:rsidR="002B0D17">
        <w:t xml:space="preserve">. </w:t>
      </w:r>
      <w:r>
        <w:t>The reaction rates (</w:t>
      </w:r>
      <w:r w:rsidRPr="00113509">
        <w:rPr>
          <w:i/>
          <w:iCs/>
        </w:rPr>
        <w:t>r</w:t>
      </w:r>
      <w:r w:rsidRPr="00113509">
        <w:rPr>
          <w:i/>
          <w:iCs/>
          <w:vertAlign w:val="subscript"/>
        </w:rPr>
        <w:t>exp</w:t>
      </w:r>
      <w:r>
        <w:t>), conversion of reactants (</w:t>
      </w:r>
      <w:r w:rsidRPr="00113509">
        <w:rPr>
          <w:i/>
          <w:iCs/>
        </w:rPr>
        <w:t>X</w:t>
      </w:r>
      <w:r>
        <w:t>) and carbon balance (</w:t>
      </w:r>
      <w:r w:rsidRPr="00E21B84">
        <w:rPr>
          <w:i/>
          <w:iCs/>
        </w:rPr>
        <w:t>CB</w:t>
      </w:r>
      <w:r>
        <w:t>) were calculated as follows:</w:t>
      </w:r>
    </w:p>
    <w:p w14:paraId="0487D339" w14:textId="77777777" w:rsidR="005C23CC" w:rsidRPr="005C23CC" w:rsidRDefault="00000000" w:rsidP="00041564">
      <w:pPr>
        <w:spacing w:line="480" w:lineRule="auto"/>
        <w:ind w:firstLine="720"/>
        <w:jc w:val="both"/>
      </w:pPr>
      <m:oMathPara>
        <m:oMath>
          <m:sSub>
            <m:sSubPr>
              <m:ctrlPr>
                <w:rPr>
                  <w:rFonts w:ascii="Cambria Math" w:hAnsi="Cambria Math"/>
                  <w:i/>
                </w:rPr>
              </m:ctrlPr>
            </m:sSubPr>
            <m:e>
              <m:r>
                <w:rPr>
                  <w:rFonts w:ascii="Cambria Math" w:hAnsi="Cambria Math"/>
                </w:rPr>
                <m:t>r</m:t>
              </m:r>
            </m:e>
            <m:sub>
              <m:r>
                <w:rPr>
                  <w:rFonts w:ascii="Cambria Math" w:hAnsi="Cambria Math"/>
                </w:rPr>
                <m:t>exp</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react</m:t>
                  </m:r>
                </m:sub>
              </m:sSub>
            </m:num>
            <m:den>
              <m:r>
                <w:rPr>
                  <w:rFonts w:ascii="Cambria Math" w:hAnsi="Cambria Math"/>
                </w:rPr>
                <m:t>t*</m:t>
              </m:r>
              <m:sSub>
                <m:sSubPr>
                  <m:ctrlPr>
                    <w:rPr>
                      <w:rFonts w:ascii="Cambria Math" w:hAnsi="Cambria Math"/>
                      <w:i/>
                    </w:rPr>
                  </m:ctrlPr>
                </m:sSubPr>
                <m:e>
                  <m:r>
                    <w:rPr>
                      <w:rFonts w:ascii="Cambria Math" w:hAnsi="Cambria Math"/>
                    </w:rPr>
                    <m:t>m</m:t>
                  </m:r>
                </m:e>
                <m:sub>
                  <m:r>
                    <w:rPr>
                      <w:rFonts w:ascii="Cambria Math" w:hAnsi="Cambria Math"/>
                    </w:rPr>
                    <m:t>cat</m:t>
                  </m:r>
                </m:sub>
              </m:sSub>
            </m:den>
          </m:f>
          <m:d>
            <m:dPr>
              <m:begChr m:val="["/>
              <m:endChr m:val="]"/>
              <m:ctrlPr>
                <w:rPr>
                  <w:rFonts w:ascii="Cambria Math" w:hAnsi="Cambria Math"/>
                  <w:i/>
                </w:rPr>
              </m:ctrlPr>
            </m:dPr>
            <m:e>
              <m:f>
                <m:fPr>
                  <m:type m:val="skw"/>
                  <m:ctrlPr>
                    <w:rPr>
                      <w:rFonts w:ascii="Cambria Math" w:hAnsi="Cambria Math"/>
                      <w:i/>
                    </w:rPr>
                  </m:ctrlPr>
                </m:fPr>
                <m:num>
                  <m:r>
                    <w:rPr>
                      <w:rFonts w:ascii="Cambria Math" w:hAnsi="Cambria Math"/>
                    </w:rPr>
                    <m:t>mmol</m:t>
                  </m:r>
                </m:num>
                <m:den>
                  <m:sSub>
                    <m:sSubPr>
                      <m:ctrlPr>
                        <w:rPr>
                          <w:rFonts w:ascii="Cambria Math" w:hAnsi="Cambria Math"/>
                          <w:i/>
                        </w:rPr>
                      </m:ctrlPr>
                    </m:sSubPr>
                    <m:e>
                      <m:r>
                        <w:rPr>
                          <w:rFonts w:ascii="Cambria Math" w:hAnsi="Cambria Math"/>
                        </w:rPr>
                        <m:t>g</m:t>
                      </m:r>
                    </m:e>
                    <m:sub>
                      <m:r>
                        <w:rPr>
                          <w:rFonts w:ascii="Cambria Math" w:hAnsi="Cambria Math"/>
                        </w:rPr>
                        <m:t>cat</m:t>
                      </m:r>
                    </m:sub>
                  </m:sSub>
                  <m:r>
                    <w:rPr>
                      <w:rFonts w:ascii="Cambria Math" w:hAnsi="Cambria Math"/>
                    </w:rPr>
                    <m:t>.s</m:t>
                  </m:r>
                </m:den>
              </m:f>
            </m:e>
          </m:d>
          <m:r>
            <w:rPr>
              <w:rFonts w:ascii="Cambria Math" w:hAnsi="Cambria Math"/>
            </w:rPr>
            <m:t xml:space="preserve">               X=</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react</m:t>
                  </m:r>
                </m:sub>
              </m:sSub>
            </m:num>
            <m:den>
              <m:sSub>
                <m:sSubPr>
                  <m:ctrlPr>
                    <w:rPr>
                      <w:rFonts w:ascii="Cambria Math" w:hAnsi="Cambria Math"/>
                      <w:i/>
                    </w:rPr>
                  </m:ctrlPr>
                </m:sSubPr>
                <m:e>
                  <m:r>
                    <w:rPr>
                      <w:rFonts w:ascii="Cambria Math" w:hAnsi="Cambria Math"/>
                    </w:rPr>
                    <m:t>n</m:t>
                  </m:r>
                </m:e>
                <m:sub>
                  <m:r>
                    <w:rPr>
                      <w:rFonts w:ascii="Cambria Math" w:hAnsi="Cambria Math"/>
                    </w:rPr>
                    <m:t>tot ini</m:t>
                  </m:r>
                </m:sub>
              </m:sSub>
            </m:den>
          </m:f>
          <m:d>
            <m:dPr>
              <m:begChr m:val="["/>
              <m:endChr m:val="]"/>
              <m:ctrlPr>
                <w:rPr>
                  <w:rFonts w:ascii="Cambria Math" w:hAnsi="Cambria Math"/>
                  <w:i/>
                </w:rPr>
              </m:ctrlPr>
            </m:dPr>
            <m:e>
              <m:r>
                <w:rPr>
                  <w:rFonts w:ascii="Cambria Math" w:hAnsi="Cambria Math"/>
                </w:rPr>
                <m:t>%</m:t>
              </m:r>
            </m:e>
          </m:d>
          <m:r>
            <w:rPr>
              <w:rFonts w:ascii="Cambria Math" w:hAnsi="Cambria Math"/>
            </w:rPr>
            <m:t xml:space="preserve">              </m:t>
          </m:r>
        </m:oMath>
      </m:oMathPara>
    </w:p>
    <w:p w14:paraId="4A79838F" w14:textId="3A6D0C90" w:rsidR="00A35A08" w:rsidRPr="009566B6" w:rsidRDefault="00362698" w:rsidP="00041564">
      <w:pPr>
        <w:spacing w:line="480" w:lineRule="auto"/>
        <w:ind w:firstLine="720"/>
        <w:jc w:val="both"/>
      </w:pPr>
      <m:oMathPara>
        <m:oMath>
          <m:r>
            <w:rPr>
              <w:rFonts w:ascii="Cambria Math" w:hAnsi="Cambria Math"/>
            </w:rPr>
            <m:t xml:space="preserve"> CB=</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non react</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react</m:t>
                      </m:r>
                    </m:sub>
                  </m:sSub>
                </m:e>
              </m:d>
            </m:num>
            <m:den>
              <m:sSub>
                <m:sSubPr>
                  <m:ctrlPr>
                    <w:rPr>
                      <w:rFonts w:ascii="Cambria Math" w:hAnsi="Cambria Math"/>
                      <w:i/>
                    </w:rPr>
                  </m:ctrlPr>
                </m:sSubPr>
                <m:e>
                  <m:r>
                    <w:rPr>
                      <w:rFonts w:ascii="Cambria Math" w:hAnsi="Cambria Math"/>
                    </w:rPr>
                    <m:t>n</m:t>
                  </m:r>
                </m:e>
                <m:sub>
                  <m:r>
                    <w:rPr>
                      <w:rFonts w:ascii="Cambria Math" w:hAnsi="Cambria Math"/>
                    </w:rPr>
                    <m:t>tot ini</m:t>
                  </m:r>
                </m:sub>
              </m:sSub>
            </m:den>
          </m:f>
        </m:oMath>
      </m:oMathPara>
    </w:p>
    <w:p w14:paraId="32B8DA85" w14:textId="77777777" w:rsidR="00A35A08" w:rsidRDefault="00A35A08" w:rsidP="00041564">
      <w:pPr>
        <w:spacing w:line="480" w:lineRule="auto"/>
        <w:jc w:val="both"/>
      </w:pPr>
      <w:r>
        <w:t>n</w:t>
      </w:r>
      <w:r w:rsidRPr="00F33B2C">
        <w:rPr>
          <w:vertAlign w:val="subscript"/>
        </w:rPr>
        <w:t>react</w:t>
      </w:r>
      <w:r>
        <w:t>: number of mols of reactant in products;</w:t>
      </w:r>
    </w:p>
    <w:p w14:paraId="78A3E46C" w14:textId="77777777" w:rsidR="00A35A08" w:rsidRDefault="00A35A08" w:rsidP="00041564">
      <w:pPr>
        <w:spacing w:line="480" w:lineRule="auto"/>
        <w:jc w:val="both"/>
      </w:pPr>
      <w:r>
        <w:t>n</w:t>
      </w:r>
      <w:r w:rsidRPr="00893267">
        <w:rPr>
          <w:vertAlign w:val="subscript"/>
        </w:rPr>
        <w:t>non react</w:t>
      </w:r>
      <w:r>
        <w:t>: unreacted number of mols of reactant;</w:t>
      </w:r>
    </w:p>
    <w:p w14:paraId="427F07B5" w14:textId="77777777" w:rsidR="00A35A08" w:rsidRDefault="00A35A08" w:rsidP="00041564">
      <w:pPr>
        <w:spacing w:line="480" w:lineRule="auto"/>
        <w:jc w:val="both"/>
      </w:pPr>
      <w:r>
        <w:t>n</w:t>
      </w:r>
      <w:r w:rsidRPr="00893267">
        <w:rPr>
          <w:vertAlign w:val="subscript"/>
        </w:rPr>
        <w:t>tot ini</w:t>
      </w:r>
      <w:r>
        <w:t>: initial number of mols of reactant fed to the system;</w:t>
      </w:r>
    </w:p>
    <w:p w14:paraId="1E5789FD" w14:textId="77777777" w:rsidR="00A35A08" w:rsidRDefault="00A35A08" w:rsidP="00041564">
      <w:pPr>
        <w:spacing w:line="480" w:lineRule="auto"/>
        <w:jc w:val="both"/>
      </w:pPr>
      <w:r>
        <w:t>t: time (s);</w:t>
      </w:r>
    </w:p>
    <w:p w14:paraId="1F558395" w14:textId="77777777" w:rsidR="00A35A08" w:rsidRDefault="00A35A08" w:rsidP="00041564">
      <w:pPr>
        <w:spacing w:line="480" w:lineRule="auto"/>
        <w:jc w:val="both"/>
      </w:pPr>
      <w:r>
        <w:t>mcat: mass of catalyst (g);</w:t>
      </w:r>
    </w:p>
    <w:p w14:paraId="2EA5A859" w14:textId="77777777" w:rsidR="00A35A08" w:rsidRDefault="00000000" w:rsidP="00041564">
      <w:pPr>
        <w:spacing w:line="480" w:lineRule="auto"/>
        <w:jc w:val="both"/>
      </w:pPr>
      <m:oMathPara>
        <m:oMath>
          <m:sSub>
            <m:sSubPr>
              <m:ctrlPr>
                <w:rPr>
                  <w:rFonts w:ascii="Cambria Math" w:hAnsi="Cambria Math"/>
                  <w:i/>
                </w:rPr>
              </m:ctrlPr>
            </m:sSubPr>
            <m:e>
              <m:r>
                <w:rPr>
                  <w:rFonts w:ascii="Cambria Math" w:hAnsi="Cambria Math"/>
                </w:rPr>
                <m:t>n</m:t>
              </m:r>
            </m:e>
            <m:sub>
              <m:r>
                <w:rPr>
                  <w:rFonts w:ascii="Cambria Math" w:hAnsi="Cambria Math"/>
                </w:rPr>
                <m:t>react</m:t>
              </m:r>
            </m:sub>
          </m:sSub>
          <m:r>
            <w:rPr>
              <w:rFonts w:ascii="Cambria Math" w:hAnsi="Cambria Math"/>
            </w:rPr>
            <m:t>=</m:t>
          </m:r>
          <m:d>
            <m:dPr>
              <m:ctrlPr>
                <w:rPr>
                  <w:rFonts w:ascii="Cambria Math" w:hAnsi="Cambria Math"/>
                  <w:i/>
                </w:rPr>
              </m:ctrlPr>
            </m:dPr>
            <m:e>
              <m:r>
                <w:rPr>
                  <w:rFonts w:ascii="Cambria Math" w:hAnsi="Cambria Math"/>
                </w:rPr>
                <m:t>2*</m:t>
              </m:r>
              <m:sSub>
                <m:sSubPr>
                  <m:ctrlPr>
                    <w:rPr>
                      <w:rFonts w:ascii="Cambria Math" w:hAnsi="Cambria Math"/>
                      <w:i/>
                    </w:rPr>
                  </m:ctrlPr>
                </m:sSubPr>
                <m:e>
                  <m:r>
                    <w:rPr>
                      <w:rFonts w:ascii="Cambria Math" w:hAnsi="Cambria Math"/>
                    </w:rPr>
                    <m:t>C</m:t>
                  </m:r>
                </m:e>
                <m:sub>
                  <m:r>
                    <w:rPr>
                      <w:rFonts w:ascii="Cambria Math" w:hAnsi="Cambria Math"/>
                    </w:rPr>
                    <m:t>dimer</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trimer</m:t>
                  </m:r>
                </m:sub>
              </m:sSub>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tot</m:t>
              </m:r>
            </m:sub>
          </m:sSub>
        </m:oMath>
      </m:oMathPara>
    </w:p>
    <w:p w14:paraId="2438212C" w14:textId="77777777" w:rsidR="00A35A08" w:rsidRDefault="00A35A08" w:rsidP="00041564">
      <w:pPr>
        <w:spacing w:line="480" w:lineRule="auto"/>
        <w:jc w:val="both"/>
      </w:pPr>
      <w:r>
        <w:t>C</w:t>
      </w:r>
      <w:r w:rsidRPr="008A2515">
        <w:rPr>
          <w:vertAlign w:val="subscript"/>
        </w:rPr>
        <w:t>dimer</w:t>
      </w:r>
      <w:r>
        <w:t xml:space="preserve"> &amp; C</w:t>
      </w:r>
      <w:r w:rsidRPr="008A2515">
        <w:rPr>
          <w:vertAlign w:val="subscript"/>
        </w:rPr>
        <w:t>trimer</w:t>
      </w:r>
      <w:r>
        <w:t>: calculated concentration of dimer and trimer formed in the self-aldol condensation reactions;</w:t>
      </w:r>
    </w:p>
    <w:p w14:paraId="185D495D" w14:textId="77777777" w:rsidR="00A35A08" w:rsidRPr="00F33B2C" w:rsidRDefault="00A35A08" w:rsidP="00041564">
      <w:pPr>
        <w:spacing w:line="480" w:lineRule="auto"/>
        <w:jc w:val="both"/>
      </w:pPr>
      <w:r>
        <w:t>V</w:t>
      </w:r>
      <w:r w:rsidRPr="008A2515">
        <w:rPr>
          <w:vertAlign w:val="subscript"/>
        </w:rPr>
        <w:t>tot</w:t>
      </w:r>
      <w:r>
        <w:t>: total reaction volume.</w:t>
      </w:r>
    </w:p>
    <w:p w14:paraId="4DD426FD" w14:textId="77777777" w:rsidR="00A35A08" w:rsidRDefault="00A35A08" w:rsidP="00041564">
      <w:pPr>
        <w:spacing w:line="480" w:lineRule="auto"/>
        <w:jc w:val="both"/>
        <w:rPr>
          <w:b/>
          <w:bCs/>
        </w:rPr>
      </w:pPr>
    </w:p>
    <w:p w14:paraId="74D138E3" w14:textId="77777777" w:rsidR="00041564" w:rsidRDefault="00041564" w:rsidP="00041564">
      <w:pPr>
        <w:spacing w:line="480" w:lineRule="auto"/>
        <w:jc w:val="both"/>
        <w:rPr>
          <w:b/>
          <w:bCs/>
        </w:rPr>
      </w:pPr>
    </w:p>
    <w:p w14:paraId="37A6E302" w14:textId="77777777" w:rsidR="00DF641A" w:rsidRDefault="00DF641A" w:rsidP="00041564">
      <w:pPr>
        <w:spacing w:line="480" w:lineRule="auto"/>
        <w:jc w:val="both"/>
        <w:rPr>
          <w:b/>
          <w:bCs/>
        </w:rPr>
      </w:pPr>
    </w:p>
    <w:p w14:paraId="26357779" w14:textId="77777777" w:rsidR="00DF641A" w:rsidRDefault="00DF641A" w:rsidP="00041564">
      <w:pPr>
        <w:spacing w:line="480" w:lineRule="auto"/>
        <w:jc w:val="both"/>
        <w:rPr>
          <w:b/>
          <w:bCs/>
        </w:rPr>
      </w:pPr>
    </w:p>
    <w:p w14:paraId="2FAFFC71" w14:textId="77777777" w:rsidR="00DF641A" w:rsidRDefault="00DF641A" w:rsidP="00041564">
      <w:pPr>
        <w:spacing w:line="480" w:lineRule="auto"/>
        <w:jc w:val="both"/>
        <w:rPr>
          <w:b/>
          <w:bCs/>
        </w:rPr>
      </w:pPr>
    </w:p>
    <w:p w14:paraId="094E826F" w14:textId="77777777" w:rsidR="00DF641A" w:rsidRDefault="00DF641A" w:rsidP="00041564">
      <w:pPr>
        <w:spacing w:line="480" w:lineRule="auto"/>
        <w:jc w:val="both"/>
        <w:rPr>
          <w:b/>
          <w:bCs/>
        </w:rPr>
      </w:pPr>
    </w:p>
    <w:p w14:paraId="783018B9" w14:textId="77777777" w:rsidR="00DF641A" w:rsidRDefault="00DF641A" w:rsidP="00041564">
      <w:pPr>
        <w:spacing w:line="480" w:lineRule="auto"/>
        <w:jc w:val="both"/>
        <w:rPr>
          <w:b/>
          <w:bCs/>
        </w:rPr>
      </w:pPr>
    </w:p>
    <w:p w14:paraId="5846CAFB" w14:textId="77777777" w:rsidR="00DF641A" w:rsidRDefault="00DF641A" w:rsidP="00041564">
      <w:pPr>
        <w:spacing w:line="480" w:lineRule="auto"/>
        <w:jc w:val="both"/>
        <w:rPr>
          <w:b/>
          <w:bCs/>
        </w:rPr>
      </w:pPr>
    </w:p>
    <w:p w14:paraId="5EE88635" w14:textId="77777777" w:rsidR="00A35A08" w:rsidRPr="00A41B52" w:rsidRDefault="00A35A08" w:rsidP="00A41B52">
      <w:pPr>
        <w:pStyle w:val="Heading2"/>
        <w:rPr>
          <w:rFonts w:cs="Times New Roman"/>
          <w:i w:val="0"/>
          <w:iCs/>
          <w:sz w:val="28"/>
          <w:szCs w:val="28"/>
        </w:rPr>
      </w:pPr>
      <w:bookmarkStart w:id="42" w:name="_Toc132924195"/>
      <w:r w:rsidRPr="00A41B52">
        <w:rPr>
          <w:i w:val="0"/>
          <w:iCs/>
          <w:sz w:val="28"/>
          <w:szCs w:val="28"/>
        </w:rPr>
        <w:lastRenderedPageBreak/>
        <w:t>2</w:t>
      </w:r>
      <w:r w:rsidRPr="00A41B52">
        <w:rPr>
          <w:rFonts w:cs="Times New Roman"/>
          <w:i w:val="0"/>
          <w:iCs/>
          <w:sz w:val="28"/>
          <w:szCs w:val="28"/>
        </w:rPr>
        <w:t>.4 Results and Discussions</w:t>
      </w:r>
      <w:bookmarkEnd w:id="42"/>
    </w:p>
    <w:p w14:paraId="19719857" w14:textId="77777777" w:rsidR="00A35A08" w:rsidRPr="00F11C1B" w:rsidRDefault="00A35A08" w:rsidP="00A41B52">
      <w:pPr>
        <w:pStyle w:val="Heading3"/>
        <w:rPr>
          <w:rFonts w:cs="Times New Roman"/>
          <w:i w:val="0"/>
          <w:iCs/>
          <w:u w:val="single"/>
        </w:rPr>
      </w:pPr>
      <w:bookmarkStart w:id="43" w:name="_Toc132924196"/>
      <w:r w:rsidRPr="00F11C1B">
        <w:rPr>
          <w:rFonts w:cs="Times New Roman"/>
          <w:i w:val="0"/>
          <w:iCs/>
          <w:u w:val="single"/>
        </w:rPr>
        <w:t>2.4.1 Catalyst Characterization</w:t>
      </w:r>
      <w:bookmarkEnd w:id="43"/>
      <w:r w:rsidRPr="00F11C1B">
        <w:rPr>
          <w:rFonts w:cs="Times New Roman"/>
          <w:i w:val="0"/>
          <w:iCs/>
          <w:u w:val="single"/>
        </w:rPr>
        <w:t xml:space="preserve"> </w:t>
      </w:r>
    </w:p>
    <w:p w14:paraId="35EE0976" w14:textId="3B66EA02" w:rsidR="00A35A08" w:rsidRPr="00F11C1B" w:rsidRDefault="00B45B4F" w:rsidP="00A41B52">
      <w:pPr>
        <w:pStyle w:val="Heading4"/>
        <w:spacing w:line="480" w:lineRule="auto"/>
        <w:rPr>
          <w:rFonts w:ascii="Times New Roman" w:hAnsi="Times New Roman" w:cs="Times New Roman"/>
          <w:iCs w:val="0"/>
          <w:color w:val="auto"/>
        </w:rPr>
      </w:pPr>
      <w:r w:rsidRPr="00D44A7D">
        <w:rPr>
          <w:rFonts w:ascii="Times New Roman" w:hAnsi="Times New Roman" w:cs="Times New Roman"/>
          <w:i w:val="0"/>
          <w:color w:val="auto"/>
        </w:rPr>
        <w:tab/>
      </w:r>
      <w:r w:rsidR="00A35A08" w:rsidRPr="00F11C1B">
        <w:rPr>
          <w:rFonts w:ascii="Times New Roman" w:hAnsi="Times New Roman" w:cs="Times New Roman"/>
          <w:iCs w:val="0"/>
          <w:color w:val="auto"/>
        </w:rPr>
        <w:t xml:space="preserve">2.4.1.1 Electron Microscopy and X Ray Diffraction </w:t>
      </w:r>
    </w:p>
    <w:p w14:paraId="07EDD521" w14:textId="004D972A" w:rsidR="00A35A08" w:rsidRDefault="00A35A08" w:rsidP="00A41B52">
      <w:pPr>
        <w:pStyle w:val="ListParagraph"/>
        <w:spacing w:line="480" w:lineRule="auto"/>
        <w:ind w:left="0" w:firstLine="720"/>
        <w:jc w:val="both"/>
      </w:pPr>
      <w:r w:rsidRPr="00A41B52">
        <w:rPr>
          <w:iCs/>
        </w:rPr>
        <w:t>SEM pictures were taken in order to observe existing particle size differences b</w:t>
      </w:r>
      <w:r w:rsidRPr="00DA1436">
        <w:t xml:space="preserve">etween </w:t>
      </w:r>
      <w:r>
        <w:t>the studied</w:t>
      </w:r>
      <w:r w:rsidRPr="00DA1436">
        <w:t xml:space="preserve"> </w:t>
      </w:r>
      <w:r w:rsidRPr="00C80AAF">
        <w:t>zeolites</w:t>
      </w:r>
      <w:r w:rsidR="000A2637">
        <w:t xml:space="preserve"> and through</w:t>
      </w:r>
      <w:r w:rsidRPr="00C80AAF">
        <w:t xml:space="preserve"> </w:t>
      </w:r>
      <w:r w:rsidRPr="00C80AAF">
        <w:rPr>
          <w:b/>
          <w:bCs/>
        </w:rPr>
        <w:t xml:space="preserve">Figure </w:t>
      </w:r>
      <w:r w:rsidR="00820226" w:rsidRPr="00C80AAF">
        <w:rPr>
          <w:b/>
          <w:bCs/>
        </w:rPr>
        <w:t>18</w:t>
      </w:r>
      <w:r w:rsidRPr="00C80AAF">
        <w:t xml:space="preserve"> </w:t>
      </w:r>
      <w:r w:rsidRPr="00DA1436">
        <w:t xml:space="preserve">the </w:t>
      </w:r>
      <w:r w:rsidR="000A2637">
        <w:t xml:space="preserve">calculated </w:t>
      </w:r>
      <w:r w:rsidRPr="00DA1436">
        <w:t xml:space="preserve">average particle size for the commercial samples </w:t>
      </w:r>
      <w:r w:rsidR="000A2637">
        <w:t>were</w:t>
      </w:r>
      <w:r w:rsidRPr="00DA1436">
        <w:t xml:space="preserve"> 0.8 µm in zeolite Y</w:t>
      </w:r>
      <w:r>
        <w:t>30</w:t>
      </w:r>
      <w:r w:rsidRPr="00DA1436">
        <w:t xml:space="preserve"> to </w:t>
      </w:r>
      <w:r w:rsidRPr="0083477B">
        <w:t>0.</w:t>
      </w:r>
      <w:r>
        <w:t xml:space="preserve">5 </w:t>
      </w:r>
      <w:r w:rsidRPr="00DA1436">
        <w:t xml:space="preserve">µm </w:t>
      </w:r>
      <w:r>
        <w:t xml:space="preserve">in Z40, and </w:t>
      </w:r>
      <w:r w:rsidRPr="00DA1436">
        <w:t xml:space="preserve">1.3 µm in Z140. </w:t>
      </w:r>
    </w:p>
    <w:p w14:paraId="4A15FD9F" w14:textId="42D4E954" w:rsidR="00A35A08" w:rsidRDefault="00F90AC4" w:rsidP="00617D5F">
      <w:pPr>
        <w:keepNext/>
        <w:jc w:val="center"/>
      </w:pPr>
      <w:r>
        <w:rPr>
          <w:noProof/>
        </w:rPr>
        <w:drawing>
          <wp:inline distT="0" distB="0" distL="0" distR="0" wp14:anchorId="640ABFAF" wp14:editId="4C15D92B">
            <wp:extent cx="5299924" cy="5486400"/>
            <wp:effectExtent l="0" t="0" r="0" b="0"/>
            <wp:docPr id="15633766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99924" cy="5486400"/>
                    </a:xfrm>
                    <a:prstGeom prst="rect">
                      <a:avLst/>
                    </a:prstGeom>
                    <a:noFill/>
                  </pic:spPr>
                </pic:pic>
              </a:graphicData>
            </a:graphic>
          </wp:inline>
        </w:drawing>
      </w:r>
    </w:p>
    <w:p w14:paraId="48AFA42A" w14:textId="17D491EB" w:rsidR="00A35A08" w:rsidRPr="00BC0253" w:rsidRDefault="00A35A08" w:rsidP="00617D5F">
      <w:pPr>
        <w:pStyle w:val="Caption"/>
        <w:jc w:val="both"/>
        <w:rPr>
          <w:i w:val="0"/>
          <w:iCs w:val="0"/>
          <w:color w:val="auto"/>
          <w:sz w:val="24"/>
          <w:szCs w:val="24"/>
        </w:rPr>
      </w:pPr>
      <w:bookmarkStart w:id="44" w:name="_Toc131948682"/>
      <w:r w:rsidRPr="00BC0253">
        <w:rPr>
          <w:b/>
          <w:bCs/>
          <w:i w:val="0"/>
          <w:iCs w:val="0"/>
          <w:color w:val="auto"/>
          <w:sz w:val="24"/>
          <w:szCs w:val="24"/>
        </w:rPr>
        <w:t xml:space="preserve">Figure </w:t>
      </w:r>
      <w:r w:rsidRPr="00BC0253">
        <w:rPr>
          <w:b/>
          <w:bCs/>
          <w:i w:val="0"/>
          <w:iCs w:val="0"/>
          <w:color w:val="auto"/>
          <w:sz w:val="24"/>
          <w:szCs w:val="24"/>
        </w:rPr>
        <w:fldChar w:fldCharType="begin"/>
      </w:r>
      <w:r w:rsidRPr="00BC0253">
        <w:rPr>
          <w:b/>
          <w:bCs/>
          <w:i w:val="0"/>
          <w:iCs w:val="0"/>
          <w:color w:val="auto"/>
          <w:sz w:val="24"/>
          <w:szCs w:val="24"/>
        </w:rPr>
        <w:instrText xml:space="preserve"> SEQ Figure \* ARABIC </w:instrText>
      </w:r>
      <w:r w:rsidRPr="00BC0253">
        <w:rPr>
          <w:b/>
          <w:bCs/>
          <w:i w:val="0"/>
          <w:iCs w:val="0"/>
          <w:color w:val="auto"/>
          <w:sz w:val="24"/>
          <w:szCs w:val="24"/>
        </w:rPr>
        <w:fldChar w:fldCharType="separate"/>
      </w:r>
      <w:r w:rsidR="001F4741">
        <w:rPr>
          <w:b/>
          <w:bCs/>
          <w:i w:val="0"/>
          <w:iCs w:val="0"/>
          <w:noProof/>
          <w:color w:val="auto"/>
          <w:sz w:val="24"/>
          <w:szCs w:val="24"/>
        </w:rPr>
        <w:t>18</w:t>
      </w:r>
      <w:r w:rsidRPr="00BC0253">
        <w:rPr>
          <w:b/>
          <w:bCs/>
          <w:i w:val="0"/>
          <w:iCs w:val="0"/>
          <w:color w:val="auto"/>
          <w:sz w:val="24"/>
          <w:szCs w:val="24"/>
        </w:rPr>
        <w:fldChar w:fldCharType="end"/>
      </w:r>
      <w:r w:rsidRPr="00BC0253">
        <w:rPr>
          <w:b/>
          <w:bCs/>
          <w:i w:val="0"/>
          <w:iCs w:val="0"/>
          <w:color w:val="auto"/>
          <w:sz w:val="24"/>
          <w:szCs w:val="24"/>
        </w:rPr>
        <w:t>:</w:t>
      </w:r>
      <w:r w:rsidRPr="00BC0253">
        <w:rPr>
          <w:i w:val="0"/>
          <w:iCs w:val="0"/>
          <w:color w:val="auto"/>
          <w:sz w:val="24"/>
          <w:szCs w:val="24"/>
        </w:rPr>
        <w:t xml:space="preserve"> Scanning Electron Microscope pictures of ZSM5 (Si/Al</w:t>
      </w:r>
      <w:r w:rsidR="00F90AC4">
        <w:rPr>
          <w:i w:val="0"/>
          <w:iCs w:val="0"/>
          <w:color w:val="auto"/>
          <w:sz w:val="24"/>
          <w:szCs w:val="24"/>
        </w:rPr>
        <w:t xml:space="preserve">) </w:t>
      </w:r>
      <w:r w:rsidRPr="00BC0253">
        <w:rPr>
          <w:i w:val="0"/>
          <w:iCs w:val="0"/>
          <w:color w:val="auto"/>
          <w:sz w:val="24"/>
          <w:szCs w:val="24"/>
        </w:rPr>
        <w:t xml:space="preserve">140 </w:t>
      </w:r>
      <w:r w:rsidR="00F90AC4">
        <w:rPr>
          <w:i w:val="0"/>
          <w:iCs w:val="0"/>
          <w:color w:val="auto"/>
          <w:sz w:val="24"/>
          <w:szCs w:val="24"/>
        </w:rPr>
        <w:t>(‘</w:t>
      </w:r>
      <w:r w:rsidR="00F90AC4" w:rsidRPr="00F90AC4">
        <w:rPr>
          <w:color w:val="auto"/>
          <w:sz w:val="24"/>
          <w:szCs w:val="24"/>
        </w:rPr>
        <w:t>a)</w:t>
      </w:r>
      <w:r w:rsidR="00F90AC4">
        <w:rPr>
          <w:i w:val="0"/>
          <w:iCs w:val="0"/>
          <w:color w:val="auto"/>
          <w:sz w:val="24"/>
          <w:szCs w:val="24"/>
        </w:rPr>
        <w:t>’ and ‘</w:t>
      </w:r>
      <w:r w:rsidR="00F90AC4" w:rsidRPr="00F90AC4">
        <w:rPr>
          <w:color w:val="auto"/>
          <w:sz w:val="24"/>
          <w:szCs w:val="24"/>
        </w:rPr>
        <w:t>b)</w:t>
      </w:r>
      <w:r w:rsidR="00F90AC4">
        <w:rPr>
          <w:i w:val="0"/>
          <w:iCs w:val="0"/>
          <w:color w:val="auto"/>
          <w:sz w:val="24"/>
          <w:szCs w:val="24"/>
        </w:rPr>
        <w:t>’)</w:t>
      </w:r>
      <w:r w:rsidR="00AC2519">
        <w:rPr>
          <w:i w:val="0"/>
          <w:iCs w:val="0"/>
          <w:color w:val="auto"/>
          <w:sz w:val="24"/>
          <w:szCs w:val="24"/>
        </w:rPr>
        <w:t>, ZSM5 (Si/Al)</w:t>
      </w:r>
      <w:r w:rsidRPr="00BC0253">
        <w:rPr>
          <w:i w:val="0"/>
          <w:iCs w:val="0"/>
          <w:color w:val="auto"/>
          <w:sz w:val="24"/>
          <w:szCs w:val="24"/>
        </w:rPr>
        <w:t xml:space="preserve"> 40</w:t>
      </w:r>
      <w:r w:rsidR="00AC2519">
        <w:rPr>
          <w:i w:val="0"/>
          <w:iCs w:val="0"/>
          <w:color w:val="auto"/>
          <w:sz w:val="24"/>
          <w:szCs w:val="24"/>
        </w:rPr>
        <w:t xml:space="preserve"> (‘</w:t>
      </w:r>
      <w:r w:rsidR="00AC2519" w:rsidRPr="00AC2519">
        <w:rPr>
          <w:color w:val="auto"/>
          <w:sz w:val="24"/>
          <w:szCs w:val="24"/>
        </w:rPr>
        <w:t>c</w:t>
      </w:r>
      <w:r w:rsidR="00AC2519" w:rsidRPr="00F90AC4">
        <w:rPr>
          <w:color w:val="auto"/>
          <w:sz w:val="24"/>
          <w:szCs w:val="24"/>
        </w:rPr>
        <w:t>)</w:t>
      </w:r>
      <w:r w:rsidR="00AC2519">
        <w:rPr>
          <w:i w:val="0"/>
          <w:iCs w:val="0"/>
          <w:color w:val="auto"/>
          <w:sz w:val="24"/>
          <w:szCs w:val="24"/>
        </w:rPr>
        <w:t>’ and ‘</w:t>
      </w:r>
      <w:r w:rsidR="00AC2519" w:rsidRPr="00AC2519">
        <w:rPr>
          <w:color w:val="auto"/>
          <w:sz w:val="24"/>
          <w:szCs w:val="24"/>
        </w:rPr>
        <w:t>d</w:t>
      </w:r>
      <w:r w:rsidR="00AC2519" w:rsidRPr="00F90AC4">
        <w:rPr>
          <w:color w:val="auto"/>
          <w:sz w:val="24"/>
          <w:szCs w:val="24"/>
        </w:rPr>
        <w:t>)</w:t>
      </w:r>
      <w:r w:rsidR="00AC2519">
        <w:rPr>
          <w:i w:val="0"/>
          <w:iCs w:val="0"/>
          <w:color w:val="auto"/>
          <w:sz w:val="24"/>
          <w:szCs w:val="24"/>
        </w:rPr>
        <w:t>’)</w:t>
      </w:r>
      <w:r w:rsidRPr="00BC0253">
        <w:rPr>
          <w:i w:val="0"/>
          <w:iCs w:val="0"/>
          <w:color w:val="auto"/>
          <w:sz w:val="24"/>
          <w:szCs w:val="24"/>
        </w:rPr>
        <w:t xml:space="preserve"> and Y</w:t>
      </w:r>
      <w:r w:rsidR="00AC2519">
        <w:rPr>
          <w:i w:val="0"/>
          <w:iCs w:val="0"/>
          <w:color w:val="auto"/>
          <w:sz w:val="24"/>
          <w:szCs w:val="24"/>
        </w:rPr>
        <w:t xml:space="preserve"> (Si/Al) 30 (‘</w:t>
      </w:r>
      <w:r w:rsidR="00AC2519">
        <w:rPr>
          <w:color w:val="auto"/>
          <w:sz w:val="24"/>
          <w:szCs w:val="24"/>
        </w:rPr>
        <w:t>e</w:t>
      </w:r>
      <w:r w:rsidR="00AC2519" w:rsidRPr="00F90AC4">
        <w:rPr>
          <w:color w:val="auto"/>
          <w:sz w:val="24"/>
          <w:szCs w:val="24"/>
        </w:rPr>
        <w:t>)</w:t>
      </w:r>
      <w:r w:rsidR="00AC2519">
        <w:rPr>
          <w:i w:val="0"/>
          <w:iCs w:val="0"/>
          <w:color w:val="auto"/>
          <w:sz w:val="24"/>
          <w:szCs w:val="24"/>
        </w:rPr>
        <w:t>’ and ‘</w:t>
      </w:r>
      <w:r w:rsidR="00AC2519">
        <w:rPr>
          <w:color w:val="auto"/>
          <w:sz w:val="24"/>
          <w:szCs w:val="24"/>
        </w:rPr>
        <w:t>f</w:t>
      </w:r>
      <w:r w:rsidR="00AC2519" w:rsidRPr="00F90AC4">
        <w:rPr>
          <w:color w:val="auto"/>
          <w:sz w:val="24"/>
          <w:szCs w:val="24"/>
        </w:rPr>
        <w:t>)</w:t>
      </w:r>
      <w:r w:rsidR="00AC2519">
        <w:rPr>
          <w:i w:val="0"/>
          <w:iCs w:val="0"/>
          <w:color w:val="auto"/>
          <w:sz w:val="24"/>
          <w:szCs w:val="24"/>
        </w:rPr>
        <w:t>’)</w:t>
      </w:r>
      <w:r w:rsidRPr="00BC0253">
        <w:rPr>
          <w:i w:val="0"/>
          <w:iCs w:val="0"/>
          <w:color w:val="auto"/>
          <w:sz w:val="24"/>
          <w:szCs w:val="24"/>
        </w:rPr>
        <w:t>.</w:t>
      </w:r>
      <w:bookmarkEnd w:id="44"/>
      <w:r w:rsidR="00AC2519">
        <w:rPr>
          <w:i w:val="0"/>
          <w:iCs w:val="0"/>
          <w:color w:val="auto"/>
          <w:sz w:val="24"/>
          <w:szCs w:val="24"/>
        </w:rPr>
        <w:t xml:space="preserve"> In which </w:t>
      </w:r>
      <w:r w:rsidR="00AC2519" w:rsidRPr="00870888">
        <w:rPr>
          <w:color w:val="auto"/>
          <w:sz w:val="24"/>
          <w:szCs w:val="24"/>
        </w:rPr>
        <w:t>a)</w:t>
      </w:r>
      <w:r w:rsidR="00AC2519">
        <w:rPr>
          <w:i w:val="0"/>
          <w:iCs w:val="0"/>
          <w:color w:val="auto"/>
          <w:sz w:val="24"/>
          <w:szCs w:val="24"/>
        </w:rPr>
        <w:t xml:space="preserve">, </w:t>
      </w:r>
      <w:r w:rsidR="00AC2519" w:rsidRPr="00870888">
        <w:rPr>
          <w:color w:val="auto"/>
          <w:sz w:val="24"/>
          <w:szCs w:val="24"/>
        </w:rPr>
        <w:t>c)</w:t>
      </w:r>
      <w:r w:rsidR="00870888" w:rsidRPr="00870888">
        <w:rPr>
          <w:i w:val="0"/>
          <w:iCs w:val="0"/>
          <w:color w:val="auto"/>
          <w:sz w:val="24"/>
          <w:szCs w:val="24"/>
        </w:rPr>
        <w:t>,</w:t>
      </w:r>
      <w:r w:rsidR="00AC2519">
        <w:rPr>
          <w:i w:val="0"/>
          <w:iCs w:val="0"/>
          <w:color w:val="auto"/>
          <w:sz w:val="24"/>
          <w:szCs w:val="24"/>
        </w:rPr>
        <w:t xml:space="preserve"> and </w:t>
      </w:r>
      <w:r w:rsidR="00AC2519" w:rsidRPr="00870888">
        <w:rPr>
          <w:color w:val="auto"/>
          <w:sz w:val="24"/>
          <w:szCs w:val="24"/>
        </w:rPr>
        <w:t>e)</w:t>
      </w:r>
      <w:r w:rsidR="00AC2519">
        <w:rPr>
          <w:i w:val="0"/>
          <w:iCs w:val="0"/>
          <w:color w:val="auto"/>
          <w:sz w:val="24"/>
          <w:szCs w:val="24"/>
        </w:rPr>
        <w:t xml:space="preserve"> are </w:t>
      </w:r>
      <w:r w:rsidR="00870888">
        <w:rPr>
          <w:i w:val="0"/>
          <w:iCs w:val="0"/>
          <w:color w:val="auto"/>
          <w:sz w:val="24"/>
          <w:szCs w:val="24"/>
        </w:rPr>
        <w:t>high</w:t>
      </w:r>
      <w:r w:rsidR="00AC2519">
        <w:rPr>
          <w:i w:val="0"/>
          <w:iCs w:val="0"/>
          <w:color w:val="auto"/>
          <w:sz w:val="24"/>
          <w:szCs w:val="24"/>
        </w:rPr>
        <w:t xml:space="preserve"> magnification pictures</w:t>
      </w:r>
      <w:r w:rsidR="00870888">
        <w:rPr>
          <w:i w:val="0"/>
          <w:iCs w:val="0"/>
          <w:color w:val="auto"/>
          <w:sz w:val="24"/>
          <w:szCs w:val="24"/>
        </w:rPr>
        <w:t>,</w:t>
      </w:r>
      <w:r w:rsidR="00AC2519">
        <w:rPr>
          <w:i w:val="0"/>
          <w:iCs w:val="0"/>
          <w:color w:val="auto"/>
          <w:sz w:val="24"/>
          <w:szCs w:val="24"/>
        </w:rPr>
        <w:t xml:space="preserve"> and </w:t>
      </w:r>
      <w:r w:rsidR="00870888" w:rsidRPr="00870888">
        <w:rPr>
          <w:color w:val="auto"/>
          <w:sz w:val="24"/>
          <w:szCs w:val="24"/>
        </w:rPr>
        <w:t>b)</w:t>
      </w:r>
      <w:r w:rsidR="00870888">
        <w:rPr>
          <w:i w:val="0"/>
          <w:iCs w:val="0"/>
          <w:color w:val="auto"/>
          <w:sz w:val="24"/>
          <w:szCs w:val="24"/>
        </w:rPr>
        <w:t xml:space="preserve">, </w:t>
      </w:r>
      <w:r w:rsidR="00870888" w:rsidRPr="00870888">
        <w:rPr>
          <w:color w:val="auto"/>
          <w:sz w:val="24"/>
          <w:szCs w:val="24"/>
        </w:rPr>
        <w:t>d)</w:t>
      </w:r>
      <w:r w:rsidR="00870888">
        <w:rPr>
          <w:i w:val="0"/>
          <w:iCs w:val="0"/>
          <w:color w:val="auto"/>
          <w:sz w:val="24"/>
          <w:szCs w:val="24"/>
        </w:rPr>
        <w:t xml:space="preserve">, and </w:t>
      </w:r>
      <w:r w:rsidR="00870888" w:rsidRPr="00870888">
        <w:rPr>
          <w:color w:val="auto"/>
          <w:sz w:val="24"/>
          <w:szCs w:val="24"/>
        </w:rPr>
        <w:t>f)</w:t>
      </w:r>
      <w:r w:rsidR="00870888">
        <w:rPr>
          <w:i w:val="0"/>
          <w:iCs w:val="0"/>
          <w:color w:val="auto"/>
          <w:sz w:val="24"/>
          <w:szCs w:val="24"/>
        </w:rPr>
        <w:t xml:space="preserve"> are low magnification pictures.</w:t>
      </w:r>
    </w:p>
    <w:p w14:paraId="60905BFF" w14:textId="3B48ABDF" w:rsidR="00A35A08" w:rsidRPr="00DA1436" w:rsidRDefault="00A35A08" w:rsidP="00041564">
      <w:pPr>
        <w:pStyle w:val="ListParagraph"/>
        <w:spacing w:line="480" w:lineRule="auto"/>
        <w:ind w:left="0" w:firstLine="720"/>
        <w:jc w:val="both"/>
      </w:pPr>
      <w:r>
        <w:lastRenderedPageBreak/>
        <w:t>The Z40</w:t>
      </w:r>
      <w:r w:rsidR="00340977">
        <w:t xml:space="preserve"> </w:t>
      </w:r>
      <w:r>
        <w:t xml:space="preserve">picture </w:t>
      </w:r>
      <w:r w:rsidR="00340977">
        <w:t>at high magnification (</w:t>
      </w:r>
      <w:r w:rsidR="00340977" w:rsidRPr="00340977">
        <w:rPr>
          <w:b/>
          <w:bCs/>
        </w:rPr>
        <w:t>Figure 18.c)</w:t>
      </w:r>
      <w:r w:rsidR="00340977">
        <w:t xml:space="preserve">) </w:t>
      </w:r>
      <w:r>
        <w:t>resembles a large particle resulted from an aggregation of small particles. One way to validate such assumption is to calculate the crystal size of a specific sample using the Scherrer equation, which requires the XRD spectrum of the sample and a standard pattern for that crystallography that is under study. A ZSM5 was synthesized with a large particle size (~30 μm) using a similar procedure as described in conventional methods</w:t>
      </w:r>
      <w:r w:rsidRPr="00834739">
        <w:t xml:space="preserve"> </w:t>
      </w:r>
      <w:r w:rsidRPr="00DA1436">
        <w:fldChar w:fldCharType="begin"/>
      </w:r>
      <w:r w:rsidR="00C54D4B">
        <w:instrText xml:space="preserve"> ADDIN EN.CITE &lt;EndNote&gt;&lt;Cite&gt;&lt;Author&gt;Argauer&lt;/Author&gt;&lt;Year&gt;1972&lt;/Year&gt;&lt;RecNum&gt;21&lt;/RecNum&gt;&lt;DisplayText&gt;[144]&lt;/DisplayText&gt;&lt;record&gt;&lt;rec-number&gt;21&lt;/rec-number&gt;&lt;foreign-keys&gt;&lt;key app="EN" db-id="59dvwrfdof9dw8exf0kvp0atwazsazeeffsp" timestamp="1670435899"&gt;21&lt;/key&gt;&lt;/foreign-keys&gt;&lt;ref-type name="Patent"&gt;25&lt;/ref-type&gt;&lt;contributors&gt;&lt;authors&gt;&lt;author&gt;R. J. Argauer&lt;/author&gt;&lt;/authors&gt;&lt;secondary-authors&gt;&lt;author&gt;United States Patent Office&lt;/author&gt;&lt;/secondary-authors&gt;&lt;subsidiary-authors&gt;&lt;author&gt;G. R. Landolt&lt;/author&gt;&lt;/subsidiary-authors&gt;&lt;/contributors&gt;&lt;titles&gt;&lt;title&gt;Crystalline zeolite ZSM-5 and method of preparing the same.&lt;/title&gt;&lt;/titles&gt;&lt;pages&gt;9&lt;/pages&gt;&lt;volume&gt;US86547269A&lt;/volume&gt;&lt;dates&gt;&lt;year&gt;1972&lt;/year&gt;&lt;/dates&gt;&lt;pub-location&gt;USA&lt;/pub-location&gt;&lt;isbn&gt;3702886&lt;/isbn&gt;&lt;urls&gt;&lt;/urls&gt;&lt;/record&gt;&lt;/Cite&gt;&lt;/EndNote&gt;</w:instrText>
      </w:r>
      <w:r w:rsidRPr="00DA1436">
        <w:fldChar w:fldCharType="separate"/>
      </w:r>
      <w:r w:rsidR="00C54D4B">
        <w:rPr>
          <w:noProof/>
        </w:rPr>
        <w:t>[</w:t>
      </w:r>
      <w:hyperlink w:anchor="_ENREF_144" w:tooltip="Argauer, 1972 #21" w:history="1">
        <w:r w:rsidR="00D307FA">
          <w:rPr>
            <w:noProof/>
          </w:rPr>
          <w:t>144</w:t>
        </w:r>
      </w:hyperlink>
      <w:r w:rsidR="00C54D4B">
        <w:rPr>
          <w:noProof/>
        </w:rPr>
        <w:t>]</w:t>
      </w:r>
      <w:r w:rsidRPr="00DA1436">
        <w:fldChar w:fldCharType="end"/>
      </w:r>
      <w:r>
        <w:t xml:space="preserve">. The </w:t>
      </w:r>
      <w:r w:rsidRPr="00C80AAF">
        <w:t>calculated crystal sizes for Z140 and Z40 based on their XRD spectra (</w:t>
      </w:r>
      <w:r w:rsidRPr="00C80AAF">
        <w:rPr>
          <w:b/>
          <w:bCs/>
        </w:rPr>
        <w:t>Figure 1</w:t>
      </w:r>
      <w:r w:rsidR="00820226" w:rsidRPr="00C80AAF">
        <w:rPr>
          <w:b/>
          <w:bCs/>
        </w:rPr>
        <w:t>9</w:t>
      </w:r>
      <w:r w:rsidRPr="00C80AAF">
        <w:t xml:space="preserve">) are 265 and 115 nm respectively, different values than the “aggregates” observed in the SEM pictures and with those found in literature </w:t>
      </w:r>
      <w:r w:rsidRPr="00C80AAF">
        <w:fldChar w:fldCharType="begin"/>
      </w:r>
      <w:r w:rsidR="00C54D4B" w:rsidRPr="00C80AAF">
        <w:instrText xml:space="preserve"> ADDIN EN.CITE &lt;EndNote&gt;&lt;Cite&gt;&lt;Author&gt;Song&lt;/Author&gt;&lt;Year&gt;2004&lt;/Year&gt;&lt;RecNum&gt;17&lt;/RecNum&gt;&lt;DisplayText&gt;[145, 146]&lt;/DisplayText&gt;&lt;record&gt;&lt;rec-number&gt;17&lt;/rec-number&gt;&lt;foreign-keys&gt;&lt;key app="EN" db-id="59dvwrfdof9dw8exf0kvp0atwazsazeeffsp" timestamp="1668147517"&gt;17&lt;/key&gt;&lt;/foreign-keys&gt;&lt;ref-type name="Journal Article"&gt;17&lt;/ref-type&gt;&lt;contributors&gt;&lt;authors&gt;&lt;author&gt;W. Song&lt;/author&gt;&lt;author&gt;R. E. Justice&lt;/author&gt;&lt;author&gt;C. A. Jones&lt;/author&gt;&lt;author&gt;V. H. Grassian&lt;/author&gt;&lt;author&gt;S. C. Larsen&lt;/author&gt;&lt;/authors&gt;&lt;/contributors&gt;&lt;titles&gt;&lt;title&gt;Synthesis, Characterization, and Adsorption Properties of Nanocrystalline ZSM-5&lt;/title&gt;&lt;secondary-title&gt;Langmuir&lt;/secondary-title&gt;&lt;/titles&gt;&lt;periodical&gt;&lt;full-title&gt;Langmuir&lt;/full-title&gt;&lt;/periodical&gt;&lt;pages&gt;8301-8306&lt;/pages&gt;&lt;volume&gt;20&lt;/volume&gt;&lt;dates&gt;&lt;year&gt;2004&lt;/year&gt;&lt;/dates&gt;&lt;urls&gt;&lt;/urls&gt;&lt;electronic-resource-num&gt;https://doi.org/10.1021/la049516c&lt;/electronic-resource-num&gt;&lt;/record&gt;&lt;/Cite&gt;&lt;Cite&gt;&lt;Author&gt;Epelde&lt;/Author&gt;&lt;Year&gt;2015&lt;/Year&gt;&lt;RecNum&gt;18&lt;/RecNum&gt;&lt;record&gt;&lt;rec-number&gt;18&lt;/rec-number&gt;&lt;foreign-keys&gt;&lt;key app="EN" db-id="59dvwrfdof9dw8exf0kvp0atwazsazeeffsp" timestamp="1668147665"&gt;18&lt;/key&gt;&lt;/foreign-keys&gt;&lt;ref-type name="Journal Article"&gt;17&lt;/ref-type&gt;&lt;contributors&gt;&lt;authors&gt;&lt;author&gt;Eva Epelde&lt;/author&gt;&lt;author&gt;José I. Santos&lt;/author&gt;&lt;author&gt;Pierre Florian&lt;/author&gt;&lt;author&gt;Andrés T. Aguayo&lt;/author&gt;&lt;author&gt;Ana G. Gayubo&lt;/author&gt;&lt;author&gt;Javier Bilbao&lt;/author&gt;&lt;author&gt;Pedro Castaño&lt;/author&gt;&lt;/authors&gt;&lt;/contributors&gt;&lt;titles&gt;&lt;title&gt;Controlling coke deactivation and cracking selectivity of MFI zeolite by H3PO4 or KOH modification&lt;/title&gt;&lt;secondary-title&gt;Applied Catalysis A: General&lt;/secondary-title&gt;&lt;/titles&gt;&lt;periodical&gt;&lt;full-title&gt;Applied Catalysis A: General&lt;/full-title&gt;&lt;/periodical&gt;&lt;pages&gt;105-107&lt;/pages&gt;&lt;volume&gt;505&lt;/volume&gt;&lt;dates&gt;&lt;year&gt;2015&lt;/year&gt;&lt;/dates&gt;&lt;urls&gt;&lt;/urls&gt;&lt;electronic-resource-num&gt;https://doi.org/10.1016/j.apcata.2015.07.022&lt;/electronic-resource-num&gt;&lt;/record&gt;&lt;/Cite&gt;&lt;/EndNote&gt;</w:instrText>
      </w:r>
      <w:r w:rsidRPr="00C80AAF">
        <w:fldChar w:fldCharType="separate"/>
      </w:r>
      <w:r w:rsidR="00C54D4B" w:rsidRPr="00C80AAF">
        <w:rPr>
          <w:noProof/>
        </w:rPr>
        <w:t>[</w:t>
      </w:r>
      <w:hyperlink w:anchor="_ENREF_145" w:tooltip="Song, 2004 #17" w:history="1">
        <w:r w:rsidR="00D307FA" w:rsidRPr="00C80AAF">
          <w:rPr>
            <w:noProof/>
          </w:rPr>
          <w:t>145</w:t>
        </w:r>
      </w:hyperlink>
      <w:r w:rsidR="00C54D4B" w:rsidRPr="00C80AAF">
        <w:rPr>
          <w:noProof/>
        </w:rPr>
        <w:t xml:space="preserve">, </w:t>
      </w:r>
      <w:hyperlink w:anchor="_ENREF_146" w:tooltip="Epelde, 2015 #18" w:history="1">
        <w:r w:rsidR="00D307FA" w:rsidRPr="00C80AAF">
          <w:rPr>
            <w:noProof/>
          </w:rPr>
          <w:t>146</w:t>
        </w:r>
      </w:hyperlink>
      <w:r w:rsidR="00C54D4B" w:rsidRPr="00C80AAF">
        <w:rPr>
          <w:noProof/>
        </w:rPr>
        <w:t>]</w:t>
      </w:r>
      <w:r w:rsidRPr="00C80AAF">
        <w:fldChar w:fldCharType="end"/>
      </w:r>
      <w:r w:rsidRPr="00C80AAF">
        <w:t xml:space="preserve">. With these calculation results and the high magnification images in </w:t>
      </w:r>
      <w:r w:rsidRPr="00C80AAF">
        <w:rPr>
          <w:b/>
          <w:bCs/>
        </w:rPr>
        <w:t xml:space="preserve">Figure </w:t>
      </w:r>
      <w:r w:rsidR="007D27D3" w:rsidRPr="00C80AAF">
        <w:rPr>
          <w:b/>
          <w:bCs/>
        </w:rPr>
        <w:t>18</w:t>
      </w:r>
      <w:r w:rsidRPr="00C80AAF">
        <w:t xml:space="preserve"> </w:t>
      </w:r>
      <w:r w:rsidR="000B2822">
        <w:t>(</w:t>
      </w:r>
      <w:r w:rsidR="000B2822" w:rsidRPr="007718B3">
        <w:rPr>
          <w:b/>
          <w:bCs/>
          <w:i/>
          <w:iCs/>
        </w:rPr>
        <w:t>a)</w:t>
      </w:r>
      <w:r w:rsidR="000B2822">
        <w:t xml:space="preserve">, </w:t>
      </w:r>
      <w:r w:rsidR="000B2822" w:rsidRPr="007718B3">
        <w:rPr>
          <w:b/>
          <w:bCs/>
          <w:i/>
          <w:iCs/>
        </w:rPr>
        <w:t>c)</w:t>
      </w:r>
      <w:r w:rsidR="000B2822">
        <w:t xml:space="preserve">, and </w:t>
      </w:r>
      <w:r w:rsidR="000B2822" w:rsidRPr="007718B3">
        <w:rPr>
          <w:b/>
          <w:bCs/>
          <w:i/>
          <w:iCs/>
        </w:rPr>
        <w:t>e)</w:t>
      </w:r>
      <w:r w:rsidR="000B2822">
        <w:t xml:space="preserve">) </w:t>
      </w:r>
      <w:r w:rsidRPr="00C80AAF">
        <w:t>it seems that each particle is a unique crystal rather than an aggregate of small ones and that the</w:t>
      </w:r>
      <w:r>
        <w:t xml:space="preserve"> Scherrer equation fails to precisely calculate the crystal size of the used samples</w:t>
      </w:r>
      <w:r w:rsidRPr="00DA1436">
        <w:t>. To also support th</w:t>
      </w:r>
      <w:r>
        <w:t>e assumption of a single large crystal, it is found in literature a</w:t>
      </w:r>
      <w:r w:rsidRPr="00DA1436">
        <w:t xml:space="preserve"> transmission electron microscopy image of </w:t>
      </w:r>
      <w:r>
        <w:t>the</w:t>
      </w:r>
      <w:r w:rsidRPr="00DA1436">
        <w:t xml:space="preserve"> commercial ZSM5 of Si/Al 140 </w:t>
      </w:r>
      <w:r>
        <w:t>and</w:t>
      </w:r>
      <w:r w:rsidRPr="00DA1436">
        <w:t xml:space="preserve"> no particle aggregation </w:t>
      </w:r>
      <w:r>
        <w:t>is</w:t>
      </w:r>
      <w:r w:rsidRPr="00DA1436">
        <w:t xml:space="preserve"> observed</w:t>
      </w:r>
      <w:r>
        <w:t xml:space="preserve"> </w:t>
      </w:r>
      <w:r w:rsidRPr="00DA1436">
        <w:fldChar w:fldCharType="begin"/>
      </w:r>
      <w:r w:rsidR="00C54D4B">
        <w:instrText xml:space="preserve"> ADDIN EN.CITE &lt;EndNote&gt;&lt;Cite&gt;&lt;Author&gt;Kim&lt;/Author&gt;&lt;Year&gt;2018&lt;/Year&gt;&lt;RecNum&gt;19&lt;/RecNum&gt;&lt;DisplayText&gt;[147]&lt;/DisplayText&gt;&lt;record&gt;&lt;rec-number&gt;19&lt;/rec-number&gt;&lt;foreign-keys&gt;&lt;key app="EN" db-id="59dvwrfdof9dw8exf0kvp0atwazsazeeffsp" timestamp="1668147924"&gt;19&lt;/key&gt;&lt;/foreign-keys&gt;&lt;ref-type name="Journal Article"&gt;17&lt;/ref-type&gt;&lt;contributors&gt;&lt;authors&gt;&lt;author&gt;Heejoong Kim&lt;/author&gt;&lt;author&gt;Hoi-Gu Jang&lt;/author&gt;&lt;author&gt;Eunhee Jang&lt;/author&gt;&lt;author&gt;Sung Jun Park&lt;/author&gt;&lt;author&gt;Taehee Lee&lt;/author&gt;&lt;author&gt;Yanghwan Jeong&lt;/author&gt;&lt;author&gt;Hionsuck Baik&lt;/author&gt;&lt;author&gt;Sung June Cho&lt;/author&gt;&lt;author&gt;Jungkyu Choi&lt;/author&gt;&lt;/authors&gt;&lt;/contributors&gt;&lt;titles&gt;&lt;title&gt;On methanol to hydrocarbons reactions in a hierarchically structured ZSM-5 zeolite catalyst&lt;/title&gt;&lt;secondary-title&gt;Catalysis Today&lt;/secondary-title&gt;&lt;/titles&gt;&lt;periodical&gt;&lt;full-title&gt;Catalysis Today&lt;/full-title&gt;&lt;/periodical&gt;&lt;pages&gt;150-158&lt;/pages&gt;&lt;volume&gt;303&lt;/volume&gt;&lt;dates&gt;&lt;year&gt;2018&lt;/year&gt;&lt;/dates&gt;&lt;urls&gt;&lt;/urls&gt;&lt;electronic-resource-num&gt;https://doi.org/10.1016/j.cattod.2017.09.032&lt;/electronic-resource-num&gt;&lt;/record&gt;&lt;/Cite&gt;&lt;/EndNote&gt;</w:instrText>
      </w:r>
      <w:r w:rsidRPr="00DA1436">
        <w:fldChar w:fldCharType="separate"/>
      </w:r>
      <w:r w:rsidR="00C54D4B">
        <w:rPr>
          <w:noProof/>
        </w:rPr>
        <w:t>[</w:t>
      </w:r>
      <w:hyperlink w:anchor="_ENREF_147" w:tooltip="Kim, 2018 #19" w:history="1">
        <w:r w:rsidR="00D307FA">
          <w:rPr>
            <w:noProof/>
          </w:rPr>
          <w:t>147</w:t>
        </w:r>
      </w:hyperlink>
      <w:r w:rsidR="00C54D4B">
        <w:rPr>
          <w:noProof/>
        </w:rPr>
        <w:t>]</w:t>
      </w:r>
      <w:r w:rsidRPr="00DA1436">
        <w:fldChar w:fldCharType="end"/>
      </w:r>
      <w:r w:rsidRPr="00DA1436">
        <w:t>.</w:t>
      </w:r>
    </w:p>
    <w:p w14:paraId="1D263150" w14:textId="77777777" w:rsidR="00A35A08" w:rsidRDefault="00A35A08" w:rsidP="00617D5F">
      <w:pPr>
        <w:pStyle w:val="NoSpacing"/>
        <w:keepNext/>
        <w:jc w:val="center"/>
      </w:pPr>
      <w:r>
        <w:rPr>
          <w:rFonts w:ascii="Times New Roman" w:hAnsi="Times New Roman" w:cs="Times New Roman"/>
          <w:noProof/>
        </w:rPr>
        <w:drawing>
          <wp:inline distT="0" distB="0" distL="0" distR="0" wp14:anchorId="1D130C49" wp14:editId="7ECB035D">
            <wp:extent cx="3576525" cy="2286000"/>
            <wp:effectExtent l="0" t="0" r="5080" b="0"/>
            <wp:docPr id="44"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76525" cy="2286000"/>
                    </a:xfrm>
                    <a:prstGeom prst="rect">
                      <a:avLst/>
                    </a:prstGeom>
                    <a:noFill/>
                  </pic:spPr>
                </pic:pic>
              </a:graphicData>
            </a:graphic>
          </wp:inline>
        </w:drawing>
      </w:r>
    </w:p>
    <w:p w14:paraId="200AD2FB" w14:textId="1D27A458" w:rsidR="00C008FE" w:rsidRDefault="00A35A08" w:rsidP="00617D5F">
      <w:pPr>
        <w:pStyle w:val="Caption"/>
        <w:jc w:val="both"/>
        <w:rPr>
          <w:i w:val="0"/>
          <w:iCs w:val="0"/>
          <w:color w:val="auto"/>
          <w:sz w:val="24"/>
          <w:szCs w:val="24"/>
        </w:rPr>
      </w:pPr>
      <w:bookmarkStart w:id="45" w:name="_Toc131948683"/>
      <w:r w:rsidRPr="006A5ADC">
        <w:rPr>
          <w:b/>
          <w:bCs/>
          <w:i w:val="0"/>
          <w:iCs w:val="0"/>
          <w:color w:val="auto"/>
          <w:sz w:val="24"/>
          <w:szCs w:val="24"/>
        </w:rPr>
        <w:t xml:space="preserve">Figure </w:t>
      </w:r>
      <w:r w:rsidRPr="006A5ADC">
        <w:rPr>
          <w:b/>
          <w:bCs/>
          <w:i w:val="0"/>
          <w:iCs w:val="0"/>
          <w:color w:val="auto"/>
          <w:sz w:val="24"/>
          <w:szCs w:val="24"/>
        </w:rPr>
        <w:fldChar w:fldCharType="begin"/>
      </w:r>
      <w:r w:rsidRPr="006A5ADC">
        <w:rPr>
          <w:b/>
          <w:bCs/>
          <w:i w:val="0"/>
          <w:iCs w:val="0"/>
          <w:color w:val="auto"/>
          <w:sz w:val="24"/>
          <w:szCs w:val="24"/>
        </w:rPr>
        <w:instrText xml:space="preserve"> SEQ Figure \* ARABIC </w:instrText>
      </w:r>
      <w:r w:rsidRPr="006A5ADC">
        <w:rPr>
          <w:b/>
          <w:bCs/>
          <w:i w:val="0"/>
          <w:iCs w:val="0"/>
          <w:color w:val="auto"/>
          <w:sz w:val="24"/>
          <w:szCs w:val="24"/>
        </w:rPr>
        <w:fldChar w:fldCharType="separate"/>
      </w:r>
      <w:r w:rsidR="001F4741">
        <w:rPr>
          <w:b/>
          <w:bCs/>
          <w:i w:val="0"/>
          <w:iCs w:val="0"/>
          <w:noProof/>
          <w:color w:val="auto"/>
          <w:sz w:val="24"/>
          <w:szCs w:val="24"/>
        </w:rPr>
        <w:t>19</w:t>
      </w:r>
      <w:r w:rsidRPr="006A5ADC">
        <w:rPr>
          <w:b/>
          <w:bCs/>
          <w:i w:val="0"/>
          <w:iCs w:val="0"/>
          <w:color w:val="auto"/>
          <w:sz w:val="24"/>
          <w:szCs w:val="24"/>
        </w:rPr>
        <w:fldChar w:fldCharType="end"/>
      </w:r>
      <w:r w:rsidRPr="006A5ADC">
        <w:rPr>
          <w:b/>
          <w:bCs/>
          <w:i w:val="0"/>
          <w:iCs w:val="0"/>
          <w:color w:val="auto"/>
          <w:sz w:val="24"/>
          <w:szCs w:val="24"/>
        </w:rPr>
        <w:t>:</w:t>
      </w:r>
      <w:r w:rsidRPr="006A5ADC">
        <w:rPr>
          <w:i w:val="0"/>
          <w:iCs w:val="0"/>
          <w:color w:val="auto"/>
          <w:sz w:val="24"/>
          <w:szCs w:val="24"/>
        </w:rPr>
        <w:t xml:space="preserve"> X-ray diffraction patterns for the synthesized ZSM5 and commercial samples of ZSM5 and Y ze</w:t>
      </w:r>
      <w:r w:rsidRPr="00DA1436">
        <w:rPr>
          <w:i w:val="0"/>
          <w:iCs w:val="0"/>
          <w:color w:val="auto"/>
          <w:sz w:val="24"/>
          <w:szCs w:val="24"/>
        </w:rPr>
        <w:t>olites.</w:t>
      </w:r>
      <w:bookmarkEnd w:id="45"/>
    </w:p>
    <w:p w14:paraId="3558EE90" w14:textId="77777777" w:rsidR="00617D5F" w:rsidRDefault="00617D5F" w:rsidP="00C008FE">
      <w:pPr>
        <w:pStyle w:val="Caption"/>
        <w:spacing w:line="480" w:lineRule="auto"/>
        <w:jc w:val="both"/>
        <w:rPr>
          <w:sz w:val="24"/>
          <w:szCs w:val="24"/>
        </w:rPr>
      </w:pPr>
    </w:p>
    <w:p w14:paraId="6B03B93D" w14:textId="28227A87" w:rsidR="00A35A08" w:rsidRPr="00F11C1B" w:rsidRDefault="00B45B4F" w:rsidP="00B45B4F">
      <w:pPr>
        <w:pStyle w:val="Heading4"/>
        <w:spacing w:line="480" w:lineRule="auto"/>
        <w:rPr>
          <w:rFonts w:ascii="Times New Roman" w:hAnsi="Times New Roman" w:cs="Times New Roman"/>
          <w:color w:val="auto"/>
        </w:rPr>
      </w:pPr>
      <w:r w:rsidRPr="00D44A7D">
        <w:rPr>
          <w:rFonts w:ascii="Times New Roman" w:hAnsi="Times New Roman" w:cs="Times New Roman"/>
          <w:i w:val="0"/>
          <w:iCs w:val="0"/>
          <w:color w:val="auto"/>
        </w:rPr>
        <w:lastRenderedPageBreak/>
        <w:tab/>
      </w:r>
      <w:r w:rsidR="00A35A08" w:rsidRPr="00F11C1B">
        <w:rPr>
          <w:rFonts w:ascii="Times New Roman" w:hAnsi="Times New Roman" w:cs="Times New Roman"/>
          <w:color w:val="auto"/>
        </w:rPr>
        <w:t>2.4.1.2 Density of Acid Sites Quantification</w:t>
      </w:r>
    </w:p>
    <w:p w14:paraId="7DCEBFCA" w14:textId="5C203EBC" w:rsidR="00A35A08" w:rsidRPr="00DA1436" w:rsidRDefault="00A35A08" w:rsidP="00B45B4F">
      <w:pPr>
        <w:pStyle w:val="ListParagraph"/>
        <w:spacing w:line="480" w:lineRule="auto"/>
        <w:ind w:left="0" w:firstLine="720"/>
        <w:jc w:val="both"/>
      </w:pPr>
      <w:r w:rsidRPr="00DA1436">
        <w:t xml:space="preserve">The BAS density </w:t>
      </w:r>
      <w:r>
        <w:t>of</w:t>
      </w:r>
      <w:r w:rsidRPr="00DA1436">
        <w:t xml:space="preserve"> each sample was obtained by IPA-TPD</w:t>
      </w:r>
      <w:r>
        <w:t xml:space="preserve"> by </w:t>
      </w:r>
      <w:r w:rsidRPr="00DA1436">
        <w:t>quantifying the amount of propylene evolution from</w:t>
      </w:r>
      <w:r>
        <w:t xml:space="preserve"> the</w:t>
      </w:r>
      <w:r w:rsidRPr="00DA1436">
        <w:t xml:space="preserve"> fully saturated </w:t>
      </w:r>
      <w:r w:rsidRPr="00C80AAF">
        <w:t xml:space="preserve">samples. </w:t>
      </w:r>
      <w:r w:rsidRPr="00C80AAF">
        <w:rPr>
          <w:b/>
          <w:bCs/>
        </w:rPr>
        <w:t xml:space="preserve">Figure </w:t>
      </w:r>
      <w:r w:rsidR="007D27D3" w:rsidRPr="00C80AAF">
        <w:rPr>
          <w:b/>
          <w:bCs/>
        </w:rPr>
        <w:t>20</w:t>
      </w:r>
      <w:r w:rsidRPr="00C80AAF">
        <w:t xml:space="preserve"> shows the MS signal corresponding to propylene as a function of temperature for IPA-covered samples of each parent and Na exchanged zeolite. Clearly, the amount of propylene adsorbed decreases as the number of Na-titrated sites increases. </w:t>
      </w:r>
      <w:r w:rsidRPr="00C80AAF">
        <w:rPr>
          <w:b/>
          <w:bCs/>
        </w:rPr>
        <w:t xml:space="preserve">Table 1 </w:t>
      </w:r>
      <w:r w:rsidRPr="00C80AAF">
        <w:t>summarizes</w:t>
      </w:r>
      <w:r w:rsidRPr="00071741">
        <w:t xml:space="preserve"> the BAS density (in mmol/g</w:t>
      </w:r>
      <w:r w:rsidRPr="00071741">
        <w:rPr>
          <w:vertAlign w:val="subscript"/>
        </w:rPr>
        <w:t>cat</w:t>
      </w:r>
      <w:r w:rsidRPr="00071741">
        <w:t xml:space="preserve">) obtained for each sample where Na/H stands for the </w:t>
      </w:r>
      <w:r w:rsidR="001234BE">
        <w:t xml:space="preserve">molar </w:t>
      </w:r>
      <w:r w:rsidRPr="00071741">
        <w:t xml:space="preserve">ratio of Na added into the exchange solution and each active proton in the parent zeolite. For high Na loadings sequential exchanges were </w:t>
      </w:r>
      <w:r w:rsidRPr="00DA1436">
        <w:t xml:space="preserve">performed to avoid pore plugging. </w:t>
      </w:r>
      <w:r w:rsidRPr="00DA1436">
        <w:fldChar w:fldCharType="begin"/>
      </w:r>
      <w:r w:rsidR="00C54D4B">
        <w:instrText xml:space="preserve"> ADDIN EN.CITE &lt;EndNote&gt;&lt;Cite&gt;&lt;Author&gt;Jhung&lt;/Author&gt;&lt;Year&gt;2007&lt;/Year&gt;&lt;RecNum&gt;15&lt;/RecNum&gt;&lt;DisplayText&gt;[148]&lt;/DisplayText&gt;&lt;record&gt;&lt;rec-number&gt;15&lt;/rec-number&gt;&lt;foreign-keys&gt;&lt;key app="EN" db-id="59dvwrfdof9dw8exf0kvp0atwazsazeeffsp" timestamp="1667539313"&gt;15&lt;/key&gt;&lt;/foreign-keys&gt;&lt;ref-type name="Journal Article"&gt;17&lt;/ref-type&gt;&lt;contributors&gt;&lt;authors&gt;&lt;author&gt;Sung Hwa Jhung&lt;/author&gt;&lt;author&gt;Ji Woong Yoon&lt;/author&gt;&lt;author&gt;Ji Sun Lee&lt;/author&gt;&lt;author&gt;Jong-San Chang&lt;/author&gt;&lt;/authors&gt;&lt;/contributors&gt;&lt;titles&gt;&lt;title&gt;Low-Temperature Adsorption/Storage of Hydrogen on FAU, MFI, and MOR Zeolites with Various Si/Al Ratios: Effect of Electrostatic Fields and Pore Structures&lt;/title&gt;&lt;secondary-title&gt;Chemistry - A European Journal&lt;/secondary-title&gt;&lt;/titles&gt;&lt;periodical&gt;&lt;full-title&gt;Chemistry - A European Journal&lt;/full-title&gt;&lt;/periodical&gt;&lt;pages&gt;6502-6507&lt;/pages&gt;&lt;volume&gt;13&lt;/volume&gt;&lt;number&gt;22&lt;/number&gt;&lt;section&gt;6502&lt;/section&gt;&lt;dates&gt;&lt;year&gt;2007&lt;/year&gt;&lt;/dates&gt;&lt;urls&gt;&lt;/urls&gt;&lt;electronic-resource-num&gt;https://doi.org/10.1002/chem.200700148&lt;/electronic-resource-num&gt;&lt;/record&gt;&lt;/Cite&gt;&lt;/EndNote&gt;</w:instrText>
      </w:r>
      <w:r w:rsidRPr="00DA1436">
        <w:fldChar w:fldCharType="separate"/>
      </w:r>
      <w:r w:rsidR="00C54D4B">
        <w:rPr>
          <w:noProof/>
        </w:rPr>
        <w:t>[</w:t>
      </w:r>
      <w:hyperlink w:anchor="_ENREF_148" w:tooltip="Jhung, 2007 #15" w:history="1">
        <w:r w:rsidR="00D307FA">
          <w:rPr>
            <w:noProof/>
          </w:rPr>
          <w:t>148</w:t>
        </w:r>
      </w:hyperlink>
      <w:r w:rsidR="00C54D4B">
        <w:rPr>
          <w:noProof/>
        </w:rPr>
        <w:t>]</w:t>
      </w:r>
      <w:r w:rsidRPr="00DA1436">
        <w:fldChar w:fldCharType="end"/>
      </w:r>
      <w:r w:rsidRPr="00DA1436">
        <w:t>.</w:t>
      </w:r>
    </w:p>
    <w:p w14:paraId="7FA09600" w14:textId="77777777" w:rsidR="00A35A08" w:rsidRDefault="00A35A08" w:rsidP="00617D5F">
      <w:pPr>
        <w:pStyle w:val="Caption"/>
        <w:keepNext/>
        <w:jc w:val="center"/>
      </w:pPr>
      <w:r>
        <w:rPr>
          <w:i w:val="0"/>
          <w:iCs w:val="0"/>
          <w:noProof/>
          <w:color w:val="auto"/>
          <w:sz w:val="24"/>
          <w:szCs w:val="24"/>
        </w:rPr>
        <w:drawing>
          <wp:inline distT="0" distB="0" distL="0" distR="0" wp14:anchorId="4D4D057D" wp14:editId="1ED86C3F">
            <wp:extent cx="3555804" cy="2286000"/>
            <wp:effectExtent l="0" t="0" r="6985" b="0"/>
            <wp:docPr id="45" name="Picture 4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55804" cy="2286000"/>
                    </a:xfrm>
                    <a:prstGeom prst="rect">
                      <a:avLst/>
                    </a:prstGeom>
                    <a:noFill/>
                  </pic:spPr>
                </pic:pic>
              </a:graphicData>
            </a:graphic>
          </wp:inline>
        </w:drawing>
      </w:r>
    </w:p>
    <w:p w14:paraId="4EA77450" w14:textId="1EA66081" w:rsidR="00A35A08" w:rsidRDefault="00A35A08" w:rsidP="00617D5F">
      <w:pPr>
        <w:pStyle w:val="Caption"/>
        <w:jc w:val="both"/>
        <w:rPr>
          <w:i w:val="0"/>
          <w:iCs w:val="0"/>
          <w:color w:val="auto"/>
          <w:sz w:val="24"/>
          <w:szCs w:val="24"/>
        </w:rPr>
      </w:pPr>
      <w:bookmarkStart w:id="46" w:name="_Toc131948684"/>
      <w:r w:rsidRPr="00212359">
        <w:rPr>
          <w:b/>
          <w:bCs/>
          <w:i w:val="0"/>
          <w:iCs w:val="0"/>
          <w:color w:val="auto"/>
          <w:sz w:val="24"/>
          <w:szCs w:val="24"/>
        </w:rPr>
        <w:t xml:space="preserve">Figure </w:t>
      </w:r>
      <w:r w:rsidRPr="00212359">
        <w:rPr>
          <w:b/>
          <w:bCs/>
          <w:i w:val="0"/>
          <w:iCs w:val="0"/>
          <w:color w:val="auto"/>
          <w:sz w:val="24"/>
          <w:szCs w:val="24"/>
        </w:rPr>
        <w:fldChar w:fldCharType="begin"/>
      </w:r>
      <w:r w:rsidRPr="00212359">
        <w:rPr>
          <w:b/>
          <w:bCs/>
          <w:i w:val="0"/>
          <w:iCs w:val="0"/>
          <w:color w:val="auto"/>
          <w:sz w:val="24"/>
          <w:szCs w:val="24"/>
        </w:rPr>
        <w:instrText xml:space="preserve"> SEQ Figure \* ARABIC </w:instrText>
      </w:r>
      <w:r w:rsidRPr="00212359">
        <w:rPr>
          <w:b/>
          <w:bCs/>
          <w:i w:val="0"/>
          <w:iCs w:val="0"/>
          <w:color w:val="auto"/>
          <w:sz w:val="24"/>
          <w:szCs w:val="24"/>
        </w:rPr>
        <w:fldChar w:fldCharType="separate"/>
      </w:r>
      <w:r w:rsidR="001F4741">
        <w:rPr>
          <w:b/>
          <w:bCs/>
          <w:i w:val="0"/>
          <w:iCs w:val="0"/>
          <w:noProof/>
          <w:color w:val="auto"/>
          <w:sz w:val="24"/>
          <w:szCs w:val="24"/>
        </w:rPr>
        <w:t>20</w:t>
      </w:r>
      <w:r w:rsidRPr="00212359">
        <w:rPr>
          <w:b/>
          <w:bCs/>
          <w:i w:val="0"/>
          <w:iCs w:val="0"/>
          <w:color w:val="auto"/>
          <w:sz w:val="24"/>
          <w:szCs w:val="24"/>
        </w:rPr>
        <w:fldChar w:fldCharType="end"/>
      </w:r>
      <w:r w:rsidRPr="00212359">
        <w:rPr>
          <w:b/>
          <w:bCs/>
          <w:i w:val="0"/>
          <w:iCs w:val="0"/>
          <w:color w:val="auto"/>
          <w:sz w:val="24"/>
          <w:szCs w:val="24"/>
        </w:rPr>
        <w:t>:</w:t>
      </w:r>
      <w:r w:rsidRPr="00212359">
        <w:rPr>
          <w:i w:val="0"/>
          <w:iCs w:val="0"/>
          <w:color w:val="auto"/>
          <w:sz w:val="24"/>
          <w:szCs w:val="24"/>
        </w:rPr>
        <w:t xml:space="preserve"> </w:t>
      </w:r>
      <w:r w:rsidRPr="00DA1436">
        <w:rPr>
          <w:i w:val="0"/>
          <w:iCs w:val="0"/>
          <w:color w:val="auto"/>
          <w:sz w:val="24"/>
          <w:szCs w:val="24"/>
        </w:rPr>
        <w:t>Temperature programmed decomposition of adsorbed isopropylamine (IPA-TPD) on the two Na-partially exchanged series of ZSM5 and Y zeolites. Propylene evolution in a 10 K/min heating ramp from IPA-saturated samples.</w:t>
      </w:r>
      <w:bookmarkEnd w:id="46"/>
    </w:p>
    <w:p w14:paraId="542BA9E8" w14:textId="77777777" w:rsidR="00C80AAF" w:rsidRDefault="00C80AAF" w:rsidP="00C80AAF"/>
    <w:p w14:paraId="769F2544" w14:textId="77777777" w:rsidR="00C80AAF" w:rsidRDefault="00C80AAF" w:rsidP="00C80AAF"/>
    <w:p w14:paraId="49F91F6F" w14:textId="77777777" w:rsidR="00C80AAF" w:rsidRDefault="00C80AAF" w:rsidP="00C80AAF"/>
    <w:p w14:paraId="35B2A69D" w14:textId="77777777" w:rsidR="00C80AAF" w:rsidRDefault="00C80AAF" w:rsidP="00C80AAF"/>
    <w:p w14:paraId="1ACC4F36" w14:textId="77777777" w:rsidR="00C80AAF" w:rsidRDefault="00C80AAF" w:rsidP="00C80AAF"/>
    <w:p w14:paraId="00DCE79F" w14:textId="77777777" w:rsidR="00C80AAF" w:rsidRDefault="00C80AAF" w:rsidP="00C80AAF"/>
    <w:p w14:paraId="2C7BBA6B" w14:textId="77777777" w:rsidR="00C80AAF" w:rsidRDefault="00C80AAF" w:rsidP="00C80AAF"/>
    <w:p w14:paraId="7C14192B" w14:textId="77777777" w:rsidR="00C80AAF" w:rsidRPr="00C80AAF" w:rsidRDefault="00C80AAF" w:rsidP="00C80AAF"/>
    <w:p w14:paraId="10034E02" w14:textId="03E6C1B1" w:rsidR="00A35A08" w:rsidRPr="001B338D" w:rsidRDefault="00A35A08" w:rsidP="00041564">
      <w:pPr>
        <w:pStyle w:val="Caption"/>
        <w:keepNext/>
        <w:rPr>
          <w:i w:val="0"/>
          <w:iCs w:val="0"/>
          <w:color w:val="auto"/>
          <w:sz w:val="24"/>
          <w:szCs w:val="24"/>
        </w:rPr>
      </w:pPr>
      <w:bookmarkStart w:id="47" w:name="_Toc131948652"/>
      <w:r w:rsidRPr="001B338D">
        <w:rPr>
          <w:b/>
          <w:bCs/>
          <w:i w:val="0"/>
          <w:iCs w:val="0"/>
          <w:color w:val="auto"/>
          <w:sz w:val="24"/>
          <w:szCs w:val="24"/>
        </w:rPr>
        <w:lastRenderedPageBreak/>
        <w:t xml:space="preserve">Table </w:t>
      </w:r>
      <w:r w:rsidRPr="001B338D">
        <w:rPr>
          <w:b/>
          <w:bCs/>
          <w:i w:val="0"/>
          <w:iCs w:val="0"/>
          <w:color w:val="auto"/>
          <w:sz w:val="24"/>
          <w:szCs w:val="24"/>
        </w:rPr>
        <w:fldChar w:fldCharType="begin"/>
      </w:r>
      <w:r w:rsidRPr="001B338D">
        <w:rPr>
          <w:b/>
          <w:bCs/>
          <w:i w:val="0"/>
          <w:iCs w:val="0"/>
          <w:color w:val="auto"/>
          <w:sz w:val="24"/>
          <w:szCs w:val="24"/>
        </w:rPr>
        <w:instrText xml:space="preserve"> SEQ Table \* ARABIC </w:instrText>
      </w:r>
      <w:r w:rsidRPr="001B338D">
        <w:rPr>
          <w:b/>
          <w:bCs/>
          <w:i w:val="0"/>
          <w:iCs w:val="0"/>
          <w:color w:val="auto"/>
          <w:sz w:val="24"/>
          <w:szCs w:val="24"/>
        </w:rPr>
        <w:fldChar w:fldCharType="separate"/>
      </w:r>
      <w:r w:rsidR="001F4741">
        <w:rPr>
          <w:b/>
          <w:bCs/>
          <w:i w:val="0"/>
          <w:iCs w:val="0"/>
          <w:noProof/>
          <w:color w:val="auto"/>
          <w:sz w:val="24"/>
          <w:szCs w:val="24"/>
        </w:rPr>
        <w:t>1</w:t>
      </w:r>
      <w:r w:rsidRPr="001B338D">
        <w:rPr>
          <w:b/>
          <w:bCs/>
          <w:i w:val="0"/>
          <w:iCs w:val="0"/>
          <w:color w:val="auto"/>
          <w:sz w:val="24"/>
          <w:szCs w:val="24"/>
        </w:rPr>
        <w:fldChar w:fldCharType="end"/>
      </w:r>
      <w:r w:rsidRPr="001B338D">
        <w:rPr>
          <w:b/>
          <w:bCs/>
          <w:i w:val="0"/>
          <w:iCs w:val="0"/>
          <w:color w:val="auto"/>
          <w:sz w:val="24"/>
          <w:szCs w:val="24"/>
        </w:rPr>
        <w:t>:</w:t>
      </w:r>
      <w:r w:rsidRPr="001B338D">
        <w:rPr>
          <w:i w:val="0"/>
          <w:iCs w:val="0"/>
          <w:color w:val="auto"/>
          <w:sz w:val="24"/>
          <w:szCs w:val="24"/>
        </w:rPr>
        <w:t xml:space="preserve"> Bronsted acid site density of Y and ZSM5 partially Na-exchanged series.</w:t>
      </w:r>
      <w:bookmarkEnd w:id="47"/>
    </w:p>
    <w:tbl>
      <w:tblPr>
        <w:tblW w:w="8477" w:type="dxa"/>
        <w:tblLook w:val="04A0" w:firstRow="1" w:lastRow="0" w:firstColumn="1" w:lastColumn="0" w:noHBand="0" w:noVBand="1"/>
      </w:tblPr>
      <w:tblGrid>
        <w:gridCol w:w="965"/>
        <w:gridCol w:w="1862"/>
        <w:gridCol w:w="1033"/>
        <w:gridCol w:w="1792"/>
        <w:gridCol w:w="839"/>
        <w:gridCol w:w="1986"/>
      </w:tblGrid>
      <w:tr w:rsidR="00A35A08" w:rsidRPr="000D535C" w14:paraId="4B194B1C" w14:textId="77777777" w:rsidTr="00EF17D5">
        <w:trPr>
          <w:trHeight w:val="750"/>
        </w:trPr>
        <w:tc>
          <w:tcPr>
            <w:tcW w:w="965" w:type="dxa"/>
            <w:tcBorders>
              <w:top w:val="single" w:sz="4" w:space="0" w:color="auto"/>
              <w:left w:val="nil"/>
              <w:bottom w:val="single" w:sz="4" w:space="0" w:color="auto"/>
              <w:right w:val="nil"/>
            </w:tcBorders>
            <w:shd w:val="clear" w:color="auto" w:fill="auto"/>
            <w:noWrap/>
            <w:vAlign w:val="center"/>
            <w:hideMark/>
          </w:tcPr>
          <w:p w14:paraId="69D461BD" w14:textId="77777777" w:rsidR="00A35A08" w:rsidRPr="00434332" w:rsidRDefault="00A35A08" w:rsidP="00041564">
            <w:pPr>
              <w:jc w:val="center"/>
              <w:rPr>
                <w:color w:val="000000"/>
              </w:rPr>
            </w:pPr>
            <w:r w:rsidRPr="00434332">
              <w:rPr>
                <w:color w:val="000000"/>
              </w:rPr>
              <w:t>Na/H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14:paraId="13B686A6" w14:textId="77777777" w:rsidR="00A35A08" w:rsidRPr="00434332" w:rsidRDefault="00A35A08" w:rsidP="00041564">
            <w:pPr>
              <w:jc w:val="center"/>
              <w:rPr>
                <w:color w:val="000000"/>
                <w:lang w:val="pt-BR"/>
              </w:rPr>
            </w:pPr>
            <w:r w:rsidRPr="00434332">
              <w:rPr>
                <w:color w:val="000000"/>
                <w:lang w:val="pt-BR"/>
              </w:rPr>
              <w:t>IPA-TPD BAS (mmol/gcat)</w:t>
            </w:r>
          </w:p>
        </w:tc>
        <w:tc>
          <w:tcPr>
            <w:tcW w:w="1033" w:type="dxa"/>
            <w:tcBorders>
              <w:top w:val="single" w:sz="4" w:space="0" w:color="auto"/>
              <w:left w:val="nil"/>
              <w:bottom w:val="single" w:sz="4" w:space="0" w:color="auto"/>
              <w:right w:val="nil"/>
            </w:tcBorders>
            <w:shd w:val="clear" w:color="auto" w:fill="auto"/>
            <w:noWrap/>
            <w:vAlign w:val="center"/>
            <w:hideMark/>
          </w:tcPr>
          <w:p w14:paraId="5C5852DD" w14:textId="77777777" w:rsidR="00A35A08" w:rsidRPr="00434332" w:rsidRDefault="00A35A08" w:rsidP="00041564">
            <w:pPr>
              <w:jc w:val="center"/>
              <w:rPr>
                <w:color w:val="000000"/>
              </w:rPr>
            </w:pPr>
            <w:r w:rsidRPr="00434332">
              <w:rPr>
                <w:color w:val="000000"/>
              </w:rPr>
              <w:t>Na/H</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436FC9D8" w14:textId="77777777" w:rsidR="00A35A08" w:rsidRPr="00434332" w:rsidRDefault="00A35A08" w:rsidP="00041564">
            <w:pPr>
              <w:jc w:val="center"/>
              <w:rPr>
                <w:color w:val="000000"/>
                <w:lang w:val="pt-BR"/>
              </w:rPr>
            </w:pPr>
            <w:r w:rsidRPr="00434332">
              <w:rPr>
                <w:color w:val="000000"/>
                <w:lang w:val="pt-BR"/>
              </w:rPr>
              <w:t>IPA-TPD BAS (mmol/gcat)</w:t>
            </w:r>
          </w:p>
        </w:tc>
        <w:tc>
          <w:tcPr>
            <w:tcW w:w="839" w:type="dxa"/>
            <w:tcBorders>
              <w:top w:val="single" w:sz="4" w:space="0" w:color="auto"/>
              <w:left w:val="nil"/>
              <w:bottom w:val="single" w:sz="4" w:space="0" w:color="auto"/>
              <w:right w:val="nil"/>
            </w:tcBorders>
            <w:shd w:val="clear" w:color="auto" w:fill="auto"/>
            <w:noWrap/>
            <w:vAlign w:val="center"/>
            <w:hideMark/>
          </w:tcPr>
          <w:p w14:paraId="329F29FA" w14:textId="77777777" w:rsidR="00A35A08" w:rsidRPr="00434332" w:rsidRDefault="00A35A08" w:rsidP="00041564">
            <w:pPr>
              <w:jc w:val="center"/>
              <w:rPr>
                <w:color w:val="000000"/>
              </w:rPr>
            </w:pPr>
            <w:r w:rsidRPr="00434332">
              <w:rPr>
                <w:color w:val="000000"/>
              </w:rPr>
              <w:t>Na/H</w:t>
            </w:r>
          </w:p>
        </w:tc>
        <w:tc>
          <w:tcPr>
            <w:tcW w:w="1986" w:type="dxa"/>
            <w:tcBorders>
              <w:top w:val="single" w:sz="4" w:space="0" w:color="auto"/>
              <w:left w:val="nil"/>
              <w:bottom w:val="single" w:sz="4" w:space="0" w:color="auto"/>
              <w:right w:val="nil"/>
            </w:tcBorders>
            <w:shd w:val="clear" w:color="auto" w:fill="auto"/>
            <w:vAlign w:val="center"/>
            <w:hideMark/>
          </w:tcPr>
          <w:p w14:paraId="1F1A32BD" w14:textId="77777777" w:rsidR="00A35A08" w:rsidRPr="00434332" w:rsidRDefault="00A35A08" w:rsidP="00041564">
            <w:pPr>
              <w:jc w:val="center"/>
              <w:rPr>
                <w:rFonts w:ascii="Calibri" w:hAnsi="Calibri" w:cs="Calibri"/>
                <w:color w:val="000000"/>
                <w:lang w:val="pt-BR"/>
              </w:rPr>
            </w:pPr>
            <w:r w:rsidRPr="00434332">
              <w:rPr>
                <w:rFonts w:ascii="Calibri" w:hAnsi="Calibri" w:cs="Calibri"/>
                <w:color w:val="000000"/>
                <w:lang w:val="pt-BR"/>
              </w:rPr>
              <w:t>IPA-TPD BAS (mmol/gcat)</w:t>
            </w:r>
          </w:p>
        </w:tc>
      </w:tr>
      <w:tr w:rsidR="00A35A08" w:rsidRPr="00434332" w14:paraId="71AD837B" w14:textId="77777777" w:rsidTr="00EF17D5">
        <w:trPr>
          <w:trHeight w:val="319"/>
        </w:trPr>
        <w:tc>
          <w:tcPr>
            <w:tcW w:w="965" w:type="dxa"/>
            <w:tcBorders>
              <w:top w:val="nil"/>
              <w:left w:val="nil"/>
              <w:bottom w:val="nil"/>
              <w:right w:val="nil"/>
            </w:tcBorders>
            <w:shd w:val="clear" w:color="auto" w:fill="auto"/>
            <w:noWrap/>
            <w:vAlign w:val="center"/>
            <w:hideMark/>
          </w:tcPr>
          <w:p w14:paraId="246351D5" w14:textId="77777777" w:rsidR="00A35A08" w:rsidRPr="00434332" w:rsidRDefault="00A35A08" w:rsidP="00041564">
            <w:pPr>
              <w:jc w:val="center"/>
              <w:rPr>
                <w:color w:val="000000"/>
              </w:rPr>
            </w:pPr>
            <w:r w:rsidRPr="00434332">
              <w:rPr>
                <w:color w:val="000000"/>
              </w:rPr>
              <w:t>Y30</w:t>
            </w:r>
          </w:p>
        </w:tc>
        <w:tc>
          <w:tcPr>
            <w:tcW w:w="1862" w:type="dxa"/>
            <w:tcBorders>
              <w:top w:val="nil"/>
              <w:left w:val="nil"/>
              <w:bottom w:val="nil"/>
              <w:right w:val="single" w:sz="4" w:space="0" w:color="auto"/>
            </w:tcBorders>
            <w:shd w:val="clear" w:color="auto" w:fill="auto"/>
            <w:noWrap/>
            <w:vAlign w:val="center"/>
            <w:hideMark/>
          </w:tcPr>
          <w:p w14:paraId="114717FF" w14:textId="77777777" w:rsidR="00A35A08" w:rsidRPr="00434332" w:rsidRDefault="00A35A08" w:rsidP="00041564">
            <w:pPr>
              <w:jc w:val="center"/>
              <w:rPr>
                <w:color w:val="000000"/>
              </w:rPr>
            </w:pPr>
            <w:r w:rsidRPr="00434332">
              <w:rPr>
                <w:color w:val="000000"/>
              </w:rPr>
              <w:t>0.23</w:t>
            </w:r>
          </w:p>
        </w:tc>
        <w:tc>
          <w:tcPr>
            <w:tcW w:w="1033" w:type="dxa"/>
            <w:tcBorders>
              <w:top w:val="nil"/>
              <w:left w:val="nil"/>
              <w:bottom w:val="nil"/>
              <w:right w:val="nil"/>
            </w:tcBorders>
            <w:shd w:val="clear" w:color="auto" w:fill="auto"/>
            <w:noWrap/>
            <w:vAlign w:val="center"/>
            <w:hideMark/>
          </w:tcPr>
          <w:p w14:paraId="6F704D47" w14:textId="77777777" w:rsidR="00A35A08" w:rsidRPr="00434332" w:rsidRDefault="00A35A08" w:rsidP="00041564">
            <w:pPr>
              <w:jc w:val="center"/>
              <w:rPr>
                <w:color w:val="000000"/>
              </w:rPr>
            </w:pPr>
            <w:r w:rsidRPr="00434332">
              <w:rPr>
                <w:color w:val="000000"/>
              </w:rPr>
              <w:t>Z140</w:t>
            </w:r>
          </w:p>
        </w:tc>
        <w:tc>
          <w:tcPr>
            <w:tcW w:w="1792" w:type="dxa"/>
            <w:tcBorders>
              <w:top w:val="nil"/>
              <w:left w:val="nil"/>
              <w:bottom w:val="nil"/>
              <w:right w:val="single" w:sz="4" w:space="0" w:color="auto"/>
            </w:tcBorders>
            <w:shd w:val="clear" w:color="auto" w:fill="auto"/>
            <w:noWrap/>
            <w:vAlign w:val="center"/>
            <w:hideMark/>
          </w:tcPr>
          <w:p w14:paraId="42518D1C" w14:textId="77777777" w:rsidR="00A35A08" w:rsidRPr="00434332" w:rsidRDefault="00A35A08" w:rsidP="00041564">
            <w:pPr>
              <w:jc w:val="center"/>
              <w:rPr>
                <w:color w:val="000000"/>
              </w:rPr>
            </w:pPr>
            <w:r w:rsidRPr="00434332">
              <w:rPr>
                <w:color w:val="000000"/>
              </w:rPr>
              <w:t>0.10</w:t>
            </w:r>
          </w:p>
        </w:tc>
        <w:tc>
          <w:tcPr>
            <w:tcW w:w="839" w:type="dxa"/>
            <w:tcBorders>
              <w:top w:val="nil"/>
              <w:left w:val="nil"/>
              <w:bottom w:val="nil"/>
              <w:right w:val="nil"/>
            </w:tcBorders>
            <w:shd w:val="clear" w:color="auto" w:fill="auto"/>
            <w:noWrap/>
            <w:vAlign w:val="center"/>
            <w:hideMark/>
          </w:tcPr>
          <w:p w14:paraId="4D9F4FCD" w14:textId="77777777" w:rsidR="00A35A08" w:rsidRPr="00434332" w:rsidRDefault="00A35A08" w:rsidP="00041564">
            <w:pPr>
              <w:jc w:val="center"/>
              <w:rPr>
                <w:color w:val="000000"/>
              </w:rPr>
            </w:pPr>
            <w:r w:rsidRPr="00434332">
              <w:rPr>
                <w:color w:val="000000"/>
              </w:rPr>
              <w:t>Z40</w:t>
            </w:r>
          </w:p>
        </w:tc>
        <w:tc>
          <w:tcPr>
            <w:tcW w:w="1986" w:type="dxa"/>
            <w:tcBorders>
              <w:top w:val="nil"/>
              <w:left w:val="nil"/>
              <w:bottom w:val="nil"/>
              <w:right w:val="nil"/>
            </w:tcBorders>
            <w:shd w:val="clear" w:color="auto" w:fill="auto"/>
            <w:noWrap/>
            <w:vAlign w:val="center"/>
            <w:hideMark/>
          </w:tcPr>
          <w:p w14:paraId="73C54323" w14:textId="77777777" w:rsidR="00A35A08" w:rsidRPr="00434332" w:rsidRDefault="00A35A08" w:rsidP="00041564">
            <w:pPr>
              <w:jc w:val="center"/>
              <w:rPr>
                <w:rFonts w:ascii="Calibri" w:hAnsi="Calibri" w:cs="Calibri"/>
                <w:color w:val="000000"/>
              </w:rPr>
            </w:pPr>
            <w:r w:rsidRPr="00434332">
              <w:rPr>
                <w:rFonts w:ascii="Calibri" w:hAnsi="Calibri" w:cs="Calibri"/>
                <w:color w:val="000000"/>
              </w:rPr>
              <w:t>0.40</w:t>
            </w:r>
          </w:p>
        </w:tc>
      </w:tr>
      <w:tr w:rsidR="00A35A08" w:rsidRPr="00434332" w14:paraId="795BD6A8" w14:textId="77777777" w:rsidTr="00EF17D5">
        <w:trPr>
          <w:trHeight w:val="319"/>
        </w:trPr>
        <w:tc>
          <w:tcPr>
            <w:tcW w:w="965" w:type="dxa"/>
            <w:tcBorders>
              <w:top w:val="nil"/>
              <w:left w:val="nil"/>
              <w:bottom w:val="nil"/>
              <w:right w:val="nil"/>
            </w:tcBorders>
            <w:shd w:val="clear" w:color="auto" w:fill="auto"/>
            <w:noWrap/>
            <w:vAlign w:val="center"/>
            <w:hideMark/>
          </w:tcPr>
          <w:p w14:paraId="289A09EF" w14:textId="77777777" w:rsidR="00A35A08" w:rsidRPr="00434332" w:rsidRDefault="00A35A08" w:rsidP="00041564">
            <w:pPr>
              <w:jc w:val="center"/>
              <w:rPr>
                <w:color w:val="000000"/>
              </w:rPr>
            </w:pPr>
            <w:r w:rsidRPr="00434332">
              <w:rPr>
                <w:color w:val="000000"/>
              </w:rPr>
              <w:t>0.4</w:t>
            </w:r>
          </w:p>
        </w:tc>
        <w:tc>
          <w:tcPr>
            <w:tcW w:w="1862" w:type="dxa"/>
            <w:tcBorders>
              <w:top w:val="nil"/>
              <w:left w:val="nil"/>
              <w:bottom w:val="nil"/>
              <w:right w:val="single" w:sz="4" w:space="0" w:color="auto"/>
            </w:tcBorders>
            <w:shd w:val="clear" w:color="auto" w:fill="auto"/>
            <w:noWrap/>
            <w:vAlign w:val="center"/>
            <w:hideMark/>
          </w:tcPr>
          <w:p w14:paraId="387BE03B" w14:textId="77777777" w:rsidR="00A35A08" w:rsidRPr="00434332" w:rsidRDefault="00A35A08" w:rsidP="00041564">
            <w:pPr>
              <w:jc w:val="center"/>
              <w:rPr>
                <w:color w:val="000000"/>
              </w:rPr>
            </w:pPr>
            <w:r w:rsidRPr="00434332">
              <w:rPr>
                <w:color w:val="000000"/>
              </w:rPr>
              <w:t>0.20</w:t>
            </w:r>
          </w:p>
        </w:tc>
        <w:tc>
          <w:tcPr>
            <w:tcW w:w="1033" w:type="dxa"/>
            <w:tcBorders>
              <w:top w:val="nil"/>
              <w:left w:val="nil"/>
              <w:bottom w:val="nil"/>
              <w:right w:val="nil"/>
            </w:tcBorders>
            <w:shd w:val="clear" w:color="auto" w:fill="auto"/>
            <w:noWrap/>
            <w:vAlign w:val="center"/>
            <w:hideMark/>
          </w:tcPr>
          <w:p w14:paraId="0355F913" w14:textId="77777777" w:rsidR="00A35A08" w:rsidRPr="00434332" w:rsidRDefault="00A35A08" w:rsidP="00041564">
            <w:pPr>
              <w:jc w:val="center"/>
              <w:rPr>
                <w:color w:val="000000"/>
              </w:rPr>
            </w:pPr>
            <w:r w:rsidRPr="00434332">
              <w:rPr>
                <w:color w:val="000000"/>
              </w:rPr>
              <w:t>0.4</w:t>
            </w:r>
          </w:p>
        </w:tc>
        <w:tc>
          <w:tcPr>
            <w:tcW w:w="1792" w:type="dxa"/>
            <w:tcBorders>
              <w:top w:val="nil"/>
              <w:left w:val="nil"/>
              <w:bottom w:val="nil"/>
              <w:right w:val="single" w:sz="4" w:space="0" w:color="auto"/>
            </w:tcBorders>
            <w:shd w:val="clear" w:color="auto" w:fill="auto"/>
            <w:noWrap/>
            <w:vAlign w:val="center"/>
            <w:hideMark/>
          </w:tcPr>
          <w:p w14:paraId="144105E0" w14:textId="77777777" w:rsidR="00A35A08" w:rsidRPr="00434332" w:rsidRDefault="00A35A08" w:rsidP="00041564">
            <w:pPr>
              <w:jc w:val="center"/>
              <w:rPr>
                <w:color w:val="000000"/>
              </w:rPr>
            </w:pPr>
            <w:r w:rsidRPr="00434332">
              <w:rPr>
                <w:color w:val="000000"/>
              </w:rPr>
              <w:t>0.09</w:t>
            </w:r>
          </w:p>
        </w:tc>
        <w:tc>
          <w:tcPr>
            <w:tcW w:w="839" w:type="dxa"/>
            <w:tcBorders>
              <w:top w:val="nil"/>
              <w:left w:val="nil"/>
              <w:bottom w:val="nil"/>
              <w:right w:val="nil"/>
            </w:tcBorders>
            <w:shd w:val="clear" w:color="auto" w:fill="auto"/>
            <w:noWrap/>
            <w:vAlign w:val="center"/>
            <w:hideMark/>
          </w:tcPr>
          <w:p w14:paraId="1D8B3027" w14:textId="77777777" w:rsidR="00A35A08" w:rsidRPr="00434332" w:rsidRDefault="00A35A08" w:rsidP="00041564">
            <w:pPr>
              <w:jc w:val="center"/>
              <w:rPr>
                <w:color w:val="000000"/>
              </w:rPr>
            </w:pPr>
            <w:r w:rsidRPr="00434332">
              <w:rPr>
                <w:color w:val="000000"/>
              </w:rPr>
              <w:t>0.1</w:t>
            </w:r>
          </w:p>
        </w:tc>
        <w:tc>
          <w:tcPr>
            <w:tcW w:w="1986" w:type="dxa"/>
            <w:tcBorders>
              <w:top w:val="nil"/>
              <w:left w:val="nil"/>
              <w:bottom w:val="nil"/>
              <w:right w:val="nil"/>
            </w:tcBorders>
            <w:shd w:val="clear" w:color="auto" w:fill="auto"/>
            <w:noWrap/>
            <w:vAlign w:val="center"/>
            <w:hideMark/>
          </w:tcPr>
          <w:p w14:paraId="7FC31078" w14:textId="77777777" w:rsidR="00A35A08" w:rsidRPr="00434332" w:rsidRDefault="00A35A08" w:rsidP="00041564">
            <w:pPr>
              <w:jc w:val="center"/>
              <w:rPr>
                <w:rFonts w:ascii="Calibri" w:hAnsi="Calibri" w:cs="Calibri"/>
                <w:color w:val="000000"/>
              </w:rPr>
            </w:pPr>
            <w:r w:rsidRPr="00434332">
              <w:rPr>
                <w:rFonts w:ascii="Calibri" w:hAnsi="Calibri" w:cs="Calibri"/>
                <w:color w:val="000000"/>
              </w:rPr>
              <w:t>0.35</w:t>
            </w:r>
          </w:p>
        </w:tc>
      </w:tr>
      <w:tr w:rsidR="00A35A08" w:rsidRPr="00434332" w14:paraId="00A30DFA" w14:textId="77777777" w:rsidTr="00EF17D5">
        <w:trPr>
          <w:trHeight w:val="319"/>
        </w:trPr>
        <w:tc>
          <w:tcPr>
            <w:tcW w:w="965" w:type="dxa"/>
            <w:tcBorders>
              <w:top w:val="nil"/>
              <w:left w:val="nil"/>
              <w:bottom w:val="nil"/>
              <w:right w:val="nil"/>
            </w:tcBorders>
            <w:shd w:val="clear" w:color="auto" w:fill="auto"/>
            <w:noWrap/>
            <w:vAlign w:val="center"/>
            <w:hideMark/>
          </w:tcPr>
          <w:p w14:paraId="5346F007" w14:textId="77777777" w:rsidR="00A35A08" w:rsidRPr="00434332" w:rsidRDefault="00A35A08" w:rsidP="00041564">
            <w:pPr>
              <w:jc w:val="center"/>
              <w:rPr>
                <w:color w:val="000000"/>
              </w:rPr>
            </w:pPr>
            <w:r w:rsidRPr="00434332">
              <w:rPr>
                <w:color w:val="000000"/>
              </w:rPr>
              <w:t>1.7</w:t>
            </w:r>
          </w:p>
        </w:tc>
        <w:tc>
          <w:tcPr>
            <w:tcW w:w="1862" w:type="dxa"/>
            <w:tcBorders>
              <w:top w:val="nil"/>
              <w:left w:val="nil"/>
              <w:bottom w:val="nil"/>
              <w:right w:val="single" w:sz="4" w:space="0" w:color="auto"/>
            </w:tcBorders>
            <w:shd w:val="clear" w:color="auto" w:fill="auto"/>
            <w:noWrap/>
            <w:vAlign w:val="center"/>
            <w:hideMark/>
          </w:tcPr>
          <w:p w14:paraId="63732644" w14:textId="77777777" w:rsidR="00A35A08" w:rsidRPr="00434332" w:rsidRDefault="00A35A08" w:rsidP="00041564">
            <w:pPr>
              <w:jc w:val="center"/>
              <w:rPr>
                <w:color w:val="000000"/>
              </w:rPr>
            </w:pPr>
            <w:r w:rsidRPr="00434332">
              <w:rPr>
                <w:color w:val="000000"/>
              </w:rPr>
              <w:t>0.17</w:t>
            </w:r>
          </w:p>
        </w:tc>
        <w:tc>
          <w:tcPr>
            <w:tcW w:w="1033" w:type="dxa"/>
            <w:tcBorders>
              <w:top w:val="nil"/>
              <w:left w:val="nil"/>
              <w:bottom w:val="nil"/>
              <w:right w:val="nil"/>
            </w:tcBorders>
            <w:shd w:val="clear" w:color="auto" w:fill="auto"/>
            <w:noWrap/>
            <w:vAlign w:val="center"/>
            <w:hideMark/>
          </w:tcPr>
          <w:p w14:paraId="538FE3DB" w14:textId="77777777" w:rsidR="00A35A08" w:rsidRPr="00434332" w:rsidRDefault="00A35A08" w:rsidP="00041564">
            <w:pPr>
              <w:jc w:val="center"/>
              <w:rPr>
                <w:color w:val="000000"/>
              </w:rPr>
            </w:pPr>
            <w:r w:rsidRPr="00434332">
              <w:rPr>
                <w:color w:val="000000"/>
              </w:rPr>
              <w:t>0.8</w:t>
            </w:r>
          </w:p>
        </w:tc>
        <w:tc>
          <w:tcPr>
            <w:tcW w:w="1792" w:type="dxa"/>
            <w:tcBorders>
              <w:top w:val="nil"/>
              <w:left w:val="nil"/>
              <w:bottom w:val="nil"/>
              <w:right w:val="single" w:sz="4" w:space="0" w:color="auto"/>
            </w:tcBorders>
            <w:shd w:val="clear" w:color="auto" w:fill="auto"/>
            <w:noWrap/>
            <w:vAlign w:val="center"/>
            <w:hideMark/>
          </w:tcPr>
          <w:p w14:paraId="52252AA4" w14:textId="77777777" w:rsidR="00A35A08" w:rsidRPr="00434332" w:rsidRDefault="00A35A08" w:rsidP="00041564">
            <w:pPr>
              <w:jc w:val="center"/>
              <w:rPr>
                <w:color w:val="000000"/>
              </w:rPr>
            </w:pPr>
            <w:r w:rsidRPr="00434332">
              <w:rPr>
                <w:color w:val="000000"/>
              </w:rPr>
              <w:t>0.08</w:t>
            </w:r>
          </w:p>
        </w:tc>
        <w:tc>
          <w:tcPr>
            <w:tcW w:w="839" w:type="dxa"/>
            <w:tcBorders>
              <w:top w:val="nil"/>
              <w:left w:val="nil"/>
              <w:bottom w:val="nil"/>
              <w:right w:val="nil"/>
            </w:tcBorders>
            <w:shd w:val="clear" w:color="auto" w:fill="auto"/>
            <w:noWrap/>
            <w:vAlign w:val="center"/>
            <w:hideMark/>
          </w:tcPr>
          <w:p w14:paraId="76E1A67F" w14:textId="77777777" w:rsidR="00A35A08" w:rsidRPr="00434332" w:rsidRDefault="00A35A08" w:rsidP="00041564">
            <w:pPr>
              <w:jc w:val="center"/>
              <w:rPr>
                <w:color w:val="000000"/>
              </w:rPr>
            </w:pPr>
            <w:r w:rsidRPr="00434332">
              <w:rPr>
                <w:color w:val="000000"/>
              </w:rPr>
              <w:t>0.2</w:t>
            </w:r>
          </w:p>
        </w:tc>
        <w:tc>
          <w:tcPr>
            <w:tcW w:w="1986" w:type="dxa"/>
            <w:tcBorders>
              <w:top w:val="nil"/>
              <w:left w:val="nil"/>
              <w:bottom w:val="nil"/>
              <w:right w:val="nil"/>
            </w:tcBorders>
            <w:shd w:val="clear" w:color="auto" w:fill="auto"/>
            <w:noWrap/>
            <w:vAlign w:val="center"/>
            <w:hideMark/>
          </w:tcPr>
          <w:p w14:paraId="49BD5CEF" w14:textId="77777777" w:rsidR="00A35A08" w:rsidRPr="00434332" w:rsidRDefault="00A35A08" w:rsidP="00041564">
            <w:pPr>
              <w:jc w:val="center"/>
              <w:rPr>
                <w:color w:val="000000"/>
              </w:rPr>
            </w:pPr>
            <w:r w:rsidRPr="00434332">
              <w:rPr>
                <w:color w:val="000000"/>
              </w:rPr>
              <w:t>0.33</w:t>
            </w:r>
          </w:p>
        </w:tc>
      </w:tr>
      <w:tr w:rsidR="00A35A08" w:rsidRPr="00434332" w14:paraId="5FDEC5A1" w14:textId="77777777" w:rsidTr="00EF17D5">
        <w:trPr>
          <w:trHeight w:val="319"/>
        </w:trPr>
        <w:tc>
          <w:tcPr>
            <w:tcW w:w="965" w:type="dxa"/>
            <w:tcBorders>
              <w:top w:val="nil"/>
              <w:left w:val="nil"/>
              <w:bottom w:val="nil"/>
              <w:right w:val="nil"/>
            </w:tcBorders>
            <w:shd w:val="clear" w:color="auto" w:fill="auto"/>
            <w:noWrap/>
            <w:vAlign w:val="center"/>
            <w:hideMark/>
          </w:tcPr>
          <w:p w14:paraId="0A5BD86F" w14:textId="77777777" w:rsidR="00A35A08" w:rsidRPr="00434332" w:rsidRDefault="00A35A08" w:rsidP="00041564">
            <w:pPr>
              <w:jc w:val="center"/>
              <w:rPr>
                <w:color w:val="000000"/>
              </w:rPr>
            </w:pPr>
            <w:r w:rsidRPr="00434332">
              <w:rPr>
                <w:color w:val="000000"/>
              </w:rPr>
              <w:t>5.2</w:t>
            </w:r>
          </w:p>
        </w:tc>
        <w:tc>
          <w:tcPr>
            <w:tcW w:w="1862" w:type="dxa"/>
            <w:tcBorders>
              <w:top w:val="nil"/>
              <w:left w:val="nil"/>
              <w:bottom w:val="nil"/>
              <w:right w:val="single" w:sz="4" w:space="0" w:color="auto"/>
            </w:tcBorders>
            <w:shd w:val="clear" w:color="auto" w:fill="auto"/>
            <w:noWrap/>
            <w:vAlign w:val="center"/>
            <w:hideMark/>
          </w:tcPr>
          <w:p w14:paraId="008ADF0A" w14:textId="77777777" w:rsidR="00A35A08" w:rsidRPr="00434332" w:rsidRDefault="00A35A08" w:rsidP="00041564">
            <w:pPr>
              <w:jc w:val="center"/>
              <w:rPr>
                <w:color w:val="000000"/>
              </w:rPr>
            </w:pPr>
            <w:r w:rsidRPr="00434332">
              <w:rPr>
                <w:color w:val="000000"/>
              </w:rPr>
              <w:t>0.15</w:t>
            </w:r>
          </w:p>
        </w:tc>
        <w:tc>
          <w:tcPr>
            <w:tcW w:w="1033" w:type="dxa"/>
            <w:tcBorders>
              <w:top w:val="nil"/>
              <w:left w:val="nil"/>
              <w:bottom w:val="nil"/>
              <w:right w:val="nil"/>
            </w:tcBorders>
            <w:shd w:val="clear" w:color="auto" w:fill="auto"/>
            <w:noWrap/>
            <w:vAlign w:val="center"/>
            <w:hideMark/>
          </w:tcPr>
          <w:p w14:paraId="6A9B30E6" w14:textId="77777777" w:rsidR="00A35A08" w:rsidRPr="00434332" w:rsidRDefault="00A35A08" w:rsidP="00041564">
            <w:pPr>
              <w:jc w:val="center"/>
              <w:rPr>
                <w:color w:val="000000"/>
              </w:rPr>
            </w:pPr>
            <w:r w:rsidRPr="00434332">
              <w:rPr>
                <w:color w:val="000000"/>
              </w:rPr>
              <w:t>1.2</w:t>
            </w:r>
          </w:p>
        </w:tc>
        <w:tc>
          <w:tcPr>
            <w:tcW w:w="1792" w:type="dxa"/>
            <w:tcBorders>
              <w:top w:val="nil"/>
              <w:left w:val="nil"/>
              <w:bottom w:val="nil"/>
              <w:right w:val="single" w:sz="4" w:space="0" w:color="auto"/>
            </w:tcBorders>
            <w:shd w:val="clear" w:color="auto" w:fill="auto"/>
            <w:noWrap/>
            <w:vAlign w:val="center"/>
            <w:hideMark/>
          </w:tcPr>
          <w:p w14:paraId="5EAFDAD5" w14:textId="77777777" w:rsidR="00A35A08" w:rsidRPr="00434332" w:rsidRDefault="00A35A08" w:rsidP="00041564">
            <w:pPr>
              <w:jc w:val="center"/>
              <w:rPr>
                <w:color w:val="000000"/>
              </w:rPr>
            </w:pPr>
            <w:r w:rsidRPr="00434332">
              <w:rPr>
                <w:color w:val="000000"/>
              </w:rPr>
              <w:t>0.07</w:t>
            </w:r>
          </w:p>
        </w:tc>
        <w:tc>
          <w:tcPr>
            <w:tcW w:w="839" w:type="dxa"/>
            <w:tcBorders>
              <w:top w:val="nil"/>
              <w:left w:val="nil"/>
              <w:bottom w:val="nil"/>
              <w:right w:val="nil"/>
            </w:tcBorders>
            <w:shd w:val="clear" w:color="auto" w:fill="auto"/>
            <w:noWrap/>
            <w:vAlign w:val="center"/>
            <w:hideMark/>
          </w:tcPr>
          <w:p w14:paraId="1B6B00F6" w14:textId="77777777" w:rsidR="00A35A08" w:rsidRPr="00434332" w:rsidRDefault="00A35A08" w:rsidP="00041564">
            <w:pPr>
              <w:jc w:val="center"/>
              <w:rPr>
                <w:color w:val="000000"/>
              </w:rPr>
            </w:pPr>
            <w:r w:rsidRPr="00434332">
              <w:rPr>
                <w:color w:val="000000"/>
              </w:rPr>
              <w:t>0.5</w:t>
            </w:r>
          </w:p>
        </w:tc>
        <w:tc>
          <w:tcPr>
            <w:tcW w:w="1986" w:type="dxa"/>
            <w:tcBorders>
              <w:top w:val="nil"/>
              <w:left w:val="nil"/>
              <w:bottom w:val="nil"/>
              <w:right w:val="nil"/>
            </w:tcBorders>
            <w:shd w:val="clear" w:color="auto" w:fill="auto"/>
            <w:noWrap/>
            <w:vAlign w:val="center"/>
            <w:hideMark/>
          </w:tcPr>
          <w:p w14:paraId="7310A033" w14:textId="77777777" w:rsidR="00A35A08" w:rsidRPr="00434332" w:rsidRDefault="00A35A08" w:rsidP="00041564">
            <w:pPr>
              <w:jc w:val="center"/>
              <w:rPr>
                <w:color w:val="000000"/>
              </w:rPr>
            </w:pPr>
            <w:r w:rsidRPr="00434332">
              <w:rPr>
                <w:color w:val="000000"/>
              </w:rPr>
              <w:t>0.31</w:t>
            </w:r>
          </w:p>
        </w:tc>
      </w:tr>
      <w:tr w:rsidR="00A35A08" w:rsidRPr="00434332" w14:paraId="3F7907E9" w14:textId="77777777" w:rsidTr="00EF17D5">
        <w:trPr>
          <w:trHeight w:val="319"/>
        </w:trPr>
        <w:tc>
          <w:tcPr>
            <w:tcW w:w="965" w:type="dxa"/>
            <w:tcBorders>
              <w:top w:val="nil"/>
              <w:left w:val="nil"/>
              <w:bottom w:val="nil"/>
              <w:right w:val="nil"/>
            </w:tcBorders>
            <w:shd w:val="clear" w:color="auto" w:fill="auto"/>
            <w:noWrap/>
            <w:vAlign w:val="center"/>
            <w:hideMark/>
          </w:tcPr>
          <w:p w14:paraId="00508A22" w14:textId="77777777" w:rsidR="00A35A08" w:rsidRPr="00434332" w:rsidRDefault="00A35A08" w:rsidP="00041564">
            <w:pPr>
              <w:jc w:val="center"/>
              <w:rPr>
                <w:color w:val="000000"/>
              </w:rPr>
            </w:pPr>
            <w:r w:rsidRPr="00434332">
              <w:rPr>
                <w:color w:val="000000"/>
              </w:rPr>
              <w:t>13</w:t>
            </w:r>
          </w:p>
        </w:tc>
        <w:tc>
          <w:tcPr>
            <w:tcW w:w="1862" w:type="dxa"/>
            <w:tcBorders>
              <w:top w:val="nil"/>
              <w:left w:val="nil"/>
              <w:bottom w:val="nil"/>
              <w:right w:val="single" w:sz="4" w:space="0" w:color="auto"/>
            </w:tcBorders>
            <w:shd w:val="clear" w:color="auto" w:fill="auto"/>
            <w:noWrap/>
            <w:vAlign w:val="center"/>
            <w:hideMark/>
          </w:tcPr>
          <w:p w14:paraId="2CCFE942" w14:textId="77777777" w:rsidR="00A35A08" w:rsidRPr="00434332" w:rsidRDefault="00A35A08" w:rsidP="00041564">
            <w:pPr>
              <w:jc w:val="center"/>
              <w:rPr>
                <w:color w:val="000000"/>
              </w:rPr>
            </w:pPr>
            <w:r w:rsidRPr="00434332">
              <w:rPr>
                <w:color w:val="000000"/>
              </w:rPr>
              <w:t>0.11</w:t>
            </w:r>
          </w:p>
        </w:tc>
        <w:tc>
          <w:tcPr>
            <w:tcW w:w="1033" w:type="dxa"/>
            <w:tcBorders>
              <w:top w:val="nil"/>
              <w:left w:val="nil"/>
              <w:bottom w:val="nil"/>
              <w:right w:val="nil"/>
            </w:tcBorders>
            <w:shd w:val="clear" w:color="auto" w:fill="auto"/>
            <w:noWrap/>
            <w:vAlign w:val="center"/>
            <w:hideMark/>
          </w:tcPr>
          <w:p w14:paraId="3F345794" w14:textId="77777777" w:rsidR="00A35A08" w:rsidRPr="00434332" w:rsidRDefault="00A35A08" w:rsidP="00041564">
            <w:pPr>
              <w:jc w:val="center"/>
              <w:rPr>
                <w:color w:val="000000"/>
              </w:rPr>
            </w:pPr>
            <w:r w:rsidRPr="00434332">
              <w:rPr>
                <w:color w:val="000000"/>
              </w:rPr>
              <w:t>2</w:t>
            </w:r>
          </w:p>
        </w:tc>
        <w:tc>
          <w:tcPr>
            <w:tcW w:w="1792" w:type="dxa"/>
            <w:tcBorders>
              <w:top w:val="nil"/>
              <w:left w:val="nil"/>
              <w:bottom w:val="nil"/>
              <w:right w:val="single" w:sz="4" w:space="0" w:color="auto"/>
            </w:tcBorders>
            <w:shd w:val="clear" w:color="auto" w:fill="auto"/>
            <w:noWrap/>
            <w:vAlign w:val="center"/>
            <w:hideMark/>
          </w:tcPr>
          <w:p w14:paraId="56109F62" w14:textId="77777777" w:rsidR="00A35A08" w:rsidRPr="00434332" w:rsidRDefault="00A35A08" w:rsidP="00041564">
            <w:pPr>
              <w:jc w:val="center"/>
              <w:rPr>
                <w:color w:val="000000"/>
              </w:rPr>
            </w:pPr>
            <w:r w:rsidRPr="00434332">
              <w:rPr>
                <w:color w:val="000000"/>
              </w:rPr>
              <w:t>0.06</w:t>
            </w:r>
          </w:p>
        </w:tc>
        <w:tc>
          <w:tcPr>
            <w:tcW w:w="839" w:type="dxa"/>
            <w:tcBorders>
              <w:top w:val="nil"/>
              <w:left w:val="nil"/>
              <w:bottom w:val="nil"/>
              <w:right w:val="nil"/>
            </w:tcBorders>
            <w:shd w:val="clear" w:color="auto" w:fill="auto"/>
            <w:noWrap/>
            <w:vAlign w:val="center"/>
            <w:hideMark/>
          </w:tcPr>
          <w:p w14:paraId="56BF4B8A" w14:textId="77777777" w:rsidR="00A35A08" w:rsidRPr="00434332" w:rsidRDefault="00A35A08" w:rsidP="00041564">
            <w:pPr>
              <w:jc w:val="center"/>
              <w:rPr>
                <w:color w:val="000000"/>
              </w:rPr>
            </w:pPr>
            <w:r w:rsidRPr="00434332">
              <w:rPr>
                <w:color w:val="000000"/>
              </w:rPr>
              <w:t>2.5</w:t>
            </w:r>
          </w:p>
        </w:tc>
        <w:tc>
          <w:tcPr>
            <w:tcW w:w="1986" w:type="dxa"/>
            <w:tcBorders>
              <w:top w:val="nil"/>
              <w:left w:val="nil"/>
              <w:bottom w:val="nil"/>
              <w:right w:val="nil"/>
            </w:tcBorders>
            <w:shd w:val="clear" w:color="auto" w:fill="auto"/>
            <w:noWrap/>
            <w:vAlign w:val="center"/>
            <w:hideMark/>
          </w:tcPr>
          <w:p w14:paraId="03C1DE47" w14:textId="77777777" w:rsidR="00A35A08" w:rsidRPr="00434332" w:rsidRDefault="00A35A08" w:rsidP="00041564">
            <w:pPr>
              <w:jc w:val="center"/>
              <w:rPr>
                <w:color w:val="000000"/>
              </w:rPr>
            </w:pPr>
            <w:r w:rsidRPr="00434332">
              <w:rPr>
                <w:color w:val="000000"/>
              </w:rPr>
              <w:t>0.25</w:t>
            </w:r>
          </w:p>
        </w:tc>
      </w:tr>
      <w:tr w:rsidR="00A35A08" w:rsidRPr="00434332" w14:paraId="3DCFCA8D" w14:textId="77777777" w:rsidTr="00EF17D5">
        <w:trPr>
          <w:trHeight w:val="319"/>
        </w:trPr>
        <w:tc>
          <w:tcPr>
            <w:tcW w:w="965" w:type="dxa"/>
            <w:tcBorders>
              <w:top w:val="nil"/>
              <w:left w:val="nil"/>
              <w:bottom w:val="nil"/>
              <w:right w:val="nil"/>
            </w:tcBorders>
            <w:shd w:val="clear" w:color="auto" w:fill="auto"/>
            <w:noWrap/>
            <w:vAlign w:val="center"/>
            <w:hideMark/>
          </w:tcPr>
          <w:p w14:paraId="21313F60" w14:textId="77777777" w:rsidR="00A35A08" w:rsidRPr="00434332" w:rsidRDefault="00A35A08" w:rsidP="00041564">
            <w:pPr>
              <w:jc w:val="center"/>
              <w:rPr>
                <w:color w:val="000000"/>
              </w:rPr>
            </w:pPr>
            <w:r w:rsidRPr="00434332">
              <w:rPr>
                <w:color w:val="000000"/>
              </w:rPr>
              <w:t>43</w:t>
            </w:r>
          </w:p>
        </w:tc>
        <w:tc>
          <w:tcPr>
            <w:tcW w:w="1862" w:type="dxa"/>
            <w:tcBorders>
              <w:top w:val="nil"/>
              <w:left w:val="nil"/>
              <w:bottom w:val="nil"/>
              <w:right w:val="single" w:sz="4" w:space="0" w:color="auto"/>
            </w:tcBorders>
            <w:shd w:val="clear" w:color="auto" w:fill="auto"/>
            <w:noWrap/>
            <w:vAlign w:val="center"/>
            <w:hideMark/>
          </w:tcPr>
          <w:p w14:paraId="79591585" w14:textId="77777777" w:rsidR="00A35A08" w:rsidRPr="00434332" w:rsidRDefault="00A35A08" w:rsidP="00041564">
            <w:pPr>
              <w:jc w:val="center"/>
              <w:rPr>
                <w:color w:val="000000"/>
              </w:rPr>
            </w:pPr>
            <w:r w:rsidRPr="00434332">
              <w:rPr>
                <w:color w:val="000000"/>
              </w:rPr>
              <w:t>0.06</w:t>
            </w:r>
          </w:p>
        </w:tc>
        <w:tc>
          <w:tcPr>
            <w:tcW w:w="1033" w:type="dxa"/>
            <w:tcBorders>
              <w:top w:val="nil"/>
              <w:left w:val="nil"/>
              <w:bottom w:val="nil"/>
              <w:right w:val="nil"/>
            </w:tcBorders>
            <w:shd w:val="clear" w:color="auto" w:fill="auto"/>
            <w:noWrap/>
            <w:vAlign w:val="center"/>
            <w:hideMark/>
          </w:tcPr>
          <w:p w14:paraId="699B92BD" w14:textId="77777777" w:rsidR="00A35A08" w:rsidRPr="00434332" w:rsidRDefault="00A35A08" w:rsidP="00041564">
            <w:pPr>
              <w:jc w:val="center"/>
              <w:rPr>
                <w:color w:val="000000"/>
              </w:rPr>
            </w:pPr>
            <w:r w:rsidRPr="00434332">
              <w:rPr>
                <w:color w:val="000000"/>
              </w:rPr>
              <w:t>9.6</w:t>
            </w:r>
          </w:p>
        </w:tc>
        <w:tc>
          <w:tcPr>
            <w:tcW w:w="1792" w:type="dxa"/>
            <w:tcBorders>
              <w:top w:val="nil"/>
              <w:left w:val="nil"/>
              <w:bottom w:val="nil"/>
              <w:right w:val="single" w:sz="4" w:space="0" w:color="auto"/>
            </w:tcBorders>
            <w:shd w:val="clear" w:color="auto" w:fill="auto"/>
            <w:noWrap/>
            <w:vAlign w:val="center"/>
            <w:hideMark/>
          </w:tcPr>
          <w:p w14:paraId="10594D95" w14:textId="77777777" w:rsidR="00A35A08" w:rsidRPr="00434332" w:rsidRDefault="00A35A08" w:rsidP="00041564">
            <w:pPr>
              <w:jc w:val="center"/>
              <w:rPr>
                <w:color w:val="000000"/>
              </w:rPr>
            </w:pPr>
            <w:r w:rsidRPr="00434332">
              <w:rPr>
                <w:color w:val="000000"/>
              </w:rPr>
              <w:t>0.04</w:t>
            </w:r>
          </w:p>
        </w:tc>
        <w:tc>
          <w:tcPr>
            <w:tcW w:w="839" w:type="dxa"/>
            <w:tcBorders>
              <w:top w:val="nil"/>
              <w:left w:val="nil"/>
              <w:bottom w:val="nil"/>
              <w:right w:val="nil"/>
            </w:tcBorders>
            <w:shd w:val="clear" w:color="auto" w:fill="auto"/>
            <w:noWrap/>
            <w:vAlign w:val="center"/>
            <w:hideMark/>
          </w:tcPr>
          <w:p w14:paraId="4D01F657" w14:textId="77777777" w:rsidR="00A35A08" w:rsidRPr="00434332" w:rsidRDefault="00A35A08" w:rsidP="00041564">
            <w:pPr>
              <w:jc w:val="center"/>
              <w:rPr>
                <w:color w:val="000000"/>
              </w:rPr>
            </w:pPr>
            <w:r w:rsidRPr="00434332">
              <w:rPr>
                <w:color w:val="000000"/>
              </w:rPr>
              <w:t>2.5-2x</w:t>
            </w:r>
          </w:p>
        </w:tc>
        <w:tc>
          <w:tcPr>
            <w:tcW w:w="1986" w:type="dxa"/>
            <w:tcBorders>
              <w:top w:val="nil"/>
              <w:left w:val="nil"/>
              <w:bottom w:val="nil"/>
              <w:right w:val="nil"/>
            </w:tcBorders>
            <w:shd w:val="clear" w:color="auto" w:fill="auto"/>
            <w:noWrap/>
            <w:vAlign w:val="center"/>
            <w:hideMark/>
          </w:tcPr>
          <w:p w14:paraId="5F543DB2" w14:textId="77777777" w:rsidR="00A35A08" w:rsidRPr="00434332" w:rsidRDefault="00A35A08" w:rsidP="00041564">
            <w:pPr>
              <w:jc w:val="center"/>
              <w:rPr>
                <w:color w:val="000000"/>
              </w:rPr>
            </w:pPr>
            <w:r w:rsidRPr="00434332">
              <w:rPr>
                <w:color w:val="000000"/>
              </w:rPr>
              <w:t>0.18</w:t>
            </w:r>
          </w:p>
        </w:tc>
      </w:tr>
      <w:tr w:rsidR="00A35A08" w:rsidRPr="00434332" w14:paraId="7DFBF399" w14:textId="77777777" w:rsidTr="00EF17D5">
        <w:trPr>
          <w:trHeight w:val="319"/>
        </w:trPr>
        <w:tc>
          <w:tcPr>
            <w:tcW w:w="2827" w:type="dxa"/>
            <w:gridSpan w:val="2"/>
            <w:tcBorders>
              <w:top w:val="nil"/>
              <w:left w:val="nil"/>
              <w:bottom w:val="single" w:sz="4" w:space="0" w:color="auto"/>
              <w:right w:val="single" w:sz="4" w:space="0" w:color="000000"/>
            </w:tcBorders>
            <w:shd w:val="clear" w:color="auto" w:fill="auto"/>
            <w:noWrap/>
            <w:vAlign w:val="center"/>
            <w:hideMark/>
          </w:tcPr>
          <w:p w14:paraId="679A6AD9" w14:textId="77777777" w:rsidR="00A35A08" w:rsidRPr="00434332" w:rsidRDefault="00A35A08" w:rsidP="00041564">
            <w:pPr>
              <w:jc w:val="center"/>
              <w:rPr>
                <w:color w:val="000000"/>
              </w:rPr>
            </w:pPr>
            <w:r w:rsidRPr="00434332">
              <w:rPr>
                <w:color w:val="000000"/>
              </w:rPr>
              <w:t>-</w:t>
            </w:r>
          </w:p>
        </w:tc>
        <w:tc>
          <w:tcPr>
            <w:tcW w:w="1033" w:type="dxa"/>
            <w:tcBorders>
              <w:top w:val="nil"/>
              <w:left w:val="nil"/>
              <w:bottom w:val="single" w:sz="4" w:space="0" w:color="auto"/>
              <w:right w:val="nil"/>
            </w:tcBorders>
            <w:shd w:val="clear" w:color="auto" w:fill="auto"/>
            <w:noWrap/>
            <w:vAlign w:val="center"/>
            <w:hideMark/>
          </w:tcPr>
          <w:p w14:paraId="2A01E8B1" w14:textId="77777777" w:rsidR="00A35A08" w:rsidRPr="00434332" w:rsidRDefault="00A35A08" w:rsidP="00041564">
            <w:pPr>
              <w:jc w:val="center"/>
              <w:rPr>
                <w:color w:val="000000"/>
              </w:rPr>
            </w:pPr>
            <w:r w:rsidRPr="00434332">
              <w:rPr>
                <w:color w:val="000000"/>
              </w:rPr>
              <w:t>9.6-2x</w:t>
            </w:r>
          </w:p>
        </w:tc>
        <w:tc>
          <w:tcPr>
            <w:tcW w:w="1792" w:type="dxa"/>
            <w:tcBorders>
              <w:top w:val="nil"/>
              <w:left w:val="nil"/>
              <w:bottom w:val="single" w:sz="4" w:space="0" w:color="auto"/>
              <w:right w:val="single" w:sz="4" w:space="0" w:color="auto"/>
            </w:tcBorders>
            <w:shd w:val="clear" w:color="auto" w:fill="auto"/>
            <w:noWrap/>
            <w:vAlign w:val="center"/>
            <w:hideMark/>
          </w:tcPr>
          <w:p w14:paraId="26488A52" w14:textId="77777777" w:rsidR="00A35A08" w:rsidRPr="00434332" w:rsidRDefault="00A35A08" w:rsidP="00041564">
            <w:pPr>
              <w:jc w:val="center"/>
              <w:rPr>
                <w:color w:val="000000"/>
              </w:rPr>
            </w:pPr>
            <w:r w:rsidRPr="00434332">
              <w:rPr>
                <w:color w:val="000000"/>
              </w:rPr>
              <w:t>0.01</w:t>
            </w:r>
          </w:p>
        </w:tc>
        <w:tc>
          <w:tcPr>
            <w:tcW w:w="839" w:type="dxa"/>
            <w:tcBorders>
              <w:top w:val="nil"/>
              <w:left w:val="nil"/>
              <w:bottom w:val="single" w:sz="4" w:space="0" w:color="auto"/>
              <w:right w:val="nil"/>
            </w:tcBorders>
            <w:shd w:val="clear" w:color="auto" w:fill="auto"/>
            <w:noWrap/>
            <w:vAlign w:val="center"/>
            <w:hideMark/>
          </w:tcPr>
          <w:p w14:paraId="47EF3239" w14:textId="77777777" w:rsidR="00A35A08" w:rsidRPr="00434332" w:rsidRDefault="00A35A08" w:rsidP="00041564">
            <w:pPr>
              <w:jc w:val="center"/>
              <w:rPr>
                <w:color w:val="000000"/>
              </w:rPr>
            </w:pPr>
            <w:r w:rsidRPr="00434332">
              <w:rPr>
                <w:color w:val="000000"/>
              </w:rPr>
              <w:t>2.5-3x</w:t>
            </w:r>
          </w:p>
        </w:tc>
        <w:tc>
          <w:tcPr>
            <w:tcW w:w="1986" w:type="dxa"/>
            <w:tcBorders>
              <w:top w:val="nil"/>
              <w:left w:val="nil"/>
              <w:bottom w:val="single" w:sz="4" w:space="0" w:color="auto"/>
              <w:right w:val="nil"/>
            </w:tcBorders>
            <w:shd w:val="clear" w:color="auto" w:fill="auto"/>
            <w:noWrap/>
            <w:vAlign w:val="center"/>
            <w:hideMark/>
          </w:tcPr>
          <w:p w14:paraId="3E6684A8" w14:textId="77777777" w:rsidR="00A35A08" w:rsidRPr="00434332" w:rsidRDefault="00A35A08" w:rsidP="00041564">
            <w:pPr>
              <w:jc w:val="center"/>
              <w:rPr>
                <w:color w:val="000000"/>
              </w:rPr>
            </w:pPr>
            <w:r w:rsidRPr="00434332">
              <w:rPr>
                <w:color w:val="000000"/>
              </w:rPr>
              <w:t>0.15</w:t>
            </w:r>
          </w:p>
        </w:tc>
      </w:tr>
    </w:tbl>
    <w:p w14:paraId="45BD3B3A" w14:textId="46C29E09" w:rsidR="00A35A08" w:rsidRPr="00DA1436" w:rsidRDefault="00A35A08" w:rsidP="00041564">
      <w:pPr>
        <w:jc w:val="both"/>
        <w:rPr>
          <w:b/>
          <w:bCs/>
          <w:color w:val="FF0000"/>
        </w:rPr>
      </w:pPr>
    </w:p>
    <w:p w14:paraId="079609A6" w14:textId="4CEEEC0D" w:rsidR="00A35A08" w:rsidRPr="00F11C1B" w:rsidRDefault="00B45B4F" w:rsidP="00B45B4F">
      <w:pPr>
        <w:pStyle w:val="Heading4"/>
        <w:spacing w:line="480" w:lineRule="auto"/>
        <w:rPr>
          <w:rFonts w:ascii="Times New Roman" w:hAnsi="Times New Roman" w:cs="Times New Roman"/>
          <w:color w:val="auto"/>
        </w:rPr>
      </w:pPr>
      <w:r w:rsidRPr="00D44A7D">
        <w:rPr>
          <w:rFonts w:ascii="Times New Roman" w:hAnsi="Times New Roman" w:cs="Times New Roman"/>
          <w:i w:val="0"/>
          <w:iCs w:val="0"/>
          <w:color w:val="auto"/>
        </w:rPr>
        <w:tab/>
      </w:r>
      <w:r w:rsidR="00A35A08" w:rsidRPr="00F11C1B">
        <w:rPr>
          <w:rFonts w:ascii="Times New Roman" w:hAnsi="Times New Roman" w:cs="Times New Roman"/>
          <w:color w:val="auto"/>
        </w:rPr>
        <w:t>2.4.1.3 Reaction Order</w:t>
      </w:r>
    </w:p>
    <w:p w14:paraId="21FCD629" w14:textId="2C25E748" w:rsidR="00A35A08" w:rsidRPr="00DA1436" w:rsidRDefault="00A35A08" w:rsidP="00B45B4F">
      <w:pPr>
        <w:spacing w:line="480" w:lineRule="auto"/>
        <w:jc w:val="both"/>
      </w:pPr>
      <w:r w:rsidRPr="00B45B4F">
        <w:tab/>
        <w:t xml:space="preserve">To accurately estimate the Thiele modulus, the reaction order with respect to the </w:t>
      </w:r>
      <w:r w:rsidRPr="00DA1436">
        <w:t xml:space="preserve">reactant </w:t>
      </w:r>
      <w:r>
        <w:t xml:space="preserve">concentration </w:t>
      </w:r>
      <w:r w:rsidRPr="00DA1436">
        <w:t xml:space="preserve">must be known. Therefore, </w:t>
      </w:r>
      <w:r>
        <w:t>catalytic</w:t>
      </w:r>
      <w:r w:rsidRPr="00DA1436">
        <w:t xml:space="preserve"> rates </w:t>
      </w:r>
      <w:r>
        <w:t xml:space="preserve">were measured </w:t>
      </w:r>
      <w:r w:rsidRPr="00DA1436">
        <w:t>as a function of reactant concentration</w:t>
      </w:r>
      <w:r>
        <w:t xml:space="preserve"> in Z140 and Y30</w:t>
      </w:r>
      <w:r w:rsidRPr="00DA1436">
        <w:t xml:space="preserve">.  As shown </w:t>
      </w:r>
      <w:r w:rsidRPr="00C80AAF">
        <w:t xml:space="preserve">in </w:t>
      </w:r>
      <w:r w:rsidRPr="00C80AAF">
        <w:rPr>
          <w:b/>
          <w:bCs/>
        </w:rPr>
        <w:t xml:space="preserve">Figure </w:t>
      </w:r>
      <w:r w:rsidR="007D27D3" w:rsidRPr="00C80AAF">
        <w:rPr>
          <w:b/>
          <w:bCs/>
        </w:rPr>
        <w:t>2</w:t>
      </w:r>
      <w:r w:rsidRPr="00C80AAF">
        <w:rPr>
          <w:b/>
          <w:bCs/>
        </w:rPr>
        <w:t>1</w:t>
      </w:r>
      <w:r w:rsidRPr="00C80AAF">
        <w:t>, first order</w:t>
      </w:r>
      <w:r w:rsidRPr="00DA1436">
        <w:t xml:space="preserve"> kinetics </w:t>
      </w:r>
      <w:r>
        <w:t>is</w:t>
      </w:r>
      <w:r w:rsidRPr="00DA1436">
        <w:t xml:space="preserve"> observed in the range of concentrations for both zeolites.  </w:t>
      </w:r>
      <w:r>
        <w:t xml:space="preserve">These two catalysts and reactants were chosen considering the </w:t>
      </w:r>
      <w:r w:rsidR="00624097">
        <w:t>nonexistence</w:t>
      </w:r>
      <w:r>
        <w:t xml:space="preserve"> of MTL</w:t>
      </w:r>
      <w:r w:rsidRPr="00DA1436">
        <w:t xml:space="preserve">. However, even in the presence of MTL the observed order </w:t>
      </w:r>
      <w:r>
        <w:t xml:space="preserve">has a direct correlation with </w:t>
      </w:r>
      <w:r w:rsidRPr="00DA1436">
        <w:t>the true reaction order according to the following expression:</w:t>
      </w:r>
      <w:r w:rsidRPr="00DA1436">
        <w:rPr>
          <w:i/>
        </w:rPr>
        <w:br/>
      </w:r>
      <m:oMath>
        <m:sSub>
          <m:sSubPr>
            <m:ctrlPr>
              <w:rPr>
                <w:rFonts w:ascii="Cambria Math" w:hAnsi="Cambria Math"/>
                <w:i/>
              </w:rPr>
            </m:ctrlPr>
          </m:sSubPr>
          <m:e>
            <m:r>
              <w:rPr>
                <w:rFonts w:ascii="Cambria Math" w:hAnsi="Cambria Math"/>
              </w:rPr>
              <m:t>n</m:t>
            </m:r>
          </m:e>
          <m:sub>
            <m:r>
              <w:rPr>
                <w:rFonts w:ascii="Cambria Math" w:hAnsi="Cambria Math"/>
              </w:rPr>
              <m:t>observed</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true</m:t>
                </m:r>
              </m:sub>
            </m:sSub>
            <m:r>
              <w:rPr>
                <w:rFonts w:ascii="Cambria Math" w:hAnsi="Cambria Math"/>
              </w:rPr>
              <m:t>+1</m:t>
            </m:r>
          </m:num>
          <m:den>
            <m:r>
              <w:rPr>
                <w:rFonts w:ascii="Cambria Math" w:hAnsi="Cambria Math"/>
              </w:rPr>
              <m:t>2</m:t>
            </m:r>
          </m:den>
        </m:f>
      </m:oMath>
      <w:r w:rsidRPr="00FC1744">
        <w:rPr>
          <w:rFonts w:eastAsiaTheme="minorEastAsia"/>
          <w:iCs/>
        </w:rPr>
        <w:t xml:space="preserve"> </w:t>
      </w:r>
      <w:r w:rsidRPr="00FC1744">
        <w:rPr>
          <w:rFonts w:eastAsiaTheme="minorEastAsia"/>
          <w:iCs/>
        </w:rPr>
        <w:fldChar w:fldCharType="begin"/>
      </w:r>
      <w:r w:rsidR="00C54D4B">
        <w:rPr>
          <w:rFonts w:eastAsiaTheme="minorEastAsia"/>
          <w:iCs/>
        </w:rPr>
        <w:instrText xml:space="preserve"> ADDIN EN.CITE &lt;EndNote&gt;&lt;Cite&gt;&lt;Author&gt;Fogler&lt;/Author&gt;&lt;Year&gt;2016&lt;/Year&gt;&lt;RecNum&gt;14&lt;/RecNum&gt;&lt;DisplayText&gt;[76]&lt;/DisplayText&gt;&lt;record&gt;&lt;rec-number&gt;14&lt;/rec-number&gt;&lt;foreign-keys&gt;&lt;key app="EN" db-id="59dvwrfdof9dw8exf0kvp0atwazsazeeffsp" timestamp="1667539159"&gt;14&lt;/key&gt;&lt;/foreign-keys&gt;&lt;ref-type name="Book"&gt;6&lt;/ref-type&gt;&lt;contributors&gt;&lt;authors&gt;&lt;author&gt;H. Scott Fogler&lt;/author&gt;&lt;/authors&gt;&lt;/contributors&gt;&lt;titles&gt;&lt;title&gt;Elements of Chemical Reaction Engineering&lt;/title&gt;&lt;/titles&gt;&lt;pages&gt;957&lt;/pages&gt;&lt;dates&gt;&lt;year&gt;2016&lt;/year&gt;&lt;/dates&gt;&lt;publisher&gt;Pearson&lt;/publisher&gt;&lt;urls&gt;&lt;/urls&gt;&lt;/record&gt;&lt;/Cite&gt;&lt;/EndNote&gt;</w:instrText>
      </w:r>
      <w:r w:rsidRPr="00FC1744">
        <w:rPr>
          <w:rFonts w:eastAsiaTheme="minorEastAsia"/>
          <w:iCs/>
        </w:rPr>
        <w:fldChar w:fldCharType="separate"/>
      </w:r>
      <w:r w:rsidR="00C54D4B">
        <w:rPr>
          <w:rFonts w:eastAsiaTheme="minorEastAsia"/>
          <w:iCs/>
          <w:noProof/>
        </w:rPr>
        <w:t>[</w:t>
      </w:r>
      <w:hyperlink w:anchor="_ENREF_76" w:tooltip="Fogler, 2016 #14" w:history="1">
        <w:r w:rsidR="00D307FA">
          <w:rPr>
            <w:rFonts w:eastAsiaTheme="minorEastAsia"/>
            <w:iCs/>
            <w:noProof/>
          </w:rPr>
          <w:t>76</w:t>
        </w:r>
      </w:hyperlink>
      <w:r w:rsidR="00C54D4B">
        <w:rPr>
          <w:rFonts w:eastAsiaTheme="minorEastAsia"/>
          <w:iCs/>
          <w:noProof/>
        </w:rPr>
        <w:t>]</w:t>
      </w:r>
      <w:r w:rsidRPr="00FC1744">
        <w:rPr>
          <w:rFonts w:eastAsiaTheme="minorEastAsia"/>
          <w:iCs/>
        </w:rPr>
        <w:fldChar w:fldCharType="end"/>
      </w:r>
      <w:r w:rsidRPr="00FC1744">
        <w:rPr>
          <w:iCs/>
        </w:rPr>
        <w:t>.</w:t>
      </w:r>
      <w:r w:rsidRPr="00DA1436">
        <w:t xml:space="preserve"> That is,</w:t>
      </w:r>
      <w:r>
        <w:t xml:space="preserve"> if</w:t>
      </w:r>
      <w:r w:rsidRPr="00DA1436">
        <w:t xml:space="preserve"> the observed order </w:t>
      </w:r>
      <w:r>
        <w:t xml:space="preserve">is 1 then the corresponding </w:t>
      </w:r>
      <w:r w:rsidRPr="00DA1436">
        <w:t xml:space="preserve">true </w:t>
      </w:r>
      <w:r>
        <w:t xml:space="preserve">reaction </w:t>
      </w:r>
      <w:r w:rsidRPr="00DA1436">
        <w:t xml:space="preserve">order is 1 as well. Thus, all the </w:t>
      </w:r>
      <w:r>
        <w:t>modeling</w:t>
      </w:r>
      <w:r w:rsidRPr="00DA1436">
        <w:t xml:space="preserve"> here </w:t>
      </w:r>
      <w:r>
        <w:t>is</w:t>
      </w:r>
      <w:r w:rsidRPr="00DA1436">
        <w:t xml:space="preserve"> conducted using a first-order reaction</w:t>
      </w:r>
      <w:r>
        <w:t xml:space="preserve"> kinetics in respect to the reactant concentration</w:t>
      </w:r>
      <w:r w:rsidRPr="00DA1436">
        <w:t>.</w:t>
      </w:r>
    </w:p>
    <w:p w14:paraId="7BB0A6DA" w14:textId="77777777" w:rsidR="00A35A08" w:rsidRDefault="00A35A08" w:rsidP="00617D5F">
      <w:pPr>
        <w:keepNext/>
        <w:jc w:val="center"/>
      </w:pPr>
      <w:r>
        <w:rPr>
          <w:noProof/>
        </w:rPr>
        <w:lastRenderedPageBreak/>
        <w:drawing>
          <wp:inline distT="0" distB="0" distL="0" distR="0" wp14:anchorId="6FBD6C93" wp14:editId="50FB2C60">
            <wp:extent cx="4734275" cy="2286000"/>
            <wp:effectExtent l="0" t="0" r="9525" b="0"/>
            <wp:docPr id="24" name="Picture 2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scatter chart&#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34275" cy="2286000"/>
                    </a:xfrm>
                    <a:prstGeom prst="rect">
                      <a:avLst/>
                    </a:prstGeom>
                    <a:noFill/>
                  </pic:spPr>
                </pic:pic>
              </a:graphicData>
            </a:graphic>
          </wp:inline>
        </w:drawing>
      </w:r>
    </w:p>
    <w:p w14:paraId="42FDEFBB" w14:textId="6539FB42" w:rsidR="00A35A08" w:rsidRPr="00DA1436" w:rsidRDefault="00A35A08" w:rsidP="00617D5F">
      <w:pPr>
        <w:pStyle w:val="Caption"/>
        <w:jc w:val="both"/>
        <w:rPr>
          <w:i w:val="0"/>
          <w:iCs w:val="0"/>
          <w:color w:val="auto"/>
          <w:sz w:val="24"/>
          <w:szCs w:val="24"/>
        </w:rPr>
      </w:pPr>
      <w:bookmarkStart w:id="48" w:name="_Toc131948685"/>
      <w:r w:rsidRPr="00497452">
        <w:rPr>
          <w:b/>
          <w:bCs/>
          <w:i w:val="0"/>
          <w:iCs w:val="0"/>
          <w:color w:val="auto"/>
          <w:sz w:val="24"/>
          <w:szCs w:val="24"/>
        </w:rPr>
        <w:t xml:space="preserve">Figure </w:t>
      </w:r>
      <w:r w:rsidRPr="00497452">
        <w:rPr>
          <w:b/>
          <w:bCs/>
          <w:i w:val="0"/>
          <w:iCs w:val="0"/>
          <w:color w:val="auto"/>
          <w:sz w:val="24"/>
          <w:szCs w:val="24"/>
        </w:rPr>
        <w:fldChar w:fldCharType="begin"/>
      </w:r>
      <w:r w:rsidRPr="00497452">
        <w:rPr>
          <w:b/>
          <w:bCs/>
          <w:i w:val="0"/>
          <w:iCs w:val="0"/>
          <w:color w:val="auto"/>
          <w:sz w:val="24"/>
          <w:szCs w:val="24"/>
        </w:rPr>
        <w:instrText xml:space="preserve"> SEQ Figure \* ARABIC </w:instrText>
      </w:r>
      <w:r w:rsidRPr="00497452">
        <w:rPr>
          <w:b/>
          <w:bCs/>
          <w:i w:val="0"/>
          <w:iCs w:val="0"/>
          <w:color w:val="auto"/>
          <w:sz w:val="24"/>
          <w:szCs w:val="24"/>
        </w:rPr>
        <w:fldChar w:fldCharType="separate"/>
      </w:r>
      <w:r w:rsidR="001F4741">
        <w:rPr>
          <w:b/>
          <w:bCs/>
          <w:i w:val="0"/>
          <w:iCs w:val="0"/>
          <w:noProof/>
          <w:color w:val="auto"/>
          <w:sz w:val="24"/>
          <w:szCs w:val="24"/>
        </w:rPr>
        <w:t>21</w:t>
      </w:r>
      <w:r w:rsidRPr="00497452">
        <w:rPr>
          <w:b/>
          <w:bCs/>
          <w:i w:val="0"/>
          <w:iCs w:val="0"/>
          <w:color w:val="auto"/>
          <w:sz w:val="24"/>
          <w:szCs w:val="24"/>
        </w:rPr>
        <w:fldChar w:fldCharType="end"/>
      </w:r>
      <w:r w:rsidRPr="00497452">
        <w:rPr>
          <w:b/>
          <w:bCs/>
          <w:i w:val="0"/>
          <w:iCs w:val="0"/>
          <w:color w:val="auto"/>
          <w:sz w:val="24"/>
          <w:szCs w:val="24"/>
        </w:rPr>
        <w:t>:</w:t>
      </w:r>
      <w:r w:rsidRPr="00497452">
        <w:rPr>
          <w:i w:val="0"/>
          <w:iCs w:val="0"/>
          <w:color w:val="auto"/>
          <w:sz w:val="24"/>
          <w:szCs w:val="24"/>
        </w:rPr>
        <w:t xml:space="preserve"> </w:t>
      </w:r>
      <w:r w:rsidR="006D4FAE">
        <w:rPr>
          <w:i w:val="0"/>
          <w:iCs w:val="0"/>
          <w:color w:val="auto"/>
          <w:sz w:val="24"/>
          <w:szCs w:val="24"/>
        </w:rPr>
        <w:t>Natural logarithm of k</w:t>
      </w:r>
      <w:r w:rsidR="00D72349">
        <w:rPr>
          <w:i w:val="0"/>
          <w:iCs w:val="0"/>
          <w:color w:val="auto"/>
          <w:sz w:val="24"/>
          <w:szCs w:val="24"/>
        </w:rPr>
        <w:t>etone</w:t>
      </w:r>
      <w:r w:rsidRPr="00DA1436">
        <w:rPr>
          <w:i w:val="0"/>
          <w:iCs w:val="0"/>
          <w:color w:val="auto"/>
          <w:sz w:val="24"/>
          <w:szCs w:val="24"/>
        </w:rPr>
        <w:t xml:space="preserve"> consumption rate </w:t>
      </w:r>
      <w:r w:rsidR="00B2002A">
        <w:rPr>
          <w:i w:val="0"/>
          <w:iCs w:val="0"/>
          <w:color w:val="auto"/>
          <w:sz w:val="24"/>
          <w:szCs w:val="24"/>
        </w:rPr>
        <w:t>(</w:t>
      </w:r>
      <w:r w:rsidR="00A41901">
        <w:rPr>
          <w:i w:val="0"/>
          <w:iCs w:val="0"/>
          <w:color w:val="auto"/>
          <w:sz w:val="24"/>
          <w:szCs w:val="24"/>
        </w:rPr>
        <w:t>r = [</w:t>
      </w:r>
      <w:r w:rsidR="00B2002A">
        <w:rPr>
          <w:i w:val="0"/>
          <w:iCs w:val="0"/>
          <w:color w:val="auto"/>
          <w:sz w:val="24"/>
          <w:szCs w:val="24"/>
        </w:rPr>
        <w:t>μmol/g</w:t>
      </w:r>
      <w:r w:rsidR="00B2002A" w:rsidRPr="00B2002A">
        <w:rPr>
          <w:i w:val="0"/>
          <w:iCs w:val="0"/>
          <w:color w:val="auto"/>
          <w:sz w:val="24"/>
          <w:szCs w:val="24"/>
          <w:vertAlign w:val="subscript"/>
        </w:rPr>
        <w:t>cat</w:t>
      </w:r>
      <w:r w:rsidR="00B2002A">
        <w:rPr>
          <w:i w:val="0"/>
          <w:iCs w:val="0"/>
          <w:color w:val="auto"/>
          <w:sz w:val="24"/>
          <w:szCs w:val="24"/>
        </w:rPr>
        <w:t>.s</w:t>
      </w:r>
      <w:r w:rsidR="00A41901">
        <w:rPr>
          <w:i w:val="0"/>
          <w:iCs w:val="0"/>
          <w:color w:val="auto"/>
          <w:sz w:val="24"/>
          <w:szCs w:val="24"/>
        </w:rPr>
        <w:t>]</w:t>
      </w:r>
      <w:r w:rsidR="00B2002A">
        <w:rPr>
          <w:i w:val="0"/>
          <w:iCs w:val="0"/>
          <w:color w:val="auto"/>
          <w:sz w:val="24"/>
          <w:szCs w:val="24"/>
        </w:rPr>
        <w:t xml:space="preserve">) </w:t>
      </w:r>
      <w:r w:rsidRPr="00DA1436">
        <w:rPr>
          <w:i w:val="0"/>
          <w:iCs w:val="0"/>
          <w:color w:val="auto"/>
          <w:sz w:val="24"/>
          <w:szCs w:val="24"/>
        </w:rPr>
        <w:t xml:space="preserve">as a function of </w:t>
      </w:r>
      <w:r w:rsidR="0079526C">
        <w:rPr>
          <w:i w:val="0"/>
          <w:iCs w:val="0"/>
          <w:color w:val="auto"/>
          <w:sz w:val="24"/>
          <w:szCs w:val="24"/>
        </w:rPr>
        <w:t xml:space="preserve">the natural logarithm of initial reactant </w:t>
      </w:r>
      <w:r w:rsidRPr="00DA1436">
        <w:rPr>
          <w:i w:val="0"/>
          <w:iCs w:val="0"/>
          <w:color w:val="auto"/>
          <w:sz w:val="24"/>
          <w:szCs w:val="24"/>
        </w:rPr>
        <w:t>concentration</w:t>
      </w:r>
      <w:r w:rsidR="0079526C">
        <w:rPr>
          <w:i w:val="0"/>
          <w:iCs w:val="0"/>
          <w:color w:val="auto"/>
          <w:sz w:val="24"/>
          <w:szCs w:val="24"/>
        </w:rPr>
        <w:t xml:space="preserve"> (</w:t>
      </w:r>
      <w:r w:rsidR="00A41901">
        <w:rPr>
          <w:i w:val="0"/>
          <w:iCs w:val="0"/>
          <w:color w:val="auto"/>
          <w:sz w:val="24"/>
          <w:szCs w:val="24"/>
        </w:rPr>
        <w:t>C</w:t>
      </w:r>
      <w:r w:rsidR="00A41901" w:rsidRPr="00A41901">
        <w:rPr>
          <w:i w:val="0"/>
          <w:iCs w:val="0"/>
          <w:color w:val="auto"/>
          <w:sz w:val="24"/>
          <w:szCs w:val="24"/>
          <w:vertAlign w:val="subscript"/>
        </w:rPr>
        <w:t>CPO</w:t>
      </w:r>
      <w:r w:rsidR="00A41901">
        <w:rPr>
          <w:i w:val="0"/>
          <w:iCs w:val="0"/>
          <w:color w:val="auto"/>
          <w:sz w:val="24"/>
          <w:szCs w:val="24"/>
        </w:rPr>
        <w:t xml:space="preserve"> = [</w:t>
      </w:r>
      <w:r w:rsidR="0079526C">
        <w:rPr>
          <w:i w:val="0"/>
          <w:iCs w:val="0"/>
          <w:color w:val="auto"/>
          <w:sz w:val="24"/>
          <w:szCs w:val="24"/>
        </w:rPr>
        <w:t>mol/L</w:t>
      </w:r>
      <w:r w:rsidR="00A41901">
        <w:rPr>
          <w:i w:val="0"/>
          <w:iCs w:val="0"/>
          <w:color w:val="auto"/>
          <w:sz w:val="24"/>
          <w:szCs w:val="24"/>
        </w:rPr>
        <w:t>]</w:t>
      </w:r>
      <w:r w:rsidR="0079526C">
        <w:rPr>
          <w:i w:val="0"/>
          <w:iCs w:val="0"/>
          <w:color w:val="auto"/>
          <w:sz w:val="24"/>
          <w:szCs w:val="24"/>
        </w:rPr>
        <w:t>)</w:t>
      </w:r>
      <w:r w:rsidRPr="00DA1436">
        <w:rPr>
          <w:i w:val="0"/>
          <w:iCs w:val="0"/>
          <w:color w:val="auto"/>
          <w:sz w:val="24"/>
          <w:szCs w:val="24"/>
        </w:rPr>
        <w:t>; a) acetone condensation on zeolite H-Z140 and b) cyclopentanone on H</w:t>
      </w:r>
      <w:r>
        <w:rPr>
          <w:i w:val="0"/>
          <w:iCs w:val="0"/>
          <w:color w:val="auto"/>
          <w:sz w:val="24"/>
          <w:szCs w:val="24"/>
        </w:rPr>
        <w:t>-</w:t>
      </w:r>
      <w:r w:rsidRPr="00DA1436">
        <w:rPr>
          <w:i w:val="0"/>
          <w:iCs w:val="0"/>
          <w:color w:val="auto"/>
          <w:sz w:val="24"/>
          <w:szCs w:val="24"/>
        </w:rPr>
        <w:t>Y30.</w:t>
      </w:r>
      <w:bookmarkEnd w:id="48"/>
    </w:p>
    <w:p w14:paraId="1CD72FCA" w14:textId="77777777" w:rsidR="00617D5F" w:rsidRDefault="00617D5F" w:rsidP="00C008FE">
      <w:pPr>
        <w:spacing w:line="480" w:lineRule="auto"/>
        <w:jc w:val="both"/>
        <w:rPr>
          <w:b/>
          <w:bCs/>
        </w:rPr>
      </w:pPr>
    </w:p>
    <w:p w14:paraId="70020FCE" w14:textId="5838F9E2" w:rsidR="00A35A08" w:rsidRPr="00F11C1B" w:rsidRDefault="00A35A08" w:rsidP="00B45B4F">
      <w:pPr>
        <w:pStyle w:val="Heading3"/>
        <w:rPr>
          <w:rFonts w:cs="Times New Roman"/>
          <w:i w:val="0"/>
          <w:iCs/>
          <w:u w:val="single"/>
        </w:rPr>
      </w:pPr>
      <w:bookmarkStart w:id="49" w:name="_Toc132924197"/>
      <w:r w:rsidRPr="00F11C1B">
        <w:rPr>
          <w:rFonts w:cs="Times New Roman"/>
          <w:i w:val="0"/>
          <w:iCs/>
          <w:u w:val="single"/>
        </w:rPr>
        <w:t>2.4.2 Catalytic reaction measurements and assessment of MTL in Self-Aldol Condensation</w:t>
      </w:r>
      <w:bookmarkEnd w:id="49"/>
      <w:r w:rsidRPr="00F11C1B">
        <w:rPr>
          <w:rFonts w:cs="Times New Roman"/>
          <w:i w:val="0"/>
          <w:iCs/>
          <w:u w:val="single"/>
        </w:rPr>
        <w:t xml:space="preserve"> </w:t>
      </w:r>
    </w:p>
    <w:p w14:paraId="1A253438" w14:textId="48E0EB6C" w:rsidR="00A35A08" w:rsidRPr="00F11C1B" w:rsidRDefault="00B45B4F" w:rsidP="00B45B4F">
      <w:pPr>
        <w:pStyle w:val="Heading4"/>
        <w:spacing w:line="480" w:lineRule="auto"/>
        <w:rPr>
          <w:rFonts w:ascii="Times New Roman" w:hAnsi="Times New Roman" w:cs="Times New Roman"/>
          <w:iCs w:val="0"/>
          <w:color w:val="auto"/>
        </w:rPr>
      </w:pPr>
      <w:r w:rsidRPr="00D44A7D">
        <w:rPr>
          <w:rFonts w:ascii="Times New Roman" w:hAnsi="Times New Roman" w:cs="Times New Roman"/>
          <w:i w:val="0"/>
          <w:color w:val="auto"/>
        </w:rPr>
        <w:tab/>
      </w:r>
      <w:r w:rsidR="00A35A08" w:rsidRPr="00F11C1B">
        <w:rPr>
          <w:rFonts w:ascii="Times New Roman" w:hAnsi="Times New Roman" w:cs="Times New Roman"/>
          <w:iCs w:val="0"/>
          <w:color w:val="auto"/>
        </w:rPr>
        <w:t>2.4.2.1 Na-Titration</w:t>
      </w:r>
    </w:p>
    <w:p w14:paraId="60B3981C" w14:textId="5A5A14DA" w:rsidR="00A35A08" w:rsidRPr="00DA1436" w:rsidRDefault="00A35A08" w:rsidP="00B45B4F">
      <w:pPr>
        <w:pStyle w:val="ListParagraph"/>
        <w:spacing w:line="480" w:lineRule="auto"/>
        <w:jc w:val="both"/>
      </w:pPr>
      <w:r w:rsidRPr="00B45B4F">
        <w:rPr>
          <w:iCs/>
          <w:u w:val="single"/>
        </w:rPr>
        <w:t>HZSM-5 (Si/Al 140</w:t>
      </w:r>
      <w:r w:rsidRPr="00C80AAF">
        <w:rPr>
          <w:iCs/>
          <w:u w:val="single"/>
        </w:rPr>
        <w:t>) zeolite</w:t>
      </w:r>
      <w:r w:rsidRPr="00C80AAF">
        <w:rPr>
          <w:iCs/>
        </w:rPr>
        <w:t xml:space="preserve">:  </w:t>
      </w:r>
      <w:r w:rsidRPr="00C80AAF">
        <w:rPr>
          <w:b/>
          <w:bCs/>
          <w:iCs/>
        </w:rPr>
        <w:t>Figure</w:t>
      </w:r>
      <w:r w:rsidR="007D27D3" w:rsidRPr="00C80AAF">
        <w:rPr>
          <w:b/>
          <w:bCs/>
          <w:iCs/>
        </w:rPr>
        <w:t xml:space="preserve"> 22</w:t>
      </w:r>
      <w:r w:rsidRPr="00C80AAF">
        <w:rPr>
          <w:iCs/>
        </w:rPr>
        <w:t xml:space="preserve"> compares</w:t>
      </w:r>
      <w:r w:rsidRPr="00B45B4F">
        <w:rPr>
          <w:iCs/>
        </w:rPr>
        <w:t xml:space="preserve"> experimental rates of self-condensation of</w:t>
      </w:r>
      <w:r w:rsidRPr="00B45B4F">
        <w:t xml:space="preserve"> </w:t>
      </w:r>
      <w:r w:rsidRPr="00DA1436">
        <w:t>acetone (ACE) or cyclopentanone (CPO) per gram of catalyst on Z140 with varying Na loading, as measured in a liquid-phase batch Parr reactor at 250</w:t>
      </w:r>
      <m:oMath>
        <m:r>
          <w:rPr>
            <w:rFonts w:ascii="Cambria Math" w:hAnsi="Cambria Math"/>
          </w:rPr>
          <m:t>°</m:t>
        </m:r>
      </m:oMath>
      <w:r w:rsidRPr="00DA1436">
        <w:t>C, using cyclohexane as a solvent at an initial reactant concentration of 1 mol/L. As expected, the observed rate decreases from the original sample to zero when the number of sites titrated by Na reaches the total number of acid sites (L</w:t>
      </w:r>
      <w:r w:rsidRPr="00DA1436">
        <w:rPr>
          <w:vertAlign w:val="subscript"/>
        </w:rPr>
        <w:t>0</w:t>
      </w:r>
      <w:r w:rsidRPr="00DA1436">
        <w:t xml:space="preserve">).  As mentioned above, only in the absence of MTL and for a sample with uniform activity in all sites one would expect a linear decrease.  By contrast, a nonlinear decrease would indicate the presence of MTL </w:t>
      </w:r>
      <w:r w:rsidRPr="00DA1436">
        <w:fldChar w:fldCharType="begin"/>
      </w:r>
      <w:r w:rsidR="00C54D4B">
        <w:instrText xml:space="preserve"> ADDIN EN.CITE &lt;EndNote&gt;&lt;Cite&gt;&lt;Author&gt;Madon&lt;/Author&gt;&lt;Year&gt;1982&lt;/Year&gt;&lt;RecNum&gt;13&lt;/RecNum&gt;&lt;DisplayText&gt;[123]&lt;/DisplayText&gt;&lt;record&gt;&lt;rec-number&gt;13&lt;/rec-number&gt;&lt;foreign-keys&gt;&lt;key app="EN" db-id="59dvwrfdof9dw8exf0kvp0atwazsazeeffsp" timestamp="1667538980"&gt;13&lt;/key&gt;&lt;/foreign-keys&gt;&lt;ref-type name="Journal Article"&gt;17&lt;/ref-type&gt;&lt;contributors&gt;&lt;authors&gt;&lt;author&gt;Rostam J. Madon&lt;/author&gt;&lt;author&gt;Michel Boudart&lt;/author&gt;&lt;/authors&gt;&lt;/contributors&gt;&lt;titles&gt;&lt;title&gt;Experimental criterion for the absence of artifacts in the measurement of rates of heterogeneous catalytic reactions&lt;/title&gt;&lt;secondary-title&gt;Industrial &amp;amp; Chemical Engineering Fundamentals&lt;/secondary-title&gt;&lt;/titles&gt;&lt;periodical&gt;&lt;full-title&gt;Industrial &amp;amp; Chemical Engineering Fundamentals&lt;/full-title&gt;&lt;/periodical&gt;&lt;pages&gt;438-447&lt;/pages&gt;&lt;volume&gt;21&lt;/volume&gt;&lt;dates&gt;&lt;year&gt;1982&lt;/year&gt;&lt;/dates&gt;&lt;urls&gt;&lt;/urls&gt;&lt;/record&gt;&lt;/Cite&gt;&lt;/EndNote&gt;</w:instrText>
      </w:r>
      <w:r w:rsidRPr="00DA1436">
        <w:fldChar w:fldCharType="separate"/>
      </w:r>
      <w:r w:rsidR="00C54D4B">
        <w:rPr>
          <w:noProof/>
        </w:rPr>
        <w:t>[</w:t>
      </w:r>
      <w:hyperlink w:anchor="_ENREF_123" w:tooltip="Madon, 1982 #13" w:history="1">
        <w:r w:rsidR="00D307FA">
          <w:rPr>
            <w:noProof/>
          </w:rPr>
          <w:t>123</w:t>
        </w:r>
      </w:hyperlink>
      <w:r w:rsidR="00C54D4B">
        <w:rPr>
          <w:noProof/>
        </w:rPr>
        <w:t>]</w:t>
      </w:r>
      <w:r w:rsidRPr="00DA1436">
        <w:fldChar w:fldCharType="end"/>
      </w:r>
      <w:r w:rsidRPr="00DA1436">
        <w:t xml:space="preserve">.  Indeed, for the </w:t>
      </w:r>
      <w:r>
        <w:t>Z140</w:t>
      </w:r>
      <w:r w:rsidRPr="00DA1436">
        <w:t xml:space="preserve"> series, the reaction with the smaller reactant (ACE) exhibits a linear trend, but a slight deviation from linearity for the larger reactant (CPO). </w:t>
      </w:r>
    </w:p>
    <w:p w14:paraId="64DF5EFC" w14:textId="77777777" w:rsidR="00A35A08" w:rsidRDefault="00A35A08" w:rsidP="00617D5F">
      <w:pPr>
        <w:pStyle w:val="ListParagraph"/>
        <w:keepNext/>
        <w:jc w:val="center"/>
      </w:pPr>
      <w:r w:rsidRPr="00DA1436">
        <w:rPr>
          <w:noProof/>
        </w:rPr>
        <w:lastRenderedPageBreak/>
        <w:drawing>
          <wp:inline distT="0" distB="0" distL="0" distR="0" wp14:anchorId="4EE24B25" wp14:editId="5A69B656">
            <wp:extent cx="3747548" cy="2286000"/>
            <wp:effectExtent l="0" t="0" r="5715" b="0"/>
            <wp:docPr id="16" name="Picture 1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scatter char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47548" cy="2286000"/>
                    </a:xfrm>
                    <a:prstGeom prst="rect">
                      <a:avLst/>
                    </a:prstGeom>
                    <a:noFill/>
                  </pic:spPr>
                </pic:pic>
              </a:graphicData>
            </a:graphic>
          </wp:inline>
        </w:drawing>
      </w:r>
    </w:p>
    <w:p w14:paraId="3E9912DE" w14:textId="7EFFF994" w:rsidR="00A35A08" w:rsidRPr="00C008FE" w:rsidRDefault="00A35A08" w:rsidP="00617D5F">
      <w:pPr>
        <w:pStyle w:val="Caption"/>
        <w:ind w:left="720"/>
        <w:jc w:val="both"/>
        <w:rPr>
          <w:i w:val="0"/>
          <w:iCs w:val="0"/>
          <w:color w:val="auto"/>
          <w:sz w:val="24"/>
          <w:szCs w:val="24"/>
        </w:rPr>
      </w:pPr>
      <w:bookmarkStart w:id="50" w:name="_Toc131948686"/>
      <w:r w:rsidRPr="007919F8">
        <w:rPr>
          <w:b/>
          <w:bCs/>
          <w:i w:val="0"/>
          <w:iCs w:val="0"/>
          <w:color w:val="auto"/>
          <w:sz w:val="24"/>
          <w:szCs w:val="24"/>
        </w:rPr>
        <w:t xml:space="preserve">Figure </w:t>
      </w:r>
      <w:r w:rsidRPr="007919F8">
        <w:rPr>
          <w:b/>
          <w:bCs/>
          <w:i w:val="0"/>
          <w:iCs w:val="0"/>
          <w:color w:val="auto"/>
          <w:sz w:val="24"/>
          <w:szCs w:val="24"/>
        </w:rPr>
        <w:fldChar w:fldCharType="begin"/>
      </w:r>
      <w:r w:rsidRPr="007919F8">
        <w:rPr>
          <w:b/>
          <w:bCs/>
          <w:i w:val="0"/>
          <w:iCs w:val="0"/>
          <w:color w:val="auto"/>
          <w:sz w:val="24"/>
          <w:szCs w:val="24"/>
        </w:rPr>
        <w:instrText xml:space="preserve"> SEQ Figure \* ARABIC </w:instrText>
      </w:r>
      <w:r w:rsidRPr="007919F8">
        <w:rPr>
          <w:b/>
          <w:bCs/>
          <w:i w:val="0"/>
          <w:iCs w:val="0"/>
          <w:color w:val="auto"/>
          <w:sz w:val="24"/>
          <w:szCs w:val="24"/>
        </w:rPr>
        <w:fldChar w:fldCharType="separate"/>
      </w:r>
      <w:r w:rsidR="001F4741">
        <w:rPr>
          <w:b/>
          <w:bCs/>
          <w:i w:val="0"/>
          <w:iCs w:val="0"/>
          <w:noProof/>
          <w:color w:val="auto"/>
          <w:sz w:val="24"/>
          <w:szCs w:val="24"/>
        </w:rPr>
        <w:t>22</w:t>
      </w:r>
      <w:r w:rsidRPr="007919F8">
        <w:rPr>
          <w:b/>
          <w:bCs/>
          <w:i w:val="0"/>
          <w:iCs w:val="0"/>
          <w:color w:val="auto"/>
          <w:sz w:val="24"/>
          <w:szCs w:val="24"/>
        </w:rPr>
        <w:fldChar w:fldCharType="end"/>
      </w:r>
      <w:r w:rsidRPr="007919F8">
        <w:rPr>
          <w:b/>
          <w:bCs/>
          <w:i w:val="0"/>
          <w:iCs w:val="0"/>
          <w:color w:val="auto"/>
          <w:sz w:val="24"/>
          <w:szCs w:val="24"/>
        </w:rPr>
        <w:t>:</w:t>
      </w:r>
      <w:r w:rsidRPr="007919F8">
        <w:rPr>
          <w:i w:val="0"/>
          <w:iCs w:val="0"/>
          <w:color w:val="auto"/>
          <w:sz w:val="24"/>
          <w:szCs w:val="24"/>
        </w:rPr>
        <w:t xml:space="preserve"> Self-condensation rates of CPO and ACE as a function of titrated site density</w:t>
      </w:r>
      <w:r w:rsidR="00F80203">
        <w:rPr>
          <w:i w:val="0"/>
          <w:iCs w:val="0"/>
          <w:color w:val="auto"/>
          <w:sz w:val="24"/>
          <w:szCs w:val="24"/>
        </w:rPr>
        <w:t xml:space="preserve"> </w:t>
      </w:r>
      <w:r w:rsidRPr="007919F8">
        <w:rPr>
          <w:i w:val="0"/>
          <w:iCs w:val="0"/>
          <w:color w:val="auto"/>
          <w:sz w:val="24"/>
          <w:szCs w:val="24"/>
        </w:rPr>
        <w:t>in series of Na-exchange ZSM5 zeolite with Si/Al of 140.</w:t>
      </w:r>
      <w:bookmarkEnd w:id="50"/>
      <w:r w:rsidR="00574CFD">
        <w:rPr>
          <w:i w:val="0"/>
          <w:iCs w:val="0"/>
          <w:color w:val="auto"/>
          <w:sz w:val="24"/>
          <w:szCs w:val="24"/>
        </w:rPr>
        <w:t xml:space="preserve"> The lines</w:t>
      </w:r>
      <w:r w:rsidR="00032DB4">
        <w:rPr>
          <w:i w:val="0"/>
          <w:iCs w:val="0"/>
          <w:color w:val="auto"/>
          <w:sz w:val="24"/>
          <w:szCs w:val="24"/>
        </w:rPr>
        <w:t xml:space="preserve"> represent the modeled profiles for each self-condensation </w:t>
      </w:r>
      <w:r w:rsidR="00306C66">
        <w:rPr>
          <w:i w:val="0"/>
          <w:iCs w:val="0"/>
          <w:color w:val="auto"/>
          <w:sz w:val="24"/>
          <w:szCs w:val="24"/>
        </w:rPr>
        <w:t>result.</w:t>
      </w:r>
    </w:p>
    <w:p w14:paraId="1175B0A8" w14:textId="569D35F5" w:rsidR="00A35A08" w:rsidRDefault="00A35A08" w:rsidP="00C008FE">
      <w:pPr>
        <w:pStyle w:val="ListParagraph"/>
        <w:spacing w:line="480" w:lineRule="auto"/>
        <w:jc w:val="both"/>
      </w:pPr>
      <w:r>
        <w:t xml:space="preserve">In regards of the amount of Na fed to the mixture prior to the exchange, high loadings as 0.25M and 0.50M of Na (Na/H = 50 and 100, respectively) will cause pore plugging and consequent lower activity as </w:t>
      </w:r>
      <w:r w:rsidRPr="00C80AAF">
        <w:t xml:space="preserve">observed in </w:t>
      </w:r>
      <w:r w:rsidRPr="00C80AAF">
        <w:rPr>
          <w:b/>
          <w:bCs/>
        </w:rPr>
        <w:t xml:space="preserve">Figure </w:t>
      </w:r>
      <w:r w:rsidR="007D27D3" w:rsidRPr="00C80AAF">
        <w:rPr>
          <w:b/>
          <w:bCs/>
        </w:rPr>
        <w:t>23</w:t>
      </w:r>
      <w:r w:rsidRPr="00C80AAF">
        <w:t>. Longer</w:t>
      </w:r>
      <w:r>
        <w:t xml:space="preserve"> exchange times were performed to observe such effect.</w:t>
      </w:r>
    </w:p>
    <w:p w14:paraId="02D8361B" w14:textId="77777777" w:rsidR="00A35A08" w:rsidRPr="002B5452" w:rsidRDefault="00A35A08" w:rsidP="00463612">
      <w:pPr>
        <w:pStyle w:val="ListParagraph"/>
        <w:keepNext/>
        <w:jc w:val="center"/>
      </w:pPr>
      <w:r w:rsidRPr="002B5452">
        <w:rPr>
          <w:noProof/>
        </w:rPr>
        <w:drawing>
          <wp:inline distT="0" distB="0" distL="0" distR="0" wp14:anchorId="2484F0AA" wp14:editId="1B11610F">
            <wp:extent cx="3747548" cy="2286000"/>
            <wp:effectExtent l="0" t="0" r="5715" b="0"/>
            <wp:docPr id="22" name="Picture 2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scatter chart&#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47548" cy="2286000"/>
                    </a:xfrm>
                    <a:prstGeom prst="rect">
                      <a:avLst/>
                    </a:prstGeom>
                    <a:noFill/>
                  </pic:spPr>
                </pic:pic>
              </a:graphicData>
            </a:graphic>
          </wp:inline>
        </w:drawing>
      </w:r>
    </w:p>
    <w:p w14:paraId="3BA0544B" w14:textId="56CC8ED9" w:rsidR="00A35A08" w:rsidRPr="002B5452" w:rsidRDefault="00A35A08" w:rsidP="00463612">
      <w:pPr>
        <w:pStyle w:val="Caption"/>
        <w:ind w:left="720"/>
        <w:jc w:val="both"/>
        <w:rPr>
          <w:i w:val="0"/>
          <w:iCs w:val="0"/>
          <w:color w:val="auto"/>
          <w:sz w:val="24"/>
          <w:szCs w:val="24"/>
        </w:rPr>
      </w:pPr>
      <w:bookmarkStart w:id="51" w:name="_Toc131948687"/>
      <w:r w:rsidRPr="002B5452">
        <w:rPr>
          <w:b/>
          <w:bCs/>
          <w:i w:val="0"/>
          <w:iCs w:val="0"/>
          <w:color w:val="auto"/>
          <w:sz w:val="24"/>
          <w:szCs w:val="24"/>
        </w:rPr>
        <w:t xml:space="preserve">Figure </w:t>
      </w:r>
      <w:r w:rsidRPr="002B5452">
        <w:rPr>
          <w:b/>
          <w:bCs/>
          <w:i w:val="0"/>
          <w:iCs w:val="0"/>
          <w:color w:val="auto"/>
          <w:sz w:val="24"/>
          <w:szCs w:val="24"/>
        </w:rPr>
        <w:fldChar w:fldCharType="begin"/>
      </w:r>
      <w:r w:rsidRPr="002B5452">
        <w:rPr>
          <w:b/>
          <w:bCs/>
          <w:i w:val="0"/>
          <w:iCs w:val="0"/>
          <w:color w:val="auto"/>
          <w:sz w:val="24"/>
          <w:szCs w:val="24"/>
        </w:rPr>
        <w:instrText xml:space="preserve"> SEQ Figure \* ARABIC </w:instrText>
      </w:r>
      <w:r w:rsidRPr="002B5452">
        <w:rPr>
          <w:b/>
          <w:bCs/>
          <w:i w:val="0"/>
          <w:iCs w:val="0"/>
          <w:color w:val="auto"/>
          <w:sz w:val="24"/>
          <w:szCs w:val="24"/>
        </w:rPr>
        <w:fldChar w:fldCharType="separate"/>
      </w:r>
      <w:r w:rsidR="001F4741">
        <w:rPr>
          <w:b/>
          <w:bCs/>
          <w:i w:val="0"/>
          <w:iCs w:val="0"/>
          <w:noProof/>
          <w:color w:val="auto"/>
          <w:sz w:val="24"/>
          <w:szCs w:val="24"/>
        </w:rPr>
        <w:t>23</w:t>
      </w:r>
      <w:r w:rsidRPr="002B5452">
        <w:rPr>
          <w:b/>
          <w:bCs/>
          <w:i w:val="0"/>
          <w:iCs w:val="0"/>
          <w:color w:val="auto"/>
          <w:sz w:val="24"/>
          <w:szCs w:val="24"/>
        </w:rPr>
        <w:fldChar w:fldCharType="end"/>
      </w:r>
      <w:r w:rsidRPr="002B5452">
        <w:rPr>
          <w:b/>
          <w:bCs/>
          <w:i w:val="0"/>
          <w:iCs w:val="0"/>
          <w:color w:val="auto"/>
          <w:sz w:val="24"/>
          <w:szCs w:val="24"/>
        </w:rPr>
        <w:t>:</w:t>
      </w:r>
      <w:r w:rsidRPr="002B5452">
        <w:rPr>
          <w:i w:val="0"/>
          <w:iCs w:val="0"/>
          <w:color w:val="auto"/>
          <w:sz w:val="24"/>
          <w:szCs w:val="24"/>
        </w:rPr>
        <w:t xml:space="preserve"> High Na-loadings exchanged samples in comparison with simulated trend in</w:t>
      </w:r>
      <w:r w:rsidR="00F80203">
        <w:rPr>
          <w:i w:val="0"/>
          <w:iCs w:val="0"/>
          <w:color w:val="auto"/>
          <w:sz w:val="24"/>
          <w:szCs w:val="24"/>
        </w:rPr>
        <w:t xml:space="preserve"> </w:t>
      </w:r>
      <w:r w:rsidRPr="002B5452">
        <w:rPr>
          <w:i w:val="0"/>
          <w:iCs w:val="0"/>
          <w:color w:val="auto"/>
          <w:sz w:val="24"/>
          <w:szCs w:val="24"/>
        </w:rPr>
        <w:t>cyclopentanone self-aldol condensation in Z140.</w:t>
      </w:r>
      <w:bookmarkEnd w:id="51"/>
      <w:r w:rsidR="00306C66">
        <w:rPr>
          <w:i w:val="0"/>
          <w:iCs w:val="0"/>
          <w:color w:val="auto"/>
          <w:sz w:val="24"/>
          <w:szCs w:val="24"/>
        </w:rPr>
        <w:t xml:space="preserve"> The line represents the modeled profile for </w:t>
      </w:r>
      <w:r w:rsidR="008C6C4F">
        <w:rPr>
          <w:i w:val="0"/>
          <w:iCs w:val="0"/>
          <w:color w:val="auto"/>
          <w:sz w:val="24"/>
          <w:szCs w:val="24"/>
        </w:rPr>
        <w:t xml:space="preserve">the </w:t>
      </w:r>
      <w:r w:rsidR="00306C66">
        <w:rPr>
          <w:i w:val="0"/>
          <w:iCs w:val="0"/>
          <w:color w:val="auto"/>
          <w:sz w:val="24"/>
          <w:szCs w:val="24"/>
        </w:rPr>
        <w:t>self-condensation result</w:t>
      </w:r>
      <w:r w:rsidR="008C6C4F">
        <w:rPr>
          <w:i w:val="0"/>
          <w:iCs w:val="0"/>
          <w:color w:val="auto"/>
          <w:sz w:val="24"/>
          <w:szCs w:val="24"/>
        </w:rPr>
        <w:t xml:space="preserve"> for cyclopentanone only.</w:t>
      </w:r>
    </w:p>
    <w:p w14:paraId="10CE9AB7" w14:textId="77777777" w:rsidR="00A35A08" w:rsidRPr="002B5452" w:rsidRDefault="00A35A08" w:rsidP="00C008FE">
      <w:pPr>
        <w:pStyle w:val="ListParagraph"/>
        <w:spacing w:line="480" w:lineRule="auto"/>
        <w:jc w:val="both"/>
      </w:pPr>
    </w:p>
    <w:p w14:paraId="61122450" w14:textId="02FB0950" w:rsidR="00A35A08" w:rsidRPr="006C4260" w:rsidRDefault="00A35A08" w:rsidP="00C008FE">
      <w:pPr>
        <w:pStyle w:val="ListParagraph"/>
        <w:spacing w:line="480" w:lineRule="auto"/>
        <w:jc w:val="both"/>
      </w:pPr>
      <w:r w:rsidRPr="002B5452">
        <w:rPr>
          <w:i/>
          <w:iCs/>
          <w:u w:val="single"/>
        </w:rPr>
        <w:t>HZSM-5 (Si/Al 40) zeolite</w:t>
      </w:r>
      <w:r w:rsidRPr="002B5452">
        <w:rPr>
          <w:i/>
          <w:iCs/>
        </w:rPr>
        <w:t xml:space="preserve">:  </w:t>
      </w:r>
      <w:r w:rsidRPr="002B5452">
        <w:t>Analogousl</w:t>
      </w:r>
      <w:r w:rsidRPr="007807B6">
        <w:t xml:space="preserve">y, </w:t>
      </w:r>
      <w:r w:rsidRPr="007807B6">
        <w:rPr>
          <w:b/>
          <w:bCs/>
        </w:rPr>
        <w:t xml:space="preserve">Figure </w:t>
      </w:r>
      <w:r w:rsidR="007D27D3" w:rsidRPr="007807B6">
        <w:rPr>
          <w:b/>
          <w:bCs/>
        </w:rPr>
        <w:t>24</w:t>
      </w:r>
      <w:r w:rsidRPr="007807B6">
        <w:t xml:space="preserve"> shows the self-condensation</w:t>
      </w:r>
      <w:r w:rsidRPr="002B5452">
        <w:t xml:space="preserve"> </w:t>
      </w:r>
      <w:r w:rsidRPr="006C4260">
        <w:t>catalytic results over Z40 with different Na</w:t>
      </w:r>
      <w:r>
        <w:t>-titration levels</w:t>
      </w:r>
      <w:r w:rsidRPr="006C4260">
        <w:t xml:space="preserve">. Again, CPO showed to </w:t>
      </w:r>
      <w:r w:rsidRPr="006C4260">
        <w:lastRenderedPageBreak/>
        <w:t>have a higher activity compared to ACE in the MFI structure. A more pronounced non-linear behavior was observed for both ketones when reacted in the presence of higher concentration of active sites</w:t>
      </w:r>
      <w:r>
        <w:t>, indicating a great effect of MTL</w:t>
      </w:r>
      <w:r w:rsidRPr="006C4260">
        <w:t>. Here, high levels of titration were not obtained even with sequential Na-exchanges.</w:t>
      </w:r>
    </w:p>
    <w:p w14:paraId="1C74DE74" w14:textId="77777777" w:rsidR="00A35A08" w:rsidRDefault="00A35A08" w:rsidP="00463612">
      <w:pPr>
        <w:pStyle w:val="ListParagraph"/>
        <w:keepNext/>
        <w:jc w:val="center"/>
      </w:pPr>
      <w:r w:rsidRPr="006C4260">
        <w:rPr>
          <w:noProof/>
        </w:rPr>
        <w:drawing>
          <wp:inline distT="0" distB="0" distL="0" distR="0" wp14:anchorId="04C531E1" wp14:editId="1C172569">
            <wp:extent cx="3741160" cy="2286000"/>
            <wp:effectExtent l="0" t="0" r="0" b="0"/>
            <wp:docPr id="46" name="Picture 4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scatter char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41160" cy="2286000"/>
                    </a:xfrm>
                    <a:prstGeom prst="rect">
                      <a:avLst/>
                    </a:prstGeom>
                    <a:noFill/>
                  </pic:spPr>
                </pic:pic>
              </a:graphicData>
            </a:graphic>
          </wp:inline>
        </w:drawing>
      </w:r>
    </w:p>
    <w:p w14:paraId="4A86BF10" w14:textId="75A8E941" w:rsidR="00A35A08" w:rsidRPr="002B5452" w:rsidRDefault="00A35A08" w:rsidP="00463612">
      <w:pPr>
        <w:pStyle w:val="Caption"/>
        <w:ind w:left="720"/>
        <w:jc w:val="both"/>
        <w:rPr>
          <w:i w:val="0"/>
          <w:iCs w:val="0"/>
          <w:color w:val="auto"/>
          <w:sz w:val="24"/>
          <w:szCs w:val="24"/>
        </w:rPr>
      </w:pPr>
      <w:bookmarkStart w:id="52" w:name="_Toc131948688"/>
      <w:r w:rsidRPr="009E31E2">
        <w:rPr>
          <w:b/>
          <w:bCs/>
          <w:i w:val="0"/>
          <w:iCs w:val="0"/>
          <w:color w:val="auto"/>
          <w:sz w:val="24"/>
          <w:szCs w:val="24"/>
        </w:rPr>
        <w:t xml:space="preserve">Figure </w:t>
      </w:r>
      <w:r w:rsidRPr="009E31E2">
        <w:rPr>
          <w:b/>
          <w:bCs/>
          <w:i w:val="0"/>
          <w:iCs w:val="0"/>
          <w:color w:val="auto"/>
          <w:sz w:val="24"/>
          <w:szCs w:val="24"/>
        </w:rPr>
        <w:fldChar w:fldCharType="begin"/>
      </w:r>
      <w:r w:rsidRPr="009E31E2">
        <w:rPr>
          <w:b/>
          <w:bCs/>
          <w:i w:val="0"/>
          <w:iCs w:val="0"/>
          <w:color w:val="auto"/>
          <w:sz w:val="24"/>
          <w:szCs w:val="24"/>
        </w:rPr>
        <w:instrText xml:space="preserve"> SEQ Figure \* ARABIC </w:instrText>
      </w:r>
      <w:r w:rsidRPr="009E31E2">
        <w:rPr>
          <w:b/>
          <w:bCs/>
          <w:i w:val="0"/>
          <w:iCs w:val="0"/>
          <w:color w:val="auto"/>
          <w:sz w:val="24"/>
          <w:szCs w:val="24"/>
        </w:rPr>
        <w:fldChar w:fldCharType="separate"/>
      </w:r>
      <w:r w:rsidR="001F4741">
        <w:rPr>
          <w:b/>
          <w:bCs/>
          <w:i w:val="0"/>
          <w:iCs w:val="0"/>
          <w:noProof/>
          <w:color w:val="auto"/>
          <w:sz w:val="24"/>
          <w:szCs w:val="24"/>
        </w:rPr>
        <w:t>24</w:t>
      </w:r>
      <w:r w:rsidRPr="009E31E2">
        <w:rPr>
          <w:b/>
          <w:bCs/>
          <w:i w:val="0"/>
          <w:iCs w:val="0"/>
          <w:color w:val="auto"/>
          <w:sz w:val="24"/>
          <w:szCs w:val="24"/>
        </w:rPr>
        <w:fldChar w:fldCharType="end"/>
      </w:r>
      <w:r w:rsidRPr="009E31E2">
        <w:rPr>
          <w:b/>
          <w:bCs/>
          <w:i w:val="0"/>
          <w:iCs w:val="0"/>
          <w:color w:val="auto"/>
          <w:sz w:val="24"/>
          <w:szCs w:val="24"/>
        </w:rPr>
        <w:t>:</w:t>
      </w:r>
      <w:r w:rsidRPr="002B5452">
        <w:rPr>
          <w:i w:val="0"/>
          <w:iCs w:val="0"/>
          <w:color w:val="auto"/>
          <w:sz w:val="24"/>
          <w:szCs w:val="24"/>
        </w:rPr>
        <w:t xml:space="preserve"> Self-condensation rates of CPO and ACE as a function of titrated site density</w:t>
      </w:r>
      <w:r w:rsidR="00F80203">
        <w:rPr>
          <w:i w:val="0"/>
          <w:iCs w:val="0"/>
          <w:color w:val="auto"/>
          <w:sz w:val="24"/>
          <w:szCs w:val="24"/>
        </w:rPr>
        <w:t xml:space="preserve"> </w:t>
      </w:r>
      <w:r w:rsidRPr="002B5452">
        <w:rPr>
          <w:i w:val="0"/>
          <w:iCs w:val="0"/>
          <w:color w:val="auto"/>
          <w:sz w:val="24"/>
          <w:szCs w:val="24"/>
        </w:rPr>
        <w:t>in series of Na-exchange ZSM5 zeolite with Si/Al of 40.</w:t>
      </w:r>
      <w:bookmarkEnd w:id="52"/>
      <w:r w:rsidR="008C6C4F">
        <w:rPr>
          <w:i w:val="0"/>
          <w:iCs w:val="0"/>
          <w:color w:val="auto"/>
          <w:sz w:val="24"/>
          <w:szCs w:val="24"/>
        </w:rPr>
        <w:t xml:space="preserve"> The lines represent the modeled profiles for each self-condensation result</w:t>
      </w:r>
      <w:r w:rsidR="004C455B">
        <w:rPr>
          <w:i w:val="0"/>
          <w:iCs w:val="0"/>
          <w:color w:val="auto"/>
          <w:sz w:val="24"/>
          <w:szCs w:val="24"/>
        </w:rPr>
        <w:t>.</w:t>
      </w:r>
    </w:p>
    <w:p w14:paraId="60C03105" w14:textId="77777777" w:rsidR="00463612" w:rsidRDefault="00463612" w:rsidP="00C008FE">
      <w:pPr>
        <w:pStyle w:val="ListParagraph"/>
        <w:spacing w:line="480" w:lineRule="auto"/>
        <w:jc w:val="both"/>
        <w:rPr>
          <w:i/>
          <w:iCs/>
          <w:u w:val="single"/>
        </w:rPr>
      </w:pPr>
    </w:p>
    <w:p w14:paraId="33AA88E6" w14:textId="3FF62397" w:rsidR="00A35A08" w:rsidRPr="000B22D1" w:rsidRDefault="00A35A08" w:rsidP="00C008FE">
      <w:pPr>
        <w:pStyle w:val="ListParagraph"/>
        <w:spacing w:line="480" w:lineRule="auto"/>
        <w:jc w:val="both"/>
      </w:pPr>
      <w:r w:rsidRPr="006C4260">
        <w:rPr>
          <w:i/>
          <w:iCs/>
          <w:u w:val="single"/>
        </w:rPr>
        <w:t>HY (Si/Al 30) zeolite</w:t>
      </w:r>
      <w:r w:rsidRPr="006C4260">
        <w:rPr>
          <w:i/>
          <w:iCs/>
        </w:rPr>
        <w:t xml:space="preserve">:  </w:t>
      </w:r>
      <w:r w:rsidRPr="006C4260">
        <w:t xml:space="preserve">A similar set of experiments was conducted on six HY samples </w:t>
      </w:r>
      <w:r w:rsidRPr="009E31E2">
        <w:t xml:space="preserve">titrated with varying Na </w:t>
      </w:r>
      <w:r w:rsidRPr="00C80AAF">
        <w:t xml:space="preserve">loadings. </w:t>
      </w:r>
      <w:r w:rsidRPr="00C80AAF">
        <w:rPr>
          <w:b/>
          <w:bCs/>
        </w:rPr>
        <w:t xml:space="preserve">Figure </w:t>
      </w:r>
      <w:r w:rsidR="007D27D3" w:rsidRPr="00C80AAF">
        <w:rPr>
          <w:b/>
          <w:bCs/>
        </w:rPr>
        <w:t>25</w:t>
      </w:r>
      <w:r w:rsidRPr="00C80AAF">
        <w:t xml:space="preserve"> shows</w:t>
      </w:r>
      <w:r w:rsidRPr="006C4260">
        <w:t xml:space="preserve"> the variation of self-condensation rate on the NaHY catalyst series as a function of density of sites titrated with Na, starting with the unmodified HY. Interestingly, in this case</w:t>
      </w:r>
      <w:r w:rsidRPr="000B22D1">
        <w:t xml:space="preserve">, contrary to the trend observed with the ZSM-5 zeolites, the observed rate for CPO is lower than that for ACE.  The rate drop for CPO self-condensation is linear with increasing density of titrated sites, indicating the absence of MTL. While it is expected that the diffusivity of CPO is lower than that of ACE, it is possible that, contrary to the case of the ZSM5 zeolite, the intrinsic rate of CPO self-condensation is much lower than that of ACE. </w:t>
      </w:r>
    </w:p>
    <w:p w14:paraId="3052BF04" w14:textId="77777777" w:rsidR="00A35A08" w:rsidRDefault="00A35A08" w:rsidP="00463612">
      <w:pPr>
        <w:pStyle w:val="ListParagraph"/>
        <w:keepNext/>
        <w:jc w:val="center"/>
      </w:pPr>
      <w:r w:rsidRPr="00DA1436">
        <w:rPr>
          <w:noProof/>
        </w:rPr>
        <w:lastRenderedPageBreak/>
        <w:drawing>
          <wp:inline distT="0" distB="0" distL="0" distR="0" wp14:anchorId="3F02E81D" wp14:editId="6D8F7880">
            <wp:extent cx="3747548" cy="2286000"/>
            <wp:effectExtent l="0" t="0" r="5715" b="0"/>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47548" cy="2286000"/>
                    </a:xfrm>
                    <a:prstGeom prst="rect">
                      <a:avLst/>
                    </a:prstGeom>
                    <a:noFill/>
                  </pic:spPr>
                </pic:pic>
              </a:graphicData>
            </a:graphic>
          </wp:inline>
        </w:drawing>
      </w:r>
    </w:p>
    <w:p w14:paraId="7176BFA9" w14:textId="21948EB3" w:rsidR="00A35A08" w:rsidRPr="009E31E2" w:rsidRDefault="00A35A08" w:rsidP="00463612">
      <w:pPr>
        <w:pStyle w:val="Caption"/>
        <w:ind w:left="720"/>
        <w:jc w:val="both"/>
        <w:rPr>
          <w:i w:val="0"/>
          <w:iCs w:val="0"/>
          <w:color w:val="auto"/>
          <w:sz w:val="24"/>
          <w:szCs w:val="24"/>
        </w:rPr>
      </w:pPr>
      <w:bookmarkStart w:id="53" w:name="_Toc131948689"/>
      <w:r w:rsidRPr="009E31E2">
        <w:rPr>
          <w:b/>
          <w:bCs/>
          <w:i w:val="0"/>
          <w:iCs w:val="0"/>
          <w:color w:val="auto"/>
          <w:sz w:val="24"/>
          <w:szCs w:val="24"/>
        </w:rPr>
        <w:t xml:space="preserve">Figure </w:t>
      </w:r>
      <w:r w:rsidRPr="009E31E2">
        <w:rPr>
          <w:b/>
          <w:bCs/>
          <w:i w:val="0"/>
          <w:iCs w:val="0"/>
          <w:color w:val="auto"/>
          <w:sz w:val="24"/>
          <w:szCs w:val="24"/>
        </w:rPr>
        <w:fldChar w:fldCharType="begin"/>
      </w:r>
      <w:r w:rsidRPr="009E31E2">
        <w:rPr>
          <w:b/>
          <w:bCs/>
          <w:i w:val="0"/>
          <w:iCs w:val="0"/>
          <w:color w:val="auto"/>
          <w:sz w:val="24"/>
          <w:szCs w:val="24"/>
        </w:rPr>
        <w:instrText xml:space="preserve"> SEQ Figure \* ARABIC </w:instrText>
      </w:r>
      <w:r w:rsidRPr="009E31E2">
        <w:rPr>
          <w:b/>
          <w:bCs/>
          <w:i w:val="0"/>
          <w:iCs w:val="0"/>
          <w:color w:val="auto"/>
          <w:sz w:val="24"/>
          <w:szCs w:val="24"/>
        </w:rPr>
        <w:fldChar w:fldCharType="separate"/>
      </w:r>
      <w:r w:rsidR="001F4741">
        <w:rPr>
          <w:b/>
          <w:bCs/>
          <w:i w:val="0"/>
          <w:iCs w:val="0"/>
          <w:noProof/>
          <w:color w:val="auto"/>
          <w:sz w:val="24"/>
          <w:szCs w:val="24"/>
        </w:rPr>
        <w:t>25</w:t>
      </w:r>
      <w:r w:rsidRPr="009E31E2">
        <w:rPr>
          <w:b/>
          <w:bCs/>
          <w:i w:val="0"/>
          <w:iCs w:val="0"/>
          <w:color w:val="auto"/>
          <w:sz w:val="24"/>
          <w:szCs w:val="24"/>
        </w:rPr>
        <w:fldChar w:fldCharType="end"/>
      </w:r>
      <w:r w:rsidRPr="009E31E2">
        <w:rPr>
          <w:b/>
          <w:bCs/>
          <w:i w:val="0"/>
          <w:iCs w:val="0"/>
          <w:color w:val="auto"/>
          <w:sz w:val="24"/>
          <w:szCs w:val="24"/>
        </w:rPr>
        <w:t>:</w:t>
      </w:r>
      <w:r w:rsidRPr="009E31E2">
        <w:rPr>
          <w:i w:val="0"/>
          <w:iCs w:val="0"/>
          <w:color w:val="auto"/>
          <w:sz w:val="24"/>
          <w:szCs w:val="24"/>
        </w:rPr>
        <w:t xml:space="preserve"> Self-condensation rates of CPO and ACE as a function of titrated site density</w:t>
      </w:r>
      <w:r w:rsidR="00F80203">
        <w:rPr>
          <w:i w:val="0"/>
          <w:iCs w:val="0"/>
          <w:color w:val="auto"/>
          <w:sz w:val="24"/>
          <w:szCs w:val="24"/>
        </w:rPr>
        <w:t xml:space="preserve"> </w:t>
      </w:r>
      <w:r w:rsidRPr="009E31E2">
        <w:rPr>
          <w:i w:val="0"/>
          <w:iCs w:val="0"/>
          <w:color w:val="auto"/>
          <w:sz w:val="24"/>
          <w:szCs w:val="24"/>
        </w:rPr>
        <w:t>in a series of Na-exchange FAU zeolite.</w:t>
      </w:r>
      <w:bookmarkEnd w:id="53"/>
      <w:r w:rsidR="004C455B" w:rsidRPr="004C455B">
        <w:rPr>
          <w:i w:val="0"/>
          <w:iCs w:val="0"/>
          <w:color w:val="auto"/>
          <w:sz w:val="24"/>
          <w:szCs w:val="24"/>
        </w:rPr>
        <w:t xml:space="preserve"> </w:t>
      </w:r>
      <w:r w:rsidR="004C455B">
        <w:rPr>
          <w:i w:val="0"/>
          <w:iCs w:val="0"/>
          <w:color w:val="auto"/>
          <w:sz w:val="24"/>
          <w:szCs w:val="24"/>
        </w:rPr>
        <w:t>The lines represent the modeled profiles for each self-condensation result.</w:t>
      </w:r>
    </w:p>
    <w:p w14:paraId="2FAE4287" w14:textId="77777777" w:rsidR="00463612" w:rsidRPr="00174B6E" w:rsidRDefault="00463612" w:rsidP="00174B6E">
      <w:pPr>
        <w:pStyle w:val="ListParagraph"/>
        <w:spacing w:line="480" w:lineRule="auto"/>
        <w:jc w:val="both"/>
      </w:pPr>
    </w:p>
    <w:p w14:paraId="24B465E8" w14:textId="338E17B9" w:rsidR="00A35A08" w:rsidRPr="00F11C1B" w:rsidRDefault="00174B6E" w:rsidP="00174B6E">
      <w:pPr>
        <w:pStyle w:val="Heading4"/>
        <w:spacing w:line="480" w:lineRule="auto"/>
        <w:rPr>
          <w:rFonts w:ascii="Times New Roman" w:hAnsi="Times New Roman" w:cs="Times New Roman"/>
          <w:color w:val="auto"/>
        </w:rPr>
      </w:pPr>
      <w:r w:rsidRPr="00F11C1B">
        <w:rPr>
          <w:rFonts w:ascii="Times New Roman" w:hAnsi="Times New Roman" w:cs="Times New Roman"/>
          <w:color w:val="auto"/>
        </w:rPr>
        <w:tab/>
      </w:r>
      <w:r w:rsidR="00A35A08" w:rsidRPr="00F11C1B">
        <w:rPr>
          <w:rFonts w:ascii="Times New Roman" w:hAnsi="Times New Roman" w:cs="Times New Roman"/>
          <w:color w:val="auto"/>
        </w:rPr>
        <w:t>2.4.2.2 Quantifications of MTL</w:t>
      </w:r>
    </w:p>
    <w:p w14:paraId="37B63D5D" w14:textId="4B506DAD" w:rsidR="00A35A08" w:rsidRPr="00DA1436" w:rsidRDefault="00A35A08" w:rsidP="00174B6E">
      <w:pPr>
        <w:spacing w:line="480" w:lineRule="auto"/>
        <w:ind w:firstLine="360"/>
        <w:jc w:val="both"/>
        <w:rPr>
          <w:rFonts w:eastAsiaTheme="minorEastAsia"/>
          <w:color w:val="000000" w:themeColor="text1"/>
        </w:rPr>
      </w:pPr>
      <w:r w:rsidRPr="00174B6E">
        <w:rPr>
          <w:rFonts w:eastAsiaTheme="minorEastAsia"/>
        </w:rPr>
        <w:tab/>
        <w:t xml:space="preserve">With the </w:t>
      </w:r>
      <w:r w:rsidRPr="00DA1436">
        <w:rPr>
          <w:rFonts w:eastAsiaTheme="minorEastAsia"/>
          <w:color w:val="000000" w:themeColor="text1"/>
        </w:rPr>
        <w:t xml:space="preserve">experimental data, the rate profiles were simulated based on the reaction rate drop and their percentage of active sites. </w:t>
      </w:r>
      <w:r w:rsidR="00A0050E">
        <w:rPr>
          <w:rFonts w:eastAsiaTheme="minorEastAsia"/>
          <w:color w:val="000000" w:themeColor="text1"/>
        </w:rPr>
        <w:t xml:space="preserve">All the liquid-phase catalytic reactions </w:t>
      </w:r>
      <w:r w:rsidR="008733CD">
        <w:rPr>
          <w:rFonts w:eastAsiaTheme="minorEastAsia"/>
          <w:color w:val="000000" w:themeColor="text1"/>
        </w:rPr>
        <w:t xml:space="preserve">were performed in duplicates to </w:t>
      </w:r>
      <w:r w:rsidR="00047D08">
        <w:rPr>
          <w:rFonts w:eastAsiaTheme="minorEastAsia"/>
          <w:color w:val="000000" w:themeColor="text1"/>
        </w:rPr>
        <w:t xml:space="preserve">evaluate the results variance and an standard average error </w:t>
      </w:r>
      <w:r w:rsidR="0076651B">
        <w:rPr>
          <w:rFonts w:eastAsiaTheme="minorEastAsia"/>
          <w:color w:val="000000" w:themeColor="text1"/>
        </w:rPr>
        <w:t>for</w:t>
      </w:r>
      <w:r w:rsidR="00047D08">
        <w:rPr>
          <w:rFonts w:eastAsiaTheme="minorEastAsia"/>
          <w:color w:val="000000" w:themeColor="text1"/>
        </w:rPr>
        <w:t xml:space="preserve"> </w:t>
      </w:r>
      <w:r w:rsidR="00723FF6">
        <w:rPr>
          <w:rFonts w:eastAsiaTheme="minorEastAsia"/>
          <w:color w:val="000000" w:themeColor="text1"/>
        </w:rPr>
        <w:t xml:space="preserve">those reported </w:t>
      </w:r>
      <w:r w:rsidR="0076651B">
        <w:rPr>
          <w:rFonts w:eastAsiaTheme="minorEastAsia"/>
          <w:color w:val="000000" w:themeColor="text1"/>
        </w:rPr>
        <w:t xml:space="preserve">rates of </w:t>
      </w:r>
      <w:r w:rsidR="00723FF6">
        <w:rPr>
          <w:rFonts w:eastAsiaTheme="minorEastAsia"/>
          <w:color w:val="000000" w:themeColor="text1"/>
        </w:rPr>
        <w:t xml:space="preserve">2.3% </w:t>
      </w:r>
      <w:r w:rsidR="0076651B">
        <w:rPr>
          <w:rFonts w:eastAsiaTheme="minorEastAsia"/>
          <w:color w:val="000000" w:themeColor="text1"/>
        </w:rPr>
        <w:t xml:space="preserve">was found for ACE and 2.7% for CPO, thus it </w:t>
      </w:r>
      <w:r w:rsidR="00193660">
        <w:rPr>
          <w:rFonts w:eastAsiaTheme="minorEastAsia"/>
          <w:color w:val="000000" w:themeColor="text1"/>
        </w:rPr>
        <w:t xml:space="preserve">is </w:t>
      </w:r>
      <w:r w:rsidR="0076651B">
        <w:rPr>
          <w:rFonts w:eastAsiaTheme="minorEastAsia"/>
          <w:color w:val="000000" w:themeColor="text1"/>
        </w:rPr>
        <w:t xml:space="preserve">assumed </w:t>
      </w:r>
      <w:r w:rsidR="007A1329">
        <w:rPr>
          <w:rFonts w:eastAsiaTheme="minorEastAsia"/>
          <w:color w:val="000000" w:themeColor="text1"/>
        </w:rPr>
        <w:t xml:space="preserve">that the values used for modelling </w:t>
      </w:r>
      <w:r w:rsidR="00D37FC8">
        <w:rPr>
          <w:rFonts w:eastAsiaTheme="minorEastAsia"/>
          <w:color w:val="000000" w:themeColor="text1"/>
        </w:rPr>
        <w:t xml:space="preserve">would not interfere </w:t>
      </w:r>
      <w:r w:rsidR="00843565">
        <w:rPr>
          <w:rFonts w:eastAsiaTheme="minorEastAsia"/>
          <w:color w:val="000000" w:themeColor="text1"/>
        </w:rPr>
        <w:t>on the results interpretation</w:t>
      </w:r>
      <w:r w:rsidR="00A0050E">
        <w:rPr>
          <w:rFonts w:eastAsiaTheme="minorEastAsia"/>
          <w:color w:val="000000" w:themeColor="text1"/>
        </w:rPr>
        <w:t xml:space="preserve">. </w:t>
      </w:r>
      <w:r w:rsidRPr="00DA1436">
        <w:rPr>
          <w:rFonts w:eastAsiaTheme="minorEastAsia"/>
          <w:color w:val="000000" w:themeColor="text1"/>
        </w:rPr>
        <w:t xml:space="preserve">The resulting profile is unique and has a particular Thiele modulus. According to the expressions described above the effectiveness factor and the theoretical maximum rate is found. The fitting optimization adjust both </w:t>
      </w:r>
      <m:oMath>
        <m:sSub>
          <m:sSubPr>
            <m:ctrlPr>
              <w:rPr>
                <w:rFonts w:ascii="Cambria Math" w:hAnsi="Cambria Math"/>
                <w:color w:val="000000" w:themeColor="text1"/>
              </w:rPr>
            </m:ctrlPr>
          </m:sSubPr>
          <m:e>
            <m:r>
              <w:rPr>
                <w:rFonts w:ascii="Cambria Math" w:hAnsi="Cambria Math"/>
                <w:color w:val="000000" w:themeColor="text1"/>
              </w:rPr>
              <m:t>ϕ</m:t>
            </m:r>
          </m:e>
          <m:sub>
            <m:r>
              <w:rPr>
                <w:rFonts w:ascii="Cambria Math" w:hAnsi="Cambria Math"/>
                <w:color w:val="000000" w:themeColor="text1"/>
              </w:rPr>
              <m:t>0</m:t>
            </m:r>
          </m:sub>
        </m:sSub>
      </m:oMath>
      <w:r w:rsidRPr="00DA1436">
        <w:rPr>
          <w:rFonts w:eastAsiaTheme="minorEastAsia"/>
        </w:rPr>
        <w:t xml:space="preserve"> and </w:t>
      </w:r>
      <m:oMath>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0</m:t>
            </m:r>
          </m:sub>
        </m:sSub>
      </m:oMath>
      <w:r w:rsidRPr="00DA1436">
        <w:rPr>
          <w:rFonts w:eastAsiaTheme="minorEastAsia"/>
          <w:color w:val="000000" w:themeColor="text1"/>
        </w:rPr>
        <w:t xml:space="preserve"> according to the rate decrease</w:t>
      </w:r>
      <w:r w:rsidR="00C45582">
        <w:rPr>
          <w:rFonts w:eastAsiaTheme="minorEastAsia"/>
          <w:color w:val="000000" w:themeColor="text1"/>
        </w:rPr>
        <w:t xml:space="preserve"> and minimizing the difference between the</w:t>
      </w:r>
      <w:r w:rsidR="00FF68C0">
        <w:rPr>
          <w:rFonts w:eastAsiaTheme="minorEastAsia"/>
          <w:color w:val="000000" w:themeColor="text1"/>
        </w:rPr>
        <w:t xml:space="preserve"> experimental and calculated rates</w:t>
      </w:r>
      <w:r w:rsidRPr="00DA1436">
        <w:rPr>
          <w:rFonts w:eastAsiaTheme="minorEastAsia"/>
          <w:color w:val="000000" w:themeColor="text1"/>
        </w:rPr>
        <w:t xml:space="preserve">. A higher degree of deviation from linear behavior results in a higher the Thiele modulus. The adjustable site density can be used as a reflection of how well the simulation agrees with the experimental data. If the final value for </w:t>
      </w:r>
      <w:r w:rsidRPr="00DA1436">
        <w:rPr>
          <w:rFonts w:eastAsiaTheme="minorEastAsia"/>
          <w:i/>
          <w:iCs/>
          <w:color w:val="000000" w:themeColor="text1"/>
        </w:rPr>
        <w:t>L</w:t>
      </w:r>
      <w:r w:rsidRPr="00DA1436">
        <w:rPr>
          <w:rFonts w:eastAsiaTheme="minorEastAsia"/>
          <w:i/>
          <w:iCs/>
          <w:color w:val="000000" w:themeColor="text1"/>
          <w:vertAlign w:val="subscript"/>
        </w:rPr>
        <w:t>o</w:t>
      </w:r>
      <w:r w:rsidRPr="00DA1436">
        <w:rPr>
          <w:rFonts w:eastAsiaTheme="minorEastAsia"/>
          <w:color w:val="000000" w:themeColor="text1"/>
        </w:rPr>
        <w:t xml:space="preserve"> deviates from what was found through IPA-TPD for the parent zeolite, then less representative those values are to that studied case.</w:t>
      </w:r>
    </w:p>
    <w:p w14:paraId="655CE895" w14:textId="09460BE9" w:rsidR="00A35A08" w:rsidRPr="00DA1436" w:rsidRDefault="00A35A08" w:rsidP="00C008FE">
      <w:pPr>
        <w:spacing w:line="480" w:lineRule="auto"/>
        <w:ind w:firstLine="360"/>
        <w:jc w:val="both"/>
        <w:rPr>
          <w:rFonts w:eastAsiaTheme="minorEastAsia"/>
          <w:color w:val="000000" w:themeColor="text1"/>
        </w:rPr>
      </w:pPr>
      <w:r w:rsidRPr="00DA1436">
        <w:rPr>
          <w:rFonts w:eastAsiaTheme="minorEastAsia"/>
          <w:color w:val="000000" w:themeColor="text1"/>
        </w:rPr>
        <w:lastRenderedPageBreak/>
        <w:tab/>
      </w:r>
      <w:r w:rsidRPr="00DA1436">
        <w:rPr>
          <w:rFonts w:eastAsiaTheme="minorEastAsia"/>
        </w:rPr>
        <w:t>The values of maximum density of sites (</w:t>
      </w:r>
      <m:oMath>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0</m:t>
            </m:r>
          </m:sub>
        </m:sSub>
      </m:oMath>
      <w:r w:rsidRPr="00DA1436">
        <w:rPr>
          <w:rFonts w:eastAsiaTheme="minorEastAsia"/>
          <w:color w:val="000000" w:themeColor="text1"/>
        </w:rPr>
        <w:t xml:space="preserve"> ) </w:t>
      </w:r>
      <w:r w:rsidRPr="00DA1436">
        <w:rPr>
          <w:rFonts w:eastAsiaTheme="minorEastAsia"/>
        </w:rPr>
        <w:t xml:space="preserve">obtained from the fittings (0.12 </w:t>
      </w:r>
      <w:r>
        <w:rPr>
          <w:rFonts w:eastAsiaTheme="minorEastAsia"/>
        </w:rPr>
        <w:t xml:space="preserve">and 0.47-0.50 </w:t>
      </w:r>
      <w:r w:rsidRPr="00DA1436">
        <w:rPr>
          <w:rFonts w:eastAsiaTheme="minorEastAsia"/>
        </w:rPr>
        <w:t>mmol/g</w:t>
      </w:r>
      <w:r w:rsidRPr="00DA1436">
        <w:rPr>
          <w:rFonts w:eastAsiaTheme="minorEastAsia"/>
          <w:vertAlign w:val="subscript"/>
        </w:rPr>
        <w:t>cat</w:t>
      </w:r>
      <w:r w:rsidRPr="00DA1436">
        <w:rPr>
          <w:rFonts w:eastAsiaTheme="minorEastAsia"/>
        </w:rPr>
        <w:t>) are in good agreement with those obtained experimentally by IPA-TPD (0.10</w:t>
      </w:r>
      <w:r>
        <w:rPr>
          <w:rFonts w:eastAsiaTheme="minorEastAsia"/>
        </w:rPr>
        <w:t xml:space="preserve"> and 0.40</w:t>
      </w:r>
      <w:r w:rsidRPr="00DA1436">
        <w:rPr>
          <w:rFonts w:eastAsiaTheme="minorEastAsia"/>
        </w:rPr>
        <w:t xml:space="preserve"> mmol/g</w:t>
      </w:r>
      <w:r w:rsidRPr="00DA1436">
        <w:rPr>
          <w:rFonts w:eastAsiaTheme="minorEastAsia"/>
          <w:vertAlign w:val="subscript"/>
        </w:rPr>
        <w:t>cat</w:t>
      </w:r>
      <w:r w:rsidRPr="00DA1436">
        <w:rPr>
          <w:rFonts w:eastAsiaTheme="minorEastAsia"/>
        </w:rPr>
        <w:t xml:space="preserve">). These sets of values are reasonably similar, and the fitting quality is good. In the case of fixing </w:t>
      </w:r>
      <w:r w:rsidRPr="00DA1436">
        <w:rPr>
          <w:rFonts w:eastAsiaTheme="minorEastAsia"/>
          <w:i/>
          <w:iCs/>
        </w:rPr>
        <w:t>L</w:t>
      </w:r>
      <w:r w:rsidRPr="00DA1436">
        <w:rPr>
          <w:rFonts w:eastAsiaTheme="minorEastAsia"/>
          <w:i/>
          <w:iCs/>
          <w:vertAlign w:val="subscript"/>
        </w:rPr>
        <w:t>o</w:t>
      </w:r>
      <w:r w:rsidRPr="00DA1436">
        <w:rPr>
          <w:rFonts w:eastAsiaTheme="minorEastAsia"/>
        </w:rPr>
        <w:t xml:space="preserve">, a poor quality fitting is obtained as well as its respective values, being </w:t>
      </w:r>
      <w:r w:rsidR="00855FBA">
        <w:rPr>
          <w:rFonts w:eastAsiaTheme="minorEastAsia"/>
        </w:rPr>
        <w:t>disregarded</w:t>
      </w:r>
      <w:r w:rsidRPr="00DA1436">
        <w:rPr>
          <w:rFonts w:eastAsiaTheme="minorEastAsia"/>
        </w:rPr>
        <w:t xml:space="preserve"> </w:t>
      </w:r>
      <w:r w:rsidRPr="009D55AB">
        <w:rPr>
          <w:rFonts w:eastAsiaTheme="minorEastAsia"/>
        </w:rPr>
        <w:t xml:space="preserve">in the present work. The calculated maximum rates are </w:t>
      </w:r>
      <w:r w:rsidRPr="00C80AAF">
        <w:rPr>
          <w:rFonts w:eastAsiaTheme="minorEastAsia"/>
        </w:rPr>
        <w:t xml:space="preserve">summarized in </w:t>
      </w:r>
      <w:r w:rsidRPr="00C80AAF">
        <w:rPr>
          <w:rFonts w:eastAsiaTheme="minorEastAsia"/>
          <w:b/>
          <w:bCs/>
        </w:rPr>
        <w:t>Table 2</w:t>
      </w:r>
      <w:r w:rsidRPr="00C80AAF">
        <w:rPr>
          <w:rFonts w:eastAsiaTheme="minorEastAsia"/>
        </w:rPr>
        <w:t xml:space="preserve"> as</w:t>
      </w:r>
      <w:r w:rsidRPr="00DA1436">
        <w:rPr>
          <w:rFonts w:eastAsiaTheme="minorEastAsia"/>
        </w:rPr>
        <w:t xml:space="preserve"> well as Thiele moduli and its respective effectiveness factors. </w:t>
      </w:r>
    </w:p>
    <w:p w14:paraId="38538721" w14:textId="4DB5A613" w:rsidR="00A35A08" w:rsidRPr="003F5469" w:rsidRDefault="00A35A08" w:rsidP="00A35A08">
      <w:pPr>
        <w:pStyle w:val="Caption"/>
        <w:keepNext/>
        <w:rPr>
          <w:i w:val="0"/>
          <w:iCs w:val="0"/>
          <w:color w:val="auto"/>
          <w:sz w:val="24"/>
          <w:szCs w:val="24"/>
        </w:rPr>
      </w:pPr>
      <w:bookmarkStart w:id="54" w:name="_Toc131948653"/>
      <w:r w:rsidRPr="003F5469">
        <w:rPr>
          <w:b/>
          <w:bCs/>
          <w:i w:val="0"/>
          <w:iCs w:val="0"/>
          <w:color w:val="auto"/>
          <w:sz w:val="24"/>
          <w:szCs w:val="24"/>
        </w:rPr>
        <w:t xml:space="preserve">Table </w:t>
      </w:r>
      <w:r w:rsidRPr="003F5469">
        <w:rPr>
          <w:b/>
          <w:bCs/>
          <w:i w:val="0"/>
          <w:iCs w:val="0"/>
          <w:color w:val="auto"/>
          <w:sz w:val="24"/>
          <w:szCs w:val="24"/>
        </w:rPr>
        <w:fldChar w:fldCharType="begin"/>
      </w:r>
      <w:r w:rsidRPr="003F5469">
        <w:rPr>
          <w:b/>
          <w:bCs/>
          <w:i w:val="0"/>
          <w:iCs w:val="0"/>
          <w:color w:val="auto"/>
          <w:sz w:val="24"/>
          <w:szCs w:val="24"/>
        </w:rPr>
        <w:instrText xml:space="preserve"> SEQ Table \* ARABIC </w:instrText>
      </w:r>
      <w:r w:rsidRPr="003F5469">
        <w:rPr>
          <w:b/>
          <w:bCs/>
          <w:i w:val="0"/>
          <w:iCs w:val="0"/>
          <w:color w:val="auto"/>
          <w:sz w:val="24"/>
          <w:szCs w:val="24"/>
        </w:rPr>
        <w:fldChar w:fldCharType="separate"/>
      </w:r>
      <w:r w:rsidR="001F4741">
        <w:rPr>
          <w:b/>
          <w:bCs/>
          <w:i w:val="0"/>
          <w:iCs w:val="0"/>
          <w:noProof/>
          <w:color w:val="auto"/>
          <w:sz w:val="24"/>
          <w:szCs w:val="24"/>
        </w:rPr>
        <w:t>2</w:t>
      </w:r>
      <w:r w:rsidRPr="003F5469">
        <w:rPr>
          <w:b/>
          <w:bCs/>
          <w:i w:val="0"/>
          <w:iCs w:val="0"/>
          <w:color w:val="auto"/>
          <w:sz w:val="24"/>
          <w:szCs w:val="24"/>
        </w:rPr>
        <w:fldChar w:fldCharType="end"/>
      </w:r>
      <w:r w:rsidRPr="003F5469">
        <w:rPr>
          <w:b/>
          <w:bCs/>
          <w:i w:val="0"/>
          <w:iCs w:val="0"/>
          <w:color w:val="auto"/>
          <w:sz w:val="24"/>
          <w:szCs w:val="24"/>
        </w:rPr>
        <w:t>:</w:t>
      </w:r>
      <w:r w:rsidRPr="003F5469">
        <w:rPr>
          <w:i w:val="0"/>
          <w:iCs w:val="0"/>
          <w:color w:val="auto"/>
          <w:sz w:val="24"/>
          <w:szCs w:val="24"/>
        </w:rPr>
        <w:t xml:space="preserve"> Reaction-diffusion parameters obtained from fitting the titration model.</w:t>
      </w:r>
      <w:bookmarkEnd w:id="54"/>
    </w:p>
    <w:tbl>
      <w:tblPr>
        <w:tblW w:w="8573" w:type="dxa"/>
        <w:tblLayout w:type="fixed"/>
        <w:tblLook w:val="04A0" w:firstRow="1" w:lastRow="0" w:firstColumn="1" w:lastColumn="0" w:noHBand="0" w:noVBand="1"/>
      </w:tblPr>
      <w:tblGrid>
        <w:gridCol w:w="1399"/>
        <w:gridCol w:w="1361"/>
        <w:gridCol w:w="1556"/>
        <w:gridCol w:w="1546"/>
        <w:gridCol w:w="1399"/>
        <w:gridCol w:w="1312"/>
      </w:tblGrid>
      <w:tr w:rsidR="00A35A08" w:rsidRPr="00DA1436" w14:paraId="3AF3939F" w14:textId="77777777" w:rsidTr="00DE5E34">
        <w:trPr>
          <w:trHeight w:val="939"/>
        </w:trPr>
        <w:tc>
          <w:tcPr>
            <w:tcW w:w="1399" w:type="dxa"/>
            <w:tcBorders>
              <w:top w:val="single" w:sz="4" w:space="0" w:color="auto"/>
              <w:left w:val="nil"/>
              <w:bottom w:val="single" w:sz="4" w:space="0" w:color="auto"/>
              <w:right w:val="nil"/>
            </w:tcBorders>
            <w:shd w:val="clear" w:color="auto" w:fill="auto"/>
            <w:noWrap/>
            <w:vAlign w:val="center"/>
            <w:hideMark/>
          </w:tcPr>
          <w:p w14:paraId="7773BF26" w14:textId="77777777" w:rsidR="00A35A08" w:rsidRPr="00DA1436" w:rsidRDefault="00A35A08" w:rsidP="00974715">
            <w:pPr>
              <w:jc w:val="center"/>
              <w:rPr>
                <w:color w:val="000000"/>
              </w:rPr>
            </w:pPr>
          </w:p>
        </w:tc>
        <w:tc>
          <w:tcPr>
            <w:tcW w:w="1361" w:type="dxa"/>
            <w:tcBorders>
              <w:top w:val="single" w:sz="4" w:space="0" w:color="auto"/>
              <w:left w:val="nil"/>
              <w:bottom w:val="single" w:sz="4" w:space="0" w:color="auto"/>
              <w:right w:val="nil"/>
            </w:tcBorders>
            <w:shd w:val="clear" w:color="auto" w:fill="auto"/>
            <w:vAlign w:val="center"/>
            <w:hideMark/>
          </w:tcPr>
          <w:p w14:paraId="2E78FD8E" w14:textId="77777777" w:rsidR="00A35A08" w:rsidRPr="00DA1436" w:rsidRDefault="00A35A08" w:rsidP="00974715">
            <w:pPr>
              <w:jc w:val="center"/>
              <w:rPr>
                <w:color w:val="000000"/>
              </w:rPr>
            </w:pPr>
            <w:r w:rsidRPr="00DA1436">
              <w:rPr>
                <w:color w:val="000000"/>
              </w:rPr>
              <w:t>Maximum</w:t>
            </w:r>
          </w:p>
          <w:p w14:paraId="72A40806" w14:textId="77777777" w:rsidR="00A35A08" w:rsidRPr="00DA1436" w:rsidRDefault="00A35A08" w:rsidP="00974715">
            <w:pPr>
              <w:jc w:val="center"/>
              <w:rPr>
                <w:color w:val="000000"/>
              </w:rPr>
            </w:pPr>
            <w:r w:rsidRPr="00DA1436">
              <w:rPr>
                <w:color w:val="000000"/>
              </w:rPr>
              <w:t>Site Density (</w:t>
            </w:r>
            <w:r w:rsidRPr="00DE5E34">
              <w:rPr>
                <w:color w:val="000000"/>
                <w:sz w:val="22"/>
                <w:szCs w:val="22"/>
              </w:rPr>
              <w:t>mmol/g</w:t>
            </w:r>
            <w:r w:rsidRPr="00DE5E34">
              <w:rPr>
                <w:color w:val="000000"/>
                <w:sz w:val="22"/>
                <w:szCs w:val="22"/>
                <w:vertAlign w:val="subscript"/>
              </w:rPr>
              <w:t>cat</w:t>
            </w:r>
            <w:r w:rsidRPr="00DA1436">
              <w:rPr>
                <w:color w:val="000000"/>
              </w:rPr>
              <w:t>)</w:t>
            </w:r>
          </w:p>
        </w:tc>
        <w:tc>
          <w:tcPr>
            <w:tcW w:w="1556" w:type="dxa"/>
            <w:tcBorders>
              <w:top w:val="single" w:sz="4" w:space="0" w:color="auto"/>
              <w:left w:val="nil"/>
              <w:bottom w:val="single" w:sz="4" w:space="0" w:color="auto"/>
              <w:right w:val="nil"/>
            </w:tcBorders>
            <w:shd w:val="clear" w:color="auto" w:fill="auto"/>
            <w:noWrap/>
            <w:vAlign w:val="center"/>
            <w:hideMark/>
          </w:tcPr>
          <w:p w14:paraId="19D4CD69" w14:textId="77777777" w:rsidR="00A35A08" w:rsidRPr="00DA1436" w:rsidRDefault="00A35A08" w:rsidP="00974715">
            <w:pPr>
              <w:jc w:val="center"/>
              <w:rPr>
                <w:color w:val="000000"/>
              </w:rPr>
            </w:pPr>
            <w:r w:rsidRPr="00DA1436">
              <w:rPr>
                <w:color w:val="000000"/>
              </w:rPr>
              <w:t>Thiele Modulus</w:t>
            </w:r>
          </w:p>
          <w:p w14:paraId="13D8F91C" w14:textId="77777777" w:rsidR="00A35A08" w:rsidRPr="00DA1436" w:rsidRDefault="00A35A08" w:rsidP="00974715">
            <w:pPr>
              <w:jc w:val="center"/>
              <w:rPr>
                <w:color w:val="000000"/>
              </w:rPr>
            </w:pPr>
            <w:r w:rsidRPr="00DA1436">
              <w:rPr>
                <w:color w:val="000000"/>
              </w:rPr>
              <w:t>of original sample (</w:t>
            </w:r>
            <m:oMath>
              <m:sSub>
                <m:sSubPr>
                  <m:ctrlPr>
                    <w:rPr>
                      <w:rFonts w:ascii="Cambria Math" w:hAnsi="Cambria Math"/>
                      <w:color w:val="000000" w:themeColor="text1"/>
                      <w:sz w:val="22"/>
                      <w:szCs w:val="22"/>
                    </w:rPr>
                  </m:ctrlPr>
                </m:sSubPr>
                <m:e>
                  <m:r>
                    <m:rPr>
                      <m:sty m:val="p"/>
                    </m:rPr>
                    <w:rPr>
                      <w:rFonts w:ascii="Cambria Math" w:hAnsi="Cambria Math"/>
                      <w:color w:val="000000" w:themeColor="text1"/>
                      <w:sz w:val="22"/>
                      <w:szCs w:val="22"/>
                    </w:rPr>
                    <m:t>ϕ</m:t>
                  </m:r>
                </m:e>
                <m:sub>
                  <m:r>
                    <m:rPr>
                      <m:sty m:val="p"/>
                    </m:rPr>
                    <w:rPr>
                      <w:rFonts w:ascii="Cambria Math" w:hAnsi="Cambria Math"/>
                      <w:color w:val="000000" w:themeColor="text1"/>
                      <w:sz w:val="22"/>
                      <w:szCs w:val="22"/>
                    </w:rPr>
                    <m:t>0</m:t>
                  </m:r>
                </m:sub>
              </m:sSub>
              <m:r>
                <m:rPr>
                  <m:sty m:val="p"/>
                </m:rPr>
                <w:rPr>
                  <w:rFonts w:ascii="Cambria Math" w:hAnsi="Cambria Math"/>
                  <w:color w:val="000000" w:themeColor="text1"/>
                  <w:sz w:val="22"/>
                  <w:szCs w:val="22"/>
                </w:rPr>
                <m:t>)</m:t>
              </m:r>
            </m:oMath>
          </w:p>
        </w:tc>
        <w:tc>
          <w:tcPr>
            <w:tcW w:w="1546" w:type="dxa"/>
            <w:tcBorders>
              <w:top w:val="single" w:sz="4" w:space="0" w:color="auto"/>
              <w:left w:val="nil"/>
              <w:bottom w:val="single" w:sz="4" w:space="0" w:color="auto"/>
              <w:right w:val="nil"/>
            </w:tcBorders>
            <w:shd w:val="clear" w:color="auto" w:fill="auto"/>
            <w:vAlign w:val="center"/>
            <w:hideMark/>
          </w:tcPr>
          <w:p w14:paraId="05D950FC" w14:textId="77777777" w:rsidR="00A35A08" w:rsidRPr="00DA1436" w:rsidRDefault="00A35A08" w:rsidP="00974715">
            <w:pPr>
              <w:jc w:val="center"/>
              <w:rPr>
                <w:color w:val="000000"/>
              </w:rPr>
            </w:pPr>
            <w:r w:rsidRPr="00DA1436">
              <w:rPr>
                <w:color w:val="000000"/>
              </w:rPr>
              <w:t>Effectiveness Factor (</w:t>
            </w:r>
            <m:oMath>
              <m:r>
                <w:rPr>
                  <w:rFonts w:ascii="Cambria Math" w:eastAsiaTheme="minorEastAsia" w:hAnsi="Cambria Math"/>
                  <w:color w:val="000000" w:themeColor="text1"/>
                  <w:sz w:val="22"/>
                  <w:szCs w:val="22"/>
                </w:rPr>
                <m:t>η)</m:t>
              </m:r>
            </m:oMath>
          </w:p>
        </w:tc>
        <w:tc>
          <w:tcPr>
            <w:tcW w:w="1399" w:type="dxa"/>
            <w:tcBorders>
              <w:top w:val="single" w:sz="4" w:space="0" w:color="auto"/>
              <w:left w:val="nil"/>
              <w:bottom w:val="single" w:sz="4" w:space="0" w:color="auto"/>
              <w:right w:val="nil"/>
            </w:tcBorders>
            <w:vAlign w:val="center"/>
          </w:tcPr>
          <w:p w14:paraId="7D0494A8" w14:textId="77777777" w:rsidR="00A35A08" w:rsidRPr="00DA1436" w:rsidRDefault="00A35A08" w:rsidP="00974715">
            <w:pPr>
              <w:tabs>
                <w:tab w:val="left" w:pos="1138"/>
              </w:tabs>
              <w:jc w:val="center"/>
              <w:rPr>
                <w:color w:val="000000"/>
              </w:rPr>
            </w:pPr>
            <w:r w:rsidRPr="00DA1436">
              <w:rPr>
                <w:color w:val="000000"/>
              </w:rPr>
              <w:t>Maximum Rate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max</m:t>
                  </m:r>
                </m:sub>
              </m:sSub>
              <m:r>
                <w:rPr>
                  <w:rFonts w:ascii="Cambria Math" w:hAnsi="Cambria Math"/>
                  <w:color w:val="000000" w:themeColor="text1"/>
                </w:rPr>
                <m:t>)</m:t>
              </m:r>
            </m:oMath>
            <w:r w:rsidRPr="00DA1436">
              <w:rPr>
                <w:color w:val="000000"/>
              </w:rPr>
              <w:t xml:space="preserve"> (</w:t>
            </w:r>
            <m:oMath>
              <m:r>
                <w:rPr>
                  <w:rFonts w:ascii="Cambria Math" w:hAnsi="Cambria Math"/>
                  <w:color w:val="000000"/>
                  <w:sz w:val="22"/>
                  <w:szCs w:val="22"/>
                </w:rPr>
                <m:t>μ</m:t>
              </m:r>
            </m:oMath>
            <w:r w:rsidRPr="00DE5E34">
              <w:rPr>
                <w:color w:val="000000"/>
                <w:sz w:val="22"/>
                <w:szCs w:val="22"/>
              </w:rPr>
              <w:t>mol/g</w:t>
            </w:r>
            <w:r w:rsidRPr="00DE5E34">
              <w:rPr>
                <w:color w:val="000000"/>
                <w:sz w:val="22"/>
                <w:szCs w:val="22"/>
                <w:vertAlign w:val="subscript"/>
              </w:rPr>
              <w:t>cat</w:t>
            </w:r>
            <w:r w:rsidRPr="00DE5E34">
              <w:rPr>
                <w:color w:val="000000"/>
                <w:sz w:val="22"/>
                <w:szCs w:val="22"/>
              </w:rPr>
              <w:t xml:space="preserve"> sec</w:t>
            </w:r>
            <w:r w:rsidRPr="00DA1436">
              <w:rPr>
                <w:color w:val="000000"/>
              </w:rPr>
              <w:t>)</w:t>
            </w:r>
          </w:p>
        </w:tc>
        <w:tc>
          <w:tcPr>
            <w:tcW w:w="1312" w:type="dxa"/>
            <w:tcBorders>
              <w:top w:val="single" w:sz="4" w:space="0" w:color="auto"/>
              <w:left w:val="nil"/>
              <w:bottom w:val="single" w:sz="4" w:space="0" w:color="auto"/>
              <w:right w:val="nil"/>
            </w:tcBorders>
            <w:vAlign w:val="center"/>
          </w:tcPr>
          <w:p w14:paraId="33C7EB51" w14:textId="77777777" w:rsidR="00A35A08" w:rsidRPr="00DA1436" w:rsidRDefault="00A35A08" w:rsidP="00974715">
            <w:pPr>
              <w:tabs>
                <w:tab w:val="left" w:pos="1138"/>
              </w:tabs>
              <w:jc w:val="center"/>
            </w:pPr>
            <w:r w:rsidRPr="00DA1436">
              <w:t>TOF</w:t>
            </w:r>
            <w:r w:rsidRPr="00DA1436">
              <w:rPr>
                <w:vertAlign w:val="subscript"/>
              </w:rPr>
              <w:t>max</w:t>
            </w:r>
          </w:p>
          <w:p w14:paraId="179B46B0" w14:textId="77777777" w:rsidR="00A35A08" w:rsidRPr="00DA1436" w:rsidRDefault="00A35A08" w:rsidP="00974715">
            <w:pPr>
              <w:tabs>
                <w:tab w:val="left" w:pos="1138"/>
              </w:tabs>
              <w:jc w:val="center"/>
              <w:rPr>
                <w:color w:val="000000"/>
              </w:rPr>
            </w:pPr>
            <w:r w:rsidRPr="00DA1436">
              <w:t>(</w:t>
            </w:r>
            <w:r w:rsidRPr="00DE5E34">
              <w:rPr>
                <w:sz w:val="22"/>
                <w:szCs w:val="22"/>
              </w:rPr>
              <w:t>x10</w:t>
            </w:r>
            <w:r w:rsidRPr="00DE5E34">
              <w:rPr>
                <w:sz w:val="22"/>
                <w:szCs w:val="22"/>
                <w:vertAlign w:val="superscript"/>
              </w:rPr>
              <w:t>-3</w:t>
            </w:r>
            <w:r w:rsidRPr="00DE5E34">
              <w:rPr>
                <w:sz w:val="22"/>
                <w:szCs w:val="22"/>
              </w:rPr>
              <w:t xml:space="preserve"> sec</w:t>
            </w:r>
            <w:r w:rsidRPr="00DE5E34">
              <w:rPr>
                <w:sz w:val="22"/>
                <w:szCs w:val="22"/>
                <w:vertAlign w:val="superscript"/>
              </w:rPr>
              <w:t>-1</w:t>
            </w:r>
            <w:r w:rsidRPr="00DA1436">
              <w:t>)</w:t>
            </w:r>
          </w:p>
        </w:tc>
      </w:tr>
      <w:tr w:rsidR="00A35A08" w:rsidRPr="00DA1436" w14:paraId="20477933" w14:textId="77777777" w:rsidTr="00DE5E34">
        <w:trPr>
          <w:trHeight w:val="312"/>
        </w:trPr>
        <w:tc>
          <w:tcPr>
            <w:tcW w:w="1399" w:type="dxa"/>
            <w:tcBorders>
              <w:top w:val="nil"/>
              <w:left w:val="nil"/>
              <w:bottom w:val="nil"/>
              <w:right w:val="nil"/>
            </w:tcBorders>
            <w:shd w:val="clear" w:color="auto" w:fill="auto"/>
            <w:noWrap/>
            <w:vAlign w:val="center"/>
            <w:hideMark/>
          </w:tcPr>
          <w:p w14:paraId="2D7311C1" w14:textId="77777777" w:rsidR="00A35A08" w:rsidRPr="00DA1436" w:rsidRDefault="00A35A08" w:rsidP="00974715">
            <w:pPr>
              <w:jc w:val="center"/>
              <w:rPr>
                <w:color w:val="000000"/>
              </w:rPr>
            </w:pPr>
            <w:r w:rsidRPr="00DA1436">
              <w:rPr>
                <w:color w:val="000000"/>
              </w:rPr>
              <w:t>ACE</w:t>
            </w:r>
            <w:r>
              <w:rPr>
                <w:color w:val="000000"/>
              </w:rPr>
              <w:t>-140</w:t>
            </w:r>
          </w:p>
        </w:tc>
        <w:tc>
          <w:tcPr>
            <w:tcW w:w="1361" w:type="dxa"/>
            <w:tcBorders>
              <w:top w:val="nil"/>
              <w:left w:val="nil"/>
              <w:bottom w:val="nil"/>
              <w:right w:val="nil"/>
            </w:tcBorders>
            <w:shd w:val="clear" w:color="auto" w:fill="auto"/>
            <w:noWrap/>
            <w:vAlign w:val="center"/>
            <w:hideMark/>
          </w:tcPr>
          <w:p w14:paraId="327CEE88" w14:textId="77777777" w:rsidR="00A35A08" w:rsidRPr="00DA1436" w:rsidRDefault="00A35A08" w:rsidP="00974715">
            <w:pPr>
              <w:jc w:val="center"/>
              <w:rPr>
                <w:color w:val="000000"/>
              </w:rPr>
            </w:pPr>
            <w:r w:rsidRPr="00DA1436">
              <w:rPr>
                <w:color w:val="000000"/>
              </w:rPr>
              <w:t>0.12</w:t>
            </w:r>
          </w:p>
        </w:tc>
        <w:tc>
          <w:tcPr>
            <w:tcW w:w="1556" w:type="dxa"/>
            <w:tcBorders>
              <w:top w:val="nil"/>
              <w:left w:val="nil"/>
              <w:bottom w:val="nil"/>
              <w:right w:val="nil"/>
            </w:tcBorders>
            <w:shd w:val="clear" w:color="auto" w:fill="auto"/>
            <w:noWrap/>
            <w:vAlign w:val="center"/>
            <w:hideMark/>
          </w:tcPr>
          <w:p w14:paraId="7DD7B3F0" w14:textId="77777777" w:rsidR="00A35A08" w:rsidRPr="00DA1436" w:rsidRDefault="00A35A08" w:rsidP="00974715">
            <w:pPr>
              <w:jc w:val="center"/>
              <w:rPr>
                <w:color w:val="000000"/>
              </w:rPr>
            </w:pPr>
            <w:r w:rsidRPr="00DA1436">
              <w:rPr>
                <w:color w:val="000000"/>
              </w:rPr>
              <w:t>2.0</w:t>
            </w:r>
          </w:p>
        </w:tc>
        <w:tc>
          <w:tcPr>
            <w:tcW w:w="1546" w:type="dxa"/>
            <w:tcBorders>
              <w:top w:val="nil"/>
              <w:left w:val="nil"/>
              <w:bottom w:val="nil"/>
              <w:right w:val="nil"/>
            </w:tcBorders>
            <w:shd w:val="clear" w:color="auto" w:fill="auto"/>
            <w:noWrap/>
            <w:vAlign w:val="center"/>
            <w:hideMark/>
          </w:tcPr>
          <w:p w14:paraId="571F0AE7" w14:textId="77777777" w:rsidR="00A35A08" w:rsidRPr="00DA1436" w:rsidRDefault="00A35A08" w:rsidP="00974715">
            <w:pPr>
              <w:jc w:val="center"/>
              <w:rPr>
                <w:color w:val="000000"/>
              </w:rPr>
            </w:pPr>
            <w:r w:rsidRPr="00DA1436">
              <w:rPr>
                <w:color w:val="000000"/>
              </w:rPr>
              <w:t>0.80</w:t>
            </w:r>
          </w:p>
        </w:tc>
        <w:tc>
          <w:tcPr>
            <w:tcW w:w="1399" w:type="dxa"/>
            <w:tcBorders>
              <w:top w:val="nil"/>
              <w:left w:val="nil"/>
              <w:bottom w:val="nil"/>
              <w:right w:val="nil"/>
            </w:tcBorders>
          </w:tcPr>
          <w:p w14:paraId="5CF21E8D" w14:textId="77777777" w:rsidR="00A35A08" w:rsidRPr="00DA1436" w:rsidRDefault="00A35A08" w:rsidP="00974715">
            <w:pPr>
              <w:tabs>
                <w:tab w:val="left" w:pos="1138"/>
              </w:tabs>
              <w:ind w:left="-99" w:firstLine="99"/>
              <w:jc w:val="center"/>
            </w:pPr>
            <w:r w:rsidRPr="00DA1436">
              <w:t>3.3</w:t>
            </w:r>
          </w:p>
        </w:tc>
        <w:tc>
          <w:tcPr>
            <w:tcW w:w="1312" w:type="dxa"/>
            <w:tcBorders>
              <w:top w:val="nil"/>
              <w:left w:val="nil"/>
              <w:bottom w:val="nil"/>
              <w:right w:val="nil"/>
            </w:tcBorders>
            <w:vAlign w:val="center"/>
          </w:tcPr>
          <w:p w14:paraId="4F8AF0DF" w14:textId="77777777" w:rsidR="00A35A08" w:rsidRPr="00DA1436" w:rsidRDefault="00A35A08" w:rsidP="00974715">
            <w:pPr>
              <w:tabs>
                <w:tab w:val="left" w:pos="1138"/>
              </w:tabs>
              <w:ind w:left="-99" w:firstLine="99"/>
              <w:jc w:val="center"/>
              <w:rPr>
                <w:color w:val="000000"/>
              </w:rPr>
            </w:pPr>
            <w:r w:rsidRPr="00DA1436">
              <w:rPr>
                <w:color w:val="000000"/>
              </w:rPr>
              <w:t>31</w:t>
            </w:r>
          </w:p>
        </w:tc>
      </w:tr>
      <w:tr w:rsidR="00A35A08" w:rsidRPr="00DA1436" w14:paraId="6C0A0E32" w14:textId="77777777" w:rsidTr="00DE5E34">
        <w:trPr>
          <w:trHeight w:val="312"/>
        </w:trPr>
        <w:tc>
          <w:tcPr>
            <w:tcW w:w="1399" w:type="dxa"/>
            <w:tcBorders>
              <w:top w:val="nil"/>
              <w:left w:val="nil"/>
              <w:bottom w:val="nil"/>
              <w:right w:val="nil"/>
            </w:tcBorders>
            <w:shd w:val="clear" w:color="auto" w:fill="auto"/>
            <w:noWrap/>
            <w:vAlign w:val="center"/>
            <w:hideMark/>
          </w:tcPr>
          <w:p w14:paraId="7101595D" w14:textId="77777777" w:rsidR="00A35A08" w:rsidRPr="00DA1436" w:rsidRDefault="00A35A08" w:rsidP="00974715">
            <w:pPr>
              <w:jc w:val="center"/>
              <w:rPr>
                <w:color w:val="000000"/>
              </w:rPr>
            </w:pPr>
            <w:r w:rsidRPr="00DA1436">
              <w:rPr>
                <w:color w:val="000000"/>
              </w:rPr>
              <w:t>CPO</w:t>
            </w:r>
            <w:r>
              <w:rPr>
                <w:color w:val="000000"/>
              </w:rPr>
              <w:t>-Z1</w:t>
            </w:r>
            <w:r w:rsidRPr="00DA1436">
              <w:rPr>
                <w:color w:val="000000"/>
              </w:rPr>
              <w:t>40</w:t>
            </w:r>
          </w:p>
        </w:tc>
        <w:tc>
          <w:tcPr>
            <w:tcW w:w="1361" w:type="dxa"/>
            <w:tcBorders>
              <w:top w:val="nil"/>
              <w:left w:val="nil"/>
              <w:bottom w:val="nil"/>
              <w:right w:val="nil"/>
            </w:tcBorders>
            <w:shd w:val="clear" w:color="auto" w:fill="auto"/>
            <w:noWrap/>
            <w:vAlign w:val="center"/>
            <w:hideMark/>
          </w:tcPr>
          <w:p w14:paraId="5BCE3BB2" w14:textId="77777777" w:rsidR="00A35A08" w:rsidRPr="00DA1436" w:rsidRDefault="00A35A08" w:rsidP="00974715">
            <w:pPr>
              <w:jc w:val="center"/>
              <w:rPr>
                <w:color w:val="000000"/>
              </w:rPr>
            </w:pPr>
            <w:r w:rsidRPr="00DA1436">
              <w:rPr>
                <w:color w:val="000000"/>
              </w:rPr>
              <w:t>0.12</w:t>
            </w:r>
          </w:p>
        </w:tc>
        <w:tc>
          <w:tcPr>
            <w:tcW w:w="1556" w:type="dxa"/>
            <w:tcBorders>
              <w:top w:val="nil"/>
              <w:left w:val="nil"/>
              <w:bottom w:val="nil"/>
              <w:right w:val="nil"/>
            </w:tcBorders>
            <w:shd w:val="clear" w:color="auto" w:fill="auto"/>
            <w:noWrap/>
            <w:vAlign w:val="center"/>
            <w:hideMark/>
          </w:tcPr>
          <w:p w14:paraId="11D4FFB2" w14:textId="77777777" w:rsidR="00A35A08" w:rsidRPr="00DA1436" w:rsidRDefault="00A35A08" w:rsidP="00974715">
            <w:pPr>
              <w:jc w:val="center"/>
              <w:rPr>
                <w:color w:val="000000"/>
              </w:rPr>
            </w:pPr>
            <w:r w:rsidRPr="00DA1436">
              <w:rPr>
                <w:color w:val="000000"/>
              </w:rPr>
              <w:t>3.3</w:t>
            </w:r>
          </w:p>
        </w:tc>
        <w:tc>
          <w:tcPr>
            <w:tcW w:w="1546" w:type="dxa"/>
            <w:tcBorders>
              <w:top w:val="nil"/>
              <w:left w:val="nil"/>
              <w:bottom w:val="nil"/>
              <w:right w:val="nil"/>
            </w:tcBorders>
            <w:shd w:val="clear" w:color="auto" w:fill="auto"/>
            <w:noWrap/>
            <w:vAlign w:val="center"/>
            <w:hideMark/>
          </w:tcPr>
          <w:p w14:paraId="336215F3" w14:textId="77777777" w:rsidR="00A35A08" w:rsidRPr="00DA1436" w:rsidRDefault="00A35A08" w:rsidP="00974715">
            <w:pPr>
              <w:jc w:val="center"/>
              <w:rPr>
                <w:color w:val="000000"/>
              </w:rPr>
            </w:pPr>
            <w:r w:rsidRPr="00DA1436">
              <w:rPr>
                <w:color w:val="000000"/>
              </w:rPr>
              <w:t>0.64</w:t>
            </w:r>
          </w:p>
        </w:tc>
        <w:tc>
          <w:tcPr>
            <w:tcW w:w="1399" w:type="dxa"/>
            <w:tcBorders>
              <w:top w:val="nil"/>
              <w:left w:val="nil"/>
              <w:bottom w:val="nil"/>
              <w:right w:val="nil"/>
            </w:tcBorders>
          </w:tcPr>
          <w:p w14:paraId="54F0CD4A" w14:textId="77777777" w:rsidR="00A35A08" w:rsidRPr="00DA1436" w:rsidRDefault="00A35A08" w:rsidP="00974715">
            <w:pPr>
              <w:tabs>
                <w:tab w:val="left" w:pos="1138"/>
              </w:tabs>
              <w:ind w:left="-99" w:firstLine="99"/>
              <w:jc w:val="center"/>
            </w:pPr>
            <w:r w:rsidRPr="00DA1436">
              <w:t>5.0</w:t>
            </w:r>
          </w:p>
        </w:tc>
        <w:tc>
          <w:tcPr>
            <w:tcW w:w="1312" w:type="dxa"/>
            <w:tcBorders>
              <w:top w:val="nil"/>
              <w:left w:val="nil"/>
              <w:bottom w:val="nil"/>
              <w:right w:val="nil"/>
            </w:tcBorders>
            <w:vAlign w:val="center"/>
          </w:tcPr>
          <w:p w14:paraId="35006AB2" w14:textId="77777777" w:rsidR="00A35A08" w:rsidRPr="00DA1436" w:rsidRDefault="00A35A08" w:rsidP="00974715">
            <w:pPr>
              <w:tabs>
                <w:tab w:val="left" w:pos="1138"/>
              </w:tabs>
              <w:ind w:left="-99" w:firstLine="99"/>
              <w:jc w:val="center"/>
              <w:rPr>
                <w:color w:val="000000"/>
              </w:rPr>
            </w:pPr>
            <w:r w:rsidRPr="00DA1436">
              <w:rPr>
                <w:color w:val="000000"/>
              </w:rPr>
              <w:t>48</w:t>
            </w:r>
          </w:p>
        </w:tc>
      </w:tr>
      <w:tr w:rsidR="00A35A08" w:rsidRPr="00DA1436" w14:paraId="12568AF6" w14:textId="77777777" w:rsidTr="00DE5E34">
        <w:trPr>
          <w:trHeight w:val="312"/>
        </w:trPr>
        <w:tc>
          <w:tcPr>
            <w:tcW w:w="1399" w:type="dxa"/>
            <w:tcBorders>
              <w:top w:val="nil"/>
              <w:left w:val="nil"/>
              <w:bottom w:val="nil"/>
              <w:right w:val="nil"/>
            </w:tcBorders>
            <w:shd w:val="clear" w:color="auto" w:fill="auto"/>
            <w:noWrap/>
            <w:vAlign w:val="center"/>
          </w:tcPr>
          <w:p w14:paraId="58CF84B5" w14:textId="77777777" w:rsidR="00A35A08" w:rsidRPr="00DA1436" w:rsidRDefault="00A35A08" w:rsidP="00974715">
            <w:pPr>
              <w:jc w:val="center"/>
              <w:rPr>
                <w:color w:val="000000"/>
              </w:rPr>
            </w:pPr>
            <w:r>
              <w:rPr>
                <w:color w:val="000000"/>
              </w:rPr>
              <w:t>ACE-Z40</w:t>
            </w:r>
          </w:p>
        </w:tc>
        <w:tc>
          <w:tcPr>
            <w:tcW w:w="1361" w:type="dxa"/>
            <w:tcBorders>
              <w:top w:val="nil"/>
              <w:left w:val="nil"/>
              <w:bottom w:val="nil"/>
              <w:right w:val="nil"/>
            </w:tcBorders>
            <w:shd w:val="clear" w:color="auto" w:fill="auto"/>
            <w:noWrap/>
            <w:vAlign w:val="center"/>
          </w:tcPr>
          <w:p w14:paraId="2C22E700" w14:textId="77777777" w:rsidR="00A35A08" w:rsidRPr="00DA1436" w:rsidRDefault="00A35A08" w:rsidP="00974715">
            <w:pPr>
              <w:jc w:val="center"/>
              <w:rPr>
                <w:color w:val="000000"/>
              </w:rPr>
            </w:pPr>
            <w:r>
              <w:rPr>
                <w:color w:val="000000"/>
              </w:rPr>
              <w:t>0.47</w:t>
            </w:r>
          </w:p>
        </w:tc>
        <w:tc>
          <w:tcPr>
            <w:tcW w:w="1556" w:type="dxa"/>
            <w:tcBorders>
              <w:top w:val="nil"/>
              <w:left w:val="nil"/>
              <w:bottom w:val="nil"/>
              <w:right w:val="nil"/>
            </w:tcBorders>
            <w:shd w:val="clear" w:color="auto" w:fill="auto"/>
            <w:noWrap/>
            <w:vAlign w:val="center"/>
          </w:tcPr>
          <w:p w14:paraId="5204BD45" w14:textId="77777777" w:rsidR="00A35A08" w:rsidRPr="00DA1436" w:rsidRDefault="00A35A08" w:rsidP="00974715">
            <w:pPr>
              <w:jc w:val="center"/>
              <w:rPr>
                <w:color w:val="000000"/>
              </w:rPr>
            </w:pPr>
            <w:r>
              <w:rPr>
                <w:color w:val="000000"/>
              </w:rPr>
              <w:t>6.4</w:t>
            </w:r>
          </w:p>
        </w:tc>
        <w:tc>
          <w:tcPr>
            <w:tcW w:w="1546" w:type="dxa"/>
            <w:tcBorders>
              <w:top w:val="nil"/>
              <w:left w:val="nil"/>
              <w:bottom w:val="nil"/>
              <w:right w:val="nil"/>
            </w:tcBorders>
            <w:shd w:val="clear" w:color="auto" w:fill="auto"/>
            <w:noWrap/>
            <w:vAlign w:val="center"/>
          </w:tcPr>
          <w:p w14:paraId="1ADDEAD8" w14:textId="77777777" w:rsidR="00A35A08" w:rsidRPr="00DA1436" w:rsidRDefault="00A35A08" w:rsidP="00974715">
            <w:pPr>
              <w:jc w:val="center"/>
              <w:rPr>
                <w:color w:val="000000"/>
              </w:rPr>
            </w:pPr>
            <w:r>
              <w:rPr>
                <w:color w:val="000000"/>
              </w:rPr>
              <w:t>0.39</w:t>
            </w:r>
          </w:p>
        </w:tc>
        <w:tc>
          <w:tcPr>
            <w:tcW w:w="1399" w:type="dxa"/>
            <w:tcBorders>
              <w:top w:val="nil"/>
              <w:left w:val="nil"/>
              <w:bottom w:val="nil"/>
              <w:right w:val="nil"/>
            </w:tcBorders>
          </w:tcPr>
          <w:p w14:paraId="4E870DBA" w14:textId="77777777" w:rsidR="00A35A08" w:rsidRPr="00DA1436" w:rsidRDefault="00A35A08" w:rsidP="00974715">
            <w:pPr>
              <w:tabs>
                <w:tab w:val="left" w:pos="1138"/>
              </w:tabs>
              <w:ind w:left="-99" w:firstLine="99"/>
              <w:jc w:val="center"/>
            </w:pPr>
            <w:r>
              <w:t>14.7</w:t>
            </w:r>
          </w:p>
        </w:tc>
        <w:tc>
          <w:tcPr>
            <w:tcW w:w="1312" w:type="dxa"/>
            <w:tcBorders>
              <w:top w:val="nil"/>
              <w:left w:val="nil"/>
              <w:bottom w:val="nil"/>
              <w:right w:val="nil"/>
            </w:tcBorders>
            <w:vAlign w:val="center"/>
          </w:tcPr>
          <w:p w14:paraId="2E266752" w14:textId="77777777" w:rsidR="00A35A08" w:rsidRPr="00DA1436" w:rsidRDefault="00A35A08" w:rsidP="00974715">
            <w:pPr>
              <w:tabs>
                <w:tab w:val="left" w:pos="1138"/>
              </w:tabs>
              <w:ind w:left="-99" w:firstLine="99"/>
              <w:jc w:val="center"/>
              <w:rPr>
                <w:color w:val="000000"/>
              </w:rPr>
            </w:pPr>
            <w:r>
              <w:rPr>
                <w:color w:val="000000"/>
              </w:rPr>
              <w:t>37</w:t>
            </w:r>
          </w:p>
        </w:tc>
      </w:tr>
      <w:tr w:rsidR="00A35A08" w:rsidRPr="00DA1436" w14:paraId="4C8D7661" w14:textId="77777777" w:rsidTr="00DE5E34">
        <w:trPr>
          <w:trHeight w:val="312"/>
        </w:trPr>
        <w:tc>
          <w:tcPr>
            <w:tcW w:w="1399" w:type="dxa"/>
            <w:tcBorders>
              <w:top w:val="nil"/>
              <w:left w:val="nil"/>
              <w:bottom w:val="nil"/>
              <w:right w:val="nil"/>
            </w:tcBorders>
            <w:shd w:val="clear" w:color="auto" w:fill="auto"/>
            <w:noWrap/>
            <w:vAlign w:val="center"/>
          </w:tcPr>
          <w:p w14:paraId="1D1DAE80" w14:textId="77777777" w:rsidR="00A35A08" w:rsidRPr="00DA1436" w:rsidRDefault="00A35A08" w:rsidP="00974715">
            <w:pPr>
              <w:jc w:val="center"/>
              <w:rPr>
                <w:color w:val="000000"/>
              </w:rPr>
            </w:pPr>
            <w:r>
              <w:rPr>
                <w:color w:val="000000"/>
              </w:rPr>
              <w:t>CPO-Z40</w:t>
            </w:r>
          </w:p>
        </w:tc>
        <w:tc>
          <w:tcPr>
            <w:tcW w:w="1361" w:type="dxa"/>
            <w:tcBorders>
              <w:top w:val="nil"/>
              <w:left w:val="nil"/>
              <w:bottom w:val="nil"/>
              <w:right w:val="nil"/>
            </w:tcBorders>
            <w:shd w:val="clear" w:color="auto" w:fill="auto"/>
            <w:noWrap/>
            <w:vAlign w:val="center"/>
          </w:tcPr>
          <w:p w14:paraId="16BC21A5" w14:textId="77777777" w:rsidR="00A35A08" w:rsidRPr="00DA1436" w:rsidRDefault="00A35A08" w:rsidP="00974715">
            <w:pPr>
              <w:jc w:val="center"/>
              <w:rPr>
                <w:color w:val="000000"/>
              </w:rPr>
            </w:pPr>
            <w:r>
              <w:rPr>
                <w:color w:val="000000"/>
              </w:rPr>
              <w:t>0.50</w:t>
            </w:r>
          </w:p>
        </w:tc>
        <w:tc>
          <w:tcPr>
            <w:tcW w:w="1556" w:type="dxa"/>
            <w:tcBorders>
              <w:top w:val="nil"/>
              <w:left w:val="nil"/>
              <w:bottom w:val="nil"/>
              <w:right w:val="nil"/>
            </w:tcBorders>
            <w:shd w:val="clear" w:color="auto" w:fill="auto"/>
            <w:noWrap/>
            <w:vAlign w:val="center"/>
          </w:tcPr>
          <w:p w14:paraId="4A6372CF" w14:textId="77777777" w:rsidR="00A35A08" w:rsidRPr="00DA1436" w:rsidRDefault="00A35A08" w:rsidP="00974715">
            <w:pPr>
              <w:jc w:val="center"/>
              <w:rPr>
                <w:color w:val="000000"/>
              </w:rPr>
            </w:pPr>
            <w:r>
              <w:rPr>
                <w:color w:val="000000"/>
              </w:rPr>
              <w:t>10.3</w:t>
            </w:r>
          </w:p>
        </w:tc>
        <w:tc>
          <w:tcPr>
            <w:tcW w:w="1546" w:type="dxa"/>
            <w:tcBorders>
              <w:top w:val="nil"/>
              <w:left w:val="nil"/>
              <w:bottom w:val="nil"/>
              <w:right w:val="nil"/>
            </w:tcBorders>
            <w:shd w:val="clear" w:color="auto" w:fill="auto"/>
            <w:noWrap/>
            <w:vAlign w:val="center"/>
          </w:tcPr>
          <w:p w14:paraId="64384E0E" w14:textId="77777777" w:rsidR="00A35A08" w:rsidRPr="00DA1436" w:rsidRDefault="00A35A08" w:rsidP="00974715">
            <w:pPr>
              <w:jc w:val="center"/>
              <w:rPr>
                <w:color w:val="000000"/>
              </w:rPr>
            </w:pPr>
            <w:r>
              <w:rPr>
                <w:color w:val="000000"/>
              </w:rPr>
              <w:t>0.26</w:t>
            </w:r>
          </w:p>
        </w:tc>
        <w:tc>
          <w:tcPr>
            <w:tcW w:w="1399" w:type="dxa"/>
            <w:tcBorders>
              <w:top w:val="nil"/>
              <w:left w:val="nil"/>
              <w:bottom w:val="nil"/>
              <w:right w:val="nil"/>
            </w:tcBorders>
          </w:tcPr>
          <w:p w14:paraId="5F176DA3" w14:textId="77777777" w:rsidR="00A35A08" w:rsidRPr="00DA1436" w:rsidRDefault="00A35A08" w:rsidP="00974715">
            <w:pPr>
              <w:tabs>
                <w:tab w:val="left" w:pos="1138"/>
              </w:tabs>
              <w:ind w:left="-99" w:firstLine="99"/>
              <w:jc w:val="center"/>
            </w:pPr>
            <w:r>
              <w:t>29.9</w:t>
            </w:r>
          </w:p>
        </w:tc>
        <w:tc>
          <w:tcPr>
            <w:tcW w:w="1312" w:type="dxa"/>
            <w:tcBorders>
              <w:top w:val="nil"/>
              <w:left w:val="nil"/>
              <w:bottom w:val="nil"/>
              <w:right w:val="nil"/>
            </w:tcBorders>
            <w:vAlign w:val="center"/>
          </w:tcPr>
          <w:p w14:paraId="20D5FE67" w14:textId="77777777" w:rsidR="00A35A08" w:rsidRPr="00DA1436" w:rsidRDefault="00A35A08" w:rsidP="00974715">
            <w:pPr>
              <w:tabs>
                <w:tab w:val="left" w:pos="1138"/>
              </w:tabs>
              <w:ind w:left="-99" w:firstLine="99"/>
              <w:jc w:val="center"/>
              <w:rPr>
                <w:color w:val="000000"/>
              </w:rPr>
            </w:pPr>
            <w:r>
              <w:rPr>
                <w:color w:val="000000"/>
              </w:rPr>
              <w:t>74</w:t>
            </w:r>
          </w:p>
        </w:tc>
      </w:tr>
      <w:tr w:rsidR="00A35A08" w:rsidRPr="00DA1436" w14:paraId="2B6E096D" w14:textId="77777777" w:rsidTr="00DE5E34">
        <w:trPr>
          <w:trHeight w:val="312"/>
        </w:trPr>
        <w:tc>
          <w:tcPr>
            <w:tcW w:w="1399" w:type="dxa"/>
            <w:tcBorders>
              <w:top w:val="nil"/>
              <w:left w:val="nil"/>
              <w:bottom w:val="nil"/>
              <w:right w:val="nil"/>
            </w:tcBorders>
            <w:shd w:val="clear" w:color="auto" w:fill="auto"/>
            <w:noWrap/>
            <w:vAlign w:val="bottom"/>
            <w:hideMark/>
          </w:tcPr>
          <w:p w14:paraId="6A035395" w14:textId="77777777" w:rsidR="00A35A08" w:rsidRPr="00DA1436" w:rsidRDefault="00A35A08" w:rsidP="00974715">
            <w:pPr>
              <w:jc w:val="center"/>
            </w:pPr>
            <w:r w:rsidRPr="00DA1436">
              <w:t>ACE</w:t>
            </w:r>
            <w:r>
              <w:t>-</w:t>
            </w:r>
            <w:r w:rsidRPr="00DA1436">
              <w:t>HY30</w:t>
            </w:r>
          </w:p>
        </w:tc>
        <w:tc>
          <w:tcPr>
            <w:tcW w:w="1361" w:type="dxa"/>
            <w:tcBorders>
              <w:top w:val="nil"/>
              <w:left w:val="nil"/>
              <w:bottom w:val="nil"/>
              <w:right w:val="nil"/>
            </w:tcBorders>
            <w:shd w:val="clear" w:color="auto" w:fill="auto"/>
            <w:noWrap/>
            <w:vAlign w:val="center"/>
            <w:hideMark/>
          </w:tcPr>
          <w:p w14:paraId="1CAA6DFF" w14:textId="77777777" w:rsidR="00A35A08" w:rsidRPr="00DA1436" w:rsidRDefault="00A35A08" w:rsidP="00974715">
            <w:pPr>
              <w:jc w:val="center"/>
            </w:pPr>
            <w:r w:rsidRPr="00DA1436">
              <w:t>0.23</w:t>
            </w:r>
          </w:p>
        </w:tc>
        <w:tc>
          <w:tcPr>
            <w:tcW w:w="1556" w:type="dxa"/>
            <w:tcBorders>
              <w:top w:val="nil"/>
              <w:left w:val="nil"/>
              <w:bottom w:val="nil"/>
              <w:right w:val="nil"/>
            </w:tcBorders>
            <w:shd w:val="clear" w:color="auto" w:fill="auto"/>
            <w:noWrap/>
            <w:vAlign w:val="center"/>
            <w:hideMark/>
          </w:tcPr>
          <w:p w14:paraId="514A9492" w14:textId="77777777" w:rsidR="00A35A08" w:rsidRPr="00DA1436" w:rsidRDefault="00A35A08" w:rsidP="00974715">
            <w:pPr>
              <w:jc w:val="center"/>
            </w:pPr>
            <w:r w:rsidRPr="00DA1436">
              <w:t>4.7</w:t>
            </w:r>
          </w:p>
        </w:tc>
        <w:tc>
          <w:tcPr>
            <w:tcW w:w="1546" w:type="dxa"/>
            <w:tcBorders>
              <w:top w:val="nil"/>
              <w:left w:val="nil"/>
              <w:bottom w:val="nil"/>
              <w:right w:val="nil"/>
            </w:tcBorders>
            <w:shd w:val="clear" w:color="auto" w:fill="auto"/>
            <w:noWrap/>
            <w:vAlign w:val="center"/>
            <w:hideMark/>
          </w:tcPr>
          <w:p w14:paraId="35328313" w14:textId="77777777" w:rsidR="00A35A08" w:rsidRPr="00DA1436" w:rsidRDefault="00A35A08" w:rsidP="00974715">
            <w:pPr>
              <w:jc w:val="center"/>
            </w:pPr>
            <w:r w:rsidRPr="00DA1436">
              <w:t>0.50</w:t>
            </w:r>
          </w:p>
        </w:tc>
        <w:tc>
          <w:tcPr>
            <w:tcW w:w="1399" w:type="dxa"/>
            <w:tcBorders>
              <w:top w:val="nil"/>
              <w:left w:val="nil"/>
              <w:bottom w:val="nil"/>
              <w:right w:val="nil"/>
            </w:tcBorders>
          </w:tcPr>
          <w:p w14:paraId="6DDB482A" w14:textId="77777777" w:rsidR="00A35A08" w:rsidRPr="00DA1436" w:rsidRDefault="00A35A08" w:rsidP="00974715">
            <w:pPr>
              <w:tabs>
                <w:tab w:val="left" w:pos="1138"/>
              </w:tabs>
              <w:ind w:left="-99" w:firstLine="99"/>
              <w:jc w:val="center"/>
            </w:pPr>
            <w:r w:rsidRPr="00DA1436">
              <w:t>23.8</w:t>
            </w:r>
          </w:p>
        </w:tc>
        <w:tc>
          <w:tcPr>
            <w:tcW w:w="1312" w:type="dxa"/>
            <w:tcBorders>
              <w:top w:val="nil"/>
              <w:left w:val="nil"/>
              <w:bottom w:val="nil"/>
              <w:right w:val="nil"/>
            </w:tcBorders>
            <w:vAlign w:val="center"/>
          </w:tcPr>
          <w:p w14:paraId="106C726A" w14:textId="77777777" w:rsidR="00A35A08" w:rsidRPr="00DA1436" w:rsidRDefault="00A35A08" w:rsidP="00974715">
            <w:pPr>
              <w:tabs>
                <w:tab w:val="left" w:pos="1138"/>
              </w:tabs>
              <w:ind w:left="-99" w:firstLine="99"/>
              <w:jc w:val="center"/>
            </w:pPr>
            <w:r w:rsidRPr="00DA1436">
              <w:t>102</w:t>
            </w:r>
          </w:p>
        </w:tc>
      </w:tr>
      <w:tr w:rsidR="00A35A08" w:rsidRPr="00DA1436" w14:paraId="27AC0D77" w14:textId="77777777" w:rsidTr="00DE5E34">
        <w:trPr>
          <w:trHeight w:val="312"/>
        </w:trPr>
        <w:tc>
          <w:tcPr>
            <w:tcW w:w="1399" w:type="dxa"/>
            <w:tcBorders>
              <w:top w:val="nil"/>
              <w:left w:val="nil"/>
              <w:bottom w:val="single" w:sz="4" w:space="0" w:color="auto"/>
              <w:right w:val="nil"/>
            </w:tcBorders>
            <w:shd w:val="clear" w:color="auto" w:fill="auto"/>
            <w:noWrap/>
            <w:vAlign w:val="center"/>
            <w:hideMark/>
          </w:tcPr>
          <w:p w14:paraId="376C67ED" w14:textId="77777777" w:rsidR="00A35A08" w:rsidRPr="00DA1436" w:rsidRDefault="00A35A08" w:rsidP="00974715">
            <w:pPr>
              <w:jc w:val="center"/>
            </w:pPr>
            <w:r w:rsidRPr="00DA1436">
              <w:t>CPO</w:t>
            </w:r>
            <w:r>
              <w:t>-</w:t>
            </w:r>
            <w:r w:rsidRPr="00DA1436">
              <w:t>HY30</w:t>
            </w:r>
          </w:p>
        </w:tc>
        <w:tc>
          <w:tcPr>
            <w:tcW w:w="1361" w:type="dxa"/>
            <w:tcBorders>
              <w:top w:val="nil"/>
              <w:left w:val="nil"/>
              <w:bottom w:val="single" w:sz="4" w:space="0" w:color="auto"/>
              <w:right w:val="nil"/>
            </w:tcBorders>
            <w:shd w:val="clear" w:color="auto" w:fill="auto"/>
            <w:noWrap/>
            <w:vAlign w:val="center"/>
            <w:hideMark/>
          </w:tcPr>
          <w:p w14:paraId="54DBB3F5" w14:textId="77777777" w:rsidR="00A35A08" w:rsidRPr="00DA1436" w:rsidRDefault="00A35A08" w:rsidP="00974715">
            <w:pPr>
              <w:jc w:val="center"/>
            </w:pPr>
            <w:r w:rsidRPr="00DA1436">
              <w:t>0.23</w:t>
            </w:r>
          </w:p>
        </w:tc>
        <w:tc>
          <w:tcPr>
            <w:tcW w:w="1556" w:type="dxa"/>
            <w:tcBorders>
              <w:top w:val="nil"/>
              <w:left w:val="nil"/>
              <w:bottom w:val="single" w:sz="4" w:space="0" w:color="auto"/>
              <w:right w:val="nil"/>
            </w:tcBorders>
            <w:shd w:val="clear" w:color="auto" w:fill="auto"/>
            <w:noWrap/>
            <w:vAlign w:val="center"/>
            <w:hideMark/>
          </w:tcPr>
          <w:p w14:paraId="0B939513" w14:textId="77777777" w:rsidR="00A35A08" w:rsidRPr="00DA1436" w:rsidRDefault="00A35A08" w:rsidP="00974715">
            <w:pPr>
              <w:jc w:val="center"/>
            </w:pPr>
            <w:r w:rsidRPr="00DA1436">
              <w:t>&lt; 0.1</w:t>
            </w:r>
          </w:p>
        </w:tc>
        <w:tc>
          <w:tcPr>
            <w:tcW w:w="1546" w:type="dxa"/>
            <w:tcBorders>
              <w:top w:val="nil"/>
              <w:left w:val="nil"/>
              <w:bottom w:val="single" w:sz="4" w:space="0" w:color="auto"/>
              <w:right w:val="nil"/>
            </w:tcBorders>
            <w:shd w:val="clear" w:color="auto" w:fill="auto"/>
            <w:noWrap/>
            <w:vAlign w:val="center"/>
            <w:hideMark/>
          </w:tcPr>
          <w:p w14:paraId="37CAAFED" w14:textId="77777777" w:rsidR="00A35A08" w:rsidRPr="00DA1436" w:rsidRDefault="00A35A08" w:rsidP="00974715">
            <w:pPr>
              <w:jc w:val="center"/>
            </w:pPr>
            <w:r w:rsidRPr="00DA1436">
              <w:t>1.00</w:t>
            </w:r>
          </w:p>
        </w:tc>
        <w:tc>
          <w:tcPr>
            <w:tcW w:w="1399" w:type="dxa"/>
            <w:tcBorders>
              <w:top w:val="nil"/>
              <w:left w:val="nil"/>
              <w:bottom w:val="single" w:sz="4" w:space="0" w:color="auto"/>
              <w:right w:val="nil"/>
            </w:tcBorders>
          </w:tcPr>
          <w:p w14:paraId="75CBEF83" w14:textId="77777777" w:rsidR="00A35A08" w:rsidRPr="00DA1436" w:rsidRDefault="00A35A08" w:rsidP="00974715">
            <w:pPr>
              <w:tabs>
                <w:tab w:val="left" w:pos="1138"/>
              </w:tabs>
              <w:ind w:left="-90" w:firstLine="90"/>
              <w:jc w:val="center"/>
            </w:pPr>
            <w:r w:rsidRPr="00DA1436">
              <w:t>7.4</w:t>
            </w:r>
          </w:p>
        </w:tc>
        <w:tc>
          <w:tcPr>
            <w:tcW w:w="1312" w:type="dxa"/>
            <w:tcBorders>
              <w:top w:val="nil"/>
              <w:left w:val="nil"/>
              <w:bottom w:val="single" w:sz="4" w:space="0" w:color="auto"/>
              <w:right w:val="nil"/>
            </w:tcBorders>
            <w:vAlign w:val="center"/>
          </w:tcPr>
          <w:p w14:paraId="2BB05B51" w14:textId="77777777" w:rsidR="00A35A08" w:rsidRPr="00DA1436" w:rsidRDefault="00A35A08" w:rsidP="00974715">
            <w:pPr>
              <w:tabs>
                <w:tab w:val="left" w:pos="1138"/>
              </w:tabs>
              <w:ind w:left="-99" w:firstLine="99"/>
              <w:jc w:val="center"/>
            </w:pPr>
            <w:r w:rsidRPr="00DA1436">
              <w:t>32</w:t>
            </w:r>
          </w:p>
        </w:tc>
      </w:tr>
    </w:tbl>
    <w:p w14:paraId="0E8D5C4F" w14:textId="77777777" w:rsidR="00A35A08" w:rsidRPr="00DA1436" w:rsidRDefault="00A35A08" w:rsidP="00A35A08">
      <w:pPr>
        <w:jc w:val="both"/>
      </w:pPr>
      <w:r w:rsidRPr="00DA1436">
        <w:rPr>
          <w:b/>
          <w:bCs/>
          <w:color w:val="FF0000"/>
        </w:rPr>
        <w:tab/>
      </w:r>
      <w:r w:rsidRPr="00DA1436">
        <w:rPr>
          <w:b/>
          <w:bCs/>
          <w:color w:val="FF0000"/>
        </w:rPr>
        <w:tab/>
      </w:r>
      <w:r w:rsidRPr="00DA1436">
        <w:rPr>
          <w:b/>
          <w:bCs/>
          <w:color w:val="FF0000"/>
        </w:rPr>
        <w:tab/>
      </w:r>
      <w:r w:rsidRPr="00DA1436">
        <w:rPr>
          <w:b/>
          <w:bCs/>
          <w:color w:val="FF0000"/>
        </w:rPr>
        <w:tab/>
      </w:r>
      <w:r w:rsidRPr="00DA1436">
        <w:rPr>
          <w:b/>
          <w:bCs/>
          <w:color w:val="FF0000"/>
        </w:rPr>
        <w:tab/>
      </w:r>
      <w:r w:rsidRPr="00DA1436">
        <w:rPr>
          <w:b/>
          <w:bCs/>
          <w:color w:val="FF0000"/>
        </w:rPr>
        <w:tab/>
      </w:r>
      <w:r w:rsidRPr="00DA1436">
        <w:rPr>
          <w:b/>
          <w:bCs/>
          <w:color w:val="FF0000"/>
        </w:rPr>
        <w:tab/>
      </w:r>
      <w:r w:rsidRPr="00DA1436">
        <w:rPr>
          <w:b/>
          <w:bCs/>
          <w:color w:val="FF0000"/>
        </w:rPr>
        <w:tab/>
      </w:r>
      <w:r w:rsidRPr="00DA1436">
        <w:rPr>
          <w:b/>
          <w:bCs/>
          <w:color w:val="FF0000"/>
        </w:rPr>
        <w:tab/>
      </w:r>
    </w:p>
    <w:p w14:paraId="601B0083" w14:textId="48D2221D" w:rsidR="00A35A08" w:rsidRPr="00DA1436" w:rsidRDefault="00A35A08" w:rsidP="00B37A6A">
      <w:pPr>
        <w:spacing w:line="480" w:lineRule="auto"/>
        <w:ind w:firstLine="360"/>
        <w:jc w:val="both"/>
        <w:rPr>
          <w:highlight w:val="yellow"/>
        </w:rPr>
      </w:pPr>
      <w:r w:rsidRPr="00DA1436">
        <w:t xml:space="preserve">On the </w:t>
      </w:r>
      <w:r w:rsidRPr="00DA1436">
        <w:rPr>
          <w:color w:val="000000"/>
        </w:rPr>
        <w:t xml:space="preserve">ZSM5 </w:t>
      </w:r>
      <w:r w:rsidRPr="00DA1436">
        <w:t>series, CPO shows a higher Thiele modulus than ACE</w:t>
      </w:r>
      <w:r>
        <w:t xml:space="preserve"> in both Si/Al catalysts</w:t>
      </w:r>
      <w:r w:rsidRPr="00DA1436">
        <w:t xml:space="preserve">.  Of course, this is due to the combination of lower diffusivity and higher intrinsic reactivity of CPO. The first is obvious once CPO size provides more steric constraint inside the confined channels as it diffuses. But in contrast it better interacts with the framework structure and thus have a higher contribution to the rate due to the confinement effect </w:t>
      </w:r>
      <w:r w:rsidRPr="00DA1436">
        <w:fldChar w:fldCharType="begin"/>
      </w:r>
      <w:r w:rsidR="00C54D4B">
        <w:instrText xml:space="preserve"> ADDIN EN.CITE &lt;EndNote&gt;&lt;Cite&gt;&lt;Author&gt;Li&lt;/Author&gt;&lt;Year&gt;2020&lt;/Year&gt;&lt;RecNum&gt;16&lt;/RecNum&gt;&lt;DisplayText&gt;[98]&lt;/DisplayText&gt;&lt;record&gt;&lt;rec-number&gt;16&lt;/rec-number&gt;&lt;foreign-keys&gt;&lt;key app="EN" db-id="59dvwrfdof9dw8exf0kvp0atwazsazeeffsp" timestamp="1667539523"&gt;16&lt;/key&gt;&lt;/foreign-keys&gt;&lt;ref-type name="Journal Article"&gt;17&lt;/ref-type&gt;&lt;contributors&gt;&lt;authors&gt;&lt;author&gt;Gengnan Li&lt;/author&gt;&lt;author&gt;Duong T. Ngo&lt;/author&gt;&lt;author&gt;Yu Yan&lt;/author&gt;&lt;author&gt;Qiaohua Tan&lt;/author&gt;&lt;author&gt;Bin Wang&lt;/author&gt;&lt;author&gt;Daniel E. Resasco&lt;/author&gt;&lt;/authors&gt;&lt;/contributors&gt;&lt;titles&gt;&lt;title&gt;Factors Determining Selectivity of Acid- and Base-Catalyzed Self- and Cross-Condensation of Acetone and Cyclopentanone&lt;/title&gt;&lt;secondary-title&gt;ACS Catalysis&lt;/secondary-title&gt;&lt;/titles&gt;&lt;periodical&gt;&lt;full-title&gt;ACS Catalysis&lt;/full-title&gt;&lt;/periodical&gt;&lt;pages&gt;12790-12800&lt;/pages&gt;&lt;volume&gt;10&lt;/volume&gt;&lt;dates&gt;&lt;year&gt;2020&lt;/year&gt;&lt;/dates&gt;&lt;urls&gt;&lt;/urls&gt;&lt;electronic-resource-num&gt;https://doi.org/10.1021/acscatal.0c02987&lt;/electronic-resource-num&gt;&lt;/record&gt;&lt;/Cite&gt;&lt;/EndNote&gt;</w:instrText>
      </w:r>
      <w:r w:rsidRPr="00DA1436">
        <w:fldChar w:fldCharType="separate"/>
      </w:r>
      <w:r w:rsidR="00C54D4B">
        <w:rPr>
          <w:noProof/>
        </w:rPr>
        <w:t>[</w:t>
      </w:r>
      <w:hyperlink w:anchor="_ENREF_98" w:tooltip="Li, 2020 #16" w:history="1">
        <w:r w:rsidR="00D307FA">
          <w:rPr>
            <w:noProof/>
          </w:rPr>
          <w:t>98</w:t>
        </w:r>
      </w:hyperlink>
      <w:r w:rsidR="00C54D4B">
        <w:rPr>
          <w:noProof/>
        </w:rPr>
        <w:t>]</w:t>
      </w:r>
      <w:r w:rsidRPr="00DA1436">
        <w:fldChar w:fldCharType="end"/>
      </w:r>
      <w:r w:rsidRPr="00DA1436">
        <w:t xml:space="preserve">.  In fact, the Thiele moduli ratio of CPO to ACE could be analyzed as follows </w:t>
      </w: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CPO</m:t>
                </m:r>
              </m:sub>
            </m:sSub>
          </m:num>
          <m:den>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ACE</m:t>
                </m:r>
              </m:sub>
            </m:sSub>
          </m:den>
        </m:f>
        <m:r>
          <w:rPr>
            <w:rFonts w:ascii="Cambria Math" w:eastAsiaTheme="minorEastAsia" w:hAnsi="Cambria Math"/>
          </w:rPr>
          <m:t>=</m:t>
        </m:r>
        <m:rad>
          <m:radPr>
            <m:degHide m:val="1"/>
            <m:ctrlPr>
              <w:rPr>
                <w:rFonts w:ascii="Cambria Math" w:eastAsiaTheme="minorEastAsia" w:hAnsi="Cambria Math"/>
                <w:i/>
              </w:rPr>
            </m:ctrlPr>
          </m:radPr>
          <m:deg/>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CPO</m:t>
                    </m:r>
                  </m:sub>
                </m:sSub>
              </m:num>
              <m:den>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ACE</m:t>
                    </m:r>
                  </m:sub>
                </m:sSub>
              </m:den>
            </m:f>
          </m:e>
        </m:rad>
        <m:r>
          <w:rPr>
            <w:rFonts w:ascii="Cambria Math" w:eastAsiaTheme="minorEastAsia" w:hAnsi="Cambria Math"/>
          </w:rPr>
          <m:t xml:space="preserve">. </m:t>
        </m:r>
        <m:rad>
          <m:radPr>
            <m:degHide m:val="1"/>
            <m:ctrlPr>
              <w:rPr>
                <w:rFonts w:ascii="Cambria Math" w:eastAsiaTheme="minorEastAsia" w:hAnsi="Cambria Math"/>
                <w:i/>
              </w:rPr>
            </m:ctrlPr>
          </m:radPr>
          <m:deg/>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ACE</m:t>
                    </m:r>
                  </m:sub>
                </m:sSub>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CPO</m:t>
                    </m:r>
                  </m:sub>
                </m:sSub>
              </m:den>
            </m:f>
          </m:e>
        </m:rad>
      </m:oMath>
      <w:r w:rsidRPr="00DA1436">
        <w:rPr>
          <w:rFonts w:eastAsiaTheme="minorEastAsia"/>
        </w:rPr>
        <w:t xml:space="preserve"> , </w:t>
      </w:r>
      <w:r w:rsidRPr="00DA1436">
        <w:t xml:space="preserve"> </w:t>
      </w:r>
      <w:r w:rsidRPr="00DA1436">
        <w:rPr>
          <w:rFonts w:eastAsiaTheme="minorEastAsia"/>
        </w:rPr>
        <w:t>in which the ratio of their effective diffusivities in the zeolite is essentially the ratio of their Knudsen diffusivities, which in turn can be expressed in terms of molecular weights (</w:t>
      </w:r>
      <m:oMath>
        <m:rad>
          <m:radPr>
            <m:degHide m:val="1"/>
            <m:ctrlPr>
              <w:rPr>
                <w:rFonts w:ascii="Cambria Math" w:eastAsiaTheme="minorEastAsia" w:hAnsi="Cambria Math"/>
                <w:i/>
              </w:rPr>
            </m:ctrlPr>
          </m:radPr>
          <m:deg/>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MW</m:t>
                    </m:r>
                  </m:e>
                  <m:sub>
                    <m:r>
                      <w:rPr>
                        <w:rFonts w:ascii="Cambria Math" w:eastAsiaTheme="minorEastAsia" w:hAnsi="Cambria Math"/>
                      </w:rPr>
                      <m:t>CPO</m:t>
                    </m:r>
                  </m:sub>
                </m:sSub>
              </m:num>
              <m:den>
                <m:sSub>
                  <m:sSubPr>
                    <m:ctrlPr>
                      <w:rPr>
                        <w:rFonts w:ascii="Cambria Math" w:eastAsiaTheme="minorEastAsia" w:hAnsi="Cambria Math"/>
                        <w:i/>
                      </w:rPr>
                    </m:ctrlPr>
                  </m:sSubPr>
                  <m:e>
                    <m:r>
                      <w:rPr>
                        <w:rFonts w:ascii="Cambria Math" w:eastAsiaTheme="minorEastAsia" w:hAnsi="Cambria Math"/>
                      </w:rPr>
                      <m:t>MW</m:t>
                    </m:r>
                  </m:e>
                  <m:sub>
                    <m:r>
                      <w:rPr>
                        <w:rFonts w:ascii="Cambria Math" w:eastAsiaTheme="minorEastAsia" w:hAnsi="Cambria Math"/>
                      </w:rPr>
                      <m:t>ACE</m:t>
                    </m:r>
                  </m:sub>
                </m:sSub>
              </m:den>
            </m:f>
          </m:e>
        </m:rad>
      </m:oMath>
      <w:r w:rsidRPr="00DA1436">
        <w:rPr>
          <w:rFonts w:eastAsiaTheme="minorEastAsia"/>
        </w:rPr>
        <w:t xml:space="preserve"> ).  On the other hand, the ratios of the rate constants is the </w:t>
      </w:r>
      <w:r w:rsidRPr="00DA1436">
        <w:rPr>
          <w:rFonts w:eastAsiaTheme="minorEastAsia"/>
        </w:rPr>
        <w:lastRenderedPageBreak/>
        <w:t xml:space="preserve">ratio of intrinsic (maximum) TOFs for the two reactants. Therefore, </w:t>
      </w:r>
      <w:r>
        <w:rPr>
          <w:rFonts w:eastAsiaTheme="minorEastAsia"/>
        </w:rPr>
        <w:t xml:space="preserve">in Z140 </w:t>
      </w:r>
      <w:r w:rsidRPr="00DA1436">
        <w:rPr>
          <w:rFonts w:eastAsiaTheme="minorEastAsia"/>
        </w:rPr>
        <w:t xml:space="preserve">we have </w:t>
      </w:r>
      <m:oMath>
        <m:rad>
          <m:radPr>
            <m:degHide m:val="1"/>
            <m:ctrlPr>
              <w:rPr>
                <w:rFonts w:ascii="Cambria Math" w:eastAsiaTheme="minorEastAsia" w:hAnsi="Cambria Math"/>
                <w:i/>
              </w:rPr>
            </m:ctrlPr>
          </m:radPr>
          <m:deg/>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CPO</m:t>
                    </m:r>
                  </m:sub>
                </m:sSub>
              </m:num>
              <m:den>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ACE</m:t>
                    </m:r>
                  </m:sub>
                </m:sSub>
              </m:den>
            </m:f>
          </m:e>
        </m:rad>
        <m:r>
          <w:rPr>
            <w:rFonts w:ascii="Cambria Math" w:eastAsiaTheme="minorEastAsia" w:hAnsi="Cambria Math"/>
          </w:rPr>
          <m:t xml:space="preserve">= </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48</m:t>
                </m:r>
              </m:num>
              <m:den>
                <m:r>
                  <w:rPr>
                    <w:rFonts w:ascii="Cambria Math" w:eastAsiaTheme="minorEastAsia" w:hAnsi="Cambria Math"/>
                  </w:rPr>
                  <m:t>31</m:t>
                </m:r>
              </m:den>
            </m:f>
            <m:r>
              <w:rPr>
                <w:rFonts w:ascii="Cambria Math" w:eastAsiaTheme="minorEastAsia" w:hAnsi="Cambria Math"/>
              </w:rPr>
              <m:t>=</m:t>
            </m:r>
          </m:e>
        </m:rad>
        <m:r>
          <w:rPr>
            <w:rFonts w:ascii="Cambria Math" w:eastAsiaTheme="minorEastAsia" w:hAnsi="Cambria Math"/>
          </w:rPr>
          <m:t xml:space="preserve"> 1.24</m:t>
        </m:r>
      </m:oMath>
      <w:r w:rsidRPr="00DA1436">
        <w:rPr>
          <w:rFonts w:eastAsiaTheme="minorEastAsia"/>
        </w:rPr>
        <w:t xml:space="preserve"> and</w:t>
      </w:r>
      <m:oMath>
        <m:rad>
          <m:radPr>
            <m:degHide m:val="1"/>
            <m:ctrlPr>
              <w:rPr>
                <w:rFonts w:ascii="Cambria Math" w:eastAsiaTheme="minorEastAsia" w:hAnsi="Cambria Math"/>
                <w:i/>
              </w:rPr>
            </m:ctrlPr>
          </m:radPr>
          <m:deg/>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ACE</m:t>
                    </m:r>
                  </m:sub>
                </m:sSub>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CPO</m:t>
                    </m:r>
                  </m:sub>
                </m:sSub>
              </m:den>
            </m:f>
          </m:e>
        </m:rad>
      </m:oMath>
      <w:r w:rsidRPr="00DA1436">
        <w:rPr>
          <w:rFonts w:eastAsiaTheme="minorEastAsia"/>
        </w:rPr>
        <w:t xml:space="preserve"> = </w:t>
      </w:r>
      <m:oMath>
        <m:rad>
          <m:radPr>
            <m:degHide m:val="1"/>
            <m:ctrlPr>
              <w:rPr>
                <w:rFonts w:ascii="Cambria Math" w:eastAsiaTheme="minorEastAsia" w:hAnsi="Cambria Math"/>
                <w:i/>
              </w:rPr>
            </m:ctrlPr>
          </m:radPr>
          <m:deg/>
          <m:e>
            <m:rad>
              <m:radPr>
                <m:degHide m:val="1"/>
                <m:ctrlPr>
                  <w:rPr>
                    <w:rFonts w:ascii="Cambria Math" w:eastAsiaTheme="minorEastAsia" w:hAnsi="Cambria Math"/>
                    <w:i/>
                  </w:rPr>
                </m:ctrlPr>
              </m:radPr>
              <m:deg/>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MW</m:t>
                        </m:r>
                      </m:e>
                      <m:sub>
                        <m:r>
                          <w:rPr>
                            <w:rFonts w:ascii="Cambria Math" w:eastAsiaTheme="minorEastAsia" w:hAnsi="Cambria Math"/>
                          </w:rPr>
                          <m:t>CPO</m:t>
                        </m:r>
                      </m:sub>
                    </m:sSub>
                  </m:num>
                  <m:den>
                    <m:sSub>
                      <m:sSubPr>
                        <m:ctrlPr>
                          <w:rPr>
                            <w:rFonts w:ascii="Cambria Math" w:eastAsiaTheme="minorEastAsia" w:hAnsi="Cambria Math"/>
                            <w:i/>
                          </w:rPr>
                        </m:ctrlPr>
                      </m:sSubPr>
                      <m:e>
                        <m:r>
                          <w:rPr>
                            <w:rFonts w:ascii="Cambria Math" w:eastAsiaTheme="minorEastAsia" w:hAnsi="Cambria Math"/>
                          </w:rPr>
                          <m:t>MW</m:t>
                        </m:r>
                      </m:e>
                      <m:sub>
                        <m:r>
                          <w:rPr>
                            <w:rFonts w:ascii="Cambria Math" w:eastAsiaTheme="minorEastAsia" w:hAnsi="Cambria Math"/>
                          </w:rPr>
                          <m:t>ACE</m:t>
                        </m:r>
                      </m:sub>
                    </m:sSub>
                  </m:den>
                </m:f>
              </m:e>
            </m:rad>
          </m:e>
        </m:rad>
      </m:oMath>
      <w:r w:rsidRPr="00DA1436">
        <w:rPr>
          <w:rFonts w:eastAsiaTheme="minorEastAsia"/>
        </w:rPr>
        <w:t xml:space="preserve">  = 1.1.  </w:t>
      </w:r>
    </w:p>
    <w:p w14:paraId="06EF9C2D" w14:textId="77777777" w:rsidR="00A35A08" w:rsidRPr="00DA1436" w:rsidRDefault="00A35A08" w:rsidP="00B37A6A">
      <w:pPr>
        <w:spacing w:line="480" w:lineRule="auto"/>
        <w:ind w:firstLine="360"/>
        <w:jc w:val="both"/>
        <w:rPr>
          <w:rFonts w:eastAsiaTheme="minorEastAsia"/>
        </w:rPr>
      </w:pPr>
      <w:r w:rsidRPr="00DA1436">
        <w:rPr>
          <w:rFonts w:eastAsiaTheme="minorEastAsia"/>
        </w:rPr>
        <w:t>So, as above, (</w:t>
      </w: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CPO</m:t>
                </m:r>
              </m:sub>
            </m:sSub>
          </m:num>
          <m:den>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ACE</m:t>
                </m:r>
              </m:sub>
            </m:sSub>
          </m:den>
        </m:f>
        <m:r>
          <w:rPr>
            <w:rFonts w:ascii="Cambria Math" w:eastAsiaTheme="minorEastAsia" w:hAnsi="Cambria Math"/>
          </w:rPr>
          <m:t xml:space="preserve">=1.24*1.1= </m:t>
        </m:r>
      </m:oMath>
      <w:r w:rsidRPr="00DA1436">
        <w:rPr>
          <w:rFonts w:eastAsiaTheme="minorEastAsia"/>
        </w:rPr>
        <w:t xml:space="preserve">1.36), which compares relatively well with the ratio of the moduli obtained from the fitting.  In this case, </w:t>
      </w: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CPO</m:t>
                </m:r>
              </m:sub>
            </m:sSub>
          </m:num>
          <m:den>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ACE</m:t>
                </m:r>
              </m:sub>
            </m:sSub>
          </m:den>
        </m:f>
        <m:r>
          <w:rPr>
            <w:rFonts w:ascii="Cambria Math" w:eastAsiaTheme="minorEastAsia" w:hAnsi="Cambria Math"/>
          </w:rPr>
          <m:t>=</m:t>
        </m:r>
      </m:oMath>
      <w:r w:rsidRPr="00DA1436">
        <w:rPr>
          <w:rFonts w:eastAsiaTheme="minorEastAsia"/>
        </w:rPr>
        <w:t xml:space="preserve"> 3.3/2.0 = 1.62.</w:t>
      </w:r>
      <w:r>
        <w:rPr>
          <w:rFonts w:eastAsiaTheme="minorEastAsia"/>
        </w:rPr>
        <w:t xml:space="preserve"> Doing the same analysis over Z40: </w:t>
      </w:r>
      <m:oMath>
        <m:rad>
          <m:radPr>
            <m:degHide m:val="1"/>
            <m:ctrlPr>
              <w:rPr>
                <w:rFonts w:ascii="Cambria Math" w:eastAsiaTheme="minorEastAsia" w:hAnsi="Cambria Math"/>
                <w:i/>
              </w:rPr>
            </m:ctrlPr>
          </m:radPr>
          <m:deg/>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CPO</m:t>
                    </m:r>
                  </m:sub>
                </m:sSub>
              </m:num>
              <m:den>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ACE</m:t>
                    </m:r>
                  </m:sub>
                </m:sSub>
              </m:den>
            </m:f>
          </m:e>
        </m:rad>
        <m:r>
          <w:rPr>
            <w:rFonts w:ascii="Cambria Math" w:eastAsiaTheme="minorEastAsia" w:hAnsi="Cambria Math"/>
          </w:rPr>
          <m:t xml:space="preserve">= </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74</m:t>
                </m:r>
              </m:num>
              <m:den>
                <m:r>
                  <w:rPr>
                    <w:rFonts w:ascii="Cambria Math" w:eastAsiaTheme="minorEastAsia" w:hAnsi="Cambria Math"/>
                  </w:rPr>
                  <m:t>37</m:t>
                </m:r>
              </m:den>
            </m:f>
            <m:r>
              <w:rPr>
                <w:rFonts w:ascii="Cambria Math" w:eastAsiaTheme="minorEastAsia" w:hAnsi="Cambria Math"/>
              </w:rPr>
              <m:t>=</m:t>
            </m:r>
          </m:e>
        </m:rad>
        <m:r>
          <w:rPr>
            <w:rFonts w:ascii="Cambria Math" w:eastAsiaTheme="minorEastAsia" w:hAnsi="Cambria Math"/>
          </w:rPr>
          <m:t xml:space="preserve"> 1.42</m:t>
        </m:r>
      </m:oMath>
      <w:r w:rsidRPr="00DA1436">
        <w:rPr>
          <w:rFonts w:eastAsiaTheme="minorEastAsia"/>
        </w:rPr>
        <w:t xml:space="preserve"> and</w:t>
      </w:r>
      <w:r>
        <w:rPr>
          <w:rFonts w:eastAsiaTheme="minorEastAsia"/>
        </w:rPr>
        <w:t xml:space="preserve"> </w:t>
      </w:r>
      <m:oMath>
        <m:rad>
          <m:radPr>
            <m:degHide m:val="1"/>
            <m:ctrlPr>
              <w:rPr>
                <w:rFonts w:ascii="Cambria Math" w:eastAsiaTheme="minorEastAsia" w:hAnsi="Cambria Math"/>
                <w:i/>
              </w:rPr>
            </m:ctrlPr>
          </m:radPr>
          <m:deg/>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ACE</m:t>
                    </m:r>
                  </m:sub>
                </m:sSub>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CPO</m:t>
                    </m:r>
                  </m:sub>
                </m:sSub>
              </m:den>
            </m:f>
          </m:e>
        </m:rad>
      </m:oMath>
      <w:r w:rsidRPr="00DA1436">
        <w:rPr>
          <w:rFonts w:eastAsiaTheme="minorEastAsia"/>
        </w:rPr>
        <w:t xml:space="preserve"> </w:t>
      </w:r>
      <w:r>
        <w:rPr>
          <w:rFonts w:eastAsiaTheme="minorEastAsia"/>
        </w:rPr>
        <w:t xml:space="preserve"> as found for Z140 (</w:t>
      </w:r>
      <w:r w:rsidRPr="00DA1436">
        <w:rPr>
          <w:rFonts w:eastAsiaTheme="minorEastAsia"/>
        </w:rPr>
        <w:t>=1.1</w:t>
      </w:r>
      <w:r>
        <w:rPr>
          <w:rFonts w:eastAsiaTheme="minorEastAsia"/>
        </w:rPr>
        <w:t>)</w:t>
      </w:r>
      <w:r w:rsidRPr="00DA1436">
        <w:rPr>
          <w:rFonts w:eastAsiaTheme="minorEastAsia"/>
        </w:rPr>
        <w:t>.</w:t>
      </w:r>
      <w:r>
        <w:rPr>
          <w:rFonts w:eastAsiaTheme="minorEastAsia"/>
        </w:rPr>
        <w:t xml:space="preserve"> Taking the Thiele moduli ratio, </w:t>
      </w:r>
      <w:r w:rsidRPr="00DA1436">
        <w:rPr>
          <w:rFonts w:eastAsiaTheme="minorEastAsia"/>
        </w:rPr>
        <w:t xml:space="preserve"> </w:t>
      </w: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CPO</m:t>
                </m:r>
              </m:sub>
            </m:sSub>
          </m:num>
          <m:den>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ACE</m:t>
                </m:r>
              </m:sub>
            </m:sSub>
          </m:den>
        </m:f>
        <m:r>
          <w:rPr>
            <w:rFonts w:ascii="Cambria Math" w:eastAsiaTheme="minorEastAsia" w:hAnsi="Cambria Math"/>
          </w:rPr>
          <m:t>=1.42*1.1=1.56</m:t>
        </m:r>
      </m:oMath>
      <w:r>
        <w:rPr>
          <w:rFonts w:eastAsiaTheme="minorEastAsia"/>
        </w:rPr>
        <w:t xml:space="preserve">, which is also comparable with the found values, </w:t>
      </w: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CPO</m:t>
                </m:r>
              </m:sub>
            </m:sSub>
          </m:num>
          <m:den>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ACE</m:t>
                </m:r>
              </m:sub>
            </m:sSub>
          </m:den>
        </m:f>
        <m:r>
          <w:rPr>
            <w:rFonts w:ascii="Cambria Math" w:eastAsiaTheme="minorEastAsia" w:hAnsi="Cambria Math"/>
          </w:rPr>
          <m:t>=</m:t>
        </m:r>
      </m:oMath>
      <w:r>
        <w:rPr>
          <w:rFonts w:eastAsiaTheme="minorEastAsia"/>
        </w:rPr>
        <w:t xml:space="preserve"> 10.3/6.4 = 1.60.</w:t>
      </w:r>
    </w:p>
    <w:p w14:paraId="3147241E" w14:textId="7C98294B" w:rsidR="00A35A08" w:rsidRPr="00781787" w:rsidRDefault="00A35A08" w:rsidP="00B37A6A">
      <w:pPr>
        <w:spacing w:line="480" w:lineRule="auto"/>
        <w:jc w:val="both"/>
      </w:pPr>
      <w:r w:rsidRPr="009D55AB">
        <w:tab/>
        <w:t xml:space="preserve">Interestingly, as </w:t>
      </w:r>
      <w:r w:rsidRPr="00C80AAF">
        <w:t xml:space="preserve">shown in </w:t>
      </w:r>
      <w:r w:rsidRPr="00C80AAF">
        <w:rPr>
          <w:b/>
          <w:bCs/>
        </w:rPr>
        <w:t xml:space="preserve">Table </w:t>
      </w:r>
      <w:r w:rsidR="00263E12" w:rsidRPr="00C80AAF">
        <w:rPr>
          <w:b/>
          <w:bCs/>
        </w:rPr>
        <w:t>2</w:t>
      </w:r>
      <w:r w:rsidRPr="00C80AAF">
        <w:t>, the extrapolated</w:t>
      </w:r>
      <w:r w:rsidRPr="00DA1436">
        <w:t xml:space="preserve"> values of (TOF)</w:t>
      </w:r>
      <w:r w:rsidRPr="00DA1436">
        <w:rPr>
          <w:vertAlign w:val="subscript"/>
        </w:rPr>
        <w:t>max</w:t>
      </w:r>
      <w:r w:rsidRPr="00DA1436">
        <w:t xml:space="preserve"> for the self-condensation of CPO on </w:t>
      </w:r>
      <w:r>
        <w:t>Z140 and Z40 are</w:t>
      </w:r>
      <w:r w:rsidRPr="00DA1436">
        <w:t xml:space="preserve"> higher than that for ACE, but the opposite is true on Y30.  </w:t>
      </w:r>
      <w:r>
        <w:t xml:space="preserve">In ZSM5, both values for </w:t>
      </w:r>
      <w:r w:rsidRPr="00E57C6F">
        <w:rPr>
          <w:i/>
          <w:iCs/>
        </w:rPr>
        <w:t>r</w:t>
      </w:r>
      <w:r w:rsidRPr="00E57C6F">
        <w:rPr>
          <w:i/>
          <w:iCs/>
          <w:vertAlign w:val="subscript"/>
        </w:rPr>
        <w:t>max</w:t>
      </w:r>
      <w:r>
        <w:t xml:space="preserve"> in ACE are similar but there is a discrepancy in CPO. The higher (TOF)</w:t>
      </w:r>
      <w:r w:rsidRPr="00781787">
        <w:rPr>
          <w:vertAlign w:val="subscript"/>
        </w:rPr>
        <w:t>max</w:t>
      </w:r>
      <w:r>
        <w:t xml:space="preserve"> in Z40 can be attributed to the presence of pair sites as already reported in literature </w:t>
      </w:r>
      <w:r>
        <w:fldChar w:fldCharType="begin"/>
      </w:r>
      <w:r w:rsidR="00C54D4B">
        <w:instrText xml:space="preserve"> ADDIN EN.CITE &lt;EndNote&gt;&lt;Cite&gt;&lt;Author&gt;Xu&lt;/Author&gt;&lt;Year&gt;2020&lt;/Year&gt;&lt;RecNum&gt;87&lt;/RecNum&gt;&lt;DisplayText&gt;[149]&lt;/DisplayText&gt;&lt;record&gt;&lt;rec-number&gt;87&lt;/rec-number&gt;&lt;foreign-keys&gt;&lt;key app="EN" db-id="59dvwrfdof9dw8exf0kvp0atwazsazeeffsp" timestamp="1672247072"&gt;87&lt;/key&gt;&lt;/foreign-keys&gt;&lt;ref-type name="Journal Article"&gt;17&lt;/ref-type&gt;&lt;contributors&gt;&lt;authors&gt;&lt;author&gt;Yuebing Xu&lt;/author&gt;&lt;author&gt;Mengyao Chen&lt;/author&gt;&lt;author&gt;Ting Wang&lt;/author&gt;&lt;author&gt;Bing Liu&lt;/author&gt;&lt;author&gt;Feng Jiang&lt;/author&gt;&lt;author&gt;Xiaohao Liu&lt;/author&gt;&lt;/authors&gt;&lt;/contributors&gt;&lt;titles&gt;&lt;title&gt;Probing cobalt localization on HZSM-5 for efficient methane dehydroaromatization catalysts&lt;/title&gt;&lt;secondary-title&gt;Journal of Catalysis&lt;/secondary-title&gt;&lt;/titles&gt;&lt;periodical&gt;&lt;full-title&gt;Journal of Catalysis&lt;/full-title&gt;&lt;/periodical&gt;&lt;volume&gt;387&lt;/volume&gt;&lt;dates&gt;&lt;year&gt;2020&lt;/year&gt;&lt;/dates&gt;&lt;urls&gt;&lt;/urls&gt;&lt;electronic-resource-num&gt;https://doi.org/10.1016/j.jcat.2020.04.021&lt;/electronic-resource-num&gt;&lt;/record&gt;&lt;/Cite&gt;&lt;/EndNote&gt;</w:instrText>
      </w:r>
      <w:r>
        <w:fldChar w:fldCharType="separate"/>
      </w:r>
      <w:r w:rsidR="00C54D4B">
        <w:rPr>
          <w:noProof/>
        </w:rPr>
        <w:t>[</w:t>
      </w:r>
      <w:hyperlink w:anchor="_ENREF_149" w:tooltip="Xu, 2020 #87" w:history="1">
        <w:r w:rsidR="00D307FA">
          <w:rPr>
            <w:noProof/>
          </w:rPr>
          <w:t>149</w:t>
        </w:r>
      </w:hyperlink>
      <w:r w:rsidR="00C54D4B">
        <w:rPr>
          <w:noProof/>
        </w:rPr>
        <w:t>]</w:t>
      </w:r>
      <w:r>
        <w:fldChar w:fldCharType="end"/>
      </w:r>
      <w:r>
        <w:t>. There, cobalt was used to titrated Al pairs at low Si/Al ratio catalysts. Thus, here we assume their presence and influence over the catalytic activity of CPO but not for ACE.</w:t>
      </w:r>
    </w:p>
    <w:p w14:paraId="11416E77" w14:textId="77777777" w:rsidR="00A35A08" w:rsidRPr="00DA1436" w:rsidRDefault="00A35A08" w:rsidP="00B37A6A">
      <w:pPr>
        <w:spacing w:line="480" w:lineRule="auto"/>
        <w:jc w:val="both"/>
      </w:pPr>
      <w:r>
        <w:tab/>
        <w:t xml:space="preserve">The observed </w:t>
      </w:r>
      <w:r w:rsidRPr="00DA1436">
        <w:t xml:space="preserve">difference </w:t>
      </w:r>
      <w:r>
        <w:t xml:space="preserve">between the activity of ACE and CPO in ZSM5 and Y </w:t>
      </w:r>
      <w:r w:rsidRPr="00DA1436">
        <w:t xml:space="preserve">could be ascribed to the different confinement effects that these two reactants may be subjected to in the two zeolites. That is, in HY the active sites are located in the relatively large (13 Å) supercage, compared to the much smaller void space in the confined channels of ZSM5 (~ 5-5.5 Å). Such smaller voids seem to better interact with the intermediate species during the C-C bond formation and thus decrease the energy barrier needed for the </w:t>
      </w:r>
      <w:r w:rsidRPr="00DA1436">
        <w:lastRenderedPageBreak/>
        <w:t xml:space="preserve">product formation. Inside the supercage of faujasite these species do also fit, however the interaction between molecule-framework are not as pronounced as in MFI. </w:t>
      </w:r>
    </w:p>
    <w:p w14:paraId="16377D5C" w14:textId="48CAC491" w:rsidR="00A35A08" w:rsidRPr="00DA1436" w:rsidRDefault="00A35A08" w:rsidP="00B37A6A">
      <w:pPr>
        <w:spacing w:line="480" w:lineRule="auto"/>
        <w:jc w:val="both"/>
      </w:pPr>
      <w:r w:rsidRPr="00DA1436">
        <w:tab/>
        <w:t xml:space="preserve">In this regard, literature mentions a possibility of a change in the intermediate arrangement in order to react inside restricted confinements </w:t>
      </w:r>
      <w:r w:rsidRPr="00DA1436">
        <w:fldChar w:fldCharType="begin"/>
      </w:r>
      <w:r w:rsidR="00C54D4B">
        <w:instrText xml:space="preserve"> ADDIN EN.CITE &lt;EndNote&gt;&lt;Cite&gt;&lt;Author&gt;Li&lt;/Author&gt;&lt;Year&gt;2021&lt;/Year&gt;&lt;RecNum&gt;20&lt;/RecNum&gt;&lt;DisplayText&gt;[150]&lt;/DisplayText&gt;&lt;record&gt;&lt;rec-number&gt;20&lt;/rec-number&gt;&lt;foreign-keys&gt;&lt;key app="EN" db-id="59dvwrfdof9dw8exf0kvp0atwazsazeeffsp" timestamp="1668378527"&gt;20&lt;/key&gt;&lt;/foreign-keys&gt;&lt;ref-type name="Journal Article"&gt;17&lt;/ref-type&gt;&lt;contributors&gt;&lt;authors&gt;&lt;author&gt;Chengeng Li&lt;/author&gt;&lt;author&gt;Pau Ferri&lt;/author&gt;&lt;author&gt;Cecilia Paris&lt;/author&gt;&lt;author&gt;Manuel Moliner&lt;/author&gt;&lt;author&gt;Mercedes Boronat&lt;/author&gt;&lt;author&gt;Avelino Corma&lt;/author&gt;&lt;/authors&gt;&lt;/contributors&gt;&lt;titles&gt;&lt;title&gt;Design and Synthesis of the Active Site Environment in Zeolite Catalysts for Selectively Manipulating Mechanistic Pathways&lt;/title&gt;&lt;secondary-title&gt;Journal of the American Chemical Society &lt;/secondary-title&gt;&lt;/titles&gt;&lt;pages&gt;10718-10726&lt;/pages&gt;&lt;volume&gt;143&lt;/volume&gt;&lt;dates&gt;&lt;year&gt;2021&lt;/year&gt;&lt;/dates&gt;&lt;urls&gt;&lt;/urls&gt;&lt;electronic-resource-num&gt;https://doi.org/10.1021/jacs.1c04818&lt;/electronic-resource-num&gt;&lt;/record&gt;&lt;/Cite&gt;&lt;/EndNote&gt;</w:instrText>
      </w:r>
      <w:r w:rsidRPr="00DA1436">
        <w:fldChar w:fldCharType="separate"/>
      </w:r>
      <w:r w:rsidR="00C54D4B">
        <w:rPr>
          <w:noProof/>
        </w:rPr>
        <w:t>[</w:t>
      </w:r>
      <w:hyperlink w:anchor="_ENREF_150" w:tooltip="Li, 2021 #20" w:history="1">
        <w:r w:rsidR="00D307FA">
          <w:rPr>
            <w:noProof/>
          </w:rPr>
          <w:t>150</w:t>
        </w:r>
      </w:hyperlink>
      <w:r w:rsidR="00C54D4B">
        <w:rPr>
          <w:noProof/>
        </w:rPr>
        <w:t>]</w:t>
      </w:r>
      <w:r w:rsidRPr="00DA1436">
        <w:fldChar w:fldCharType="end"/>
      </w:r>
      <w:r w:rsidRPr="00DA1436">
        <w:t xml:space="preserve">. </w:t>
      </w:r>
      <w:r w:rsidR="0018788D">
        <w:t>A</w:t>
      </w:r>
      <w:r w:rsidRPr="00DA1436">
        <w:t xml:space="preserve"> computational calculations</w:t>
      </w:r>
      <w:r w:rsidR="0018788D">
        <w:t xml:space="preserve"> analysis</w:t>
      </w:r>
      <w:r w:rsidRPr="00DA1436">
        <w:t xml:space="preserve"> of the high energy transition states (TS) related to the rate limiting step of transalkylation of diethylbenzene and benzene inside of a synthesized IWV and MOR. The main difference observed was a geometry distortion in the transition states molecules resulting in a higher energy barrier inside of the confined voids of MOR. In IWV the molecule had a more optimized arrangement and also better interaction with the framework which contributed to its higher turnover rate when compared to MOR. Such analysis if applied and hypothesized in the case of self-condensation of ACE and CPO in MFI and FAU could lead to two discussions: no change in the TS conformation inside of a confined void and change in the conformation. Due to the smaller size of ACE and its intermediates, it is plausible to imply that no change in conformation exists and that diffusion is major impact factor in both zeolites. Its high 4.7 Thiele modulus in HY compared to &lt;0.1 for CPO supports this concept. A further explanation on trimer formation will later be discussed. Differently, in CPO, one might expect a more confined environment causes a change in the intermediate configuration to fit inside MFI voids. This distorted intermediate requires a higher energy to compensate its configuration change, plus the energy to overcome the barrier for the product formation. But seems that the interaction with the structure confined walls pays off such difference and shows a larger turnover rate when compared to ACE, both in true and measured rate. In FAU, the intermediate inside the large voids of supercage may have a more stable conformation but does not seem to </w:t>
      </w:r>
      <w:r w:rsidRPr="00DA1436">
        <w:lastRenderedPageBreak/>
        <w:t>have a stronger confinement effect as compared to MFI. Oppositely, if no change of conformation is seen in CPO, the sole influence of confinement effect and easier diffusion is the explanation for the observed values in both MFI and FAU as previously discussed.</w:t>
      </w:r>
    </w:p>
    <w:p w14:paraId="69D0F9C0" w14:textId="7D51C7CA" w:rsidR="00A35A08" w:rsidRPr="002207CB" w:rsidRDefault="00A35A08" w:rsidP="00B37A6A">
      <w:pPr>
        <w:spacing w:line="480" w:lineRule="auto"/>
        <w:jc w:val="both"/>
        <w:rPr>
          <w:color w:val="000000" w:themeColor="text1"/>
        </w:rPr>
      </w:pPr>
      <w:r w:rsidRPr="00DA1436">
        <w:tab/>
        <w:t xml:space="preserve">Other interesting result is selectivity of dimer and trimer in the self-aldol condensation of </w:t>
      </w:r>
      <w:r w:rsidRPr="003F5469">
        <w:t xml:space="preserve">ACE and CPO in the two series of </w:t>
      </w:r>
      <w:r w:rsidRPr="00C80AAF">
        <w:t xml:space="preserve">zeolites. </w:t>
      </w:r>
      <w:r w:rsidRPr="00C80AAF">
        <w:rPr>
          <w:b/>
          <w:bCs/>
        </w:rPr>
        <w:t>Table 3</w:t>
      </w:r>
      <w:r w:rsidRPr="00C80AAF">
        <w:t xml:space="preserve"> shows</w:t>
      </w:r>
      <w:r w:rsidRPr="00DA1436">
        <w:t xml:space="preserve"> the contributions of the dimer and trimer in ACE product selectivity, and it is clear that in zeolite Y it significantly impacts the consumption rate whereas in ZSM5 it is considered negligible. The already discuss</w:t>
      </w:r>
      <w:r w:rsidR="00114F33">
        <w:t>ed</w:t>
      </w:r>
      <w:r w:rsidRPr="00DA1436">
        <w:t xml:space="preserve"> high diffusion rate</w:t>
      </w:r>
      <w:r w:rsidR="00114F33">
        <w:t>s</w:t>
      </w:r>
      <w:r w:rsidRPr="00DA1436">
        <w:t xml:space="preserve"> of ACE inside </w:t>
      </w:r>
      <w:r w:rsidRPr="00DA1436">
        <w:rPr>
          <w:color w:val="000000" w:themeColor="text1"/>
        </w:rPr>
        <w:t xml:space="preserve">FAU structure influence such result because as the dimer is formed a nearby ACE molecule will be present and will further react to form the trimer. Not only that, the supercage allows its formation and seems to do not offer steric restrictions for its larger size. As conversions drops its contribution to ACE consumption does so just because the dimer presence influences its rate of formation. </w:t>
      </w:r>
      <w:r w:rsidR="004C0ECD" w:rsidRPr="00C80AAF">
        <w:rPr>
          <w:color w:val="000000" w:themeColor="text1"/>
        </w:rPr>
        <w:t>A</w:t>
      </w:r>
      <w:r w:rsidRPr="00C80AAF">
        <w:rPr>
          <w:color w:val="000000" w:themeColor="text1"/>
        </w:rPr>
        <w:t xml:space="preserve">ccording </w:t>
      </w:r>
      <w:r w:rsidRPr="00C80AAF">
        <w:t xml:space="preserve">to </w:t>
      </w:r>
      <w:r w:rsidRPr="00C80AAF">
        <w:rPr>
          <w:b/>
          <w:bCs/>
        </w:rPr>
        <w:t xml:space="preserve">Figure </w:t>
      </w:r>
      <w:r w:rsidR="007D27D3" w:rsidRPr="00C80AAF">
        <w:rPr>
          <w:b/>
          <w:bCs/>
        </w:rPr>
        <w:t>26</w:t>
      </w:r>
      <w:r w:rsidRPr="00C80AAF">
        <w:t xml:space="preserve"> </w:t>
      </w:r>
      <w:r w:rsidRPr="00C80AAF">
        <w:rPr>
          <w:color w:val="000000" w:themeColor="text1"/>
        </w:rPr>
        <w:t>it seems that</w:t>
      </w:r>
      <w:r w:rsidRPr="00DA1436">
        <w:rPr>
          <w:color w:val="000000" w:themeColor="text1"/>
        </w:rPr>
        <w:t xml:space="preserve"> the trimer formation has a second order or higher dependence on ACE concentration/consumption</w:t>
      </w:r>
      <w:r w:rsidR="004C0ECD">
        <w:rPr>
          <w:color w:val="000000" w:themeColor="text1"/>
        </w:rPr>
        <w:t>, but no kinetic study was finely performed about this matter due to purpose of this work</w:t>
      </w:r>
      <w:r w:rsidRPr="00DA1436">
        <w:rPr>
          <w:color w:val="000000" w:themeColor="text1"/>
        </w:rPr>
        <w:t>.</w:t>
      </w:r>
    </w:p>
    <w:p w14:paraId="110A37F5" w14:textId="0238A07D" w:rsidR="00A35A08" w:rsidRPr="002207CB" w:rsidRDefault="00A35A08" w:rsidP="00B37A6A">
      <w:pPr>
        <w:pStyle w:val="Caption"/>
        <w:keepNext/>
        <w:rPr>
          <w:i w:val="0"/>
          <w:iCs w:val="0"/>
          <w:color w:val="auto"/>
          <w:sz w:val="24"/>
          <w:szCs w:val="24"/>
        </w:rPr>
      </w:pPr>
      <w:bookmarkStart w:id="55" w:name="_Toc131948654"/>
      <w:r w:rsidRPr="002207CB">
        <w:rPr>
          <w:b/>
          <w:bCs/>
          <w:i w:val="0"/>
          <w:iCs w:val="0"/>
          <w:color w:val="auto"/>
          <w:sz w:val="24"/>
          <w:szCs w:val="24"/>
        </w:rPr>
        <w:t xml:space="preserve">Table </w:t>
      </w:r>
      <w:r w:rsidRPr="002207CB">
        <w:rPr>
          <w:b/>
          <w:bCs/>
          <w:i w:val="0"/>
          <w:iCs w:val="0"/>
          <w:color w:val="auto"/>
          <w:sz w:val="24"/>
          <w:szCs w:val="24"/>
        </w:rPr>
        <w:fldChar w:fldCharType="begin"/>
      </w:r>
      <w:r w:rsidRPr="002207CB">
        <w:rPr>
          <w:b/>
          <w:bCs/>
          <w:i w:val="0"/>
          <w:iCs w:val="0"/>
          <w:color w:val="auto"/>
          <w:sz w:val="24"/>
          <w:szCs w:val="24"/>
        </w:rPr>
        <w:instrText xml:space="preserve"> SEQ Table \* ARABIC </w:instrText>
      </w:r>
      <w:r w:rsidRPr="002207CB">
        <w:rPr>
          <w:b/>
          <w:bCs/>
          <w:i w:val="0"/>
          <w:iCs w:val="0"/>
          <w:color w:val="auto"/>
          <w:sz w:val="24"/>
          <w:szCs w:val="24"/>
        </w:rPr>
        <w:fldChar w:fldCharType="separate"/>
      </w:r>
      <w:r w:rsidR="001F4741">
        <w:rPr>
          <w:b/>
          <w:bCs/>
          <w:i w:val="0"/>
          <w:iCs w:val="0"/>
          <w:noProof/>
          <w:color w:val="auto"/>
          <w:sz w:val="24"/>
          <w:szCs w:val="24"/>
        </w:rPr>
        <w:t>3</w:t>
      </w:r>
      <w:r w:rsidRPr="002207CB">
        <w:rPr>
          <w:b/>
          <w:bCs/>
          <w:i w:val="0"/>
          <w:iCs w:val="0"/>
          <w:color w:val="auto"/>
          <w:sz w:val="24"/>
          <w:szCs w:val="24"/>
        </w:rPr>
        <w:fldChar w:fldCharType="end"/>
      </w:r>
      <w:r w:rsidRPr="002207CB">
        <w:rPr>
          <w:b/>
          <w:bCs/>
          <w:i w:val="0"/>
          <w:iCs w:val="0"/>
          <w:color w:val="auto"/>
          <w:sz w:val="24"/>
          <w:szCs w:val="24"/>
        </w:rPr>
        <w:t>:</w:t>
      </w:r>
      <w:r w:rsidRPr="002207CB">
        <w:rPr>
          <w:i w:val="0"/>
          <w:iCs w:val="0"/>
          <w:color w:val="auto"/>
          <w:sz w:val="24"/>
          <w:szCs w:val="24"/>
        </w:rPr>
        <w:t xml:space="preserve"> Dimer and trimer selectivity comparison in self-condensation of both ACE and CPO</w:t>
      </w:r>
      <w:bookmarkEnd w:id="55"/>
    </w:p>
    <w:tbl>
      <w:tblPr>
        <w:tblW w:w="7910" w:type="dxa"/>
        <w:tblLook w:val="04A0" w:firstRow="1" w:lastRow="0" w:firstColumn="1" w:lastColumn="0" w:noHBand="0" w:noVBand="1"/>
      </w:tblPr>
      <w:tblGrid>
        <w:gridCol w:w="1090"/>
        <w:gridCol w:w="1880"/>
        <w:gridCol w:w="1371"/>
        <w:gridCol w:w="942"/>
        <w:gridCol w:w="1323"/>
        <w:gridCol w:w="1304"/>
      </w:tblGrid>
      <w:tr w:rsidR="00A35A08" w:rsidRPr="00DA1436" w14:paraId="7B3F03E4" w14:textId="77777777" w:rsidTr="00974715">
        <w:trPr>
          <w:trHeight w:val="346"/>
        </w:trPr>
        <w:tc>
          <w:tcPr>
            <w:tcW w:w="297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011797C" w14:textId="77777777" w:rsidR="00A35A08" w:rsidRPr="00DA1436" w:rsidRDefault="00A35A08" w:rsidP="00B37A6A">
            <w:pPr>
              <w:jc w:val="center"/>
              <w:rPr>
                <w:color w:val="000000"/>
              </w:rPr>
            </w:pPr>
            <w:r w:rsidRPr="00DA1436">
              <w:rPr>
                <w:color w:val="000000"/>
              </w:rPr>
              <w:t>Self-condensation Products</w:t>
            </w:r>
          </w:p>
        </w:tc>
        <w:tc>
          <w:tcPr>
            <w:tcW w:w="1371" w:type="dxa"/>
            <w:tcBorders>
              <w:top w:val="single" w:sz="4" w:space="0" w:color="auto"/>
              <w:left w:val="nil"/>
              <w:bottom w:val="single" w:sz="4" w:space="0" w:color="auto"/>
              <w:right w:val="nil"/>
            </w:tcBorders>
            <w:vAlign w:val="center"/>
          </w:tcPr>
          <w:p w14:paraId="496E6ED3" w14:textId="77777777" w:rsidR="00A35A08" w:rsidRPr="00DA1436" w:rsidRDefault="00A35A08" w:rsidP="00B37A6A">
            <w:pPr>
              <w:jc w:val="center"/>
            </w:pPr>
            <w:r w:rsidRPr="00DA1436">
              <w:t>Conversion</w:t>
            </w:r>
          </w:p>
        </w:tc>
        <w:tc>
          <w:tcPr>
            <w:tcW w:w="942" w:type="dxa"/>
            <w:tcBorders>
              <w:top w:val="single" w:sz="4" w:space="0" w:color="auto"/>
              <w:left w:val="nil"/>
              <w:bottom w:val="single" w:sz="4" w:space="0" w:color="auto"/>
              <w:right w:val="dotted" w:sz="4" w:space="0" w:color="auto"/>
            </w:tcBorders>
            <w:shd w:val="clear" w:color="auto" w:fill="auto"/>
            <w:noWrap/>
            <w:vAlign w:val="center"/>
            <w:hideMark/>
          </w:tcPr>
          <w:p w14:paraId="2C9E7A42" w14:textId="77777777" w:rsidR="00A35A08" w:rsidRPr="00DA1436" w:rsidRDefault="00A35A08" w:rsidP="00B37A6A">
            <w:pPr>
              <w:jc w:val="center"/>
              <w:rPr>
                <w:color w:val="000000"/>
              </w:rPr>
            </w:pPr>
            <w:r w:rsidRPr="00DA1436">
              <w:rPr>
                <w:color w:val="000000"/>
              </w:rPr>
              <w:t>Y</w:t>
            </w:r>
            <w:r>
              <w:rPr>
                <w:color w:val="000000"/>
              </w:rPr>
              <w:t>30</w:t>
            </w:r>
          </w:p>
        </w:tc>
        <w:tc>
          <w:tcPr>
            <w:tcW w:w="1323" w:type="dxa"/>
            <w:tcBorders>
              <w:top w:val="single" w:sz="4" w:space="0" w:color="auto"/>
              <w:left w:val="dotted" w:sz="4" w:space="0" w:color="auto"/>
              <w:bottom w:val="single" w:sz="4" w:space="0" w:color="auto"/>
              <w:right w:val="nil"/>
            </w:tcBorders>
            <w:vAlign w:val="center"/>
          </w:tcPr>
          <w:p w14:paraId="56C4F524" w14:textId="77777777" w:rsidR="00A35A08" w:rsidRPr="00DA1436" w:rsidRDefault="00A35A08" w:rsidP="00B37A6A">
            <w:pPr>
              <w:jc w:val="center"/>
              <w:rPr>
                <w:color w:val="000000"/>
              </w:rPr>
            </w:pPr>
            <w:r w:rsidRPr="00DA1436">
              <w:rPr>
                <w:color w:val="000000"/>
              </w:rPr>
              <w:t>Conversion</w:t>
            </w:r>
          </w:p>
        </w:tc>
        <w:tc>
          <w:tcPr>
            <w:tcW w:w="1304" w:type="dxa"/>
            <w:tcBorders>
              <w:top w:val="single" w:sz="4" w:space="0" w:color="auto"/>
              <w:left w:val="nil"/>
              <w:bottom w:val="single" w:sz="4" w:space="0" w:color="auto"/>
              <w:right w:val="nil"/>
            </w:tcBorders>
            <w:shd w:val="clear" w:color="auto" w:fill="auto"/>
            <w:noWrap/>
            <w:vAlign w:val="center"/>
            <w:hideMark/>
          </w:tcPr>
          <w:p w14:paraId="5CFD44A3" w14:textId="77777777" w:rsidR="00A35A08" w:rsidRPr="00DA1436" w:rsidRDefault="00A35A08" w:rsidP="00B37A6A">
            <w:pPr>
              <w:jc w:val="center"/>
              <w:rPr>
                <w:color w:val="000000"/>
              </w:rPr>
            </w:pPr>
            <w:r w:rsidRPr="00DA1436">
              <w:rPr>
                <w:color w:val="000000"/>
              </w:rPr>
              <w:t>Z140</w:t>
            </w:r>
          </w:p>
        </w:tc>
      </w:tr>
      <w:tr w:rsidR="00A35A08" w:rsidRPr="00DA1436" w14:paraId="43CDCC7B" w14:textId="77777777" w:rsidTr="00974715">
        <w:trPr>
          <w:trHeight w:val="346"/>
        </w:trPr>
        <w:tc>
          <w:tcPr>
            <w:tcW w:w="1090" w:type="dxa"/>
            <w:vMerge w:val="restart"/>
            <w:tcBorders>
              <w:top w:val="nil"/>
              <w:left w:val="nil"/>
              <w:bottom w:val="single" w:sz="4" w:space="0" w:color="000000"/>
              <w:right w:val="nil"/>
            </w:tcBorders>
            <w:shd w:val="clear" w:color="auto" w:fill="auto"/>
            <w:noWrap/>
            <w:vAlign w:val="center"/>
            <w:hideMark/>
          </w:tcPr>
          <w:p w14:paraId="3B854A7F" w14:textId="77777777" w:rsidR="00A35A08" w:rsidRPr="00DA1436" w:rsidRDefault="00A35A08" w:rsidP="00B37A6A">
            <w:pPr>
              <w:jc w:val="center"/>
              <w:rPr>
                <w:color w:val="000000"/>
              </w:rPr>
            </w:pPr>
            <w:r w:rsidRPr="00DA1436">
              <w:rPr>
                <w:color w:val="000000"/>
              </w:rPr>
              <w:t>ACE</w:t>
            </w:r>
          </w:p>
        </w:tc>
        <w:tc>
          <w:tcPr>
            <w:tcW w:w="1880" w:type="dxa"/>
            <w:tcBorders>
              <w:top w:val="nil"/>
              <w:left w:val="nil"/>
              <w:bottom w:val="nil"/>
              <w:right w:val="single" w:sz="4" w:space="0" w:color="auto"/>
            </w:tcBorders>
            <w:shd w:val="clear" w:color="auto" w:fill="auto"/>
            <w:noWrap/>
            <w:vAlign w:val="center"/>
            <w:hideMark/>
          </w:tcPr>
          <w:p w14:paraId="0387CFF8" w14:textId="77777777" w:rsidR="00A35A08" w:rsidRPr="00DA1436" w:rsidRDefault="00A35A08" w:rsidP="00B37A6A">
            <w:pPr>
              <w:jc w:val="center"/>
              <w:rPr>
                <w:color w:val="000000"/>
              </w:rPr>
            </w:pPr>
            <w:r w:rsidRPr="00DA1436">
              <w:rPr>
                <w:color w:val="000000"/>
              </w:rPr>
              <w:t>[A]A</w:t>
            </w:r>
          </w:p>
        </w:tc>
        <w:tc>
          <w:tcPr>
            <w:tcW w:w="1371" w:type="dxa"/>
            <w:vMerge w:val="restart"/>
            <w:tcBorders>
              <w:top w:val="nil"/>
              <w:left w:val="nil"/>
              <w:right w:val="nil"/>
            </w:tcBorders>
            <w:vAlign w:val="center"/>
          </w:tcPr>
          <w:p w14:paraId="0C420ACE" w14:textId="77777777" w:rsidR="00A35A08" w:rsidRPr="00DA1436" w:rsidRDefault="00A35A08" w:rsidP="00B37A6A">
            <w:pPr>
              <w:jc w:val="center"/>
            </w:pPr>
            <w:r w:rsidRPr="00DA1436">
              <w:t>9.0%</w:t>
            </w:r>
          </w:p>
        </w:tc>
        <w:tc>
          <w:tcPr>
            <w:tcW w:w="942" w:type="dxa"/>
            <w:tcBorders>
              <w:top w:val="nil"/>
              <w:left w:val="nil"/>
              <w:bottom w:val="nil"/>
              <w:right w:val="dotted" w:sz="4" w:space="0" w:color="auto"/>
            </w:tcBorders>
            <w:shd w:val="clear" w:color="auto" w:fill="auto"/>
            <w:noWrap/>
            <w:vAlign w:val="center"/>
            <w:hideMark/>
          </w:tcPr>
          <w:p w14:paraId="5CA52CAB" w14:textId="77777777" w:rsidR="00A35A08" w:rsidRPr="00DA1436" w:rsidRDefault="00A35A08" w:rsidP="00B37A6A">
            <w:pPr>
              <w:jc w:val="center"/>
              <w:rPr>
                <w:color w:val="000000"/>
              </w:rPr>
            </w:pPr>
            <w:r w:rsidRPr="00DA1436">
              <w:rPr>
                <w:color w:val="000000"/>
              </w:rPr>
              <w:t>54%</w:t>
            </w:r>
          </w:p>
        </w:tc>
        <w:tc>
          <w:tcPr>
            <w:tcW w:w="1323" w:type="dxa"/>
            <w:vMerge w:val="restart"/>
            <w:tcBorders>
              <w:top w:val="nil"/>
              <w:left w:val="dotted" w:sz="4" w:space="0" w:color="auto"/>
              <w:right w:val="nil"/>
            </w:tcBorders>
            <w:vAlign w:val="center"/>
          </w:tcPr>
          <w:p w14:paraId="47AF7FED" w14:textId="77777777" w:rsidR="00A35A08" w:rsidRPr="00DA1436" w:rsidRDefault="00A35A08" w:rsidP="00B37A6A">
            <w:pPr>
              <w:jc w:val="center"/>
              <w:rPr>
                <w:color w:val="000000"/>
              </w:rPr>
            </w:pPr>
            <w:r w:rsidRPr="00DA1436">
              <w:rPr>
                <w:color w:val="000000"/>
              </w:rPr>
              <w:t>2.0%</w:t>
            </w:r>
          </w:p>
        </w:tc>
        <w:tc>
          <w:tcPr>
            <w:tcW w:w="1304" w:type="dxa"/>
            <w:tcBorders>
              <w:top w:val="nil"/>
              <w:left w:val="nil"/>
              <w:bottom w:val="nil"/>
              <w:right w:val="nil"/>
            </w:tcBorders>
            <w:shd w:val="clear" w:color="auto" w:fill="auto"/>
            <w:noWrap/>
            <w:vAlign w:val="center"/>
            <w:hideMark/>
          </w:tcPr>
          <w:p w14:paraId="32CB7ED7" w14:textId="77777777" w:rsidR="00A35A08" w:rsidRPr="00DA1436" w:rsidRDefault="00A35A08" w:rsidP="00B37A6A">
            <w:pPr>
              <w:jc w:val="center"/>
              <w:rPr>
                <w:color w:val="000000"/>
              </w:rPr>
            </w:pPr>
            <w:r w:rsidRPr="00DA1436">
              <w:rPr>
                <w:color w:val="000000"/>
              </w:rPr>
              <w:t>100%</w:t>
            </w:r>
          </w:p>
        </w:tc>
      </w:tr>
      <w:tr w:rsidR="00A35A08" w:rsidRPr="00DA1436" w14:paraId="516A48F7" w14:textId="77777777" w:rsidTr="00974715">
        <w:trPr>
          <w:trHeight w:val="346"/>
        </w:trPr>
        <w:tc>
          <w:tcPr>
            <w:tcW w:w="1090" w:type="dxa"/>
            <w:vMerge/>
            <w:tcBorders>
              <w:top w:val="nil"/>
              <w:left w:val="nil"/>
              <w:bottom w:val="single" w:sz="4" w:space="0" w:color="000000"/>
              <w:right w:val="nil"/>
            </w:tcBorders>
            <w:vAlign w:val="center"/>
            <w:hideMark/>
          </w:tcPr>
          <w:p w14:paraId="492A645F" w14:textId="77777777" w:rsidR="00A35A08" w:rsidRPr="00DA1436" w:rsidRDefault="00A35A08" w:rsidP="00B37A6A">
            <w:pPr>
              <w:jc w:val="center"/>
              <w:rPr>
                <w:color w:val="000000"/>
              </w:rPr>
            </w:pPr>
          </w:p>
        </w:tc>
        <w:tc>
          <w:tcPr>
            <w:tcW w:w="1880" w:type="dxa"/>
            <w:tcBorders>
              <w:top w:val="nil"/>
              <w:left w:val="nil"/>
              <w:bottom w:val="single" w:sz="4" w:space="0" w:color="auto"/>
              <w:right w:val="single" w:sz="4" w:space="0" w:color="auto"/>
            </w:tcBorders>
            <w:shd w:val="clear" w:color="auto" w:fill="auto"/>
            <w:noWrap/>
            <w:vAlign w:val="center"/>
            <w:hideMark/>
          </w:tcPr>
          <w:p w14:paraId="7A597A9B" w14:textId="77777777" w:rsidR="00A35A08" w:rsidRPr="00DA1436" w:rsidRDefault="00A35A08" w:rsidP="00B37A6A">
            <w:pPr>
              <w:jc w:val="center"/>
              <w:rPr>
                <w:color w:val="000000"/>
              </w:rPr>
            </w:pPr>
            <w:r w:rsidRPr="00DA1436">
              <w:rPr>
                <w:color w:val="000000"/>
              </w:rPr>
              <w:t>A[A]A</w:t>
            </w:r>
          </w:p>
        </w:tc>
        <w:tc>
          <w:tcPr>
            <w:tcW w:w="1371" w:type="dxa"/>
            <w:vMerge/>
            <w:tcBorders>
              <w:left w:val="nil"/>
              <w:bottom w:val="single" w:sz="4" w:space="0" w:color="auto"/>
              <w:right w:val="nil"/>
            </w:tcBorders>
            <w:vAlign w:val="center"/>
          </w:tcPr>
          <w:p w14:paraId="55C1944D" w14:textId="77777777" w:rsidR="00A35A08" w:rsidRPr="00DA1436" w:rsidRDefault="00A35A08" w:rsidP="00B37A6A">
            <w:pPr>
              <w:jc w:val="center"/>
            </w:pPr>
          </w:p>
        </w:tc>
        <w:tc>
          <w:tcPr>
            <w:tcW w:w="942" w:type="dxa"/>
            <w:tcBorders>
              <w:top w:val="nil"/>
              <w:left w:val="nil"/>
              <w:bottom w:val="single" w:sz="4" w:space="0" w:color="auto"/>
              <w:right w:val="dotted" w:sz="4" w:space="0" w:color="auto"/>
            </w:tcBorders>
            <w:shd w:val="clear" w:color="auto" w:fill="auto"/>
            <w:noWrap/>
            <w:vAlign w:val="center"/>
            <w:hideMark/>
          </w:tcPr>
          <w:p w14:paraId="7E6341E2" w14:textId="77777777" w:rsidR="00A35A08" w:rsidRPr="00DA1436" w:rsidRDefault="00A35A08" w:rsidP="00B37A6A">
            <w:pPr>
              <w:jc w:val="center"/>
              <w:rPr>
                <w:color w:val="000000"/>
              </w:rPr>
            </w:pPr>
            <w:r w:rsidRPr="00DA1436">
              <w:rPr>
                <w:color w:val="000000"/>
              </w:rPr>
              <w:t>46%</w:t>
            </w:r>
          </w:p>
        </w:tc>
        <w:tc>
          <w:tcPr>
            <w:tcW w:w="1323" w:type="dxa"/>
            <w:vMerge/>
            <w:tcBorders>
              <w:left w:val="dotted" w:sz="4" w:space="0" w:color="auto"/>
              <w:bottom w:val="single" w:sz="4" w:space="0" w:color="auto"/>
              <w:right w:val="nil"/>
            </w:tcBorders>
            <w:vAlign w:val="center"/>
          </w:tcPr>
          <w:p w14:paraId="40E37B3B" w14:textId="77777777" w:rsidR="00A35A08" w:rsidRPr="00DA1436" w:rsidRDefault="00A35A08" w:rsidP="00B37A6A">
            <w:pPr>
              <w:jc w:val="center"/>
              <w:rPr>
                <w:color w:val="000000"/>
              </w:rPr>
            </w:pPr>
          </w:p>
        </w:tc>
        <w:tc>
          <w:tcPr>
            <w:tcW w:w="1304" w:type="dxa"/>
            <w:tcBorders>
              <w:top w:val="nil"/>
              <w:left w:val="nil"/>
              <w:bottom w:val="single" w:sz="4" w:space="0" w:color="auto"/>
              <w:right w:val="nil"/>
            </w:tcBorders>
            <w:shd w:val="clear" w:color="auto" w:fill="auto"/>
            <w:noWrap/>
            <w:vAlign w:val="center"/>
            <w:hideMark/>
          </w:tcPr>
          <w:p w14:paraId="71FB5149" w14:textId="77777777" w:rsidR="00A35A08" w:rsidRPr="00DA1436" w:rsidRDefault="00A35A08" w:rsidP="00B37A6A">
            <w:pPr>
              <w:jc w:val="center"/>
              <w:rPr>
                <w:color w:val="000000"/>
              </w:rPr>
            </w:pPr>
            <w:r w:rsidRPr="00DA1436">
              <w:rPr>
                <w:color w:val="000000"/>
              </w:rPr>
              <w:t>0%</w:t>
            </w:r>
          </w:p>
        </w:tc>
      </w:tr>
      <w:tr w:rsidR="00A35A08" w:rsidRPr="00DA1436" w14:paraId="0BA05134" w14:textId="77777777" w:rsidTr="00974715">
        <w:trPr>
          <w:trHeight w:val="346"/>
        </w:trPr>
        <w:tc>
          <w:tcPr>
            <w:tcW w:w="1090" w:type="dxa"/>
            <w:vMerge w:val="restart"/>
            <w:tcBorders>
              <w:top w:val="nil"/>
              <w:left w:val="nil"/>
              <w:bottom w:val="single" w:sz="4" w:space="0" w:color="000000"/>
              <w:right w:val="nil"/>
            </w:tcBorders>
            <w:shd w:val="clear" w:color="auto" w:fill="auto"/>
            <w:noWrap/>
            <w:vAlign w:val="center"/>
            <w:hideMark/>
          </w:tcPr>
          <w:p w14:paraId="757E17D9" w14:textId="77777777" w:rsidR="00A35A08" w:rsidRPr="00DA1436" w:rsidRDefault="00A35A08" w:rsidP="00B37A6A">
            <w:pPr>
              <w:jc w:val="center"/>
              <w:rPr>
                <w:color w:val="000000"/>
              </w:rPr>
            </w:pPr>
            <w:r w:rsidRPr="00DA1436">
              <w:rPr>
                <w:color w:val="000000"/>
              </w:rPr>
              <w:t>CPO</w:t>
            </w:r>
          </w:p>
        </w:tc>
        <w:tc>
          <w:tcPr>
            <w:tcW w:w="1880" w:type="dxa"/>
            <w:tcBorders>
              <w:top w:val="nil"/>
              <w:left w:val="nil"/>
              <w:bottom w:val="nil"/>
              <w:right w:val="single" w:sz="4" w:space="0" w:color="auto"/>
            </w:tcBorders>
            <w:shd w:val="clear" w:color="auto" w:fill="auto"/>
            <w:noWrap/>
            <w:vAlign w:val="center"/>
            <w:hideMark/>
          </w:tcPr>
          <w:p w14:paraId="0165E429" w14:textId="77777777" w:rsidR="00A35A08" w:rsidRPr="00DA1436" w:rsidRDefault="00A35A08" w:rsidP="00B37A6A">
            <w:pPr>
              <w:jc w:val="center"/>
              <w:rPr>
                <w:color w:val="000000"/>
              </w:rPr>
            </w:pPr>
            <w:r w:rsidRPr="00DA1436">
              <w:rPr>
                <w:color w:val="000000"/>
              </w:rPr>
              <w:t>[C]C</w:t>
            </w:r>
          </w:p>
        </w:tc>
        <w:tc>
          <w:tcPr>
            <w:tcW w:w="1371" w:type="dxa"/>
            <w:vMerge w:val="restart"/>
            <w:tcBorders>
              <w:top w:val="nil"/>
              <w:left w:val="nil"/>
              <w:right w:val="nil"/>
            </w:tcBorders>
            <w:vAlign w:val="center"/>
          </w:tcPr>
          <w:p w14:paraId="3CEEA3FB" w14:textId="77777777" w:rsidR="00A35A08" w:rsidRPr="00DA1436" w:rsidRDefault="00A35A08" w:rsidP="00B37A6A">
            <w:pPr>
              <w:jc w:val="center"/>
            </w:pPr>
            <w:r w:rsidRPr="00DA1436">
              <w:t>5.6%</w:t>
            </w:r>
          </w:p>
        </w:tc>
        <w:tc>
          <w:tcPr>
            <w:tcW w:w="942" w:type="dxa"/>
            <w:tcBorders>
              <w:top w:val="nil"/>
              <w:left w:val="nil"/>
              <w:bottom w:val="nil"/>
              <w:right w:val="dotted" w:sz="4" w:space="0" w:color="auto"/>
            </w:tcBorders>
            <w:shd w:val="clear" w:color="auto" w:fill="auto"/>
            <w:noWrap/>
            <w:vAlign w:val="center"/>
            <w:hideMark/>
          </w:tcPr>
          <w:p w14:paraId="2A1598AC" w14:textId="77777777" w:rsidR="00A35A08" w:rsidRPr="00DA1436" w:rsidRDefault="00A35A08" w:rsidP="00B37A6A">
            <w:pPr>
              <w:jc w:val="center"/>
              <w:rPr>
                <w:color w:val="000000"/>
              </w:rPr>
            </w:pPr>
            <w:r w:rsidRPr="00DA1436">
              <w:rPr>
                <w:color w:val="000000"/>
              </w:rPr>
              <w:t>95%</w:t>
            </w:r>
          </w:p>
        </w:tc>
        <w:tc>
          <w:tcPr>
            <w:tcW w:w="1323" w:type="dxa"/>
            <w:vMerge w:val="restart"/>
            <w:tcBorders>
              <w:top w:val="nil"/>
              <w:left w:val="dotted" w:sz="4" w:space="0" w:color="auto"/>
              <w:right w:val="nil"/>
            </w:tcBorders>
            <w:vAlign w:val="center"/>
          </w:tcPr>
          <w:p w14:paraId="198EBE2D" w14:textId="77777777" w:rsidR="00A35A08" w:rsidRPr="00DA1436" w:rsidRDefault="00A35A08" w:rsidP="00B37A6A">
            <w:pPr>
              <w:jc w:val="center"/>
              <w:rPr>
                <w:color w:val="000000"/>
              </w:rPr>
            </w:pPr>
            <w:r w:rsidRPr="00DA1436">
              <w:rPr>
                <w:color w:val="000000"/>
              </w:rPr>
              <w:t>2.6%</w:t>
            </w:r>
          </w:p>
        </w:tc>
        <w:tc>
          <w:tcPr>
            <w:tcW w:w="1304" w:type="dxa"/>
            <w:tcBorders>
              <w:top w:val="nil"/>
              <w:left w:val="nil"/>
              <w:bottom w:val="nil"/>
              <w:right w:val="nil"/>
            </w:tcBorders>
            <w:shd w:val="clear" w:color="auto" w:fill="auto"/>
            <w:noWrap/>
            <w:vAlign w:val="center"/>
            <w:hideMark/>
          </w:tcPr>
          <w:p w14:paraId="142286F6" w14:textId="77777777" w:rsidR="00A35A08" w:rsidRPr="00DA1436" w:rsidRDefault="00A35A08" w:rsidP="00B37A6A">
            <w:pPr>
              <w:jc w:val="center"/>
              <w:rPr>
                <w:color w:val="000000"/>
              </w:rPr>
            </w:pPr>
            <w:r w:rsidRPr="00DA1436">
              <w:rPr>
                <w:color w:val="000000"/>
              </w:rPr>
              <w:t>98%</w:t>
            </w:r>
          </w:p>
        </w:tc>
      </w:tr>
      <w:tr w:rsidR="00A35A08" w:rsidRPr="00DA1436" w14:paraId="1B7D5B28" w14:textId="77777777" w:rsidTr="00974715">
        <w:trPr>
          <w:trHeight w:val="346"/>
        </w:trPr>
        <w:tc>
          <w:tcPr>
            <w:tcW w:w="1090" w:type="dxa"/>
            <w:vMerge/>
            <w:tcBorders>
              <w:top w:val="nil"/>
              <w:left w:val="nil"/>
              <w:bottom w:val="single" w:sz="4" w:space="0" w:color="000000"/>
              <w:right w:val="nil"/>
            </w:tcBorders>
            <w:vAlign w:val="center"/>
            <w:hideMark/>
          </w:tcPr>
          <w:p w14:paraId="2057F675" w14:textId="77777777" w:rsidR="00A35A08" w:rsidRPr="00DA1436" w:rsidRDefault="00A35A08" w:rsidP="00B37A6A">
            <w:pPr>
              <w:jc w:val="center"/>
              <w:rPr>
                <w:color w:val="000000"/>
              </w:rPr>
            </w:pPr>
          </w:p>
        </w:tc>
        <w:tc>
          <w:tcPr>
            <w:tcW w:w="1880" w:type="dxa"/>
            <w:tcBorders>
              <w:top w:val="nil"/>
              <w:left w:val="nil"/>
              <w:bottom w:val="single" w:sz="4" w:space="0" w:color="auto"/>
              <w:right w:val="single" w:sz="4" w:space="0" w:color="auto"/>
            </w:tcBorders>
            <w:shd w:val="clear" w:color="auto" w:fill="auto"/>
            <w:noWrap/>
            <w:vAlign w:val="center"/>
            <w:hideMark/>
          </w:tcPr>
          <w:p w14:paraId="6996B3AE" w14:textId="77777777" w:rsidR="00A35A08" w:rsidRPr="00DA1436" w:rsidRDefault="00A35A08" w:rsidP="00B37A6A">
            <w:pPr>
              <w:jc w:val="center"/>
              <w:rPr>
                <w:color w:val="000000"/>
              </w:rPr>
            </w:pPr>
            <w:r w:rsidRPr="00DA1436">
              <w:rPr>
                <w:color w:val="000000"/>
              </w:rPr>
              <w:t>C[C]C</w:t>
            </w:r>
          </w:p>
        </w:tc>
        <w:tc>
          <w:tcPr>
            <w:tcW w:w="1371" w:type="dxa"/>
            <w:vMerge/>
            <w:tcBorders>
              <w:left w:val="nil"/>
              <w:bottom w:val="single" w:sz="4" w:space="0" w:color="auto"/>
              <w:right w:val="nil"/>
            </w:tcBorders>
            <w:vAlign w:val="center"/>
          </w:tcPr>
          <w:p w14:paraId="5577F77F" w14:textId="77777777" w:rsidR="00A35A08" w:rsidRPr="00DA1436" w:rsidRDefault="00A35A08" w:rsidP="00B37A6A">
            <w:pPr>
              <w:jc w:val="center"/>
              <w:rPr>
                <w:b/>
                <w:bCs/>
                <w:color w:val="FF0000"/>
                <w:highlight w:val="yellow"/>
              </w:rPr>
            </w:pPr>
          </w:p>
        </w:tc>
        <w:tc>
          <w:tcPr>
            <w:tcW w:w="942" w:type="dxa"/>
            <w:tcBorders>
              <w:top w:val="nil"/>
              <w:left w:val="nil"/>
              <w:bottom w:val="single" w:sz="4" w:space="0" w:color="auto"/>
              <w:right w:val="dotted" w:sz="4" w:space="0" w:color="auto"/>
            </w:tcBorders>
            <w:shd w:val="clear" w:color="auto" w:fill="auto"/>
            <w:noWrap/>
            <w:vAlign w:val="center"/>
            <w:hideMark/>
          </w:tcPr>
          <w:p w14:paraId="765EA271" w14:textId="77777777" w:rsidR="00A35A08" w:rsidRPr="00DA1436" w:rsidRDefault="00A35A08" w:rsidP="00B37A6A">
            <w:pPr>
              <w:jc w:val="center"/>
              <w:rPr>
                <w:color w:val="000000"/>
              </w:rPr>
            </w:pPr>
            <w:r w:rsidRPr="00DA1436">
              <w:rPr>
                <w:color w:val="000000"/>
              </w:rPr>
              <w:t>5%</w:t>
            </w:r>
          </w:p>
        </w:tc>
        <w:tc>
          <w:tcPr>
            <w:tcW w:w="1323" w:type="dxa"/>
            <w:vMerge/>
            <w:tcBorders>
              <w:left w:val="dotted" w:sz="4" w:space="0" w:color="auto"/>
              <w:bottom w:val="single" w:sz="4" w:space="0" w:color="auto"/>
              <w:right w:val="nil"/>
            </w:tcBorders>
            <w:vAlign w:val="center"/>
          </w:tcPr>
          <w:p w14:paraId="278ACB0E" w14:textId="77777777" w:rsidR="00A35A08" w:rsidRPr="00DA1436" w:rsidRDefault="00A35A08" w:rsidP="00B37A6A">
            <w:pPr>
              <w:jc w:val="center"/>
              <w:rPr>
                <w:color w:val="000000"/>
              </w:rPr>
            </w:pPr>
          </w:p>
        </w:tc>
        <w:tc>
          <w:tcPr>
            <w:tcW w:w="1304" w:type="dxa"/>
            <w:tcBorders>
              <w:top w:val="nil"/>
              <w:left w:val="nil"/>
              <w:bottom w:val="single" w:sz="4" w:space="0" w:color="auto"/>
              <w:right w:val="nil"/>
            </w:tcBorders>
            <w:shd w:val="clear" w:color="auto" w:fill="auto"/>
            <w:noWrap/>
            <w:vAlign w:val="center"/>
            <w:hideMark/>
          </w:tcPr>
          <w:p w14:paraId="129C9142" w14:textId="77777777" w:rsidR="00A35A08" w:rsidRPr="00DA1436" w:rsidRDefault="00A35A08" w:rsidP="00B37A6A">
            <w:pPr>
              <w:jc w:val="center"/>
              <w:rPr>
                <w:color w:val="000000"/>
              </w:rPr>
            </w:pPr>
            <w:r w:rsidRPr="00DA1436">
              <w:rPr>
                <w:color w:val="000000"/>
              </w:rPr>
              <w:t>2%</w:t>
            </w:r>
          </w:p>
        </w:tc>
      </w:tr>
    </w:tbl>
    <w:p w14:paraId="331EE0A1" w14:textId="77777777" w:rsidR="00A35A08" w:rsidRPr="00DA1436" w:rsidRDefault="00A35A08" w:rsidP="00B37A6A">
      <w:pPr>
        <w:spacing w:line="480" w:lineRule="auto"/>
        <w:ind w:firstLine="720"/>
        <w:jc w:val="both"/>
      </w:pPr>
    </w:p>
    <w:p w14:paraId="429C44D3" w14:textId="77777777" w:rsidR="00A35A08" w:rsidRDefault="00A35A08" w:rsidP="00463612">
      <w:pPr>
        <w:keepNext/>
        <w:jc w:val="center"/>
      </w:pPr>
      <w:r w:rsidRPr="00DA1436">
        <w:rPr>
          <w:noProof/>
        </w:rPr>
        <w:lastRenderedPageBreak/>
        <w:drawing>
          <wp:inline distT="0" distB="0" distL="0" distR="0" wp14:anchorId="340EA9C8" wp14:editId="3A5B85A4">
            <wp:extent cx="3772376" cy="2743200"/>
            <wp:effectExtent l="0" t="0" r="0" b="0"/>
            <wp:docPr id="23" name="Picture 2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line chart&#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72376" cy="2743200"/>
                    </a:xfrm>
                    <a:prstGeom prst="rect">
                      <a:avLst/>
                    </a:prstGeom>
                    <a:noFill/>
                  </pic:spPr>
                </pic:pic>
              </a:graphicData>
            </a:graphic>
          </wp:inline>
        </w:drawing>
      </w:r>
    </w:p>
    <w:p w14:paraId="00091F4F" w14:textId="1029DE50" w:rsidR="00A35A08" w:rsidRPr="00DA1436" w:rsidRDefault="00A35A08" w:rsidP="00463612">
      <w:pPr>
        <w:pStyle w:val="Caption"/>
        <w:jc w:val="both"/>
        <w:rPr>
          <w:i w:val="0"/>
          <w:iCs w:val="0"/>
          <w:noProof/>
          <w:color w:val="auto"/>
          <w:sz w:val="24"/>
          <w:szCs w:val="24"/>
        </w:rPr>
      </w:pPr>
      <w:bookmarkStart w:id="56" w:name="_Toc131948690"/>
      <w:r w:rsidRPr="00D01234">
        <w:rPr>
          <w:b/>
          <w:bCs/>
          <w:i w:val="0"/>
          <w:iCs w:val="0"/>
          <w:color w:val="auto"/>
          <w:sz w:val="24"/>
          <w:szCs w:val="24"/>
        </w:rPr>
        <w:t xml:space="preserve">Figure </w:t>
      </w:r>
      <w:r w:rsidRPr="00D01234">
        <w:rPr>
          <w:b/>
          <w:bCs/>
          <w:i w:val="0"/>
          <w:iCs w:val="0"/>
          <w:color w:val="auto"/>
          <w:sz w:val="24"/>
          <w:szCs w:val="24"/>
        </w:rPr>
        <w:fldChar w:fldCharType="begin"/>
      </w:r>
      <w:r w:rsidRPr="00D01234">
        <w:rPr>
          <w:b/>
          <w:bCs/>
          <w:i w:val="0"/>
          <w:iCs w:val="0"/>
          <w:color w:val="auto"/>
          <w:sz w:val="24"/>
          <w:szCs w:val="24"/>
        </w:rPr>
        <w:instrText xml:space="preserve"> SEQ Figure \* ARABIC </w:instrText>
      </w:r>
      <w:r w:rsidRPr="00D01234">
        <w:rPr>
          <w:b/>
          <w:bCs/>
          <w:i w:val="0"/>
          <w:iCs w:val="0"/>
          <w:color w:val="auto"/>
          <w:sz w:val="24"/>
          <w:szCs w:val="24"/>
        </w:rPr>
        <w:fldChar w:fldCharType="separate"/>
      </w:r>
      <w:r w:rsidR="001F4741">
        <w:rPr>
          <w:b/>
          <w:bCs/>
          <w:i w:val="0"/>
          <w:iCs w:val="0"/>
          <w:noProof/>
          <w:color w:val="auto"/>
          <w:sz w:val="24"/>
          <w:szCs w:val="24"/>
        </w:rPr>
        <w:t>26</w:t>
      </w:r>
      <w:r w:rsidRPr="00D01234">
        <w:rPr>
          <w:b/>
          <w:bCs/>
          <w:i w:val="0"/>
          <w:iCs w:val="0"/>
          <w:color w:val="auto"/>
          <w:sz w:val="24"/>
          <w:szCs w:val="24"/>
        </w:rPr>
        <w:fldChar w:fldCharType="end"/>
      </w:r>
      <w:r w:rsidRPr="00D01234">
        <w:rPr>
          <w:b/>
          <w:bCs/>
          <w:i w:val="0"/>
          <w:iCs w:val="0"/>
          <w:color w:val="auto"/>
          <w:sz w:val="24"/>
          <w:szCs w:val="24"/>
        </w:rPr>
        <w:t xml:space="preserve">: </w:t>
      </w:r>
      <w:r w:rsidRPr="00D01234">
        <w:rPr>
          <w:i w:val="0"/>
          <w:iCs w:val="0"/>
          <w:color w:val="auto"/>
          <w:sz w:val="24"/>
          <w:szCs w:val="24"/>
        </w:rPr>
        <w:t>T</w:t>
      </w:r>
      <w:r w:rsidRPr="00DA1436">
        <w:rPr>
          <w:i w:val="0"/>
          <w:iCs w:val="0"/>
          <w:color w:val="auto"/>
          <w:sz w:val="24"/>
          <w:szCs w:val="24"/>
        </w:rPr>
        <w:t>rimer total product selectivity second order dependence on ACE conversion in the self-aldol condensation in Y30 zeolite.</w:t>
      </w:r>
      <w:bookmarkEnd w:id="56"/>
    </w:p>
    <w:p w14:paraId="7A7AB50C" w14:textId="44B0F39C" w:rsidR="00A35A08" w:rsidRPr="00DA1436" w:rsidRDefault="00A35A08" w:rsidP="00B37A6A">
      <w:pPr>
        <w:spacing w:line="480" w:lineRule="auto"/>
        <w:ind w:firstLine="720"/>
        <w:jc w:val="both"/>
      </w:pPr>
      <w:r w:rsidRPr="00D01234">
        <w:t xml:space="preserve">As discussed before, in regard to the rate profile behavior </w:t>
      </w:r>
      <w:r w:rsidRPr="00C80AAF">
        <w:t xml:space="preserve">with MTL, </w:t>
      </w:r>
      <w:r w:rsidRPr="00C80AAF">
        <w:rPr>
          <w:b/>
          <w:bCs/>
        </w:rPr>
        <w:t xml:space="preserve">Figure </w:t>
      </w:r>
      <w:r w:rsidR="007D27D3" w:rsidRPr="00C80AAF">
        <w:rPr>
          <w:b/>
          <w:bCs/>
        </w:rPr>
        <w:t>27</w:t>
      </w:r>
      <w:r w:rsidRPr="00C80AAF">
        <w:rPr>
          <w:b/>
          <w:bCs/>
        </w:rPr>
        <w:t>.a)</w:t>
      </w:r>
      <w:r w:rsidRPr="00C80AAF">
        <w:t xml:space="preserve"> presents the rate deviation from a linear tendency as the diffusion constraint is more present. Gathering all results and using a scatter plot (</w:t>
      </w:r>
      <w:r w:rsidRPr="00C80AAF">
        <w:rPr>
          <w:b/>
          <w:bCs/>
        </w:rPr>
        <w:t xml:space="preserve">Figure </w:t>
      </w:r>
      <w:r w:rsidR="007D27D3" w:rsidRPr="00C80AAF">
        <w:rPr>
          <w:b/>
          <w:bCs/>
        </w:rPr>
        <w:t>27</w:t>
      </w:r>
      <w:r w:rsidRPr="00C80AAF">
        <w:rPr>
          <w:b/>
          <w:bCs/>
        </w:rPr>
        <w:t>.b)</w:t>
      </w:r>
      <w:r w:rsidRPr="00C80AAF">
        <w:t>) to evaluate</w:t>
      </w:r>
      <w:r w:rsidRPr="00DA1436">
        <w:t xml:space="preserve"> the </w:t>
      </w:r>
      <w:r w:rsidR="005B6284">
        <w:t>efficiency</w:t>
      </w:r>
      <w:r w:rsidRPr="00DA1436">
        <w:t xml:space="preserve"> of the used method one can confirm the capability of both experimental and modeling approach to spot and quantify mass-transfer limitations when </w:t>
      </w:r>
      <w:r w:rsidR="00E46B7A">
        <w:t xml:space="preserve">there is a change in </w:t>
      </w:r>
      <w:r w:rsidRPr="00DA1436">
        <w:t>feeding molecules, initial concentration of active sites and zeolite structure.</w:t>
      </w:r>
    </w:p>
    <w:p w14:paraId="50807416" w14:textId="77777777" w:rsidR="00A35A08" w:rsidRDefault="00A35A08" w:rsidP="00463612">
      <w:pPr>
        <w:keepNext/>
        <w:jc w:val="center"/>
      </w:pPr>
      <w:r>
        <w:rPr>
          <w:noProof/>
        </w:rPr>
        <w:lastRenderedPageBreak/>
        <w:drawing>
          <wp:inline distT="0" distB="0" distL="0" distR="0" wp14:anchorId="1C44AA47" wp14:editId="0BE45C23">
            <wp:extent cx="5424426" cy="2560320"/>
            <wp:effectExtent l="0" t="0" r="5080" b="0"/>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24426" cy="2560320"/>
                    </a:xfrm>
                    <a:prstGeom prst="rect">
                      <a:avLst/>
                    </a:prstGeom>
                    <a:noFill/>
                  </pic:spPr>
                </pic:pic>
              </a:graphicData>
            </a:graphic>
          </wp:inline>
        </w:drawing>
      </w:r>
    </w:p>
    <w:p w14:paraId="6AF24B07" w14:textId="4AA31057" w:rsidR="00A35A08" w:rsidRPr="009858B2" w:rsidRDefault="00A35A08" w:rsidP="00463612">
      <w:pPr>
        <w:pStyle w:val="Caption"/>
        <w:jc w:val="both"/>
        <w:rPr>
          <w:i w:val="0"/>
          <w:iCs w:val="0"/>
          <w:color w:val="auto"/>
          <w:sz w:val="24"/>
          <w:szCs w:val="24"/>
        </w:rPr>
      </w:pPr>
      <w:bookmarkStart w:id="57" w:name="_Toc131948691"/>
      <w:r w:rsidRPr="00D01234">
        <w:rPr>
          <w:b/>
          <w:bCs/>
          <w:i w:val="0"/>
          <w:iCs w:val="0"/>
          <w:color w:val="auto"/>
          <w:sz w:val="24"/>
          <w:szCs w:val="24"/>
        </w:rPr>
        <w:t xml:space="preserve">Figure </w:t>
      </w:r>
      <w:r w:rsidRPr="00D01234">
        <w:rPr>
          <w:b/>
          <w:bCs/>
          <w:i w:val="0"/>
          <w:iCs w:val="0"/>
          <w:color w:val="auto"/>
          <w:sz w:val="24"/>
          <w:szCs w:val="24"/>
        </w:rPr>
        <w:fldChar w:fldCharType="begin"/>
      </w:r>
      <w:r w:rsidRPr="00D01234">
        <w:rPr>
          <w:b/>
          <w:bCs/>
          <w:i w:val="0"/>
          <w:iCs w:val="0"/>
          <w:color w:val="auto"/>
          <w:sz w:val="24"/>
          <w:szCs w:val="24"/>
        </w:rPr>
        <w:instrText xml:space="preserve"> SEQ Figure \* ARABIC </w:instrText>
      </w:r>
      <w:r w:rsidRPr="00D01234">
        <w:rPr>
          <w:b/>
          <w:bCs/>
          <w:i w:val="0"/>
          <w:iCs w:val="0"/>
          <w:color w:val="auto"/>
          <w:sz w:val="24"/>
          <w:szCs w:val="24"/>
        </w:rPr>
        <w:fldChar w:fldCharType="separate"/>
      </w:r>
      <w:r w:rsidR="001F4741">
        <w:rPr>
          <w:b/>
          <w:bCs/>
          <w:i w:val="0"/>
          <w:iCs w:val="0"/>
          <w:noProof/>
          <w:color w:val="auto"/>
          <w:sz w:val="24"/>
          <w:szCs w:val="24"/>
        </w:rPr>
        <w:t>27</w:t>
      </w:r>
      <w:r w:rsidRPr="00D01234">
        <w:rPr>
          <w:b/>
          <w:bCs/>
          <w:i w:val="0"/>
          <w:iCs w:val="0"/>
          <w:color w:val="auto"/>
          <w:sz w:val="24"/>
          <w:szCs w:val="24"/>
        </w:rPr>
        <w:fldChar w:fldCharType="end"/>
      </w:r>
      <w:r w:rsidRPr="00D01234">
        <w:rPr>
          <w:b/>
          <w:bCs/>
          <w:i w:val="0"/>
          <w:iCs w:val="0"/>
          <w:color w:val="auto"/>
          <w:sz w:val="24"/>
          <w:szCs w:val="24"/>
        </w:rPr>
        <w:t>:</w:t>
      </w:r>
      <w:r w:rsidRPr="00D01234">
        <w:rPr>
          <w:i w:val="0"/>
          <w:iCs w:val="0"/>
          <w:color w:val="auto"/>
          <w:sz w:val="24"/>
          <w:szCs w:val="24"/>
        </w:rPr>
        <w:t xml:space="preserve"> </w:t>
      </w:r>
      <w:r w:rsidRPr="00D01234">
        <w:rPr>
          <w:b/>
          <w:bCs/>
          <w:i w:val="0"/>
          <w:iCs w:val="0"/>
          <w:color w:val="auto"/>
          <w:sz w:val="24"/>
          <w:szCs w:val="24"/>
        </w:rPr>
        <w:t>a)</w:t>
      </w:r>
      <w:r w:rsidRPr="00D01234">
        <w:rPr>
          <w:i w:val="0"/>
          <w:iCs w:val="0"/>
          <w:color w:val="auto"/>
          <w:sz w:val="24"/>
          <w:szCs w:val="24"/>
        </w:rPr>
        <w:t xml:space="preserve"> Experimental set of data for the studied zeolites and </w:t>
      </w:r>
      <w:r w:rsidRPr="00D01234">
        <w:rPr>
          <w:b/>
          <w:bCs/>
          <w:i w:val="0"/>
          <w:iCs w:val="0"/>
          <w:color w:val="auto"/>
          <w:sz w:val="24"/>
          <w:szCs w:val="24"/>
        </w:rPr>
        <w:t>b)</w:t>
      </w:r>
      <w:r w:rsidRPr="00D01234">
        <w:rPr>
          <w:i w:val="0"/>
          <w:iCs w:val="0"/>
          <w:color w:val="auto"/>
          <w:sz w:val="24"/>
          <w:szCs w:val="24"/>
        </w:rPr>
        <w:t xml:space="preserve"> parity plot comparing the effectiveness factor calculated from Eq (1) and that obtained from the experimentally observed self-con</w:t>
      </w:r>
      <w:r w:rsidRPr="009858B2">
        <w:rPr>
          <w:i w:val="0"/>
          <w:iCs w:val="0"/>
          <w:color w:val="auto"/>
          <w:sz w:val="24"/>
          <w:szCs w:val="24"/>
        </w:rPr>
        <w:t>densation rates relative to the maximum rate (no MTL).</w:t>
      </w:r>
      <w:bookmarkEnd w:id="57"/>
    </w:p>
    <w:p w14:paraId="47210CB0" w14:textId="77777777" w:rsidR="00463612" w:rsidRPr="002517E2" w:rsidRDefault="00463612" w:rsidP="002517E2">
      <w:pPr>
        <w:spacing w:line="480" w:lineRule="auto"/>
      </w:pPr>
    </w:p>
    <w:p w14:paraId="41F0D7D2" w14:textId="2AB50BF6" w:rsidR="00A35A08" w:rsidRPr="00F11C1B" w:rsidRDefault="002517E2" w:rsidP="002517E2">
      <w:pPr>
        <w:pStyle w:val="Heading4"/>
        <w:spacing w:line="480" w:lineRule="auto"/>
        <w:rPr>
          <w:rFonts w:ascii="Times New Roman" w:hAnsi="Times New Roman" w:cs="Times New Roman"/>
          <w:color w:val="auto"/>
        </w:rPr>
      </w:pPr>
      <w:r w:rsidRPr="00F11C1B">
        <w:rPr>
          <w:rFonts w:ascii="Times New Roman" w:hAnsi="Times New Roman" w:cs="Times New Roman"/>
          <w:color w:val="auto"/>
        </w:rPr>
        <w:tab/>
      </w:r>
      <w:r w:rsidR="00A35A08" w:rsidRPr="00F11C1B">
        <w:rPr>
          <w:rFonts w:ascii="Times New Roman" w:hAnsi="Times New Roman" w:cs="Times New Roman"/>
          <w:color w:val="auto"/>
        </w:rPr>
        <w:t>2.4.2.3 A Reaction Mechanism Kinetic Study over Y30 with CPO Self-aldol Condensation</w:t>
      </w:r>
    </w:p>
    <w:p w14:paraId="428DA72D" w14:textId="228B1FE8" w:rsidR="00985EE8" w:rsidRPr="00F212F6" w:rsidRDefault="00A35A08" w:rsidP="002517E2">
      <w:pPr>
        <w:spacing w:line="480" w:lineRule="auto"/>
        <w:jc w:val="both"/>
      </w:pPr>
      <w:r w:rsidRPr="002517E2">
        <w:tab/>
        <w:t xml:space="preserve">At this point, the analysis over CPO in faujasite catalyst </w:t>
      </w:r>
      <w:r w:rsidR="00643A0F" w:rsidRPr="002517E2">
        <w:t xml:space="preserve">(Y30) </w:t>
      </w:r>
      <w:r w:rsidRPr="002517E2">
        <w:t xml:space="preserve">showed that no MTL </w:t>
      </w:r>
      <w:r>
        <w:t xml:space="preserve">are present under the applied conditions and the understanding of the kinetically relevant step is worth </w:t>
      </w:r>
      <w:r w:rsidRPr="00F212F6">
        <w:t xml:space="preserve">studying. As previously discussed, if confinement and structural parameters change within the catalyst the reaction relevant step does so. For a better </w:t>
      </w:r>
      <w:r w:rsidR="008E2B77">
        <w:t xml:space="preserve">mechanistic </w:t>
      </w:r>
      <w:r w:rsidR="008E2B77" w:rsidRPr="00F212F6">
        <w:t>analysis</w:t>
      </w:r>
      <w:r w:rsidRPr="00F212F6">
        <w:t xml:space="preserve">, the elementary steps for the ketone aldol condensation mechanism are exploited below </w:t>
      </w:r>
      <w:r w:rsidR="00985EE8">
        <w:t xml:space="preserve">and </w:t>
      </w:r>
      <w:r w:rsidRPr="00F212F6">
        <w:t xml:space="preserve">understood to be: </w:t>
      </w:r>
      <w:r>
        <w:t xml:space="preserve">ketone </w:t>
      </w:r>
      <w:r w:rsidRPr="00F212F6">
        <w:t xml:space="preserve">adsorption, </w:t>
      </w:r>
      <w:r>
        <w:t>enol formation</w:t>
      </w:r>
      <w:r w:rsidRPr="00F212F6">
        <w:t>, C-C coupling, further sequential C-C coupling and/or desorption. ‘</w:t>
      </w:r>
      <w:r>
        <w:t>C</w:t>
      </w:r>
      <w:r w:rsidRPr="00F212F6">
        <w:t>’ represents cyclopentanone. [</w:t>
      </w:r>
      <w:r>
        <w:t>C</w:t>
      </w:r>
      <w:r w:rsidRPr="00F212F6">
        <w:t xml:space="preserve">] indicate the ketone’s enol.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7"/>
        <w:gridCol w:w="4913"/>
      </w:tblGrid>
      <w:tr w:rsidR="00A35A08" w:rsidRPr="00F212F6" w14:paraId="348122D5" w14:textId="77777777" w:rsidTr="00974715">
        <w:tc>
          <w:tcPr>
            <w:tcW w:w="4050" w:type="dxa"/>
            <w:vAlign w:val="center"/>
          </w:tcPr>
          <w:p w14:paraId="0CEBF400" w14:textId="77777777" w:rsidR="00A35A08" w:rsidRPr="00F212F6" w:rsidRDefault="00A35A08" w:rsidP="00EB3761">
            <w:pPr>
              <w:spacing w:line="480" w:lineRule="auto"/>
              <w:ind w:firstLine="720"/>
              <w:jc w:val="both"/>
            </w:pPr>
            <m:oMathPara>
              <m:oMath>
                <m:r>
                  <w:rPr>
                    <w:rFonts w:ascii="Cambria Math" w:hAnsi="Cambria Math"/>
                  </w:rPr>
                  <m:t>C+ * ⇄ C*</m:t>
                </m:r>
              </m:oMath>
            </m:oMathPara>
          </w:p>
        </w:tc>
        <w:tc>
          <w:tcPr>
            <w:tcW w:w="5300" w:type="dxa"/>
            <w:vAlign w:val="center"/>
          </w:tcPr>
          <w:p w14:paraId="52FC4F75" w14:textId="77777777" w:rsidR="00A35A08" w:rsidRPr="00F212F6" w:rsidRDefault="00A35A08" w:rsidP="00B5096D">
            <w:pPr>
              <w:spacing w:line="480" w:lineRule="auto"/>
              <w:jc w:val="center"/>
            </w:pPr>
            <w:r w:rsidRPr="00F212F6">
              <w:t>Cyclopentanone adsorption</w:t>
            </w:r>
          </w:p>
        </w:tc>
      </w:tr>
      <w:tr w:rsidR="00A35A08" w:rsidRPr="00F212F6" w14:paraId="3E8FCAD1" w14:textId="77777777" w:rsidTr="00974715">
        <w:tc>
          <w:tcPr>
            <w:tcW w:w="4050" w:type="dxa"/>
            <w:vAlign w:val="center"/>
          </w:tcPr>
          <w:p w14:paraId="59220B5C" w14:textId="77777777" w:rsidR="00A35A08" w:rsidRPr="00F212F6" w:rsidRDefault="00A35A08" w:rsidP="00EB3761">
            <w:pPr>
              <w:spacing w:line="480" w:lineRule="auto"/>
              <w:ind w:firstLine="720"/>
              <w:jc w:val="both"/>
            </w:pPr>
            <m:oMathPara>
              <m:oMath>
                <m:r>
                  <w:rPr>
                    <w:rFonts w:ascii="Cambria Math" w:hAnsi="Cambria Math"/>
                  </w:rPr>
                  <m:t xml:space="preserve">C* ⇄ </m:t>
                </m:r>
                <m:d>
                  <m:dPr>
                    <m:begChr m:val="["/>
                    <m:endChr m:val="]"/>
                    <m:ctrlPr>
                      <w:rPr>
                        <w:rFonts w:ascii="Cambria Math" w:hAnsi="Cambria Math"/>
                        <w:i/>
                      </w:rPr>
                    </m:ctrlPr>
                  </m:dPr>
                  <m:e>
                    <m:r>
                      <w:rPr>
                        <w:rFonts w:ascii="Cambria Math" w:hAnsi="Cambria Math"/>
                      </w:rPr>
                      <m:t>C</m:t>
                    </m:r>
                  </m:e>
                </m:d>
                <m:r>
                  <w:rPr>
                    <w:rFonts w:ascii="Cambria Math" w:hAnsi="Cambria Math"/>
                  </w:rPr>
                  <m:t>*</m:t>
                </m:r>
              </m:oMath>
            </m:oMathPara>
          </w:p>
        </w:tc>
        <w:tc>
          <w:tcPr>
            <w:tcW w:w="5300" w:type="dxa"/>
            <w:vAlign w:val="center"/>
          </w:tcPr>
          <w:p w14:paraId="0A1ABB4A" w14:textId="77777777" w:rsidR="00A35A08" w:rsidRPr="00F212F6" w:rsidRDefault="00A35A08" w:rsidP="00B5096D">
            <w:pPr>
              <w:spacing w:line="480" w:lineRule="auto"/>
              <w:jc w:val="center"/>
            </w:pPr>
            <w:r w:rsidRPr="00F212F6">
              <w:t>Cyclopentanone enol</w:t>
            </w:r>
          </w:p>
        </w:tc>
      </w:tr>
      <w:tr w:rsidR="00A35A08" w:rsidRPr="00F212F6" w14:paraId="6F14B9A4" w14:textId="77777777" w:rsidTr="009747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50" w:type="dxa"/>
            <w:tcBorders>
              <w:top w:val="nil"/>
              <w:left w:val="nil"/>
              <w:bottom w:val="nil"/>
              <w:right w:val="nil"/>
            </w:tcBorders>
            <w:vAlign w:val="center"/>
          </w:tcPr>
          <w:p w14:paraId="2D6491F6" w14:textId="77777777" w:rsidR="00A35A08" w:rsidRPr="00F212F6" w:rsidRDefault="00000000" w:rsidP="00EB3761">
            <w:pPr>
              <w:spacing w:line="480" w:lineRule="auto"/>
              <w:ind w:firstLine="720"/>
              <w:jc w:val="both"/>
            </w:pPr>
            <m:oMathPara>
              <m:oMath>
                <m:d>
                  <m:dPr>
                    <m:begChr m:val="["/>
                    <m:endChr m:val="]"/>
                    <m:ctrlPr>
                      <w:rPr>
                        <w:rFonts w:ascii="Cambria Math" w:hAnsi="Cambria Math"/>
                        <w:i/>
                      </w:rPr>
                    </m:ctrlPr>
                  </m:dPr>
                  <m:e>
                    <m:r>
                      <w:rPr>
                        <w:rFonts w:ascii="Cambria Math" w:hAnsi="Cambria Math"/>
                      </w:rPr>
                      <m:t>C</m:t>
                    </m:r>
                  </m:e>
                </m:d>
                <m:r>
                  <w:rPr>
                    <w:rFonts w:ascii="Cambria Math" w:hAnsi="Cambria Math"/>
                  </w:rPr>
                  <m:t>*+ C ⇄</m:t>
                </m:r>
                <m:d>
                  <m:dPr>
                    <m:begChr m:val="["/>
                    <m:endChr m:val="]"/>
                    <m:ctrlPr>
                      <w:rPr>
                        <w:rFonts w:ascii="Cambria Math" w:hAnsi="Cambria Math"/>
                        <w:i/>
                      </w:rPr>
                    </m:ctrlPr>
                  </m:dPr>
                  <m:e>
                    <m:r>
                      <w:rPr>
                        <w:rFonts w:ascii="Cambria Math" w:hAnsi="Cambria Math"/>
                      </w:rPr>
                      <m:t>C</m:t>
                    </m:r>
                  </m:e>
                </m:d>
                <m:r>
                  <w:rPr>
                    <w:rFonts w:ascii="Cambria Math" w:hAnsi="Cambria Math"/>
                  </w:rPr>
                  <m:t>C*</m:t>
                </m:r>
              </m:oMath>
            </m:oMathPara>
          </w:p>
        </w:tc>
        <w:tc>
          <w:tcPr>
            <w:tcW w:w="5300" w:type="dxa"/>
            <w:tcBorders>
              <w:top w:val="nil"/>
              <w:left w:val="nil"/>
              <w:bottom w:val="nil"/>
              <w:right w:val="nil"/>
            </w:tcBorders>
            <w:vAlign w:val="center"/>
          </w:tcPr>
          <w:p w14:paraId="064062A3" w14:textId="77777777" w:rsidR="00A35A08" w:rsidRPr="00F212F6" w:rsidRDefault="00A35A08" w:rsidP="00B5096D">
            <w:pPr>
              <w:spacing w:line="480" w:lineRule="auto"/>
              <w:jc w:val="center"/>
            </w:pPr>
            <w:r w:rsidRPr="00F212F6">
              <w:t>C-C Coupling between an activated cyclopentanone and a bulk cyclopentanone (</w:t>
            </w:r>
            <w:r w:rsidRPr="00F212F6">
              <w:rPr>
                <w:i/>
                <w:iCs/>
              </w:rPr>
              <w:t>Eley-Rideal mechanism</w:t>
            </w:r>
            <w:r w:rsidRPr="00F212F6">
              <w:t>)</w:t>
            </w:r>
          </w:p>
        </w:tc>
      </w:tr>
      <w:tr w:rsidR="00A35A08" w:rsidRPr="00F212F6" w14:paraId="3125C638" w14:textId="77777777" w:rsidTr="009747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50" w:type="dxa"/>
            <w:tcBorders>
              <w:top w:val="nil"/>
              <w:left w:val="nil"/>
              <w:bottom w:val="nil"/>
              <w:right w:val="nil"/>
            </w:tcBorders>
            <w:vAlign w:val="center"/>
          </w:tcPr>
          <w:p w14:paraId="0922ABC9" w14:textId="77777777" w:rsidR="00A35A08" w:rsidRPr="00F212F6" w:rsidRDefault="00000000" w:rsidP="00EB3761">
            <w:pPr>
              <w:spacing w:line="480" w:lineRule="auto"/>
              <w:ind w:firstLine="720"/>
              <w:jc w:val="both"/>
            </w:pPr>
            <m:oMathPara>
              <m:oMath>
                <m:d>
                  <m:dPr>
                    <m:begChr m:val="["/>
                    <m:endChr m:val="]"/>
                    <m:ctrlPr>
                      <w:rPr>
                        <w:rFonts w:ascii="Cambria Math" w:hAnsi="Cambria Math"/>
                        <w:i/>
                      </w:rPr>
                    </m:ctrlPr>
                  </m:dPr>
                  <m:e>
                    <m:r>
                      <w:rPr>
                        <w:rFonts w:ascii="Cambria Math" w:hAnsi="Cambria Math"/>
                      </w:rPr>
                      <m:t>C</m:t>
                    </m:r>
                  </m:e>
                </m:d>
                <m:r>
                  <w:rPr>
                    <w:rFonts w:ascii="Cambria Math" w:hAnsi="Cambria Math"/>
                  </w:rPr>
                  <m:t>*+</m:t>
                </m:r>
                <m:d>
                  <m:dPr>
                    <m:begChr m:val="["/>
                    <m:endChr m:val="]"/>
                    <m:ctrlPr>
                      <w:rPr>
                        <w:rFonts w:ascii="Cambria Math" w:hAnsi="Cambria Math"/>
                        <w:i/>
                      </w:rPr>
                    </m:ctrlPr>
                  </m:dPr>
                  <m:e>
                    <m:r>
                      <w:rPr>
                        <w:rFonts w:ascii="Cambria Math" w:hAnsi="Cambria Math"/>
                      </w:rPr>
                      <m:t>C</m:t>
                    </m:r>
                  </m:e>
                </m:d>
                <m:r>
                  <w:rPr>
                    <w:rFonts w:ascii="Cambria Math" w:hAnsi="Cambria Math"/>
                  </w:rPr>
                  <m:t>* ⇄</m:t>
                </m:r>
                <m:d>
                  <m:dPr>
                    <m:begChr m:val="["/>
                    <m:endChr m:val="]"/>
                    <m:ctrlPr>
                      <w:rPr>
                        <w:rFonts w:ascii="Cambria Math" w:hAnsi="Cambria Math"/>
                        <w:i/>
                      </w:rPr>
                    </m:ctrlPr>
                  </m:dPr>
                  <m:e>
                    <m:r>
                      <w:rPr>
                        <w:rFonts w:ascii="Cambria Math" w:hAnsi="Cambria Math"/>
                      </w:rPr>
                      <m:t>C</m:t>
                    </m:r>
                  </m:e>
                </m:d>
                <m:r>
                  <w:rPr>
                    <w:rFonts w:ascii="Cambria Math" w:hAnsi="Cambria Math"/>
                  </w:rPr>
                  <m:t>C*+*</m:t>
                </m:r>
              </m:oMath>
            </m:oMathPara>
          </w:p>
        </w:tc>
        <w:tc>
          <w:tcPr>
            <w:tcW w:w="5300" w:type="dxa"/>
            <w:tcBorders>
              <w:top w:val="nil"/>
              <w:left w:val="nil"/>
              <w:bottom w:val="nil"/>
              <w:right w:val="nil"/>
            </w:tcBorders>
            <w:vAlign w:val="center"/>
          </w:tcPr>
          <w:p w14:paraId="12250461" w14:textId="77777777" w:rsidR="00A35A08" w:rsidRPr="00F212F6" w:rsidRDefault="00A35A08" w:rsidP="00B5096D">
            <w:pPr>
              <w:spacing w:line="480" w:lineRule="auto"/>
              <w:jc w:val="center"/>
            </w:pPr>
            <w:r w:rsidRPr="00F212F6">
              <w:t>C-C Coupling between an activated cyclopentanone and an adsorbed cyclopentanone (</w:t>
            </w:r>
            <w:r w:rsidRPr="00F212F6">
              <w:rPr>
                <w:i/>
                <w:iCs/>
              </w:rPr>
              <w:t>Langmuir-Hinshelwood mechanism</w:t>
            </w:r>
            <w:r w:rsidRPr="00F212F6">
              <w:t>)</w:t>
            </w:r>
          </w:p>
        </w:tc>
      </w:tr>
      <w:tr w:rsidR="00A35A08" w:rsidRPr="00F212F6" w14:paraId="2B5B915F" w14:textId="77777777" w:rsidTr="009747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50" w:type="dxa"/>
            <w:tcBorders>
              <w:top w:val="nil"/>
              <w:left w:val="nil"/>
              <w:bottom w:val="nil"/>
              <w:right w:val="nil"/>
            </w:tcBorders>
            <w:vAlign w:val="center"/>
          </w:tcPr>
          <w:p w14:paraId="1132290A" w14:textId="77777777" w:rsidR="00A35A08" w:rsidRPr="00F212F6" w:rsidRDefault="00000000" w:rsidP="00EB3761">
            <w:pPr>
              <w:spacing w:line="480" w:lineRule="auto"/>
              <w:ind w:firstLine="720"/>
              <w:jc w:val="both"/>
            </w:pPr>
            <m:oMathPara>
              <m:oMath>
                <m:d>
                  <m:dPr>
                    <m:begChr m:val="["/>
                    <m:endChr m:val="]"/>
                    <m:ctrlPr>
                      <w:rPr>
                        <w:rFonts w:ascii="Cambria Math" w:hAnsi="Cambria Math"/>
                        <w:i/>
                      </w:rPr>
                    </m:ctrlPr>
                  </m:dPr>
                  <m:e>
                    <m:r>
                      <w:rPr>
                        <w:rFonts w:ascii="Cambria Math" w:hAnsi="Cambria Math"/>
                      </w:rPr>
                      <m:t>C</m:t>
                    </m:r>
                  </m:e>
                </m:d>
                <m:r>
                  <w:rPr>
                    <w:rFonts w:ascii="Cambria Math" w:hAnsi="Cambria Math"/>
                  </w:rPr>
                  <m:t>C* ⇄</m:t>
                </m:r>
                <m:d>
                  <m:dPr>
                    <m:begChr m:val="["/>
                    <m:endChr m:val="]"/>
                    <m:ctrlPr>
                      <w:rPr>
                        <w:rFonts w:ascii="Cambria Math" w:hAnsi="Cambria Math"/>
                        <w:i/>
                      </w:rPr>
                    </m:ctrlPr>
                  </m:dPr>
                  <m:e>
                    <m:r>
                      <w:rPr>
                        <w:rFonts w:ascii="Cambria Math" w:hAnsi="Cambria Math"/>
                      </w:rPr>
                      <m:t>C</m:t>
                    </m:r>
                  </m:e>
                </m:d>
                <m:r>
                  <w:rPr>
                    <w:rFonts w:ascii="Cambria Math" w:hAnsi="Cambria Math"/>
                  </w:rPr>
                  <m:t>C+ *</m:t>
                </m:r>
              </m:oMath>
            </m:oMathPara>
          </w:p>
        </w:tc>
        <w:tc>
          <w:tcPr>
            <w:tcW w:w="5300" w:type="dxa"/>
            <w:tcBorders>
              <w:top w:val="nil"/>
              <w:left w:val="nil"/>
              <w:bottom w:val="nil"/>
              <w:right w:val="nil"/>
            </w:tcBorders>
            <w:vAlign w:val="center"/>
          </w:tcPr>
          <w:p w14:paraId="4C5D1E2D" w14:textId="77777777" w:rsidR="00A35A08" w:rsidRPr="00F212F6" w:rsidRDefault="00A35A08" w:rsidP="00B5096D">
            <w:pPr>
              <w:spacing w:line="480" w:lineRule="auto"/>
              <w:jc w:val="center"/>
            </w:pPr>
            <w:r w:rsidRPr="00F212F6">
              <w:t>Cyclopentanone dimer desorption</w:t>
            </w:r>
          </w:p>
        </w:tc>
      </w:tr>
      <w:tr w:rsidR="00A35A08" w:rsidRPr="00F212F6" w14:paraId="376C6686" w14:textId="77777777" w:rsidTr="00974715">
        <w:tc>
          <w:tcPr>
            <w:tcW w:w="4050" w:type="dxa"/>
            <w:vAlign w:val="center"/>
          </w:tcPr>
          <w:p w14:paraId="72E4A800" w14:textId="77777777" w:rsidR="00A35A08" w:rsidRPr="00F212F6" w:rsidRDefault="00000000" w:rsidP="00EB3761">
            <w:pPr>
              <w:spacing w:line="480" w:lineRule="auto"/>
              <w:ind w:firstLine="720"/>
              <w:jc w:val="both"/>
            </w:pPr>
            <m:oMathPara>
              <m:oMath>
                <m:d>
                  <m:dPr>
                    <m:begChr m:val="["/>
                    <m:endChr m:val="]"/>
                    <m:ctrlPr>
                      <w:rPr>
                        <w:rFonts w:ascii="Cambria Math" w:hAnsi="Cambria Math"/>
                        <w:i/>
                      </w:rPr>
                    </m:ctrlPr>
                  </m:dPr>
                  <m:e>
                    <m:r>
                      <w:rPr>
                        <w:rFonts w:ascii="Cambria Math" w:hAnsi="Cambria Math"/>
                      </w:rPr>
                      <m:t>C</m:t>
                    </m:r>
                  </m:e>
                </m:d>
                <m:r>
                  <w:rPr>
                    <w:rFonts w:ascii="Cambria Math" w:hAnsi="Cambria Math"/>
                  </w:rPr>
                  <m:t>C*+ C ⇄C</m:t>
                </m:r>
                <m:d>
                  <m:dPr>
                    <m:begChr m:val="["/>
                    <m:endChr m:val="]"/>
                    <m:ctrlPr>
                      <w:rPr>
                        <w:rFonts w:ascii="Cambria Math" w:hAnsi="Cambria Math"/>
                        <w:i/>
                      </w:rPr>
                    </m:ctrlPr>
                  </m:dPr>
                  <m:e>
                    <m:r>
                      <w:rPr>
                        <w:rFonts w:ascii="Cambria Math" w:hAnsi="Cambria Math"/>
                      </w:rPr>
                      <m:t>C</m:t>
                    </m:r>
                  </m:e>
                </m:d>
                <m:r>
                  <w:rPr>
                    <w:rFonts w:ascii="Cambria Math" w:hAnsi="Cambria Math"/>
                  </w:rPr>
                  <m:t>C*</m:t>
                </m:r>
              </m:oMath>
            </m:oMathPara>
          </w:p>
        </w:tc>
        <w:tc>
          <w:tcPr>
            <w:tcW w:w="5300" w:type="dxa"/>
            <w:vAlign w:val="center"/>
          </w:tcPr>
          <w:p w14:paraId="490DF492" w14:textId="77777777" w:rsidR="00A35A08" w:rsidRPr="00F212F6" w:rsidRDefault="00A35A08" w:rsidP="00B5096D">
            <w:pPr>
              <w:spacing w:line="480" w:lineRule="auto"/>
              <w:jc w:val="center"/>
            </w:pPr>
            <w:r w:rsidRPr="00F212F6">
              <w:t>C-C Coupling between an adsorbed dimer and a bulk cyclopentanone</w:t>
            </w:r>
          </w:p>
        </w:tc>
      </w:tr>
      <w:tr w:rsidR="00A35A08" w:rsidRPr="00F212F6" w14:paraId="2545D2AE" w14:textId="77777777" w:rsidTr="00974715">
        <w:tc>
          <w:tcPr>
            <w:tcW w:w="4050" w:type="dxa"/>
            <w:vAlign w:val="center"/>
          </w:tcPr>
          <w:p w14:paraId="54A5E238" w14:textId="77777777" w:rsidR="00A35A08" w:rsidRPr="00F212F6" w:rsidRDefault="00A35A08" w:rsidP="00985EE8">
            <w:pPr>
              <w:spacing w:line="480" w:lineRule="auto"/>
              <w:ind w:firstLine="720"/>
              <w:jc w:val="both"/>
            </w:pPr>
            <m:oMathPara>
              <m:oMath>
                <m:r>
                  <w:rPr>
                    <w:rFonts w:ascii="Cambria Math" w:hAnsi="Cambria Math"/>
                  </w:rPr>
                  <m:t>C</m:t>
                </m:r>
                <m:d>
                  <m:dPr>
                    <m:begChr m:val="["/>
                    <m:endChr m:val="]"/>
                    <m:ctrlPr>
                      <w:rPr>
                        <w:rFonts w:ascii="Cambria Math" w:hAnsi="Cambria Math"/>
                        <w:i/>
                      </w:rPr>
                    </m:ctrlPr>
                  </m:dPr>
                  <m:e>
                    <m:r>
                      <w:rPr>
                        <w:rFonts w:ascii="Cambria Math" w:hAnsi="Cambria Math"/>
                      </w:rPr>
                      <m:t>C</m:t>
                    </m:r>
                  </m:e>
                </m:d>
                <m:r>
                  <w:rPr>
                    <w:rFonts w:ascii="Cambria Math" w:hAnsi="Cambria Math"/>
                  </w:rPr>
                  <m:t>C* ⇄C</m:t>
                </m:r>
                <m:d>
                  <m:dPr>
                    <m:begChr m:val="["/>
                    <m:endChr m:val="]"/>
                    <m:ctrlPr>
                      <w:rPr>
                        <w:rFonts w:ascii="Cambria Math" w:hAnsi="Cambria Math"/>
                        <w:i/>
                      </w:rPr>
                    </m:ctrlPr>
                  </m:dPr>
                  <m:e>
                    <m:r>
                      <w:rPr>
                        <w:rFonts w:ascii="Cambria Math" w:hAnsi="Cambria Math"/>
                      </w:rPr>
                      <m:t>C</m:t>
                    </m:r>
                  </m:e>
                </m:d>
                <m:r>
                  <w:rPr>
                    <w:rFonts w:ascii="Cambria Math" w:hAnsi="Cambria Math"/>
                  </w:rPr>
                  <m:t>C+ *</m:t>
                </m:r>
              </m:oMath>
            </m:oMathPara>
          </w:p>
        </w:tc>
        <w:tc>
          <w:tcPr>
            <w:tcW w:w="5300" w:type="dxa"/>
            <w:vAlign w:val="center"/>
          </w:tcPr>
          <w:p w14:paraId="7AE45961" w14:textId="77777777" w:rsidR="00A35A08" w:rsidRPr="00F212F6" w:rsidRDefault="00A35A08" w:rsidP="00B5096D">
            <w:pPr>
              <w:spacing w:line="480" w:lineRule="auto"/>
              <w:jc w:val="center"/>
            </w:pPr>
            <w:r w:rsidRPr="00F212F6">
              <w:t>Cyclopentanone trimer desorption</w:t>
            </w:r>
          </w:p>
        </w:tc>
      </w:tr>
    </w:tbl>
    <w:p w14:paraId="20357FC2" w14:textId="365BD227" w:rsidR="00A35A08" w:rsidRPr="001070D9" w:rsidRDefault="008D41F2" w:rsidP="00985EE8">
      <w:pPr>
        <w:spacing w:line="480" w:lineRule="auto"/>
        <w:jc w:val="both"/>
      </w:pPr>
      <w:r>
        <w:tab/>
      </w:r>
      <w:r w:rsidR="00A35A08" w:rsidRPr="001070D9">
        <w:t>Three kinet</w:t>
      </w:r>
      <w:r w:rsidR="00A35A08">
        <w:t>ic</w:t>
      </w:r>
      <w:r w:rsidR="00A35A08" w:rsidRPr="001070D9">
        <w:t xml:space="preserve"> steps are considered here</w:t>
      </w:r>
      <w:r w:rsidR="00A35A08">
        <w:t xml:space="preserve"> to be the rate-limiting steps</w:t>
      </w:r>
      <w:r w:rsidR="00A35A08" w:rsidRPr="001070D9">
        <w:t>:</w:t>
      </w:r>
    </w:p>
    <w:p w14:paraId="3F73026E" w14:textId="5F1D2EC7" w:rsidR="00A35A08" w:rsidRDefault="00A35A08" w:rsidP="00EB3761">
      <w:pPr>
        <w:pStyle w:val="ListParagraph"/>
        <w:numPr>
          <w:ilvl w:val="0"/>
          <w:numId w:val="3"/>
        </w:numPr>
        <w:spacing w:after="160" w:line="480" w:lineRule="auto"/>
        <w:jc w:val="both"/>
      </w:pPr>
      <w:r>
        <w:t>Cyclopentanone adsorption or enol formation (</w:t>
      </w:r>
      <w:r w:rsidR="00B5096D">
        <w:t>u</w:t>
      </w:r>
      <w:r>
        <w:t>nimolecular);</w:t>
      </w:r>
    </w:p>
    <w:p w14:paraId="3A30FE58" w14:textId="5D801B6A" w:rsidR="00A35A08" w:rsidRDefault="00A35A08" w:rsidP="00EB3761">
      <w:pPr>
        <w:pStyle w:val="ListParagraph"/>
        <w:numPr>
          <w:ilvl w:val="0"/>
          <w:numId w:val="3"/>
        </w:numPr>
        <w:spacing w:after="160" w:line="480" w:lineRule="auto"/>
        <w:jc w:val="both"/>
      </w:pPr>
      <w:r>
        <w:t>C-C coupling with a nearby molecule (</w:t>
      </w:r>
      <w:r w:rsidR="00B5096D">
        <w:t>b</w:t>
      </w:r>
      <w:r>
        <w:t>imolecular Eley-Rideal mechanism – ER);</w:t>
      </w:r>
    </w:p>
    <w:p w14:paraId="049A3B48" w14:textId="5C7215EE" w:rsidR="00A35A08" w:rsidRDefault="00A35A08" w:rsidP="00EB3761">
      <w:pPr>
        <w:pStyle w:val="ListParagraph"/>
        <w:numPr>
          <w:ilvl w:val="0"/>
          <w:numId w:val="3"/>
        </w:numPr>
        <w:spacing w:after="160" w:line="480" w:lineRule="auto"/>
        <w:jc w:val="both"/>
      </w:pPr>
      <w:r>
        <w:t>C-C coupling with an adsorbed molecule (</w:t>
      </w:r>
      <w:r w:rsidR="00B5096D">
        <w:t>b</w:t>
      </w:r>
      <w:r>
        <w:t>imolecular Langmuir-Hinshelwood mechanism – LH).</w:t>
      </w:r>
    </w:p>
    <w:p w14:paraId="2BE0ED4F" w14:textId="77777777" w:rsidR="00A35A08" w:rsidRDefault="00A35A08" w:rsidP="00EB3761">
      <w:pPr>
        <w:spacing w:line="480" w:lineRule="auto"/>
        <w:jc w:val="both"/>
      </w:pPr>
      <w:r>
        <w:tab/>
        <w:t>Each rate-limiting step will have a representative equation as follows:</w:t>
      </w:r>
    </w:p>
    <w:tbl>
      <w:tblPr>
        <w:tblStyle w:val="TableGrid"/>
        <w:tblW w:w="9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5"/>
        <w:gridCol w:w="3136"/>
        <w:gridCol w:w="3136"/>
      </w:tblGrid>
      <w:tr w:rsidR="00A35A08" w14:paraId="4317FF18" w14:textId="77777777" w:rsidTr="00974715">
        <w:trPr>
          <w:trHeight w:val="417"/>
        </w:trPr>
        <w:tc>
          <w:tcPr>
            <w:tcW w:w="3135" w:type="dxa"/>
            <w:vAlign w:val="center"/>
          </w:tcPr>
          <w:p w14:paraId="6EFCB35B" w14:textId="77777777" w:rsidR="00A35A08" w:rsidRPr="00645A42" w:rsidRDefault="00A35A08" w:rsidP="00EB3761">
            <w:pPr>
              <w:spacing w:line="480" w:lineRule="auto"/>
              <w:jc w:val="center"/>
              <w:rPr>
                <w:i/>
                <w:iCs/>
              </w:rPr>
            </w:pPr>
            <w:r w:rsidRPr="00645A42">
              <w:rPr>
                <w:i/>
                <w:iCs/>
              </w:rPr>
              <w:t>Enol Formation</w:t>
            </w:r>
          </w:p>
        </w:tc>
        <w:tc>
          <w:tcPr>
            <w:tcW w:w="3136" w:type="dxa"/>
            <w:vAlign w:val="center"/>
          </w:tcPr>
          <w:p w14:paraId="6F79AB15" w14:textId="77777777" w:rsidR="00A35A08" w:rsidRPr="00645A42" w:rsidRDefault="00A35A08" w:rsidP="00EB3761">
            <w:pPr>
              <w:spacing w:line="480" w:lineRule="auto"/>
              <w:jc w:val="center"/>
              <w:rPr>
                <w:i/>
                <w:iCs/>
              </w:rPr>
            </w:pPr>
            <w:r w:rsidRPr="00645A42">
              <w:rPr>
                <w:i/>
                <w:iCs/>
              </w:rPr>
              <w:t>C-C Coupling ER</w:t>
            </w:r>
          </w:p>
        </w:tc>
        <w:tc>
          <w:tcPr>
            <w:tcW w:w="3136" w:type="dxa"/>
            <w:vAlign w:val="center"/>
          </w:tcPr>
          <w:p w14:paraId="29A53CBE" w14:textId="77777777" w:rsidR="00A35A08" w:rsidRPr="00645A42" w:rsidRDefault="00A35A08" w:rsidP="00EB3761">
            <w:pPr>
              <w:spacing w:line="480" w:lineRule="auto"/>
              <w:jc w:val="center"/>
              <w:rPr>
                <w:i/>
                <w:iCs/>
              </w:rPr>
            </w:pPr>
            <w:r w:rsidRPr="00645A42">
              <w:rPr>
                <w:i/>
                <w:iCs/>
              </w:rPr>
              <w:t>C-C Coupling LH</w:t>
            </w:r>
          </w:p>
        </w:tc>
      </w:tr>
      <w:tr w:rsidR="00A35A08" w14:paraId="232BB7AC" w14:textId="77777777" w:rsidTr="00974715">
        <w:trPr>
          <w:trHeight w:val="975"/>
        </w:trPr>
        <w:tc>
          <w:tcPr>
            <w:tcW w:w="3135" w:type="dxa"/>
            <w:vAlign w:val="center"/>
          </w:tcPr>
          <w:p w14:paraId="0AA20CCB" w14:textId="77777777" w:rsidR="00A35A08" w:rsidRDefault="00A35A08" w:rsidP="00EB3761">
            <w:pPr>
              <w:spacing w:line="480" w:lineRule="auto"/>
              <w:jc w:val="center"/>
            </w:pPr>
            <m:oMathPara>
              <m:oMath>
                <m:r>
                  <w:rPr>
                    <w:rFonts w:ascii="Cambria Math" w:hAnsi="Cambria Math"/>
                  </w:rPr>
                  <m:t>r=</m:t>
                </m:r>
                <m:f>
                  <m:fPr>
                    <m:ctrlPr>
                      <w:rPr>
                        <w:rFonts w:ascii="Cambria Math" w:hAnsi="Cambria Math"/>
                        <w:i/>
                      </w:rPr>
                    </m:ctrlPr>
                  </m:fPr>
                  <m:num>
                    <m:r>
                      <w:rPr>
                        <w:rFonts w:ascii="Cambria Math" w:hAnsi="Cambria Math"/>
                      </w:rPr>
                      <m:t>k</m:t>
                    </m:r>
                    <m:sSub>
                      <m:sSubPr>
                        <m:ctrlPr>
                          <w:rPr>
                            <w:rFonts w:ascii="Cambria Math" w:hAnsi="Cambria Math"/>
                            <w:i/>
                          </w:rPr>
                        </m:ctrlPr>
                      </m:sSubPr>
                      <m:e>
                        <m:r>
                          <w:rPr>
                            <w:rFonts w:ascii="Cambria Math" w:hAnsi="Cambria Math"/>
                          </w:rPr>
                          <m:t>K</m:t>
                        </m:r>
                      </m:e>
                      <m:sub>
                        <m:r>
                          <w:rPr>
                            <w:rFonts w:ascii="Cambria Math" w:hAnsi="Cambria Math"/>
                          </w:rPr>
                          <m:t>ads CPO</m:t>
                        </m:r>
                      </m:sub>
                    </m:sSub>
                    <m:sSub>
                      <m:sSubPr>
                        <m:ctrlPr>
                          <w:rPr>
                            <w:rFonts w:ascii="Cambria Math" w:hAnsi="Cambria Math"/>
                            <w:i/>
                          </w:rPr>
                        </m:ctrlPr>
                      </m:sSubPr>
                      <m:e>
                        <m:r>
                          <w:rPr>
                            <w:rFonts w:ascii="Cambria Math" w:hAnsi="Cambria Math"/>
                          </w:rPr>
                          <m:t>C</m:t>
                        </m:r>
                      </m:e>
                      <m:sub>
                        <m:r>
                          <w:rPr>
                            <w:rFonts w:ascii="Cambria Math" w:hAnsi="Cambria Math"/>
                          </w:rPr>
                          <m:t>CPO</m:t>
                        </m:r>
                      </m:sub>
                    </m:sSub>
                  </m:num>
                  <m:den>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K</m:t>
                            </m:r>
                          </m:e>
                          <m:sub>
                            <m:r>
                              <w:rPr>
                                <w:rFonts w:ascii="Cambria Math" w:hAnsi="Cambria Math"/>
                              </w:rPr>
                              <m:t>ads CPO</m:t>
                            </m:r>
                          </m:sub>
                        </m:sSub>
                        <m:sSub>
                          <m:sSubPr>
                            <m:ctrlPr>
                              <w:rPr>
                                <w:rFonts w:ascii="Cambria Math" w:hAnsi="Cambria Math"/>
                                <w:i/>
                              </w:rPr>
                            </m:ctrlPr>
                          </m:sSubPr>
                          <m:e>
                            <m:r>
                              <w:rPr>
                                <w:rFonts w:ascii="Cambria Math" w:hAnsi="Cambria Math"/>
                              </w:rPr>
                              <m:t>C</m:t>
                            </m:r>
                          </m:e>
                          <m:sub>
                            <m:r>
                              <w:rPr>
                                <w:rFonts w:ascii="Cambria Math" w:hAnsi="Cambria Math"/>
                              </w:rPr>
                              <m:t>CPO</m:t>
                            </m:r>
                          </m:sub>
                        </m:sSub>
                      </m:e>
                    </m:d>
                  </m:den>
                </m:f>
              </m:oMath>
            </m:oMathPara>
          </w:p>
        </w:tc>
        <w:tc>
          <w:tcPr>
            <w:tcW w:w="3136" w:type="dxa"/>
            <w:vAlign w:val="center"/>
          </w:tcPr>
          <w:p w14:paraId="05D18FC2" w14:textId="77777777" w:rsidR="00A35A08" w:rsidRDefault="00A35A08" w:rsidP="00EB3761">
            <w:pPr>
              <w:spacing w:line="480" w:lineRule="auto"/>
              <w:jc w:val="center"/>
            </w:pPr>
            <m:oMathPara>
              <m:oMath>
                <m:r>
                  <w:rPr>
                    <w:rFonts w:ascii="Cambria Math" w:hAnsi="Cambria Math"/>
                  </w:rPr>
                  <m:t>r=</m:t>
                </m:r>
                <m:f>
                  <m:fPr>
                    <m:ctrlPr>
                      <w:rPr>
                        <w:rFonts w:ascii="Cambria Math" w:hAnsi="Cambria Math"/>
                        <w:i/>
                      </w:rPr>
                    </m:ctrlPr>
                  </m:fPr>
                  <m:num>
                    <m:r>
                      <w:rPr>
                        <w:rFonts w:ascii="Cambria Math" w:hAnsi="Cambria Math"/>
                      </w:rPr>
                      <m:t>k</m:t>
                    </m:r>
                    <m:sSub>
                      <m:sSubPr>
                        <m:ctrlPr>
                          <w:rPr>
                            <w:rFonts w:ascii="Cambria Math" w:hAnsi="Cambria Math"/>
                            <w:i/>
                          </w:rPr>
                        </m:ctrlPr>
                      </m:sSubPr>
                      <m:e>
                        <m:r>
                          <w:rPr>
                            <w:rFonts w:ascii="Cambria Math" w:hAnsi="Cambria Math"/>
                          </w:rPr>
                          <m:t>K</m:t>
                        </m:r>
                      </m:e>
                      <m:sub>
                        <m:r>
                          <w:rPr>
                            <w:rFonts w:ascii="Cambria Math" w:hAnsi="Cambria Math"/>
                          </w:rPr>
                          <m:t>ads CPO</m:t>
                        </m:r>
                      </m:sub>
                    </m:sSub>
                    <m:sSup>
                      <m:sSupPr>
                        <m:ctrlPr>
                          <w:rPr>
                            <w:rFonts w:ascii="Cambria Math" w:hAnsi="Cambria Math"/>
                            <w:i/>
                          </w:rPr>
                        </m:ctrlPr>
                      </m:sSupPr>
                      <m:e>
                        <m:sSub>
                          <m:sSubPr>
                            <m:ctrlPr>
                              <w:rPr>
                                <w:rFonts w:ascii="Cambria Math" w:hAnsi="Cambria Math"/>
                                <w:i/>
                              </w:rPr>
                            </m:ctrlPr>
                          </m:sSubPr>
                          <m:e>
                            <m:r>
                              <w:rPr>
                                <w:rFonts w:ascii="Cambria Math" w:hAnsi="Cambria Math"/>
                              </w:rPr>
                              <m:t>C</m:t>
                            </m:r>
                          </m:e>
                          <m:sub>
                            <m:r>
                              <w:rPr>
                                <w:rFonts w:ascii="Cambria Math" w:hAnsi="Cambria Math"/>
                              </w:rPr>
                              <m:t>CPO</m:t>
                            </m:r>
                          </m:sub>
                        </m:sSub>
                      </m:e>
                      <m:sup>
                        <m:r>
                          <w:rPr>
                            <w:rFonts w:ascii="Cambria Math" w:hAnsi="Cambria Math"/>
                          </w:rPr>
                          <m:t>2</m:t>
                        </m:r>
                      </m:sup>
                    </m:sSup>
                  </m:num>
                  <m:den>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K</m:t>
                            </m:r>
                          </m:e>
                          <m:sub>
                            <m:r>
                              <w:rPr>
                                <w:rFonts w:ascii="Cambria Math" w:hAnsi="Cambria Math"/>
                              </w:rPr>
                              <m:t>ads CPO</m:t>
                            </m:r>
                          </m:sub>
                        </m:sSub>
                        <m:sSub>
                          <m:sSubPr>
                            <m:ctrlPr>
                              <w:rPr>
                                <w:rFonts w:ascii="Cambria Math" w:hAnsi="Cambria Math"/>
                                <w:i/>
                              </w:rPr>
                            </m:ctrlPr>
                          </m:sSubPr>
                          <m:e>
                            <m:r>
                              <w:rPr>
                                <w:rFonts w:ascii="Cambria Math" w:hAnsi="Cambria Math"/>
                              </w:rPr>
                              <m:t>C</m:t>
                            </m:r>
                          </m:e>
                          <m:sub>
                            <m:r>
                              <w:rPr>
                                <w:rFonts w:ascii="Cambria Math" w:hAnsi="Cambria Math"/>
                              </w:rPr>
                              <m:t>CPO</m:t>
                            </m:r>
                          </m:sub>
                        </m:sSub>
                      </m:e>
                    </m:d>
                  </m:den>
                </m:f>
              </m:oMath>
            </m:oMathPara>
          </w:p>
        </w:tc>
        <w:tc>
          <w:tcPr>
            <w:tcW w:w="3136" w:type="dxa"/>
            <w:vAlign w:val="center"/>
          </w:tcPr>
          <w:p w14:paraId="5384A7F1" w14:textId="77777777" w:rsidR="00A35A08" w:rsidRDefault="00A35A08" w:rsidP="00EB3761">
            <w:pPr>
              <w:spacing w:line="480" w:lineRule="auto"/>
              <w:jc w:val="center"/>
            </w:pPr>
            <m:oMathPara>
              <m:oMath>
                <m:r>
                  <w:rPr>
                    <w:rFonts w:ascii="Cambria Math" w:hAnsi="Cambria Math"/>
                  </w:rPr>
                  <m:t>r=</m:t>
                </m:r>
                <m:f>
                  <m:fPr>
                    <m:ctrlPr>
                      <w:rPr>
                        <w:rFonts w:ascii="Cambria Math" w:hAnsi="Cambria Math"/>
                        <w:i/>
                      </w:rPr>
                    </m:ctrlPr>
                  </m:fPr>
                  <m:num>
                    <m:r>
                      <w:rPr>
                        <w:rFonts w:ascii="Cambria Math" w:hAnsi="Cambria Math"/>
                      </w:rPr>
                      <m:t>k</m:t>
                    </m:r>
                    <m:sSup>
                      <m:sSupPr>
                        <m:ctrlPr>
                          <w:rPr>
                            <w:rFonts w:ascii="Cambria Math" w:hAnsi="Cambria Math"/>
                            <w:i/>
                          </w:rPr>
                        </m:ctrlPr>
                      </m:sSupPr>
                      <m:e>
                        <m:sSub>
                          <m:sSubPr>
                            <m:ctrlPr>
                              <w:rPr>
                                <w:rFonts w:ascii="Cambria Math" w:hAnsi="Cambria Math"/>
                                <w:i/>
                              </w:rPr>
                            </m:ctrlPr>
                          </m:sSubPr>
                          <m:e>
                            <m:r>
                              <w:rPr>
                                <w:rFonts w:ascii="Cambria Math" w:hAnsi="Cambria Math"/>
                              </w:rPr>
                              <m:t>K</m:t>
                            </m:r>
                          </m:e>
                          <m:sub>
                            <m:r>
                              <w:rPr>
                                <w:rFonts w:ascii="Cambria Math" w:hAnsi="Cambria Math"/>
                              </w:rPr>
                              <m:t>ads CPO</m:t>
                            </m:r>
                          </m:sub>
                        </m:sSub>
                      </m:e>
                      <m:sup>
                        <m:r>
                          <w:rPr>
                            <w:rFonts w:ascii="Cambria Math" w:hAnsi="Cambria Math"/>
                          </w:rPr>
                          <m:t>2</m:t>
                        </m:r>
                      </m:sup>
                    </m:sSup>
                    <m:sSup>
                      <m:sSupPr>
                        <m:ctrlPr>
                          <w:rPr>
                            <w:rFonts w:ascii="Cambria Math" w:hAnsi="Cambria Math"/>
                            <w:i/>
                          </w:rPr>
                        </m:ctrlPr>
                      </m:sSupPr>
                      <m:e>
                        <m:sSub>
                          <m:sSubPr>
                            <m:ctrlPr>
                              <w:rPr>
                                <w:rFonts w:ascii="Cambria Math" w:hAnsi="Cambria Math"/>
                                <w:i/>
                              </w:rPr>
                            </m:ctrlPr>
                          </m:sSubPr>
                          <m:e>
                            <m:r>
                              <w:rPr>
                                <w:rFonts w:ascii="Cambria Math" w:hAnsi="Cambria Math"/>
                              </w:rPr>
                              <m:t>C</m:t>
                            </m:r>
                          </m:e>
                          <m:sub>
                            <m:r>
                              <w:rPr>
                                <w:rFonts w:ascii="Cambria Math" w:hAnsi="Cambria Math"/>
                              </w:rPr>
                              <m:t>CPO</m:t>
                            </m:r>
                          </m:sub>
                        </m:sSub>
                      </m:e>
                      <m:sup>
                        <m:r>
                          <w:rPr>
                            <w:rFonts w:ascii="Cambria Math" w:hAnsi="Cambria Math"/>
                          </w:rPr>
                          <m:t>2</m:t>
                        </m:r>
                      </m:sup>
                    </m:sSup>
                  </m:num>
                  <m:den>
                    <m:sSup>
                      <m:sSupPr>
                        <m:ctrlPr>
                          <w:rPr>
                            <w:rFonts w:ascii="Cambria Math" w:hAnsi="Cambria Math"/>
                            <w:i/>
                          </w:rPr>
                        </m:ctrlPr>
                      </m:sSup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K</m:t>
                                </m:r>
                              </m:e>
                              <m:sub>
                                <m:r>
                                  <w:rPr>
                                    <w:rFonts w:ascii="Cambria Math" w:hAnsi="Cambria Math"/>
                                  </w:rPr>
                                  <m:t>ads CPO</m:t>
                                </m:r>
                              </m:sub>
                            </m:sSub>
                            <m:sSub>
                              <m:sSubPr>
                                <m:ctrlPr>
                                  <w:rPr>
                                    <w:rFonts w:ascii="Cambria Math" w:hAnsi="Cambria Math"/>
                                    <w:i/>
                                  </w:rPr>
                                </m:ctrlPr>
                              </m:sSubPr>
                              <m:e>
                                <m:r>
                                  <w:rPr>
                                    <w:rFonts w:ascii="Cambria Math" w:hAnsi="Cambria Math"/>
                                  </w:rPr>
                                  <m:t>C</m:t>
                                </m:r>
                              </m:e>
                              <m:sub>
                                <m:r>
                                  <w:rPr>
                                    <w:rFonts w:ascii="Cambria Math" w:hAnsi="Cambria Math"/>
                                  </w:rPr>
                                  <m:t>CPO</m:t>
                                </m:r>
                              </m:sub>
                            </m:sSub>
                          </m:e>
                        </m:d>
                      </m:e>
                      <m:sup>
                        <m:r>
                          <w:rPr>
                            <w:rFonts w:ascii="Cambria Math" w:hAnsi="Cambria Math"/>
                          </w:rPr>
                          <m:t>2</m:t>
                        </m:r>
                      </m:sup>
                    </m:sSup>
                  </m:den>
                </m:f>
              </m:oMath>
            </m:oMathPara>
          </w:p>
        </w:tc>
      </w:tr>
    </w:tbl>
    <w:p w14:paraId="1CB45A57" w14:textId="77777777" w:rsidR="00A35A08" w:rsidRDefault="00A35A08" w:rsidP="00EB3761">
      <w:pPr>
        <w:spacing w:line="480" w:lineRule="auto"/>
        <w:jc w:val="both"/>
      </w:pPr>
      <w:r>
        <w:tab/>
        <w:t>In where: r is rate of reaction, k is the reaction constant, K</w:t>
      </w:r>
      <w:r w:rsidRPr="009C2CA4">
        <w:rPr>
          <w:vertAlign w:val="subscript"/>
        </w:rPr>
        <w:t>ads CPO</w:t>
      </w:r>
      <w:r>
        <w:t xml:space="preserve"> is the adsorption constant of CPO, and C</w:t>
      </w:r>
      <w:r w:rsidRPr="009C2CA4">
        <w:rPr>
          <w:vertAlign w:val="subscript"/>
        </w:rPr>
        <w:t>CPO</w:t>
      </w:r>
      <w:r>
        <w:t xml:space="preserve"> is the cyclopentanone concentration. By linearizing these equations, one obtain: </w:t>
      </w:r>
    </w:p>
    <w:p w14:paraId="245ADCA8" w14:textId="77777777" w:rsidR="00C80AAF" w:rsidRPr="004A0747" w:rsidRDefault="00C80AAF" w:rsidP="00EB3761">
      <w:pPr>
        <w:spacing w:line="480" w:lineRule="auto"/>
        <w:jc w:val="both"/>
      </w:pPr>
    </w:p>
    <w:tbl>
      <w:tblPr>
        <w:tblStyle w:val="TableGrid"/>
        <w:tblW w:w="9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5"/>
        <w:gridCol w:w="3136"/>
        <w:gridCol w:w="3136"/>
      </w:tblGrid>
      <w:tr w:rsidR="00A35A08" w14:paraId="28004FE1" w14:textId="77777777" w:rsidTr="00974715">
        <w:trPr>
          <w:trHeight w:val="417"/>
        </w:trPr>
        <w:tc>
          <w:tcPr>
            <w:tcW w:w="3135" w:type="dxa"/>
            <w:vAlign w:val="center"/>
          </w:tcPr>
          <w:p w14:paraId="4DFA8123" w14:textId="77777777" w:rsidR="00A35A08" w:rsidRPr="00645A42" w:rsidRDefault="00A35A08" w:rsidP="00EB3761">
            <w:pPr>
              <w:spacing w:line="480" w:lineRule="auto"/>
              <w:jc w:val="center"/>
              <w:rPr>
                <w:i/>
                <w:iCs/>
              </w:rPr>
            </w:pPr>
            <w:r w:rsidRPr="00645A42">
              <w:rPr>
                <w:i/>
                <w:iCs/>
              </w:rPr>
              <w:lastRenderedPageBreak/>
              <w:t>Enol Formation</w:t>
            </w:r>
          </w:p>
        </w:tc>
        <w:tc>
          <w:tcPr>
            <w:tcW w:w="3136" w:type="dxa"/>
            <w:vAlign w:val="center"/>
          </w:tcPr>
          <w:p w14:paraId="1E390B23" w14:textId="77777777" w:rsidR="00A35A08" w:rsidRPr="00645A42" w:rsidRDefault="00A35A08" w:rsidP="00EB3761">
            <w:pPr>
              <w:spacing w:line="480" w:lineRule="auto"/>
              <w:jc w:val="center"/>
              <w:rPr>
                <w:i/>
                <w:iCs/>
              </w:rPr>
            </w:pPr>
            <w:r w:rsidRPr="00645A42">
              <w:rPr>
                <w:i/>
                <w:iCs/>
              </w:rPr>
              <w:t>C-C Coupling ER</w:t>
            </w:r>
          </w:p>
        </w:tc>
        <w:tc>
          <w:tcPr>
            <w:tcW w:w="3136" w:type="dxa"/>
            <w:vAlign w:val="center"/>
          </w:tcPr>
          <w:p w14:paraId="0D6CF504" w14:textId="77777777" w:rsidR="00A35A08" w:rsidRPr="00645A42" w:rsidRDefault="00A35A08" w:rsidP="00EB3761">
            <w:pPr>
              <w:spacing w:line="480" w:lineRule="auto"/>
              <w:jc w:val="center"/>
              <w:rPr>
                <w:i/>
                <w:iCs/>
              </w:rPr>
            </w:pPr>
            <w:r w:rsidRPr="00645A42">
              <w:rPr>
                <w:i/>
                <w:iCs/>
              </w:rPr>
              <w:t>C-C Coupling LH</w:t>
            </w:r>
          </w:p>
        </w:tc>
      </w:tr>
      <w:tr w:rsidR="00A35A08" w:rsidRPr="00601D99" w14:paraId="19048FC0" w14:textId="77777777" w:rsidTr="00974715">
        <w:trPr>
          <w:trHeight w:val="975"/>
        </w:trPr>
        <w:tc>
          <w:tcPr>
            <w:tcW w:w="3135" w:type="dxa"/>
            <w:vAlign w:val="center"/>
          </w:tcPr>
          <w:p w14:paraId="2F0531C6" w14:textId="77777777" w:rsidR="00A35A08" w:rsidRPr="00601D99" w:rsidRDefault="00000000" w:rsidP="00EB3761">
            <w:pPr>
              <w:spacing w:line="480" w:lineRule="auto"/>
              <w:jc w:val="center"/>
              <w:rPr>
                <w:iCs/>
              </w:rPr>
            </w:pPr>
            <m:oMathPara>
              <m:oMath>
                <m:f>
                  <m:fPr>
                    <m:ctrlPr>
                      <w:rPr>
                        <w:rFonts w:ascii="Cambria Math" w:hAnsi="Cambria Math"/>
                        <w:iCs/>
                      </w:rPr>
                    </m:ctrlPr>
                  </m:fPr>
                  <m:num>
                    <m:r>
                      <m:rPr>
                        <m:sty m:val="p"/>
                      </m:rPr>
                      <w:rPr>
                        <w:rFonts w:ascii="Cambria Math" w:hAnsi="Cambria Math"/>
                      </w:rPr>
                      <m:t>1</m:t>
                    </m:r>
                  </m:num>
                  <m:den>
                    <m:r>
                      <m:rPr>
                        <m:sty m:val="p"/>
                      </m:rPr>
                      <w:rPr>
                        <w:rFonts w:ascii="Cambria Math" w:hAnsi="Cambria Math"/>
                      </w:rPr>
                      <m:t>r</m:t>
                    </m:r>
                  </m:den>
                </m:f>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r>
                      <m:rPr>
                        <m:sty m:val="p"/>
                      </m:rPr>
                      <w:rPr>
                        <w:rFonts w:ascii="Cambria Math" w:hAnsi="Cambria Math"/>
                      </w:rPr>
                      <m:t>k</m:t>
                    </m:r>
                  </m:den>
                </m:f>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r>
                      <m:rPr>
                        <m:sty m:val="p"/>
                      </m:rPr>
                      <w:rPr>
                        <w:rFonts w:ascii="Cambria Math" w:hAnsi="Cambria Math"/>
                      </w:rPr>
                      <m:t>k</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ads CPO</m:t>
                        </m:r>
                      </m:sub>
                    </m:sSub>
                  </m:den>
                </m:f>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CPO</m:t>
                        </m:r>
                      </m:sub>
                    </m:sSub>
                  </m:den>
                </m:f>
              </m:oMath>
            </m:oMathPara>
          </w:p>
        </w:tc>
        <w:tc>
          <w:tcPr>
            <w:tcW w:w="3136" w:type="dxa"/>
            <w:vAlign w:val="center"/>
          </w:tcPr>
          <w:p w14:paraId="755333E5" w14:textId="77777777" w:rsidR="00A35A08" w:rsidRPr="00601D99" w:rsidRDefault="00000000" w:rsidP="00EB3761">
            <w:pPr>
              <w:spacing w:line="480" w:lineRule="auto"/>
              <w:jc w:val="center"/>
              <w:rPr>
                <w:iCs/>
              </w:rPr>
            </w:pPr>
            <m:oMathPara>
              <m:oMath>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CPO</m:t>
                        </m:r>
                      </m:sub>
                    </m:sSub>
                  </m:num>
                  <m:den>
                    <m:r>
                      <m:rPr>
                        <m:sty m:val="p"/>
                      </m:rPr>
                      <w:rPr>
                        <w:rFonts w:ascii="Cambria Math" w:hAnsi="Cambria Math"/>
                      </w:rPr>
                      <m:t>r</m:t>
                    </m:r>
                  </m:den>
                </m:f>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r>
                      <m:rPr>
                        <m:sty m:val="p"/>
                      </m:rPr>
                      <w:rPr>
                        <w:rFonts w:ascii="Cambria Math" w:hAnsi="Cambria Math"/>
                      </w:rPr>
                      <m:t>k</m:t>
                    </m:r>
                  </m:den>
                </m:f>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r>
                      <m:rPr>
                        <m:sty m:val="p"/>
                      </m:rPr>
                      <w:rPr>
                        <w:rFonts w:ascii="Cambria Math" w:hAnsi="Cambria Math"/>
                      </w:rPr>
                      <m:t>k</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ads CPO</m:t>
                        </m:r>
                      </m:sub>
                    </m:sSub>
                  </m:den>
                </m:f>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CPO</m:t>
                        </m:r>
                      </m:sub>
                    </m:sSub>
                  </m:den>
                </m:f>
              </m:oMath>
            </m:oMathPara>
          </w:p>
        </w:tc>
        <w:tc>
          <w:tcPr>
            <w:tcW w:w="3136" w:type="dxa"/>
            <w:vAlign w:val="center"/>
          </w:tcPr>
          <w:p w14:paraId="13FAD686" w14:textId="77777777" w:rsidR="00A35A08" w:rsidRPr="00601D99" w:rsidRDefault="00000000" w:rsidP="00EB3761">
            <w:pPr>
              <w:spacing w:line="480" w:lineRule="auto"/>
              <w:jc w:val="center"/>
              <w:rPr>
                <w:iCs/>
              </w:rPr>
            </w:pPr>
            <m:oMathPara>
              <m:oMath>
                <m:f>
                  <m:fPr>
                    <m:ctrlPr>
                      <w:rPr>
                        <w:rFonts w:ascii="Cambria Math" w:hAnsi="Cambria Math"/>
                        <w:iCs/>
                      </w:rPr>
                    </m:ctrlPr>
                  </m:fPr>
                  <m:num>
                    <m:r>
                      <m:rPr>
                        <m:sty m:val="p"/>
                      </m:rPr>
                      <w:rPr>
                        <w:rFonts w:ascii="Cambria Math" w:hAnsi="Cambria Math"/>
                      </w:rPr>
                      <m:t>1</m:t>
                    </m:r>
                  </m:num>
                  <m:den>
                    <m:rad>
                      <m:radPr>
                        <m:degHide m:val="1"/>
                        <m:ctrlPr>
                          <w:rPr>
                            <w:rFonts w:ascii="Cambria Math" w:hAnsi="Cambria Math"/>
                            <w:iCs/>
                          </w:rPr>
                        </m:ctrlPr>
                      </m:radPr>
                      <m:deg/>
                      <m:e>
                        <m:r>
                          <m:rPr>
                            <m:sty m:val="p"/>
                          </m:rPr>
                          <w:rPr>
                            <w:rFonts w:ascii="Cambria Math" w:hAnsi="Cambria Math"/>
                          </w:rPr>
                          <m:t>r</m:t>
                        </m:r>
                      </m:e>
                    </m:rad>
                  </m:den>
                </m:f>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rad>
                      <m:radPr>
                        <m:degHide m:val="1"/>
                        <m:ctrlPr>
                          <w:rPr>
                            <w:rFonts w:ascii="Cambria Math" w:hAnsi="Cambria Math"/>
                            <w:iCs/>
                          </w:rPr>
                        </m:ctrlPr>
                      </m:radPr>
                      <m:deg/>
                      <m:e>
                        <m:r>
                          <m:rPr>
                            <m:sty m:val="p"/>
                          </m:rPr>
                          <w:rPr>
                            <w:rFonts w:ascii="Cambria Math" w:hAnsi="Cambria Math"/>
                          </w:rPr>
                          <m:t>k</m:t>
                        </m:r>
                      </m:e>
                    </m:rad>
                  </m:den>
                </m:f>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rad>
                      <m:radPr>
                        <m:degHide m:val="1"/>
                        <m:ctrlPr>
                          <w:rPr>
                            <w:rFonts w:ascii="Cambria Math" w:hAnsi="Cambria Math"/>
                            <w:iCs/>
                          </w:rPr>
                        </m:ctrlPr>
                      </m:radPr>
                      <m:deg/>
                      <m:e>
                        <m:r>
                          <m:rPr>
                            <m:sty m:val="p"/>
                          </m:rPr>
                          <w:rPr>
                            <w:rFonts w:ascii="Cambria Math" w:hAnsi="Cambria Math"/>
                          </w:rPr>
                          <m:t>k</m:t>
                        </m:r>
                      </m:e>
                    </m:rad>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ads CPO</m:t>
                        </m:r>
                      </m:sub>
                    </m:sSub>
                  </m:den>
                </m:f>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CPO</m:t>
                        </m:r>
                      </m:sub>
                    </m:sSub>
                  </m:den>
                </m:f>
              </m:oMath>
            </m:oMathPara>
          </w:p>
        </w:tc>
      </w:tr>
    </w:tbl>
    <w:p w14:paraId="547A5C49" w14:textId="347DBF8E" w:rsidR="00A35A08" w:rsidRDefault="00A35A08" w:rsidP="00EB3761">
      <w:pPr>
        <w:spacing w:line="480" w:lineRule="auto"/>
        <w:jc w:val="both"/>
        <w:rPr>
          <w:iCs/>
        </w:rPr>
      </w:pPr>
      <w:r w:rsidRPr="00601D99">
        <w:rPr>
          <w:iCs/>
        </w:rPr>
        <w:tab/>
      </w:r>
      <w:r w:rsidR="00207464">
        <w:rPr>
          <w:iCs/>
        </w:rPr>
        <w:t>Plotting</w:t>
      </w:r>
      <w:r>
        <w:rPr>
          <w:iCs/>
        </w:rPr>
        <w:t xml:space="preserve"> the inverse of the feeding concentration of CPO and the respective reaction rate for each equation, k and K</w:t>
      </w:r>
      <w:r w:rsidRPr="008A435E">
        <w:rPr>
          <w:iCs/>
          <w:vertAlign w:val="subscript"/>
        </w:rPr>
        <w:t>ads CPO</w:t>
      </w:r>
      <w:r>
        <w:rPr>
          <w:iCs/>
        </w:rPr>
        <w:t xml:space="preserve"> can be found through the slope and the intercept, as well </w:t>
      </w:r>
      <w:r w:rsidRPr="00C80AAF">
        <w:rPr>
          <w:iCs/>
        </w:rPr>
        <w:t>as R</w:t>
      </w:r>
      <w:r w:rsidRPr="00C80AAF">
        <w:rPr>
          <w:iCs/>
          <w:vertAlign w:val="superscript"/>
        </w:rPr>
        <w:t>2</w:t>
      </w:r>
      <w:r w:rsidRPr="00C80AAF">
        <w:rPr>
          <w:iCs/>
        </w:rPr>
        <w:t xml:space="preserve">. </w:t>
      </w:r>
      <w:r w:rsidRPr="00C80AAF">
        <w:rPr>
          <w:b/>
          <w:bCs/>
          <w:iCs/>
        </w:rPr>
        <w:t xml:space="preserve">Figure </w:t>
      </w:r>
      <w:r w:rsidR="007D27D3" w:rsidRPr="00C80AAF">
        <w:rPr>
          <w:b/>
          <w:bCs/>
          <w:iCs/>
        </w:rPr>
        <w:t>28</w:t>
      </w:r>
      <w:r w:rsidRPr="00C80AAF">
        <w:rPr>
          <w:iCs/>
        </w:rPr>
        <w:t xml:space="preserve"> shows</w:t>
      </w:r>
      <w:r>
        <w:rPr>
          <w:iCs/>
        </w:rPr>
        <w:t xml:space="preserve"> the respective plots for each </w:t>
      </w:r>
      <w:r w:rsidRPr="00723CEB">
        <w:rPr>
          <w:iCs/>
        </w:rPr>
        <w:t>case</w:t>
      </w:r>
      <w:r>
        <w:rPr>
          <w:iCs/>
        </w:rPr>
        <w:t xml:space="preserve"> and it is clear that the fitting results point to either a unimolecular type of mechanism in which the enol formation or adsorption is the rate-limiting step, or a bimolecular mechanism in which the C-C coupling with an adsorbed molecule.</w:t>
      </w:r>
    </w:p>
    <w:p w14:paraId="75333455" w14:textId="77777777" w:rsidR="00A35A08" w:rsidRDefault="00A35A08" w:rsidP="00463612">
      <w:pPr>
        <w:keepNext/>
        <w:jc w:val="center"/>
      </w:pPr>
      <w:r w:rsidRPr="00723CEB">
        <w:rPr>
          <w:noProof/>
        </w:rPr>
        <w:drawing>
          <wp:inline distT="0" distB="0" distL="0" distR="0" wp14:anchorId="279E876C" wp14:editId="07BE0F22">
            <wp:extent cx="5978747" cy="1920240"/>
            <wp:effectExtent l="0" t="0" r="3175" b="3810"/>
            <wp:docPr id="18" name="Picture 1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scatter chart&#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78747" cy="1920240"/>
                    </a:xfrm>
                    <a:prstGeom prst="rect">
                      <a:avLst/>
                    </a:prstGeom>
                    <a:noFill/>
                  </pic:spPr>
                </pic:pic>
              </a:graphicData>
            </a:graphic>
          </wp:inline>
        </w:drawing>
      </w:r>
    </w:p>
    <w:p w14:paraId="486B9C96" w14:textId="552CE3DB" w:rsidR="00A35A08" w:rsidRPr="009858B2" w:rsidRDefault="00A35A08" w:rsidP="00463612">
      <w:pPr>
        <w:pStyle w:val="Caption"/>
        <w:jc w:val="both"/>
        <w:rPr>
          <w:i w:val="0"/>
          <w:iCs w:val="0"/>
          <w:color w:val="auto"/>
          <w:sz w:val="24"/>
          <w:szCs w:val="24"/>
        </w:rPr>
      </w:pPr>
      <w:bookmarkStart w:id="58" w:name="_Toc131948692"/>
      <w:r w:rsidRPr="00133DF1">
        <w:rPr>
          <w:b/>
          <w:bCs/>
          <w:i w:val="0"/>
          <w:iCs w:val="0"/>
          <w:color w:val="auto"/>
          <w:sz w:val="24"/>
          <w:szCs w:val="24"/>
        </w:rPr>
        <w:t xml:space="preserve">Figure </w:t>
      </w:r>
      <w:r w:rsidRPr="00133DF1">
        <w:rPr>
          <w:b/>
          <w:bCs/>
          <w:i w:val="0"/>
          <w:iCs w:val="0"/>
          <w:color w:val="auto"/>
          <w:sz w:val="24"/>
          <w:szCs w:val="24"/>
        </w:rPr>
        <w:fldChar w:fldCharType="begin"/>
      </w:r>
      <w:r w:rsidRPr="00133DF1">
        <w:rPr>
          <w:b/>
          <w:bCs/>
          <w:i w:val="0"/>
          <w:iCs w:val="0"/>
          <w:color w:val="auto"/>
          <w:sz w:val="24"/>
          <w:szCs w:val="24"/>
        </w:rPr>
        <w:instrText xml:space="preserve"> SEQ Figure \* ARABIC </w:instrText>
      </w:r>
      <w:r w:rsidRPr="00133DF1">
        <w:rPr>
          <w:b/>
          <w:bCs/>
          <w:i w:val="0"/>
          <w:iCs w:val="0"/>
          <w:color w:val="auto"/>
          <w:sz w:val="24"/>
          <w:szCs w:val="24"/>
        </w:rPr>
        <w:fldChar w:fldCharType="separate"/>
      </w:r>
      <w:r w:rsidR="001F4741">
        <w:rPr>
          <w:b/>
          <w:bCs/>
          <w:i w:val="0"/>
          <w:iCs w:val="0"/>
          <w:noProof/>
          <w:color w:val="auto"/>
          <w:sz w:val="24"/>
          <w:szCs w:val="24"/>
        </w:rPr>
        <w:t>28</w:t>
      </w:r>
      <w:r w:rsidRPr="00133DF1">
        <w:rPr>
          <w:b/>
          <w:bCs/>
          <w:i w:val="0"/>
          <w:iCs w:val="0"/>
          <w:color w:val="auto"/>
          <w:sz w:val="24"/>
          <w:szCs w:val="24"/>
        </w:rPr>
        <w:fldChar w:fldCharType="end"/>
      </w:r>
      <w:r w:rsidRPr="00133DF1">
        <w:rPr>
          <w:b/>
          <w:bCs/>
          <w:i w:val="0"/>
          <w:iCs w:val="0"/>
          <w:color w:val="auto"/>
          <w:sz w:val="24"/>
          <w:szCs w:val="24"/>
        </w:rPr>
        <w:t>:</w:t>
      </w:r>
      <w:r w:rsidRPr="00133DF1">
        <w:rPr>
          <w:i w:val="0"/>
          <w:iCs w:val="0"/>
          <w:color w:val="auto"/>
          <w:sz w:val="24"/>
          <w:szCs w:val="24"/>
        </w:rPr>
        <w:t xml:space="preserve"> L</w:t>
      </w:r>
      <w:r>
        <w:rPr>
          <w:i w:val="0"/>
          <w:iCs w:val="0"/>
          <w:color w:val="auto"/>
          <w:sz w:val="24"/>
          <w:szCs w:val="24"/>
        </w:rPr>
        <w:t>inearized plot of each kinetic model for the CPO self-aldol condensation in Y30.</w:t>
      </w:r>
      <w:bookmarkEnd w:id="58"/>
    </w:p>
    <w:p w14:paraId="6362FC22" w14:textId="77777777" w:rsidR="00A35A08" w:rsidRPr="00D43472" w:rsidRDefault="00A35A08" w:rsidP="00EB3761">
      <w:pPr>
        <w:spacing w:line="480" w:lineRule="auto"/>
        <w:jc w:val="both"/>
        <w:rPr>
          <w:iCs/>
        </w:rPr>
      </w:pPr>
      <w:r>
        <w:rPr>
          <w:iCs/>
        </w:rPr>
        <w:tab/>
        <w:t>The C-C coupling following an Eley-Rideal type of mechanism does not seem to be the mechanism in which CPO reacts over Y</w:t>
      </w:r>
      <w:r w:rsidRPr="00D43472">
        <w:rPr>
          <w:iCs/>
        </w:rPr>
        <w:t>30 surface. However, in such CPO concentration</w:t>
      </w:r>
      <w:r>
        <w:rPr>
          <w:iCs/>
        </w:rPr>
        <w:t>s,</w:t>
      </w:r>
      <w:r w:rsidRPr="00D43472">
        <w:rPr>
          <w:iCs/>
        </w:rPr>
        <w:t xml:space="preserve"> </w:t>
      </w:r>
      <w:r>
        <w:rPr>
          <w:iCs/>
        </w:rPr>
        <w:t xml:space="preserve">one can consider a full coverage of </w:t>
      </w:r>
      <w:r w:rsidRPr="00D43472">
        <w:rPr>
          <w:iCs/>
        </w:rPr>
        <w:t>active sites (</w:t>
      </w:r>
      <m:oMath>
        <m:sSub>
          <m:sSubPr>
            <m:ctrlPr>
              <w:rPr>
                <w:rFonts w:ascii="Cambria Math" w:hAnsi="Cambria Math"/>
                <w:i/>
              </w:rPr>
            </m:ctrlPr>
          </m:sSubPr>
          <m:e>
            <m:r>
              <w:rPr>
                <w:rFonts w:ascii="Cambria Math" w:hAnsi="Cambria Math"/>
              </w:rPr>
              <m:t>K</m:t>
            </m:r>
          </m:e>
          <m:sub>
            <m:r>
              <w:rPr>
                <w:rFonts w:ascii="Cambria Math" w:hAnsi="Cambria Math"/>
              </w:rPr>
              <m:t>ads CPO</m:t>
            </m:r>
          </m:sub>
        </m:sSub>
        <m:sSub>
          <m:sSubPr>
            <m:ctrlPr>
              <w:rPr>
                <w:rFonts w:ascii="Cambria Math" w:hAnsi="Cambria Math"/>
                <w:i/>
              </w:rPr>
            </m:ctrlPr>
          </m:sSubPr>
          <m:e>
            <m:r>
              <w:rPr>
                <w:rFonts w:ascii="Cambria Math" w:hAnsi="Cambria Math"/>
              </w:rPr>
              <m:t>C</m:t>
            </m:r>
          </m:e>
          <m:sub>
            <m:r>
              <w:rPr>
                <w:rFonts w:ascii="Cambria Math" w:hAnsi="Cambria Math"/>
              </w:rPr>
              <m:t>CPO</m:t>
            </m:r>
          </m:sub>
        </m:sSub>
        <m:r>
          <w:rPr>
            <w:rFonts w:ascii="Cambria Math" w:hAnsi="Cambria Math"/>
          </w:rPr>
          <m:t>≫1</m:t>
        </m:r>
      </m:oMath>
      <w:r w:rsidRPr="00D43472">
        <w:rPr>
          <w:iCs/>
        </w:rPr>
        <w:t>)</w:t>
      </w:r>
      <w:r>
        <w:rPr>
          <w:iCs/>
        </w:rPr>
        <w:t xml:space="preserve">. In the rate equation it means that the ratio between </w:t>
      </w:r>
      <w:r w:rsidRPr="00D43472">
        <w:rPr>
          <w:iCs/>
        </w:rPr>
        <w:t>r/C</w:t>
      </w:r>
      <w:r w:rsidRPr="00D43472">
        <w:rPr>
          <w:iCs/>
          <w:vertAlign w:val="subscript"/>
        </w:rPr>
        <w:t>CPO</w:t>
      </w:r>
      <w:r w:rsidRPr="00D43472">
        <w:rPr>
          <w:iCs/>
        </w:rPr>
        <w:t xml:space="preserve"> is simply the reaction constant:</w:t>
      </w:r>
    </w:p>
    <w:p w14:paraId="676F95CA" w14:textId="77777777" w:rsidR="00A35A08" w:rsidRPr="00D43472" w:rsidRDefault="00000000" w:rsidP="00EB3761">
      <w:pPr>
        <w:spacing w:line="480" w:lineRule="auto"/>
        <w:jc w:val="both"/>
        <w:rPr>
          <w:iCs/>
        </w:rPr>
      </w:pPr>
      <m:oMathPara>
        <m:oMath>
          <m:f>
            <m:fPr>
              <m:ctrlPr>
                <w:rPr>
                  <w:rFonts w:ascii="Cambria Math" w:hAnsi="Cambria Math"/>
                  <w:iCs/>
                </w:rPr>
              </m:ctrlPr>
            </m:fPr>
            <m:num>
              <m:r>
                <m:rPr>
                  <m:sty m:val="p"/>
                </m:rPr>
                <w:rPr>
                  <w:rFonts w:ascii="Cambria Math" w:hAnsi="Cambria Math"/>
                </w:rPr>
                <m:t>r</m:t>
              </m:r>
            </m:num>
            <m:den>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CPO</m:t>
                  </m:r>
                </m:sub>
              </m:sSub>
            </m:den>
          </m:f>
          <m:r>
            <m:rPr>
              <m:sty m:val="p"/>
            </m:rPr>
            <w:rPr>
              <w:rFonts w:ascii="Cambria Math" w:hAnsi="Cambria Math"/>
            </w:rPr>
            <m:t>=</m:t>
          </m:r>
          <m:r>
            <w:rPr>
              <w:rFonts w:ascii="Cambria Math" w:hAnsi="Cambria Math"/>
            </w:rPr>
            <m:t>k</m:t>
          </m:r>
        </m:oMath>
      </m:oMathPara>
    </w:p>
    <w:p w14:paraId="3ED266BC" w14:textId="030C2579" w:rsidR="00A35A08" w:rsidRPr="00D43472" w:rsidRDefault="00A35A08" w:rsidP="00EB3761">
      <w:pPr>
        <w:spacing w:line="480" w:lineRule="auto"/>
        <w:jc w:val="both"/>
        <w:rPr>
          <w:iCs/>
        </w:rPr>
      </w:pPr>
      <w:r w:rsidRPr="00D43472">
        <w:rPr>
          <w:iCs/>
        </w:rPr>
        <w:tab/>
      </w:r>
      <w:r w:rsidR="00852030">
        <w:rPr>
          <w:iCs/>
        </w:rPr>
        <w:t>By</w:t>
      </w:r>
      <w:r w:rsidRPr="00D43472">
        <w:rPr>
          <w:iCs/>
        </w:rPr>
        <w:t xml:space="preserve"> taking the average of the linearized values</w:t>
      </w:r>
      <w:r>
        <w:rPr>
          <w:iCs/>
        </w:rPr>
        <w:t xml:space="preserve"> and minimizing the error between experimental and calculated values, a resulting k and </w:t>
      </w:r>
      <w:r w:rsidRPr="00D43472">
        <w:rPr>
          <w:iCs/>
        </w:rPr>
        <w:t>K</w:t>
      </w:r>
      <w:r w:rsidRPr="00D43472">
        <w:rPr>
          <w:iCs/>
          <w:vertAlign w:val="subscript"/>
        </w:rPr>
        <w:t>ads CPO</w:t>
      </w:r>
      <w:r>
        <w:rPr>
          <w:iCs/>
        </w:rPr>
        <w:t xml:space="preserve"> are found for this particular </w:t>
      </w:r>
      <w:r w:rsidRPr="00C80AAF">
        <w:rPr>
          <w:iCs/>
        </w:rPr>
        <w:lastRenderedPageBreak/>
        <w:t xml:space="preserve">mechanism. </w:t>
      </w:r>
      <w:r w:rsidRPr="00C80AAF">
        <w:rPr>
          <w:b/>
          <w:bCs/>
          <w:iCs/>
        </w:rPr>
        <w:t>Table 4</w:t>
      </w:r>
      <w:r w:rsidRPr="00C80AAF">
        <w:rPr>
          <w:iCs/>
        </w:rPr>
        <w:t xml:space="preserve"> presents</w:t>
      </w:r>
      <w:r w:rsidRPr="00DA5F88">
        <w:rPr>
          <w:iCs/>
        </w:rPr>
        <w:t xml:space="preserve"> the calculated values of the reaction parameters for each kinetic model</w:t>
      </w:r>
      <w:r w:rsidRPr="00D43472">
        <w:rPr>
          <w:iCs/>
        </w:rPr>
        <w:t>.</w:t>
      </w:r>
    </w:p>
    <w:p w14:paraId="28BC19E8" w14:textId="66E6B606" w:rsidR="00A35A08" w:rsidRPr="00D1327D" w:rsidRDefault="00A35A08" w:rsidP="00A35A08">
      <w:pPr>
        <w:pStyle w:val="Caption"/>
        <w:keepNext/>
        <w:rPr>
          <w:i w:val="0"/>
          <w:iCs w:val="0"/>
          <w:color w:val="auto"/>
          <w:sz w:val="24"/>
          <w:szCs w:val="24"/>
        </w:rPr>
      </w:pPr>
      <w:bookmarkStart w:id="59" w:name="_Toc131948655"/>
      <w:r w:rsidRPr="00D1327D">
        <w:rPr>
          <w:b/>
          <w:bCs/>
          <w:i w:val="0"/>
          <w:iCs w:val="0"/>
          <w:color w:val="auto"/>
          <w:sz w:val="24"/>
          <w:szCs w:val="24"/>
        </w:rPr>
        <w:t xml:space="preserve">Table </w:t>
      </w:r>
      <w:r w:rsidRPr="00D1327D">
        <w:rPr>
          <w:b/>
          <w:bCs/>
          <w:i w:val="0"/>
          <w:iCs w:val="0"/>
          <w:color w:val="auto"/>
          <w:sz w:val="24"/>
          <w:szCs w:val="24"/>
        </w:rPr>
        <w:fldChar w:fldCharType="begin"/>
      </w:r>
      <w:r w:rsidRPr="00D1327D">
        <w:rPr>
          <w:b/>
          <w:bCs/>
          <w:i w:val="0"/>
          <w:iCs w:val="0"/>
          <w:color w:val="auto"/>
          <w:sz w:val="24"/>
          <w:szCs w:val="24"/>
        </w:rPr>
        <w:instrText xml:space="preserve"> SEQ Table \* ARABIC </w:instrText>
      </w:r>
      <w:r w:rsidRPr="00D1327D">
        <w:rPr>
          <w:b/>
          <w:bCs/>
          <w:i w:val="0"/>
          <w:iCs w:val="0"/>
          <w:color w:val="auto"/>
          <w:sz w:val="24"/>
          <w:szCs w:val="24"/>
        </w:rPr>
        <w:fldChar w:fldCharType="separate"/>
      </w:r>
      <w:r w:rsidR="001F4741">
        <w:rPr>
          <w:b/>
          <w:bCs/>
          <w:i w:val="0"/>
          <w:iCs w:val="0"/>
          <w:noProof/>
          <w:color w:val="auto"/>
          <w:sz w:val="24"/>
          <w:szCs w:val="24"/>
        </w:rPr>
        <w:t>4</w:t>
      </w:r>
      <w:r w:rsidRPr="00D1327D">
        <w:rPr>
          <w:b/>
          <w:bCs/>
          <w:i w:val="0"/>
          <w:iCs w:val="0"/>
          <w:color w:val="auto"/>
          <w:sz w:val="24"/>
          <w:szCs w:val="24"/>
        </w:rPr>
        <w:fldChar w:fldCharType="end"/>
      </w:r>
      <w:r w:rsidRPr="00D1327D">
        <w:rPr>
          <w:b/>
          <w:bCs/>
          <w:i w:val="0"/>
          <w:iCs w:val="0"/>
          <w:color w:val="auto"/>
          <w:sz w:val="24"/>
          <w:szCs w:val="24"/>
        </w:rPr>
        <w:t>:</w:t>
      </w:r>
      <w:r w:rsidRPr="00D1327D">
        <w:rPr>
          <w:i w:val="0"/>
          <w:iCs w:val="0"/>
          <w:color w:val="auto"/>
          <w:sz w:val="24"/>
          <w:szCs w:val="24"/>
        </w:rPr>
        <w:t xml:space="preserve"> Calculated reaction and adsorption constant for CPO self-aldol condensation over Y30 from the reaction equations.</w:t>
      </w:r>
      <w:bookmarkEnd w:id="59"/>
    </w:p>
    <w:tbl>
      <w:tblPr>
        <w:tblW w:w="6380" w:type="dxa"/>
        <w:tblLook w:val="04A0" w:firstRow="1" w:lastRow="0" w:firstColumn="1" w:lastColumn="0" w:noHBand="0" w:noVBand="1"/>
      </w:tblPr>
      <w:tblGrid>
        <w:gridCol w:w="1170"/>
        <w:gridCol w:w="1470"/>
        <w:gridCol w:w="1860"/>
        <w:gridCol w:w="1880"/>
      </w:tblGrid>
      <w:tr w:rsidR="00A35A08" w:rsidRPr="00EB4F8E" w14:paraId="0BD06D35" w14:textId="77777777" w:rsidTr="00974715">
        <w:trPr>
          <w:trHeight w:val="315"/>
        </w:trPr>
        <w:tc>
          <w:tcPr>
            <w:tcW w:w="1170" w:type="dxa"/>
            <w:tcBorders>
              <w:top w:val="single" w:sz="4" w:space="0" w:color="auto"/>
              <w:left w:val="nil"/>
              <w:bottom w:val="single" w:sz="4" w:space="0" w:color="auto"/>
              <w:right w:val="nil"/>
            </w:tcBorders>
            <w:shd w:val="clear" w:color="auto" w:fill="auto"/>
            <w:noWrap/>
            <w:vAlign w:val="center"/>
            <w:hideMark/>
          </w:tcPr>
          <w:p w14:paraId="533AAA6E" w14:textId="77777777" w:rsidR="00A35A08" w:rsidRPr="00EB4F8E" w:rsidRDefault="00A35A08" w:rsidP="00974715">
            <w:pPr>
              <w:jc w:val="both"/>
              <w:rPr>
                <w:color w:val="000000"/>
              </w:rPr>
            </w:pPr>
          </w:p>
        </w:tc>
        <w:tc>
          <w:tcPr>
            <w:tcW w:w="1470" w:type="dxa"/>
            <w:tcBorders>
              <w:top w:val="single" w:sz="4" w:space="0" w:color="auto"/>
              <w:left w:val="nil"/>
              <w:bottom w:val="single" w:sz="4" w:space="0" w:color="auto"/>
              <w:right w:val="nil"/>
            </w:tcBorders>
            <w:shd w:val="clear" w:color="auto" w:fill="auto"/>
            <w:noWrap/>
            <w:vAlign w:val="center"/>
            <w:hideMark/>
          </w:tcPr>
          <w:p w14:paraId="0CA90CF0" w14:textId="77777777" w:rsidR="00A35A08" w:rsidRPr="00EB4F8E" w:rsidRDefault="00A35A08" w:rsidP="00974715">
            <w:pPr>
              <w:jc w:val="both"/>
              <w:rPr>
                <w:color w:val="000000"/>
              </w:rPr>
            </w:pPr>
            <w:r w:rsidRPr="00EB4F8E">
              <w:rPr>
                <w:color w:val="000000"/>
              </w:rPr>
              <w:t>Enol Formation</w:t>
            </w:r>
          </w:p>
        </w:tc>
        <w:tc>
          <w:tcPr>
            <w:tcW w:w="1860" w:type="dxa"/>
            <w:tcBorders>
              <w:top w:val="single" w:sz="4" w:space="0" w:color="auto"/>
              <w:left w:val="nil"/>
              <w:bottom w:val="single" w:sz="4" w:space="0" w:color="auto"/>
              <w:right w:val="nil"/>
            </w:tcBorders>
            <w:shd w:val="clear" w:color="auto" w:fill="auto"/>
            <w:noWrap/>
            <w:vAlign w:val="center"/>
            <w:hideMark/>
          </w:tcPr>
          <w:p w14:paraId="4C6217E5" w14:textId="77777777" w:rsidR="00A35A08" w:rsidRPr="00EB4F8E" w:rsidRDefault="00A35A08" w:rsidP="00974715">
            <w:pPr>
              <w:jc w:val="both"/>
              <w:rPr>
                <w:color w:val="000000"/>
              </w:rPr>
            </w:pPr>
            <w:r w:rsidRPr="00EB4F8E">
              <w:rPr>
                <w:color w:val="000000"/>
              </w:rPr>
              <w:t>C-C Coupling ER</w:t>
            </w:r>
          </w:p>
        </w:tc>
        <w:tc>
          <w:tcPr>
            <w:tcW w:w="1880" w:type="dxa"/>
            <w:tcBorders>
              <w:top w:val="single" w:sz="4" w:space="0" w:color="auto"/>
              <w:left w:val="nil"/>
              <w:bottom w:val="single" w:sz="4" w:space="0" w:color="auto"/>
              <w:right w:val="nil"/>
            </w:tcBorders>
            <w:shd w:val="clear" w:color="auto" w:fill="auto"/>
            <w:noWrap/>
            <w:vAlign w:val="center"/>
            <w:hideMark/>
          </w:tcPr>
          <w:p w14:paraId="6A3B9BAF" w14:textId="77777777" w:rsidR="00A35A08" w:rsidRPr="00EB4F8E" w:rsidRDefault="00A35A08" w:rsidP="00974715">
            <w:pPr>
              <w:jc w:val="both"/>
              <w:rPr>
                <w:color w:val="000000"/>
              </w:rPr>
            </w:pPr>
            <w:r w:rsidRPr="00EB4F8E">
              <w:rPr>
                <w:color w:val="000000"/>
              </w:rPr>
              <w:t>C-C Coupling LH</w:t>
            </w:r>
          </w:p>
        </w:tc>
      </w:tr>
      <w:tr w:rsidR="00A35A08" w:rsidRPr="00EB4F8E" w14:paraId="5D1E8BAA" w14:textId="77777777" w:rsidTr="00974715">
        <w:trPr>
          <w:trHeight w:val="315"/>
        </w:trPr>
        <w:tc>
          <w:tcPr>
            <w:tcW w:w="1170" w:type="dxa"/>
            <w:tcBorders>
              <w:top w:val="nil"/>
              <w:left w:val="nil"/>
              <w:bottom w:val="nil"/>
              <w:right w:val="nil"/>
            </w:tcBorders>
            <w:shd w:val="clear" w:color="auto" w:fill="auto"/>
            <w:noWrap/>
            <w:vAlign w:val="center"/>
            <w:hideMark/>
          </w:tcPr>
          <w:p w14:paraId="55FA3B8E" w14:textId="77777777" w:rsidR="00A35A08" w:rsidRPr="00EB4F8E" w:rsidRDefault="00A35A08" w:rsidP="00974715">
            <w:pPr>
              <w:jc w:val="both"/>
              <w:rPr>
                <w:color w:val="000000"/>
              </w:rPr>
            </w:pPr>
            <w:r w:rsidRPr="00EB4F8E">
              <w:rPr>
                <w:color w:val="000000"/>
              </w:rPr>
              <w:t>k</w:t>
            </w:r>
          </w:p>
        </w:tc>
        <w:tc>
          <w:tcPr>
            <w:tcW w:w="1470" w:type="dxa"/>
            <w:tcBorders>
              <w:top w:val="nil"/>
              <w:left w:val="nil"/>
              <w:bottom w:val="nil"/>
              <w:right w:val="nil"/>
            </w:tcBorders>
            <w:shd w:val="clear" w:color="auto" w:fill="auto"/>
            <w:noWrap/>
            <w:vAlign w:val="center"/>
            <w:hideMark/>
          </w:tcPr>
          <w:p w14:paraId="7BCBA45A" w14:textId="77777777" w:rsidR="00A35A08" w:rsidRPr="00EB4F8E" w:rsidRDefault="00A35A08" w:rsidP="00974715">
            <w:pPr>
              <w:jc w:val="both"/>
              <w:rPr>
                <w:color w:val="000000"/>
              </w:rPr>
            </w:pPr>
            <w:r w:rsidRPr="00EB4F8E">
              <w:rPr>
                <w:color w:val="000000"/>
              </w:rPr>
              <w:t>179.56</w:t>
            </w:r>
          </w:p>
        </w:tc>
        <w:tc>
          <w:tcPr>
            <w:tcW w:w="1860" w:type="dxa"/>
            <w:tcBorders>
              <w:top w:val="nil"/>
              <w:left w:val="nil"/>
              <w:bottom w:val="nil"/>
              <w:right w:val="nil"/>
            </w:tcBorders>
            <w:shd w:val="clear" w:color="auto" w:fill="auto"/>
            <w:noWrap/>
            <w:vAlign w:val="center"/>
            <w:hideMark/>
          </w:tcPr>
          <w:p w14:paraId="4E6D14DE" w14:textId="77777777" w:rsidR="00A35A08" w:rsidRPr="00EB4F8E" w:rsidRDefault="00A35A08" w:rsidP="00974715">
            <w:pPr>
              <w:jc w:val="both"/>
              <w:rPr>
                <w:color w:val="000000"/>
              </w:rPr>
            </w:pPr>
            <w:r w:rsidRPr="00EB4F8E">
              <w:rPr>
                <w:color w:val="000000"/>
              </w:rPr>
              <w:t>6.97</w:t>
            </w:r>
          </w:p>
        </w:tc>
        <w:tc>
          <w:tcPr>
            <w:tcW w:w="1880" w:type="dxa"/>
            <w:tcBorders>
              <w:top w:val="nil"/>
              <w:left w:val="nil"/>
              <w:bottom w:val="nil"/>
              <w:right w:val="nil"/>
            </w:tcBorders>
            <w:shd w:val="clear" w:color="auto" w:fill="auto"/>
            <w:noWrap/>
            <w:vAlign w:val="center"/>
            <w:hideMark/>
          </w:tcPr>
          <w:p w14:paraId="49C6725F" w14:textId="77777777" w:rsidR="00A35A08" w:rsidRPr="00EB4F8E" w:rsidRDefault="00A35A08" w:rsidP="00974715">
            <w:pPr>
              <w:jc w:val="both"/>
              <w:rPr>
                <w:color w:val="000000"/>
              </w:rPr>
            </w:pPr>
            <w:r w:rsidRPr="00EB4F8E">
              <w:rPr>
                <w:color w:val="000000"/>
              </w:rPr>
              <w:t>10.68</w:t>
            </w:r>
          </w:p>
        </w:tc>
      </w:tr>
      <w:tr w:rsidR="00A35A08" w:rsidRPr="00EB4F8E" w14:paraId="44585759" w14:textId="77777777" w:rsidTr="00974715">
        <w:trPr>
          <w:trHeight w:val="375"/>
        </w:trPr>
        <w:tc>
          <w:tcPr>
            <w:tcW w:w="1170" w:type="dxa"/>
            <w:tcBorders>
              <w:top w:val="nil"/>
              <w:left w:val="nil"/>
              <w:bottom w:val="single" w:sz="4" w:space="0" w:color="auto"/>
              <w:right w:val="nil"/>
            </w:tcBorders>
            <w:shd w:val="clear" w:color="auto" w:fill="auto"/>
            <w:noWrap/>
            <w:vAlign w:val="center"/>
            <w:hideMark/>
          </w:tcPr>
          <w:p w14:paraId="77E0DAD6" w14:textId="77777777" w:rsidR="00A35A08" w:rsidRPr="00EB4F8E" w:rsidRDefault="00A35A08" w:rsidP="00974715">
            <w:pPr>
              <w:jc w:val="both"/>
              <w:rPr>
                <w:color w:val="000000"/>
              </w:rPr>
            </w:pPr>
            <w:r w:rsidRPr="00EB4F8E">
              <w:rPr>
                <w:color w:val="000000"/>
              </w:rPr>
              <w:t>K</w:t>
            </w:r>
            <w:r w:rsidRPr="00EB4F8E">
              <w:rPr>
                <w:color w:val="000000"/>
                <w:vertAlign w:val="subscript"/>
              </w:rPr>
              <w:t>ads CPO</w:t>
            </w:r>
          </w:p>
        </w:tc>
        <w:tc>
          <w:tcPr>
            <w:tcW w:w="1470" w:type="dxa"/>
            <w:tcBorders>
              <w:top w:val="nil"/>
              <w:left w:val="nil"/>
              <w:bottom w:val="single" w:sz="4" w:space="0" w:color="auto"/>
              <w:right w:val="nil"/>
            </w:tcBorders>
            <w:shd w:val="clear" w:color="auto" w:fill="auto"/>
            <w:noWrap/>
            <w:vAlign w:val="center"/>
            <w:hideMark/>
          </w:tcPr>
          <w:p w14:paraId="08383B08" w14:textId="77777777" w:rsidR="00A35A08" w:rsidRPr="00EB4F8E" w:rsidRDefault="00A35A08" w:rsidP="00974715">
            <w:pPr>
              <w:jc w:val="both"/>
              <w:rPr>
                <w:color w:val="000000"/>
              </w:rPr>
            </w:pPr>
            <w:r w:rsidRPr="00EB4F8E">
              <w:rPr>
                <w:color w:val="000000"/>
              </w:rPr>
              <w:t>0.040</w:t>
            </w:r>
          </w:p>
        </w:tc>
        <w:tc>
          <w:tcPr>
            <w:tcW w:w="1860" w:type="dxa"/>
            <w:tcBorders>
              <w:top w:val="nil"/>
              <w:left w:val="nil"/>
              <w:bottom w:val="single" w:sz="4" w:space="0" w:color="auto"/>
              <w:right w:val="nil"/>
            </w:tcBorders>
            <w:shd w:val="clear" w:color="auto" w:fill="auto"/>
            <w:noWrap/>
            <w:vAlign w:val="center"/>
            <w:hideMark/>
          </w:tcPr>
          <w:p w14:paraId="703D5BF9" w14:textId="77777777" w:rsidR="00A35A08" w:rsidRPr="00EB4F8E" w:rsidRDefault="00A35A08" w:rsidP="00974715">
            <w:pPr>
              <w:jc w:val="both"/>
              <w:rPr>
                <w:color w:val="000000"/>
              </w:rPr>
            </w:pPr>
            <w:r w:rsidRPr="00EB4F8E">
              <w:rPr>
                <w:color w:val="000000"/>
              </w:rPr>
              <w:t>106.54</w:t>
            </w:r>
          </w:p>
        </w:tc>
        <w:tc>
          <w:tcPr>
            <w:tcW w:w="1880" w:type="dxa"/>
            <w:tcBorders>
              <w:top w:val="nil"/>
              <w:left w:val="nil"/>
              <w:bottom w:val="single" w:sz="4" w:space="0" w:color="auto"/>
              <w:right w:val="nil"/>
            </w:tcBorders>
            <w:shd w:val="clear" w:color="auto" w:fill="auto"/>
            <w:noWrap/>
            <w:vAlign w:val="center"/>
            <w:hideMark/>
          </w:tcPr>
          <w:p w14:paraId="7CFE56E4" w14:textId="77777777" w:rsidR="00A35A08" w:rsidRPr="00EB4F8E" w:rsidRDefault="00A35A08" w:rsidP="00974715">
            <w:pPr>
              <w:jc w:val="both"/>
              <w:rPr>
                <w:color w:val="000000"/>
              </w:rPr>
            </w:pPr>
            <w:r w:rsidRPr="00EB4F8E">
              <w:rPr>
                <w:color w:val="000000"/>
              </w:rPr>
              <w:t>3.30</w:t>
            </w:r>
          </w:p>
        </w:tc>
      </w:tr>
    </w:tbl>
    <w:p w14:paraId="0C1BC82D" w14:textId="77777777" w:rsidR="00A35A08" w:rsidRPr="00D43472" w:rsidRDefault="00A35A08" w:rsidP="00A35A08">
      <w:pPr>
        <w:jc w:val="both"/>
        <w:rPr>
          <w:iCs/>
        </w:rPr>
      </w:pPr>
    </w:p>
    <w:p w14:paraId="20DB2DD5" w14:textId="2D641E34" w:rsidR="00A35A08" w:rsidRPr="00D43472" w:rsidRDefault="00A35A08" w:rsidP="00EB3761">
      <w:pPr>
        <w:spacing w:line="480" w:lineRule="auto"/>
        <w:jc w:val="both"/>
        <w:rPr>
          <w:iCs/>
        </w:rPr>
      </w:pPr>
      <w:r w:rsidRPr="00D43472">
        <w:rPr>
          <w:iCs/>
        </w:rPr>
        <w:tab/>
      </w:r>
      <w:r>
        <w:rPr>
          <w:iCs/>
        </w:rPr>
        <w:t xml:space="preserve">Prior to conclusions solely based on </w:t>
      </w:r>
      <w:r w:rsidRPr="00D43472">
        <w:rPr>
          <w:iCs/>
        </w:rPr>
        <w:t xml:space="preserve">the reaction parameter values, the calculated reaction rate versus CPO concentration was plotted and confronted with the experimental </w:t>
      </w:r>
      <w:r w:rsidRPr="00C80AAF">
        <w:rPr>
          <w:iCs/>
        </w:rPr>
        <w:t>results (</w:t>
      </w:r>
      <w:r w:rsidRPr="00C80AAF">
        <w:rPr>
          <w:b/>
          <w:bCs/>
          <w:iCs/>
        </w:rPr>
        <w:t>Figure 2</w:t>
      </w:r>
      <w:r w:rsidR="007D27D3" w:rsidRPr="00C80AAF">
        <w:rPr>
          <w:b/>
          <w:bCs/>
          <w:iCs/>
        </w:rPr>
        <w:t>9</w:t>
      </w:r>
      <w:r w:rsidRPr="00C80AAF">
        <w:rPr>
          <w:iCs/>
        </w:rPr>
        <w:t>). It is clear</w:t>
      </w:r>
      <w:r w:rsidRPr="00D43472">
        <w:rPr>
          <w:iCs/>
        </w:rPr>
        <w:t xml:space="preserve"> from the plot that the C-C coupling occurring with an adsorbed molecule </w:t>
      </w:r>
      <w:r w:rsidR="0048601C">
        <w:rPr>
          <w:iCs/>
        </w:rPr>
        <w:t xml:space="preserve">(LH) </w:t>
      </w:r>
      <w:r w:rsidRPr="00D43472">
        <w:rPr>
          <w:iCs/>
        </w:rPr>
        <w:t xml:space="preserve">might not be the mechanism in which the </w:t>
      </w:r>
      <w:r>
        <w:rPr>
          <w:iCs/>
        </w:rPr>
        <w:t>CPO-</w:t>
      </w:r>
      <w:r w:rsidRPr="00D43472">
        <w:rPr>
          <w:iCs/>
        </w:rPr>
        <w:t xml:space="preserve">condensation occurs, leaving </w:t>
      </w:r>
      <w:r w:rsidRPr="006F2922">
        <w:rPr>
          <w:iCs/>
        </w:rPr>
        <w:t>the reaction to be limited to either CPO adsorption or enol formation or C-C coupling with a nearby non-adsorbed molecule</w:t>
      </w:r>
      <w:r w:rsidRPr="00D43472">
        <w:rPr>
          <w:iCs/>
        </w:rPr>
        <w:t xml:space="preserve">. </w:t>
      </w:r>
    </w:p>
    <w:p w14:paraId="137A02CC" w14:textId="77777777" w:rsidR="00A35A08" w:rsidRDefault="00A35A08" w:rsidP="00EB3761">
      <w:pPr>
        <w:keepNext/>
        <w:spacing w:line="480" w:lineRule="auto"/>
        <w:jc w:val="center"/>
      </w:pPr>
      <w:r w:rsidRPr="00D43472">
        <w:rPr>
          <w:iCs/>
          <w:noProof/>
        </w:rPr>
        <w:drawing>
          <wp:inline distT="0" distB="0" distL="0" distR="0" wp14:anchorId="2157371D" wp14:editId="29EA0A02">
            <wp:extent cx="3647175" cy="2286000"/>
            <wp:effectExtent l="0" t="0" r="0" b="0"/>
            <wp:docPr id="19" name="Picture 19"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line chart, scatter chart&#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647175" cy="2286000"/>
                    </a:xfrm>
                    <a:prstGeom prst="rect">
                      <a:avLst/>
                    </a:prstGeom>
                    <a:noFill/>
                  </pic:spPr>
                </pic:pic>
              </a:graphicData>
            </a:graphic>
          </wp:inline>
        </w:drawing>
      </w:r>
    </w:p>
    <w:p w14:paraId="4ACA0B59" w14:textId="129A6B73" w:rsidR="00A35A08" w:rsidRPr="00D43472" w:rsidRDefault="00A35A08" w:rsidP="00EB3761">
      <w:pPr>
        <w:pStyle w:val="Caption"/>
        <w:spacing w:line="480" w:lineRule="auto"/>
        <w:jc w:val="both"/>
        <w:rPr>
          <w:i w:val="0"/>
          <w:iCs w:val="0"/>
          <w:color w:val="auto"/>
          <w:sz w:val="24"/>
          <w:szCs w:val="24"/>
        </w:rPr>
      </w:pPr>
      <w:bookmarkStart w:id="60" w:name="_Toc131948693"/>
      <w:r w:rsidRPr="00D1327D">
        <w:rPr>
          <w:b/>
          <w:bCs/>
          <w:i w:val="0"/>
          <w:iCs w:val="0"/>
          <w:color w:val="auto"/>
          <w:sz w:val="24"/>
          <w:szCs w:val="24"/>
        </w:rPr>
        <w:t xml:space="preserve">Figure </w:t>
      </w:r>
      <w:r w:rsidRPr="00D1327D">
        <w:rPr>
          <w:b/>
          <w:bCs/>
          <w:i w:val="0"/>
          <w:iCs w:val="0"/>
          <w:color w:val="auto"/>
          <w:sz w:val="24"/>
          <w:szCs w:val="24"/>
        </w:rPr>
        <w:fldChar w:fldCharType="begin"/>
      </w:r>
      <w:r w:rsidRPr="00D1327D">
        <w:rPr>
          <w:b/>
          <w:bCs/>
          <w:i w:val="0"/>
          <w:iCs w:val="0"/>
          <w:color w:val="auto"/>
          <w:sz w:val="24"/>
          <w:szCs w:val="24"/>
        </w:rPr>
        <w:instrText xml:space="preserve"> SEQ Figure \* ARABIC </w:instrText>
      </w:r>
      <w:r w:rsidRPr="00D1327D">
        <w:rPr>
          <w:b/>
          <w:bCs/>
          <w:i w:val="0"/>
          <w:iCs w:val="0"/>
          <w:color w:val="auto"/>
          <w:sz w:val="24"/>
          <w:szCs w:val="24"/>
        </w:rPr>
        <w:fldChar w:fldCharType="separate"/>
      </w:r>
      <w:r w:rsidR="001F4741">
        <w:rPr>
          <w:b/>
          <w:bCs/>
          <w:i w:val="0"/>
          <w:iCs w:val="0"/>
          <w:noProof/>
          <w:color w:val="auto"/>
          <w:sz w:val="24"/>
          <w:szCs w:val="24"/>
        </w:rPr>
        <w:t>29</w:t>
      </w:r>
      <w:r w:rsidRPr="00D1327D">
        <w:rPr>
          <w:b/>
          <w:bCs/>
          <w:i w:val="0"/>
          <w:iCs w:val="0"/>
          <w:color w:val="auto"/>
          <w:sz w:val="24"/>
          <w:szCs w:val="24"/>
        </w:rPr>
        <w:fldChar w:fldCharType="end"/>
      </w:r>
      <w:r w:rsidRPr="00D1327D">
        <w:rPr>
          <w:b/>
          <w:bCs/>
          <w:i w:val="0"/>
          <w:iCs w:val="0"/>
          <w:color w:val="auto"/>
          <w:sz w:val="24"/>
          <w:szCs w:val="24"/>
        </w:rPr>
        <w:t>:</w:t>
      </w:r>
      <w:r w:rsidRPr="00D1327D">
        <w:rPr>
          <w:i w:val="0"/>
          <w:iCs w:val="0"/>
          <w:color w:val="auto"/>
          <w:sz w:val="24"/>
          <w:szCs w:val="24"/>
        </w:rPr>
        <w:t xml:space="preserve"> L</w:t>
      </w:r>
      <w:r w:rsidRPr="00D43472">
        <w:rPr>
          <w:i w:val="0"/>
          <w:iCs w:val="0"/>
          <w:color w:val="auto"/>
          <w:sz w:val="24"/>
          <w:szCs w:val="24"/>
        </w:rPr>
        <w:t>inearized plot of each kinetic model for the CPO self-aldol condensation in Y30.</w:t>
      </w:r>
      <w:bookmarkEnd w:id="60"/>
    </w:p>
    <w:p w14:paraId="44223ADC" w14:textId="11F39092" w:rsidR="00A35A08" w:rsidRPr="00D43472" w:rsidRDefault="00A35A08" w:rsidP="00EB3761">
      <w:pPr>
        <w:spacing w:line="480" w:lineRule="auto"/>
        <w:jc w:val="both"/>
      </w:pPr>
      <w:r w:rsidRPr="00D43472">
        <w:tab/>
        <w:t xml:space="preserve"> </w:t>
      </w:r>
      <w:r>
        <w:t>From</w:t>
      </w:r>
      <w:r w:rsidRPr="00D43472">
        <w:t xml:space="preserve"> Transition State theory, </w:t>
      </w:r>
      <w:r>
        <w:t xml:space="preserve">it is known </w:t>
      </w:r>
      <w:r w:rsidRPr="00D43472">
        <w:t xml:space="preserve">that the reaction constant is a function of the temperature and the Gibbs free energy </w:t>
      </w:r>
      <w:r>
        <w:t xml:space="preserve">at the </w:t>
      </w:r>
      <w:r w:rsidRPr="00D43472">
        <w:t xml:space="preserve">transition state </w:t>
      </w:r>
      <w:r>
        <w:fldChar w:fldCharType="begin"/>
      </w:r>
      <w:r w:rsidR="00C54D4B">
        <w:instrText xml:space="preserve"> ADDIN EN.CITE &lt;EndNote&gt;&lt;Cite&gt;&lt;Author&gt;Eyring&lt;/Author&gt;&lt;Year&gt;1935&lt;/Year&gt;&lt;RecNum&gt;139&lt;/RecNum&gt;&lt;DisplayText&gt;[151]&lt;/DisplayText&gt;&lt;record&gt;&lt;rec-number&gt;139&lt;/rec-number&gt;&lt;foreign-keys&gt;&lt;key app="EN" db-id="59dvwrfdof9dw8exf0kvp0atwazsazeeffsp" timestamp="1674770927"&gt;139&lt;/key&gt;&lt;/foreign-keys&gt;&lt;ref-type name="Journal Article"&gt;17&lt;/ref-type&gt;&lt;contributors&gt;&lt;authors&gt;&lt;author&gt;Henry Eyring&lt;/author&gt;&lt;/authors&gt;&lt;/contributors&gt;&lt;titles&gt;&lt;title&gt;The Activated Complex in Chemical Reactions&lt;/title&gt;&lt;secondary-title&gt;The Journal of Chemical Physics&lt;/secondary-title&gt;&lt;/titles&gt;&lt;periodical&gt;&lt;full-title&gt;The Journal of Chemical Physics&lt;/full-title&gt;&lt;/periodical&gt;&lt;pages&gt;65-77&lt;/pages&gt;&lt;volume&gt;33&lt;/volume&gt;&lt;number&gt;2&lt;/number&gt;&lt;dates&gt;&lt;year&gt;1935&lt;/year&gt;&lt;/dates&gt;&lt;urls&gt;&lt;/urls&gt;&lt;electronic-resource-num&gt;https://doi.org/10.1063/1.1749604&lt;/electronic-resource-num&gt;&lt;/record&gt;&lt;/Cite&gt;&lt;/EndNote&gt;</w:instrText>
      </w:r>
      <w:r>
        <w:fldChar w:fldCharType="separate"/>
      </w:r>
      <w:r w:rsidR="00C54D4B">
        <w:rPr>
          <w:noProof/>
        </w:rPr>
        <w:t>[</w:t>
      </w:r>
      <w:hyperlink w:anchor="_ENREF_151" w:tooltip="Eyring, 1935 #139" w:history="1">
        <w:r w:rsidR="00D307FA">
          <w:rPr>
            <w:noProof/>
          </w:rPr>
          <w:t>151</w:t>
        </w:r>
      </w:hyperlink>
      <w:r w:rsidR="00C54D4B">
        <w:rPr>
          <w:noProof/>
        </w:rPr>
        <w:t>]</w:t>
      </w:r>
      <w:r>
        <w:fldChar w:fldCharType="end"/>
      </w:r>
      <w:r w:rsidRPr="00D43472">
        <w:t xml:space="preserve">. </w:t>
      </w:r>
      <w:r w:rsidRPr="000C0B3E">
        <w:t xml:space="preserve">Once the models </w:t>
      </w:r>
      <w:r w:rsidRPr="000C0B3E">
        <w:lastRenderedPageBreak/>
        <w:t>assume a first-order reaction dependence on CPO concentration</w:t>
      </w:r>
      <w:r w:rsidRPr="00D43472">
        <w:t>, the equation</w:t>
      </w:r>
      <w:r>
        <w:t>s</w:t>
      </w:r>
      <w:r w:rsidRPr="00D43472">
        <w:t xml:space="preserve"> </w:t>
      </w:r>
      <w:r>
        <w:t>will assume the form of</w:t>
      </w:r>
      <w:r w:rsidRPr="00D43472">
        <w:t>:</w:t>
      </w:r>
    </w:p>
    <w:p w14:paraId="7038E87B" w14:textId="77777777" w:rsidR="00A35A08" w:rsidRPr="00D43472" w:rsidRDefault="00000000" w:rsidP="00EB3761">
      <w:pPr>
        <w:spacing w:line="480" w:lineRule="auto"/>
        <w:jc w:val="both"/>
        <w:rPr>
          <w:rFonts w:eastAsiaTheme="minorEastAsia"/>
          <w:iCs/>
          <w:color w:val="000000" w:themeColor="text1"/>
          <w:kern w:val="24"/>
        </w:rPr>
      </w:pPr>
      <m:oMathPara>
        <m:oMath>
          <m:f>
            <m:fPr>
              <m:ctrlPr>
                <w:rPr>
                  <w:rFonts w:ascii="Cambria Math" w:eastAsiaTheme="minorEastAsia" w:hAnsi="Cambria Math"/>
                  <w:i/>
                  <w:iCs/>
                  <w:color w:val="000000" w:themeColor="text1"/>
                  <w:kern w:val="24"/>
                </w:rPr>
              </m:ctrlPr>
            </m:fPr>
            <m:num>
              <m:r>
                <w:rPr>
                  <w:rFonts w:ascii="Cambria Math" w:hAnsi="Cambria Math"/>
                  <w:color w:val="000000" w:themeColor="text1"/>
                  <w:kern w:val="24"/>
                </w:rPr>
                <m:t>r</m:t>
              </m:r>
            </m:num>
            <m:den>
              <m:sSub>
                <m:sSubPr>
                  <m:ctrlPr>
                    <w:rPr>
                      <w:rFonts w:ascii="Cambria Math" w:eastAsiaTheme="minorEastAsia" w:hAnsi="Cambria Math"/>
                      <w:i/>
                      <w:iCs/>
                      <w:color w:val="000000" w:themeColor="text1"/>
                      <w:kern w:val="24"/>
                    </w:rPr>
                  </m:ctrlPr>
                </m:sSubPr>
                <m:e>
                  <m:r>
                    <w:rPr>
                      <w:rFonts w:ascii="Cambria Math" w:hAnsi="Cambria Math"/>
                      <w:color w:val="000000" w:themeColor="text1"/>
                      <w:kern w:val="24"/>
                    </w:rPr>
                    <m:t>C</m:t>
                  </m:r>
                </m:e>
                <m:sub>
                  <m:r>
                    <w:rPr>
                      <w:rFonts w:ascii="Cambria Math" w:hAnsi="Cambria Math"/>
                      <w:color w:val="000000" w:themeColor="text1"/>
                      <w:kern w:val="24"/>
                    </w:rPr>
                    <m:t>CPO</m:t>
                  </m:r>
                </m:sub>
              </m:sSub>
            </m:den>
          </m:f>
          <m:r>
            <m:rPr>
              <m:sty m:val="p"/>
            </m:rPr>
            <w:rPr>
              <w:rFonts w:ascii="Cambria Math" w:hAnsi="Cambria Math"/>
              <w:color w:val="000000" w:themeColor="text1"/>
              <w:kern w:val="24"/>
            </w:rPr>
            <m:t>= </m:t>
          </m:r>
          <m:sSub>
            <m:sSubPr>
              <m:ctrlPr>
                <w:rPr>
                  <w:rFonts w:ascii="Cambria Math" w:eastAsiaTheme="minorEastAsia" w:hAnsi="Cambria Math"/>
                  <w:i/>
                  <w:iCs/>
                  <w:color w:val="000000" w:themeColor="text1"/>
                  <w:kern w:val="24"/>
                </w:rPr>
              </m:ctrlPr>
            </m:sSubPr>
            <m:e>
              <m:r>
                <w:rPr>
                  <w:rFonts w:ascii="Cambria Math" w:hAnsi="Cambria Math"/>
                  <w:color w:val="000000" w:themeColor="text1"/>
                  <w:kern w:val="24"/>
                </w:rPr>
                <m:t>k</m:t>
              </m:r>
            </m:e>
            <m:sub>
              <m:r>
                <w:rPr>
                  <w:rFonts w:ascii="Cambria Math" w:hAnsi="Cambria Math"/>
                  <w:color w:val="000000" w:themeColor="text1"/>
                  <w:kern w:val="24"/>
                </w:rPr>
                <m:t>TST</m:t>
              </m:r>
            </m:sub>
          </m:sSub>
          <m:r>
            <w:rPr>
              <w:rFonts w:ascii="Cambria Math" w:hAnsi="Cambria Math"/>
              <w:color w:val="000000" w:themeColor="text1"/>
              <w:kern w:val="24"/>
            </w:rPr>
            <m:t>=</m:t>
          </m:r>
          <m:f>
            <m:fPr>
              <m:ctrlPr>
                <w:rPr>
                  <w:rFonts w:ascii="Cambria Math" w:eastAsiaTheme="minorEastAsia" w:hAnsi="Cambria Math"/>
                  <w:i/>
                  <w:iCs/>
                  <w:color w:val="000000" w:themeColor="text1"/>
                  <w:kern w:val="24"/>
                </w:rPr>
              </m:ctrlPr>
            </m:fPr>
            <m:num>
              <m:sSub>
                <m:sSubPr>
                  <m:ctrlPr>
                    <w:rPr>
                      <w:rFonts w:ascii="Cambria Math" w:eastAsiaTheme="minorEastAsia" w:hAnsi="Cambria Math"/>
                      <w:i/>
                      <w:iCs/>
                      <w:color w:val="000000" w:themeColor="text1"/>
                      <w:kern w:val="24"/>
                    </w:rPr>
                  </m:ctrlPr>
                </m:sSubPr>
                <m:e>
                  <m:r>
                    <w:rPr>
                      <w:rFonts w:ascii="Cambria Math" w:hAnsi="Cambria Math"/>
                      <w:color w:val="000000" w:themeColor="text1"/>
                      <w:kern w:val="24"/>
                    </w:rPr>
                    <m:t>k</m:t>
                  </m:r>
                </m:e>
                <m:sub>
                  <m:r>
                    <w:rPr>
                      <w:rFonts w:ascii="Cambria Math" w:hAnsi="Cambria Math"/>
                      <w:color w:val="000000" w:themeColor="text1"/>
                      <w:kern w:val="24"/>
                    </w:rPr>
                    <m:t>B</m:t>
                  </m:r>
                </m:sub>
              </m:sSub>
              <m:r>
                <w:rPr>
                  <w:rFonts w:ascii="Cambria Math" w:hAnsi="Cambria Math"/>
                  <w:color w:val="000000" w:themeColor="text1"/>
                  <w:kern w:val="24"/>
                </w:rPr>
                <m:t>T</m:t>
              </m:r>
            </m:num>
            <m:den>
              <m:r>
                <w:rPr>
                  <w:rFonts w:ascii="Cambria Math" w:hAnsi="Cambria Math"/>
                  <w:color w:val="000000" w:themeColor="text1"/>
                  <w:kern w:val="24"/>
                </w:rPr>
                <m:t>h</m:t>
              </m:r>
            </m:den>
          </m:f>
          <m:func>
            <m:funcPr>
              <m:ctrlPr>
                <w:rPr>
                  <w:rFonts w:ascii="Cambria Math" w:eastAsiaTheme="minorEastAsia" w:hAnsi="Cambria Math"/>
                  <w:i/>
                  <w:iCs/>
                  <w:color w:val="000000" w:themeColor="text1"/>
                  <w:kern w:val="24"/>
                </w:rPr>
              </m:ctrlPr>
            </m:funcPr>
            <m:fName>
              <m:r>
                <m:rPr>
                  <m:sty m:val="p"/>
                </m:rPr>
                <w:rPr>
                  <w:rFonts w:ascii="Cambria Math" w:hAnsi="Cambria Math"/>
                  <w:color w:val="000000" w:themeColor="text1"/>
                  <w:kern w:val="24"/>
                </w:rPr>
                <m:t>exp</m:t>
              </m:r>
            </m:fName>
            <m:e>
              <m:d>
                <m:dPr>
                  <m:ctrlPr>
                    <w:rPr>
                      <w:rFonts w:ascii="Cambria Math" w:eastAsiaTheme="minorEastAsia" w:hAnsi="Cambria Math"/>
                      <w:i/>
                      <w:iCs/>
                      <w:color w:val="000000" w:themeColor="text1"/>
                      <w:kern w:val="24"/>
                    </w:rPr>
                  </m:ctrlPr>
                </m:dPr>
                <m:e>
                  <m:f>
                    <m:fPr>
                      <m:ctrlPr>
                        <w:rPr>
                          <w:rFonts w:ascii="Cambria Math" w:eastAsiaTheme="minorEastAsia" w:hAnsi="Cambria Math"/>
                          <w:i/>
                          <w:iCs/>
                          <w:color w:val="000000" w:themeColor="text1"/>
                          <w:kern w:val="24"/>
                        </w:rPr>
                      </m:ctrlPr>
                    </m:fPr>
                    <m:num>
                      <m:r>
                        <w:rPr>
                          <w:rFonts w:ascii="Cambria Math" w:eastAsia="Cambria Math" w:hAnsi="Cambria Math"/>
                          <w:color w:val="000000" w:themeColor="text1"/>
                          <w:kern w:val="24"/>
                        </w:rPr>
                        <m:t>∆</m:t>
                      </m:r>
                      <m:sSubSup>
                        <m:sSubSupPr>
                          <m:ctrlPr>
                            <w:rPr>
                              <w:rFonts w:ascii="Cambria Math" w:eastAsia="Cambria Math" w:hAnsi="Cambria Math"/>
                              <w:i/>
                              <w:iCs/>
                              <w:color w:val="000000" w:themeColor="text1"/>
                              <w:kern w:val="24"/>
                            </w:rPr>
                          </m:ctrlPr>
                        </m:sSubSupPr>
                        <m:e>
                          <m:r>
                            <w:rPr>
                              <w:rFonts w:ascii="Cambria Math" w:eastAsia="Cambria Math" w:hAnsi="Cambria Math"/>
                              <w:color w:val="000000" w:themeColor="text1"/>
                              <w:kern w:val="24"/>
                            </w:rPr>
                            <m:t>S</m:t>
                          </m:r>
                        </m:e>
                        <m:sub>
                          <m:r>
                            <w:rPr>
                              <w:rFonts w:ascii="Cambria Math" w:eastAsia="Cambria Math" w:hAnsi="Cambria Math"/>
                              <w:color w:val="000000" w:themeColor="text1"/>
                              <w:kern w:val="24"/>
                            </w:rPr>
                            <m:t>0</m:t>
                          </m:r>
                        </m:sub>
                        <m:sup>
                          <m:r>
                            <w:rPr>
                              <w:rFonts w:ascii="Cambria Math" w:eastAsia="Cambria Math" w:hAnsi="Cambria Math"/>
                              <w:color w:val="000000" w:themeColor="text1"/>
                              <w:kern w:val="24"/>
                            </w:rPr>
                            <m:t>≠</m:t>
                          </m:r>
                        </m:sup>
                      </m:sSubSup>
                    </m:num>
                    <m:den>
                      <m:r>
                        <w:rPr>
                          <w:rFonts w:ascii="Cambria Math" w:hAnsi="Cambria Math"/>
                          <w:color w:val="000000" w:themeColor="text1"/>
                          <w:kern w:val="24"/>
                        </w:rPr>
                        <m:t>R</m:t>
                      </m:r>
                    </m:den>
                  </m:f>
                </m:e>
              </m:d>
              <m:func>
                <m:funcPr>
                  <m:ctrlPr>
                    <w:rPr>
                      <w:rFonts w:ascii="Cambria Math" w:eastAsiaTheme="minorEastAsia" w:hAnsi="Cambria Math"/>
                      <w:i/>
                      <w:iCs/>
                      <w:color w:val="000000" w:themeColor="text1"/>
                      <w:kern w:val="24"/>
                    </w:rPr>
                  </m:ctrlPr>
                </m:funcPr>
                <m:fName>
                  <m:r>
                    <m:rPr>
                      <m:sty m:val="p"/>
                    </m:rPr>
                    <w:rPr>
                      <w:rFonts w:ascii="Cambria Math" w:hAnsi="Cambria Math"/>
                      <w:color w:val="000000" w:themeColor="text1"/>
                      <w:kern w:val="24"/>
                    </w:rPr>
                    <m:t>exp</m:t>
                  </m:r>
                </m:fName>
                <m:e>
                  <m:d>
                    <m:dPr>
                      <m:ctrlPr>
                        <w:rPr>
                          <w:rFonts w:ascii="Cambria Math" w:eastAsiaTheme="minorEastAsia" w:hAnsi="Cambria Math"/>
                          <w:i/>
                          <w:iCs/>
                          <w:color w:val="000000" w:themeColor="text1"/>
                          <w:kern w:val="24"/>
                        </w:rPr>
                      </m:ctrlPr>
                    </m:dPr>
                    <m:e>
                      <m:f>
                        <m:fPr>
                          <m:ctrlPr>
                            <w:rPr>
                              <w:rFonts w:ascii="Cambria Math" w:eastAsiaTheme="minorEastAsia" w:hAnsi="Cambria Math"/>
                              <w:i/>
                              <w:iCs/>
                              <w:color w:val="000000" w:themeColor="text1"/>
                              <w:kern w:val="24"/>
                            </w:rPr>
                          </m:ctrlPr>
                        </m:fPr>
                        <m:num>
                          <m:r>
                            <w:rPr>
                              <w:rFonts w:ascii="Cambria Math" w:hAnsi="Cambria Math"/>
                              <w:color w:val="000000" w:themeColor="text1"/>
                              <w:kern w:val="24"/>
                            </w:rPr>
                            <m:t>-</m:t>
                          </m:r>
                          <m:r>
                            <w:rPr>
                              <w:rFonts w:ascii="Cambria Math" w:eastAsia="Cambria Math" w:hAnsi="Cambria Math"/>
                              <w:color w:val="000000" w:themeColor="text1"/>
                              <w:kern w:val="24"/>
                            </w:rPr>
                            <m:t>∆</m:t>
                          </m:r>
                          <m:sSubSup>
                            <m:sSubSupPr>
                              <m:ctrlPr>
                                <w:rPr>
                                  <w:rFonts w:ascii="Cambria Math" w:eastAsia="Cambria Math" w:hAnsi="Cambria Math"/>
                                  <w:i/>
                                  <w:iCs/>
                                  <w:color w:val="000000" w:themeColor="text1"/>
                                  <w:kern w:val="24"/>
                                </w:rPr>
                              </m:ctrlPr>
                            </m:sSubSupPr>
                            <m:e>
                              <m:r>
                                <w:rPr>
                                  <w:rFonts w:ascii="Cambria Math" w:eastAsia="Cambria Math" w:hAnsi="Cambria Math"/>
                                  <w:color w:val="000000" w:themeColor="text1"/>
                                  <w:kern w:val="24"/>
                                </w:rPr>
                                <m:t>H</m:t>
                              </m:r>
                            </m:e>
                            <m:sub>
                              <m:r>
                                <w:rPr>
                                  <w:rFonts w:ascii="Cambria Math" w:eastAsia="Cambria Math" w:hAnsi="Cambria Math"/>
                                  <w:color w:val="000000" w:themeColor="text1"/>
                                  <w:kern w:val="24"/>
                                </w:rPr>
                                <m:t>0</m:t>
                              </m:r>
                            </m:sub>
                            <m:sup>
                              <m:r>
                                <w:rPr>
                                  <w:rFonts w:ascii="Cambria Math" w:eastAsia="Cambria Math" w:hAnsi="Cambria Math"/>
                                  <w:color w:val="000000" w:themeColor="text1"/>
                                  <w:kern w:val="24"/>
                                </w:rPr>
                                <m:t>≠</m:t>
                              </m:r>
                            </m:sup>
                          </m:sSubSup>
                        </m:num>
                        <m:den>
                          <m:r>
                            <w:rPr>
                              <w:rFonts w:ascii="Cambria Math" w:hAnsi="Cambria Math"/>
                              <w:color w:val="000000" w:themeColor="text1"/>
                              <w:kern w:val="24"/>
                            </w:rPr>
                            <m:t>RT</m:t>
                          </m:r>
                        </m:den>
                      </m:f>
                    </m:e>
                  </m:d>
                </m:e>
              </m:func>
            </m:e>
          </m:func>
        </m:oMath>
      </m:oMathPara>
    </w:p>
    <w:p w14:paraId="523B995D" w14:textId="77777777" w:rsidR="00A35A08" w:rsidRPr="000A2CA6" w:rsidRDefault="00A35A08" w:rsidP="00EB3761">
      <w:pPr>
        <w:spacing w:line="480" w:lineRule="auto"/>
        <w:jc w:val="both"/>
        <w:rPr>
          <w:rFonts w:eastAsiaTheme="minorEastAsia"/>
          <w:iCs/>
          <w:color w:val="000000" w:themeColor="text1"/>
          <w:kern w:val="24"/>
        </w:rPr>
      </w:pPr>
      <w:r>
        <w:rPr>
          <w:rFonts w:eastAsiaTheme="minorEastAsia"/>
          <w:iCs/>
          <w:color w:val="000000" w:themeColor="text1"/>
          <w:kern w:val="24"/>
        </w:rPr>
        <w:tab/>
      </w:r>
      <w:r w:rsidRPr="009C12B9">
        <w:rPr>
          <w:rFonts w:eastAsiaTheme="minorEastAsia"/>
          <w:iCs/>
          <w:color w:val="000000" w:themeColor="text1"/>
          <w:kern w:val="24"/>
        </w:rPr>
        <w:t>In where k</w:t>
      </w:r>
      <w:r w:rsidRPr="00E777EF">
        <w:rPr>
          <w:rFonts w:eastAsiaTheme="minorEastAsia"/>
          <w:iCs/>
          <w:color w:val="000000" w:themeColor="text1"/>
          <w:kern w:val="24"/>
          <w:vertAlign w:val="subscript"/>
        </w:rPr>
        <w:t>B</w:t>
      </w:r>
      <w:r w:rsidRPr="009C12B9">
        <w:rPr>
          <w:rFonts w:eastAsiaTheme="minorEastAsia"/>
          <w:iCs/>
          <w:color w:val="000000" w:themeColor="text1"/>
          <w:kern w:val="24"/>
        </w:rPr>
        <w:t xml:space="preserve"> is the Boltzmann constant, h is the Planck constant, T is the reaction temperature, </w:t>
      </w:r>
      <m:oMath>
        <m:r>
          <m:rPr>
            <m:sty m:val="p"/>
          </m:rPr>
          <w:rPr>
            <w:rFonts w:ascii="Cambria Math" w:eastAsia="Cambria Math" w:hAnsi="Cambria Math"/>
            <w:color w:val="000000" w:themeColor="text1"/>
            <w:kern w:val="24"/>
          </w:rPr>
          <m:t>∆</m:t>
        </m:r>
        <m:sSubSup>
          <m:sSubSupPr>
            <m:ctrlPr>
              <w:rPr>
                <w:rFonts w:ascii="Cambria Math" w:eastAsia="Cambria Math" w:hAnsi="Cambria Math"/>
                <w:iCs/>
                <w:color w:val="000000" w:themeColor="text1"/>
                <w:kern w:val="24"/>
              </w:rPr>
            </m:ctrlPr>
          </m:sSubSupPr>
          <m:e>
            <m:r>
              <m:rPr>
                <m:sty m:val="p"/>
              </m:rPr>
              <w:rPr>
                <w:rFonts w:ascii="Cambria Math" w:eastAsia="Cambria Math" w:hAnsi="Cambria Math"/>
                <w:color w:val="000000" w:themeColor="text1"/>
                <w:kern w:val="24"/>
              </w:rPr>
              <m:t>S</m:t>
            </m:r>
          </m:e>
          <m:sub>
            <m:r>
              <m:rPr>
                <m:sty m:val="p"/>
              </m:rPr>
              <w:rPr>
                <w:rFonts w:ascii="Cambria Math" w:eastAsia="Cambria Math" w:hAnsi="Cambria Math"/>
                <w:color w:val="000000" w:themeColor="text1"/>
                <w:kern w:val="24"/>
              </w:rPr>
              <m:t>0</m:t>
            </m:r>
          </m:sub>
          <m:sup>
            <m:r>
              <m:rPr>
                <m:sty m:val="p"/>
              </m:rPr>
              <w:rPr>
                <w:rFonts w:ascii="Cambria Math" w:eastAsia="Cambria Math" w:hAnsi="Cambria Math"/>
                <w:color w:val="000000" w:themeColor="text1"/>
                <w:kern w:val="24"/>
              </w:rPr>
              <m:t>≠</m:t>
            </m:r>
          </m:sup>
        </m:sSubSup>
      </m:oMath>
      <w:r w:rsidRPr="009C12B9">
        <w:rPr>
          <w:rFonts w:eastAsiaTheme="minorEastAsia"/>
          <w:iCs/>
          <w:color w:val="000000" w:themeColor="text1"/>
          <w:kern w:val="24"/>
        </w:rPr>
        <w:t xml:space="preserve"> is the entropy of activation, </w:t>
      </w:r>
      <m:oMath>
        <m:r>
          <m:rPr>
            <m:sty m:val="p"/>
          </m:rPr>
          <w:rPr>
            <w:rFonts w:ascii="Cambria Math" w:hAnsi="Cambria Math"/>
            <w:color w:val="000000" w:themeColor="text1"/>
            <w:kern w:val="24"/>
          </w:rPr>
          <m:t>-</m:t>
        </m:r>
        <m:r>
          <m:rPr>
            <m:sty m:val="p"/>
          </m:rPr>
          <w:rPr>
            <w:rFonts w:ascii="Cambria Math" w:eastAsia="Cambria Math" w:hAnsi="Cambria Math"/>
            <w:color w:val="000000" w:themeColor="text1"/>
            <w:kern w:val="24"/>
          </w:rPr>
          <m:t>∆</m:t>
        </m:r>
        <m:sSubSup>
          <m:sSubSupPr>
            <m:ctrlPr>
              <w:rPr>
                <w:rFonts w:ascii="Cambria Math" w:eastAsia="Cambria Math" w:hAnsi="Cambria Math"/>
                <w:iCs/>
                <w:color w:val="000000" w:themeColor="text1"/>
                <w:kern w:val="24"/>
              </w:rPr>
            </m:ctrlPr>
          </m:sSubSupPr>
          <m:e>
            <m:r>
              <m:rPr>
                <m:sty m:val="p"/>
              </m:rPr>
              <w:rPr>
                <w:rFonts w:ascii="Cambria Math" w:eastAsia="Cambria Math" w:hAnsi="Cambria Math"/>
                <w:color w:val="000000" w:themeColor="text1"/>
                <w:kern w:val="24"/>
              </w:rPr>
              <m:t>H</m:t>
            </m:r>
          </m:e>
          <m:sub>
            <m:r>
              <m:rPr>
                <m:sty m:val="p"/>
              </m:rPr>
              <w:rPr>
                <w:rFonts w:ascii="Cambria Math" w:eastAsia="Cambria Math" w:hAnsi="Cambria Math"/>
                <w:color w:val="000000" w:themeColor="text1"/>
                <w:kern w:val="24"/>
              </w:rPr>
              <m:t>0</m:t>
            </m:r>
          </m:sub>
          <m:sup>
            <m:r>
              <m:rPr>
                <m:sty m:val="p"/>
              </m:rPr>
              <w:rPr>
                <w:rFonts w:ascii="Cambria Math" w:eastAsia="Cambria Math" w:hAnsi="Cambria Math"/>
                <w:color w:val="000000" w:themeColor="text1"/>
                <w:kern w:val="24"/>
              </w:rPr>
              <m:t>≠</m:t>
            </m:r>
          </m:sup>
        </m:sSubSup>
      </m:oMath>
      <w:r w:rsidRPr="009C12B9">
        <w:rPr>
          <w:rFonts w:eastAsiaTheme="minorEastAsia"/>
          <w:iCs/>
          <w:color w:val="000000" w:themeColor="text1"/>
          <w:kern w:val="24"/>
        </w:rPr>
        <w:t xml:space="preserve"> the enthalpy or activation (or energy of activation, E</w:t>
      </w:r>
      <w:r w:rsidRPr="009C12B9">
        <w:rPr>
          <w:rFonts w:eastAsiaTheme="minorEastAsia"/>
          <w:iCs/>
          <w:color w:val="000000" w:themeColor="text1"/>
          <w:kern w:val="24"/>
          <w:vertAlign w:val="subscript"/>
        </w:rPr>
        <w:t>act</w:t>
      </w:r>
      <w:r>
        <w:rPr>
          <w:rFonts w:eastAsiaTheme="minorEastAsia"/>
          <w:iCs/>
          <w:color w:val="000000" w:themeColor="text1"/>
          <w:kern w:val="24"/>
        </w:rPr>
        <w:t>), and R the gas constant</w:t>
      </w:r>
      <w:r w:rsidRPr="009C12B9">
        <w:rPr>
          <w:rFonts w:eastAsiaTheme="minorEastAsia"/>
          <w:iCs/>
          <w:color w:val="000000" w:themeColor="text1"/>
          <w:kern w:val="24"/>
        </w:rPr>
        <w:t>.</w:t>
      </w:r>
      <w:r>
        <w:rPr>
          <w:rFonts w:eastAsiaTheme="minorEastAsia"/>
          <w:iCs/>
          <w:color w:val="000000" w:themeColor="text1"/>
          <w:kern w:val="24"/>
        </w:rPr>
        <w:t xml:space="preserve"> L</w:t>
      </w:r>
      <w:r w:rsidRPr="00D43472">
        <w:rPr>
          <w:rFonts w:eastAsiaTheme="minorEastAsia"/>
          <w:iCs/>
          <w:color w:val="000000" w:themeColor="text1"/>
          <w:kern w:val="24"/>
        </w:rPr>
        <w:t xml:space="preserve">inearizing </w:t>
      </w:r>
      <w:r>
        <w:rPr>
          <w:rFonts w:eastAsiaTheme="minorEastAsia"/>
          <w:iCs/>
          <w:color w:val="000000" w:themeColor="text1"/>
          <w:kern w:val="24"/>
        </w:rPr>
        <w:t xml:space="preserve">the equation as a function of the reaction </w:t>
      </w:r>
      <w:r w:rsidRPr="000A2CA6">
        <w:rPr>
          <w:rFonts w:eastAsiaTheme="minorEastAsia"/>
          <w:iCs/>
          <w:color w:val="000000" w:themeColor="text1"/>
          <w:kern w:val="24"/>
        </w:rPr>
        <w:t>temperature:</w:t>
      </w:r>
    </w:p>
    <w:p w14:paraId="5377672A" w14:textId="77777777" w:rsidR="00A35A08" w:rsidRPr="000A2CA6" w:rsidRDefault="00000000" w:rsidP="00EB3761">
      <w:pPr>
        <w:spacing w:line="480" w:lineRule="auto"/>
        <w:jc w:val="both"/>
        <w:rPr>
          <w:color w:val="000000" w:themeColor="text1"/>
          <w:kern w:val="24"/>
        </w:rPr>
      </w:pPr>
      <m:oMathPara>
        <m:oMath>
          <m:func>
            <m:funcPr>
              <m:ctrlPr>
                <w:rPr>
                  <w:rFonts w:ascii="Cambria Math" w:hAnsi="Cambria Math"/>
                  <w:i/>
                  <w:iCs/>
                  <w:color w:val="000000" w:themeColor="text1"/>
                  <w:kern w:val="24"/>
                </w:rPr>
              </m:ctrlPr>
            </m:funcPr>
            <m:fName>
              <m:r>
                <w:rPr>
                  <w:rFonts w:ascii="Cambria Math" w:hAnsi="Cambria Math"/>
                  <w:color w:val="000000" w:themeColor="text1"/>
                  <w:kern w:val="24"/>
                </w:rPr>
                <m:t>ln</m:t>
              </m:r>
            </m:fName>
            <m:e>
              <m:d>
                <m:dPr>
                  <m:ctrlPr>
                    <w:rPr>
                      <w:rFonts w:ascii="Cambria Math" w:hAnsi="Cambria Math"/>
                      <w:i/>
                      <w:iCs/>
                      <w:color w:val="000000" w:themeColor="text1"/>
                      <w:kern w:val="24"/>
                    </w:rPr>
                  </m:ctrlPr>
                </m:dPr>
                <m:e>
                  <m:f>
                    <m:fPr>
                      <m:ctrlPr>
                        <w:rPr>
                          <w:rFonts w:ascii="Cambria Math" w:hAnsi="Cambria Math"/>
                          <w:i/>
                          <w:iCs/>
                          <w:color w:val="000000" w:themeColor="text1"/>
                          <w:kern w:val="24"/>
                        </w:rPr>
                      </m:ctrlPr>
                    </m:fPr>
                    <m:num>
                      <m:sSub>
                        <m:sSubPr>
                          <m:ctrlPr>
                            <w:rPr>
                              <w:rFonts w:ascii="Cambria Math" w:hAnsi="Cambria Math"/>
                              <w:i/>
                              <w:iCs/>
                              <w:color w:val="000000" w:themeColor="text1"/>
                              <w:kern w:val="24"/>
                            </w:rPr>
                          </m:ctrlPr>
                        </m:sSubPr>
                        <m:e>
                          <m:r>
                            <w:rPr>
                              <w:rFonts w:ascii="Cambria Math" w:hAnsi="Cambria Math"/>
                              <w:color w:val="000000" w:themeColor="text1"/>
                              <w:kern w:val="24"/>
                            </w:rPr>
                            <m:t>r</m:t>
                          </m:r>
                        </m:e>
                        <m:sub>
                          <m:sSub>
                            <m:sSubPr>
                              <m:ctrlPr>
                                <w:rPr>
                                  <w:rFonts w:ascii="Cambria Math" w:hAnsi="Cambria Math"/>
                                  <w:i/>
                                  <w:iCs/>
                                  <w:color w:val="000000" w:themeColor="text1"/>
                                  <w:kern w:val="24"/>
                                </w:rPr>
                              </m:ctrlPr>
                            </m:sSubPr>
                            <m:e>
                              <m:r>
                                <w:rPr>
                                  <w:rFonts w:ascii="Cambria Math" w:hAnsi="Cambria Math"/>
                                  <w:color w:val="000000" w:themeColor="text1"/>
                                  <w:kern w:val="24"/>
                                </w:rPr>
                                <m:t>T</m:t>
                              </m:r>
                            </m:e>
                            <m:sub>
                              <m:r>
                                <w:rPr>
                                  <w:rFonts w:ascii="Cambria Math" w:hAnsi="Cambria Math"/>
                                  <w:color w:val="000000" w:themeColor="text1"/>
                                  <w:kern w:val="24"/>
                                </w:rPr>
                                <m:t>i</m:t>
                              </m:r>
                            </m:sub>
                          </m:sSub>
                        </m:sub>
                      </m:sSub>
                    </m:num>
                    <m:den>
                      <m:sSub>
                        <m:sSubPr>
                          <m:ctrlPr>
                            <w:rPr>
                              <w:rFonts w:ascii="Cambria Math" w:hAnsi="Cambria Math"/>
                              <w:i/>
                              <w:iCs/>
                              <w:color w:val="000000" w:themeColor="text1"/>
                              <w:kern w:val="24"/>
                            </w:rPr>
                          </m:ctrlPr>
                        </m:sSubPr>
                        <m:e>
                          <m:r>
                            <w:rPr>
                              <w:rFonts w:ascii="Cambria Math" w:hAnsi="Cambria Math"/>
                              <w:color w:val="000000" w:themeColor="text1"/>
                              <w:kern w:val="24"/>
                            </w:rPr>
                            <m:t>C</m:t>
                          </m:r>
                        </m:e>
                        <m:sub>
                          <m:r>
                            <w:rPr>
                              <w:rFonts w:ascii="Cambria Math" w:hAnsi="Cambria Math"/>
                              <w:color w:val="000000" w:themeColor="text1"/>
                              <w:kern w:val="24"/>
                            </w:rPr>
                            <m:t>CPO</m:t>
                          </m:r>
                        </m:sub>
                      </m:sSub>
                      <m:r>
                        <w:rPr>
                          <w:rFonts w:ascii="Cambria Math" w:hAnsi="Cambria Math"/>
                          <w:color w:val="000000" w:themeColor="text1"/>
                          <w:kern w:val="24"/>
                        </w:rPr>
                        <m:t>BAS</m:t>
                      </m:r>
                    </m:den>
                  </m:f>
                  <m:f>
                    <m:fPr>
                      <m:ctrlPr>
                        <w:rPr>
                          <w:rFonts w:ascii="Cambria Math" w:hAnsi="Cambria Math"/>
                          <w:i/>
                          <w:iCs/>
                          <w:color w:val="000000" w:themeColor="text1"/>
                          <w:kern w:val="24"/>
                        </w:rPr>
                      </m:ctrlPr>
                    </m:fPr>
                    <m:num>
                      <m:r>
                        <w:rPr>
                          <w:rFonts w:ascii="Cambria Math" w:hAnsi="Cambria Math"/>
                          <w:color w:val="000000" w:themeColor="text1"/>
                          <w:kern w:val="24"/>
                        </w:rPr>
                        <m:t>h</m:t>
                      </m:r>
                    </m:num>
                    <m:den>
                      <m:sSub>
                        <m:sSubPr>
                          <m:ctrlPr>
                            <w:rPr>
                              <w:rFonts w:ascii="Cambria Math" w:hAnsi="Cambria Math"/>
                              <w:i/>
                              <w:iCs/>
                              <w:color w:val="000000" w:themeColor="text1"/>
                              <w:kern w:val="24"/>
                            </w:rPr>
                          </m:ctrlPr>
                        </m:sSubPr>
                        <m:e>
                          <m:r>
                            <w:rPr>
                              <w:rFonts w:ascii="Cambria Math" w:hAnsi="Cambria Math"/>
                              <w:color w:val="000000" w:themeColor="text1"/>
                              <w:kern w:val="24"/>
                            </w:rPr>
                            <m:t>k</m:t>
                          </m:r>
                        </m:e>
                        <m:sub>
                          <m:r>
                            <w:rPr>
                              <w:rFonts w:ascii="Cambria Math" w:hAnsi="Cambria Math"/>
                              <w:color w:val="000000" w:themeColor="text1"/>
                              <w:kern w:val="24"/>
                            </w:rPr>
                            <m:t>B</m:t>
                          </m:r>
                        </m:sub>
                      </m:sSub>
                      <m:sSub>
                        <m:sSubPr>
                          <m:ctrlPr>
                            <w:rPr>
                              <w:rFonts w:ascii="Cambria Math" w:hAnsi="Cambria Math"/>
                              <w:i/>
                              <w:iCs/>
                              <w:color w:val="000000" w:themeColor="text1"/>
                              <w:kern w:val="24"/>
                            </w:rPr>
                          </m:ctrlPr>
                        </m:sSubPr>
                        <m:e>
                          <m:r>
                            <w:rPr>
                              <w:rFonts w:ascii="Cambria Math" w:hAnsi="Cambria Math"/>
                              <w:color w:val="000000" w:themeColor="text1"/>
                              <w:kern w:val="24"/>
                            </w:rPr>
                            <m:t>T</m:t>
                          </m:r>
                        </m:e>
                        <m:sub>
                          <m:r>
                            <w:rPr>
                              <w:rFonts w:ascii="Cambria Math" w:hAnsi="Cambria Math"/>
                              <w:color w:val="000000" w:themeColor="text1"/>
                              <w:kern w:val="24"/>
                            </w:rPr>
                            <m:t>i</m:t>
                          </m:r>
                        </m:sub>
                      </m:sSub>
                    </m:den>
                  </m:f>
                </m:e>
              </m:d>
            </m:e>
          </m:func>
          <m:r>
            <w:rPr>
              <w:rFonts w:ascii="Cambria Math" w:hAnsi="Cambria Math"/>
              <w:color w:val="000000" w:themeColor="text1"/>
              <w:kern w:val="24"/>
            </w:rPr>
            <m:t>= </m:t>
          </m:r>
          <m:func>
            <m:funcPr>
              <m:ctrlPr>
                <w:rPr>
                  <w:rFonts w:ascii="Cambria Math" w:hAnsi="Cambria Math"/>
                  <w:i/>
                  <w:iCs/>
                  <w:color w:val="000000" w:themeColor="text1"/>
                  <w:kern w:val="24"/>
                </w:rPr>
              </m:ctrlPr>
            </m:funcPr>
            <m:fName>
              <m:f>
                <m:fPr>
                  <m:ctrlPr>
                    <w:rPr>
                      <w:rFonts w:ascii="Cambria Math" w:hAnsi="Cambria Math"/>
                      <w:i/>
                      <w:iCs/>
                      <w:color w:val="000000" w:themeColor="text1"/>
                      <w:kern w:val="24"/>
                    </w:rPr>
                  </m:ctrlPr>
                </m:fPr>
                <m:num>
                  <m:r>
                    <w:rPr>
                      <w:rFonts w:ascii="Cambria Math" w:hAnsi="Cambria Math"/>
                      <w:color w:val="000000" w:themeColor="text1"/>
                      <w:kern w:val="24"/>
                    </w:rPr>
                    <m:t>∆</m:t>
                  </m:r>
                  <m:sSubSup>
                    <m:sSubSupPr>
                      <m:ctrlPr>
                        <w:rPr>
                          <w:rFonts w:ascii="Cambria Math" w:hAnsi="Cambria Math"/>
                          <w:i/>
                          <w:iCs/>
                          <w:color w:val="000000" w:themeColor="text1"/>
                          <w:kern w:val="24"/>
                        </w:rPr>
                      </m:ctrlPr>
                    </m:sSubSupPr>
                    <m:e>
                      <m:r>
                        <w:rPr>
                          <w:rFonts w:ascii="Cambria Math" w:hAnsi="Cambria Math"/>
                          <w:color w:val="000000" w:themeColor="text1"/>
                          <w:kern w:val="24"/>
                        </w:rPr>
                        <m:t>S</m:t>
                      </m:r>
                    </m:e>
                    <m:sub>
                      <m:r>
                        <w:rPr>
                          <w:rFonts w:ascii="Cambria Math" w:hAnsi="Cambria Math"/>
                          <w:color w:val="000000" w:themeColor="text1"/>
                          <w:kern w:val="24"/>
                        </w:rPr>
                        <m:t>0</m:t>
                      </m:r>
                    </m:sub>
                    <m:sup>
                      <m:r>
                        <w:rPr>
                          <w:rFonts w:ascii="Cambria Math" w:hAnsi="Cambria Math"/>
                          <w:color w:val="000000" w:themeColor="text1"/>
                          <w:kern w:val="24"/>
                        </w:rPr>
                        <m:t>≠</m:t>
                      </m:r>
                    </m:sup>
                  </m:sSubSup>
                </m:num>
                <m:den>
                  <m:r>
                    <w:rPr>
                      <w:rFonts w:ascii="Cambria Math" w:hAnsi="Cambria Math"/>
                      <w:color w:val="000000" w:themeColor="text1"/>
                      <w:kern w:val="24"/>
                    </w:rPr>
                    <m:t>R</m:t>
                  </m:r>
                </m:den>
              </m:f>
              <m:r>
                <w:rPr>
                  <w:rFonts w:ascii="Cambria Math" w:hAnsi="Cambria Math"/>
                  <w:color w:val="000000" w:themeColor="text1"/>
                  <w:kern w:val="24"/>
                </w:rPr>
                <m:t>-</m:t>
              </m:r>
            </m:fName>
            <m:e>
              <m:f>
                <m:fPr>
                  <m:ctrlPr>
                    <w:rPr>
                      <w:rFonts w:ascii="Cambria Math" w:hAnsi="Cambria Math"/>
                      <w:i/>
                      <w:iCs/>
                      <w:color w:val="000000" w:themeColor="text1"/>
                      <w:kern w:val="24"/>
                    </w:rPr>
                  </m:ctrlPr>
                </m:fPr>
                <m:num>
                  <m:r>
                    <w:rPr>
                      <w:rFonts w:ascii="Cambria Math" w:hAnsi="Cambria Math"/>
                      <w:color w:val="000000" w:themeColor="text1"/>
                      <w:kern w:val="24"/>
                    </w:rPr>
                    <m:t>∆</m:t>
                  </m:r>
                  <m:sSubSup>
                    <m:sSubSupPr>
                      <m:ctrlPr>
                        <w:rPr>
                          <w:rFonts w:ascii="Cambria Math" w:hAnsi="Cambria Math"/>
                          <w:i/>
                          <w:iCs/>
                          <w:color w:val="000000" w:themeColor="text1"/>
                          <w:kern w:val="24"/>
                        </w:rPr>
                      </m:ctrlPr>
                    </m:sSubSupPr>
                    <m:e>
                      <m:r>
                        <w:rPr>
                          <w:rFonts w:ascii="Cambria Math" w:hAnsi="Cambria Math"/>
                          <w:color w:val="000000" w:themeColor="text1"/>
                          <w:kern w:val="24"/>
                        </w:rPr>
                        <m:t>H</m:t>
                      </m:r>
                    </m:e>
                    <m:sub>
                      <m:r>
                        <w:rPr>
                          <w:rFonts w:ascii="Cambria Math" w:hAnsi="Cambria Math"/>
                          <w:color w:val="000000" w:themeColor="text1"/>
                          <w:kern w:val="24"/>
                        </w:rPr>
                        <m:t>0</m:t>
                      </m:r>
                    </m:sub>
                    <m:sup>
                      <m:r>
                        <w:rPr>
                          <w:rFonts w:ascii="Cambria Math" w:hAnsi="Cambria Math"/>
                          <w:color w:val="000000" w:themeColor="text1"/>
                          <w:kern w:val="24"/>
                        </w:rPr>
                        <m:t>≠</m:t>
                      </m:r>
                    </m:sup>
                  </m:sSubSup>
                </m:num>
                <m:den>
                  <m:r>
                    <w:rPr>
                      <w:rFonts w:ascii="Cambria Math" w:hAnsi="Cambria Math"/>
                      <w:color w:val="000000" w:themeColor="text1"/>
                      <w:kern w:val="24"/>
                    </w:rPr>
                    <m:t>R</m:t>
                  </m:r>
                </m:den>
              </m:f>
              <m:f>
                <m:fPr>
                  <m:ctrlPr>
                    <w:rPr>
                      <w:rFonts w:ascii="Cambria Math" w:hAnsi="Cambria Math"/>
                      <w:i/>
                      <w:iCs/>
                      <w:color w:val="000000" w:themeColor="text1"/>
                      <w:kern w:val="24"/>
                    </w:rPr>
                  </m:ctrlPr>
                </m:fPr>
                <m:num>
                  <m:r>
                    <w:rPr>
                      <w:rFonts w:ascii="Cambria Math" w:hAnsi="Cambria Math"/>
                      <w:color w:val="000000" w:themeColor="text1"/>
                      <w:kern w:val="24"/>
                    </w:rPr>
                    <m:t>1</m:t>
                  </m:r>
                </m:num>
                <m:den>
                  <m:sSub>
                    <m:sSubPr>
                      <m:ctrlPr>
                        <w:rPr>
                          <w:rFonts w:ascii="Cambria Math" w:hAnsi="Cambria Math"/>
                          <w:i/>
                          <w:iCs/>
                          <w:color w:val="000000" w:themeColor="text1"/>
                          <w:kern w:val="24"/>
                        </w:rPr>
                      </m:ctrlPr>
                    </m:sSubPr>
                    <m:e>
                      <m:r>
                        <w:rPr>
                          <w:rFonts w:ascii="Cambria Math" w:hAnsi="Cambria Math"/>
                          <w:color w:val="000000" w:themeColor="text1"/>
                          <w:kern w:val="24"/>
                        </w:rPr>
                        <m:t>T</m:t>
                      </m:r>
                    </m:e>
                    <m:sub>
                      <m:r>
                        <w:rPr>
                          <w:rFonts w:ascii="Cambria Math" w:hAnsi="Cambria Math"/>
                          <w:color w:val="000000" w:themeColor="text1"/>
                          <w:kern w:val="24"/>
                        </w:rPr>
                        <m:t>i</m:t>
                      </m:r>
                    </m:sub>
                  </m:sSub>
                </m:den>
              </m:f>
            </m:e>
          </m:func>
        </m:oMath>
      </m:oMathPara>
    </w:p>
    <w:p w14:paraId="26BDA30E" w14:textId="2E87108A" w:rsidR="00A35A08" w:rsidRPr="000A2CA6" w:rsidRDefault="00A35A08" w:rsidP="00EB3761">
      <w:pPr>
        <w:spacing w:line="480" w:lineRule="auto"/>
        <w:jc w:val="both"/>
      </w:pPr>
      <w:r w:rsidRPr="000A2CA6">
        <w:tab/>
        <w:t xml:space="preserve">Here, changing the temperature and observing the respective reaction rate, one is able to calculate the </w:t>
      </w:r>
      <w:r w:rsidRPr="00C80AAF">
        <w:t xml:space="preserve">entropy and the enthalpy of activation of a reaction under the applied reaction conditions. </w:t>
      </w:r>
      <w:r w:rsidRPr="00C80AAF">
        <w:rPr>
          <w:b/>
          <w:bCs/>
        </w:rPr>
        <w:t xml:space="preserve">Figure </w:t>
      </w:r>
      <w:r w:rsidR="007D27D3" w:rsidRPr="00C80AAF">
        <w:rPr>
          <w:b/>
          <w:bCs/>
        </w:rPr>
        <w:t>30</w:t>
      </w:r>
      <w:r w:rsidRPr="00C80AAF">
        <w:t xml:space="preserve"> shows the</w:t>
      </w:r>
      <w:r w:rsidRPr="000A2CA6">
        <w:t xml:space="preserve"> change in </w:t>
      </w:r>
      <w:r>
        <w:t xml:space="preserve">Napierian logarithm of </w:t>
      </w:r>
      <w:r w:rsidRPr="000A2CA6">
        <w:t xml:space="preserve">rate versus the inverse of the temperature (in Kelvin). </w:t>
      </w:r>
      <w:r>
        <w:t>T</w:t>
      </w:r>
      <w:r w:rsidRPr="000A2CA6">
        <w:t>he value</w:t>
      </w:r>
      <w:r>
        <w:t>s</w:t>
      </w:r>
      <w:r w:rsidRPr="000A2CA6">
        <w:t xml:space="preserve"> for E</w:t>
      </w:r>
      <w:r w:rsidRPr="000A2CA6">
        <w:rPr>
          <w:vertAlign w:val="subscript"/>
        </w:rPr>
        <w:t>act</w:t>
      </w:r>
      <w:r w:rsidRPr="000A2CA6">
        <w:t xml:space="preserve"> and </w:t>
      </w:r>
      <m:oMath>
        <m:r>
          <w:rPr>
            <w:rFonts w:ascii="Cambria Math" w:hAnsi="Cambria Math"/>
          </w:rPr>
          <m:t>∆</m:t>
        </m:r>
        <m:sSubSup>
          <m:sSubSupPr>
            <m:ctrlPr>
              <w:rPr>
                <w:rFonts w:ascii="Cambria Math" w:hAnsi="Cambria Math"/>
                <w:i/>
                <w:iCs/>
              </w:rPr>
            </m:ctrlPr>
          </m:sSubSupPr>
          <m:e>
            <m:r>
              <w:rPr>
                <w:rFonts w:ascii="Cambria Math" w:hAnsi="Cambria Math"/>
              </w:rPr>
              <m:t>S</m:t>
            </m:r>
          </m:e>
          <m:sub>
            <m:r>
              <w:rPr>
                <w:rFonts w:ascii="Cambria Math" w:hAnsi="Cambria Math"/>
              </w:rPr>
              <m:t>0</m:t>
            </m:r>
          </m:sub>
          <m:sup>
            <m:r>
              <w:rPr>
                <w:rFonts w:ascii="Cambria Math" w:hAnsi="Cambria Math"/>
              </w:rPr>
              <m:t>≠</m:t>
            </m:r>
          </m:sup>
        </m:sSubSup>
      </m:oMath>
      <w:r w:rsidRPr="000A2CA6">
        <w:rPr>
          <w:rFonts w:eastAsiaTheme="minorEastAsia"/>
          <w:iCs/>
        </w:rPr>
        <w:t xml:space="preserve"> </w:t>
      </w:r>
      <w:r>
        <w:rPr>
          <w:rFonts w:eastAsiaTheme="minorEastAsia"/>
          <w:iCs/>
        </w:rPr>
        <w:t>are</w:t>
      </w:r>
      <w:r w:rsidRPr="000A2CA6">
        <w:t xml:space="preserve"> 11.04 kJ/mol </w:t>
      </w:r>
      <w:r>
        <w:rPr>
          <w:rFonts w:eastAsiaTheme="minorEastAsia"/>
          <w:iCs/>
        </w:rPr>
        <w:t>and</w:t>
      </w:r>
      <w:r w:rsidRPr="000A2CA6">
        <w:rPr>
          <w:rFonts w:eastAsiaTheme="minorEastAsia"/>
          <w:iCs/>
        </w:rPr>
        <w:t xml:space="preserve"> -256.76 J/mol.K</w:t>
      </w:r>
      <w:r>
        <w:rPr>
          <w:rFonts w:eastAsiaTheme="minorEastAsia"/>
          <w:iCs/>
        </w:rPr>
        <w:t>, respectively</w:t>
      </w:r>
      <w:r w:rsidRPr="000A2CA6">
        <w:rPr>
          <w:rFonts w:eastAsiaTheme="minorEastAsia"/>
          <w:iCs/>
        </w:rPr>
        <w:t>.</w:t>
      </w:r>
    </w:p>
    <w:p w14:paraId="54252009" w14:textId="77777777" w:rsidR="00A35A08" w:rsidRDefault="00A35A08" w:rsidP="00463612">
      <w:pPr>
        <w:keepNext/>
        <w:jc w:val="center"/>
      </w:pPr>
      <w:r w:rsidRPr="000A2CA6">
        <w:rPr>
          <w:noProof/>
        </w:rPr>
        <w:drawing>
          <wp:inline distT="0" distB="0" distL="0" distR="0" wp14:anchorId="128ECA97" wp14:editId="63E2E71A">
            <wp:extent cx="3175081" cy="2103120"/>
            <wp:effectExtent l="0" t="0" r="6350" b="0"/>
            <wp:docPr id="21" name="Picture 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75081" cy="2103120"/>
                    </a:xfrm>
                    <a:prstGeom prst="rect">
                      <a:avLst/>
                    </a:prstGeom>
                    <a:noFill/>
                  </pic:spPr>
                </pic:pic>
              </a:graphicData>
            </a:graphic>
          </wp:inline>
        </w:drawing>
      </w:r>
    </w:p>
    <w:p w14:paraId="2F4ACBD8" w14:textId="172EC5DC" w:rsidR="00A35A08" w:rsidRPr="000A2CA6" w:rsidRDefault="00A35A08" w:rsidP="00463612">
      <w:pPr>
        <w:pStyle w:val="Caption"/>
        <w:jc w:val="both"/>
        <w:rPr>
          <w:i w:val="0"/>
          <w:iCs w:val="0"/>
          <w:color w:val="auto"/>
          <w:sz w:val="24"/>
          <w:szCs w:val="24"/>
        </w:rPr>
      </w:pPr>
      <w:bookmarkStart w:id="61" w:name="_Toc131948694"/>
      <w:r w:rsidRPr="00734D56">
        <w:rPr>
          <w:b/>
          <w:bCs/>
          <w:i w:val="0"/>
          <w:iCs w:val="0"/>
          <w:color w:val="auto"/>
          <w:sz w:val="24"/>
          <w:szCs w:val="24"/>
        </w:rPr>
        <w:t xml:space="preserve">Figure </w:t>
      </w:r>
      <w:r w:rsidRPr="00734D56">
        <w:rPr>
          <w:b/>
          <w:bCs/>
          <w:i w:val="0"/>
          <w:iCs w:val="0"/>
          <w:color w:val="auto"/>
          <w:sz w:val="24"/>
          <w:szCs w:val="24"/>
        </w:rPr>
        <w:fldChar w:fldCharType="begin"/>
      </w:r>
      <w:r w:rsidRPr="00734D56">
        <w:rPr>
          <w:b/>
          <w:bCs/>
          <w:i w:val="0"/>
          <w:iCs w:val="0"/>
          <w:color w:val="auto"/>
          <w:sz w:val="24"/>
          <w:szCs w:val="24"/>
        </w:rPr>
        <w:instrText xml:space="preserve"> SEQ Figure \* ARABIC </w:instrText>
      </w:r>
      <w:r w:rsidRPr="00734D56">
        <w:rPr>
          <w:b/>
          <w:bCs/>
          <w:i w:val="0"/>
          <w:iCs w:val="0"/>
          <w:color w:val="auto"/>
          <w:sz w:val="24"/>
          <w:szCs w:val="24"/>
        </w:rPr>
        <w:fldChar w:fldCharType="separate"/>
      </w:r>
      <w:r w:rsidR="001F4741">
        <w:rPr>
          <w:b/>
          <w:bCs/>
          <w:i w:val="0"/>
          <w:iCs w:val="0"/>
          <w:noProof/>
          <w:color w:val="auto"/>
          <w:sz w:val="24"/>
          <w:szCs w:val="24"/>
        </w:rPr>
        <w:t>30</w:t>
      </w:r>
      <w:r w:rsidRPr="00734D56">
        <w:rPr>
          <w:b/>
          <w:bCs/>
          <w:i w:val="0"/>
          <w:iCs w:val="0"/>
          <w:color w:val="auto"/>
          <w:sz w:val="24"/>
          <w:szCs w:val="24"/>
        </w:rPr>
        <w:fldChar w:fldCharType="end"/>
      </w:r>
      <w:r w:rsidRPr="00734D56">
        <w:rPr>
          <w:b/>
          <w:bCs/>
          <w:i w:val="0"/>
          <w:iCs w:val="0"/>
          <w:color w:val="auto"/>
          <w:sz w:val="24"/>
          <w:szCs w:val="24"/>
        </w:rPr>
        <w:t>:</w:t>
      </w:r>
      <w:r w:rsidRPr="00734D56">
        <w:rPr>
          <w:i w:val="0"/>
          <w:iCs w:val="0"/>
          <w:color w:val="auto"/>
          <w:sz w:val="24"/>
          <w:szCs w:val="24"/>
        </w:rPr>
        <w:t xml:space="preserve"> L</w:t>
      </w:r>
      <w:r w:rsidRPr="000A2CA6">
        <w:rPr>
          <w:i w:val="0"/>
          <w:iCs w:val="0"/>
          <w:color w:val="auto"/>
          <w:sz w:val="24"/>
          <w:szCs w:val="24"/>
        </w:rPr>
        <w:t>inearized plot of the Transition State Theory versus the inverse of reaction temperature. C</w:t>
      </w:r>
      <w:r w:rsidRPr="000A2CA6">
        <w:rPr>
          <w:i w:val="0"/>
          <w:iCs w:val="0"/>
          <w:color w:val="auto"/>
          <w:sz w:val="24"/>
          <w:szCs w:val="24"/>
          <w:vertAlign w:val="subscript"/>
        </w:rPr>
        <w:t>CPO</w:t>
      </w:r>
      <w:r w:rsidRPr="000A2CA6">
        <w:rPr>
          <w:i w:val="0"/>
          <w:iCs w:val="0"/>
          <w:color w:val="auto"/>
          <w:sz w:val="24"/>
          <w:szCs w:val="24"/>
        </w:rPr>
        <w:t xml:space="preserve"> = 1 mol/L.</w:t>
      </w:r>
      <w:bookmarkEnd w:id="61"/>
    </w:p>
    <w:p w14:paraId="637AD763" w14:textId="790AD3BB" w:rsidR="00A35A08" w:rsidRDefault="00A35A08" w:rsidP="00A63A89">
      <w:pPr>
        <w:spacing w:line="480" w:lineRule="auto"/>
        <w:jc w:val="both"/>
        <w:rPr>
          <w:rFonts w:eastAsiaTheme="minorEastAsia"/>
        </w:rPr>
      </w:pPr>
      <w:r w:rsidRPr="000A2CA6">
        <w:tab/>
      </w:r>
      <w:r>
        <w:t xml:space="preserve">The </w:t>
      </w:r>
      <w:r w:rsidR="00920483">
        <w:t xml:space="preserve">delta </w:t>
      </w:r>
      <w:r>
        <w:t xml:space="preserve">entropy value found is large negatively enough to be referred as adsorption energy values, commonly found in this elementary step in which has none or </w:t>
      </w:r>
      <w:r>
        <w:lastRenderedPageBreak/>
        <w:t xml:space="preserve">very low activation energies. Literature reports CPO formation entropy at 298 K to be 313.68 J/mol.K, similar to the measured value </w:t>
      </w:r>
      <w:r>
        <w:fldChar w:fldCharType="begin"/>
      </w:r>
      <w:r w:rsidR="00C54D4B">
        <w:instrText xml:space="preserve"> ADDIN EN.CITE &lt;EndNote&gt;&lt;Cite&gt;&lt;Author&gt;Frenkel&lt;/Author&gt;&lt;Year&gt;1994&lt;/Year&gt;&lt;RecNum&gt;88&lt;/RecNum&gt;&lt;DisplayText&gt;[152]&lt;/DisplayText&gt;&lt;record&gt;&lt;rec-number&gt;88&lt;/rec-number&gt;&lt;foreign-keys&gt;&lt;key app="EN" db-id="59dvwrfdof9dw8exf0kvp0atwazsazeeffsp" timestamp="1672250343"&gt;88&lt;/key&gt;&lt;/foreign-keys&gt;&lt;ref-type name="Book"&gt;6&lt;/ref-type&gt;&lt;contributors&gt;&lt;authors&gt;&lt;author&gt;Michael Frenkel&lt;/author&gt;&lt;/authors&gt;&lt;/contributors&gt;&lt;titles&gt;&lt;title&gt;Thermodynamics of Organic Compounds in the Gas State&lt;/title&gt;&lt;/titles&gt;&lt;pages&gt;750&lt;/pages&gt;&lt;volume&gt;1&lt;/volume&gt;&lt;dates&gt;&lt;year&gt;1994&lt;/year&gt;&lt;/dates&gt;&lt;publisher&gt;CRC Press&lt;/publisher&gt;&lt;urls&gt;&lt;/urls&gt;&lt;/record&gt;&lt;/Cite&gt;&lt;/EndNote&gt;</w:instrText>
      </w:r>
      <w:r>
        <w:fldChar w:fldCharType="separate"/>
      </w:r>
      <w:r w:rsidR="00C54D4B">
        <w:rPr>
          <w:noProof/>
        </w:rPr>
        <w:t>[</w:t>
      </w:r>
      <w:hyperlink w:anchor="_ENREF_152" w:tooltip="Frenkel, 1994 #88" w:history="1">
        <w:r w:rsidR="00D307FA">
          <w:rPr>
            <w:noProof/>
          </w:rPr>
          <w:t>152</w:t>
        </w:r>
      </w:hyperlink>
      <w:r w:rsidR="00C54D4B">
        <w:rPr>
          <w:noProof/>
        </w:rPr>
        <w:t>]</w:t>
      </w:r>
      <w:r>
        <w:fldChar w:fldCharType="end"/>
      </w:r>
      <w:r>
        <w:t>. If one assumes that this is not the case, the calculated activation energy value is sufficiently low and considered as an apparent energy of activation which exists when the surface has a low reactant coverage. There, the activation energy has contributions of the enthalpy of adsorption resulting in a lower barrier compared to the true activation energy (</w:t>
      </w:r>
      <m:oMath>
        <m:sSub>
          <m:sSubPr>
            <m:ctrlPr>
              <w:rPr>
                <w:rFonts w:ascii="Cambria Math" w:hAnsi="Cambria Math"/>
                <w:i/>
              </w:rPr>
            </m:ctrlPr>
          </m:sSubPr>
          <m:e>
            <m:r>
              <w:rPr>
                <w:rFonts w:ascii="Cambria Math" w:hAnsi="Cambria Math"/>
              </w:rPr>
              <m:t>E</m:t>
            </m:r>
          </m:e>
          <m:sub>
            <m:r>
              <w:rPr>
                <w:rFonts w:ascii="Cambria Math" w:hAnsi="Cambria Math"/>
              </w:rPr>
              <m:t>app</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ads</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act</m:t>
            </m:r>
          </m:sub>
        </m:sSub>
      </m:oMath>
      <w:r>
        <w:rPr>
          <w:rFonts w:eastAsiaTheme="minorEastAsia"/>
        </w:rPr>
        <w:t>). If such coverage consideration is true, the experimental results do not follow the other proposed C-C coupling mechanism due to the second order dependence over CPO concentration. Once a first order relation between the experimental rate and concentration was found, and by elimination, CPO adsorption or enol formation is the rate limiting step in CPO aldol-condensation over zeolite Y30.</w:t>
      </w:r>
    </w:p>
    <w:p w14:paraId="291D9C63" w14:textId="77777777" w:rsidR="00A63A89" w:rsidRDefault="00A63A89" w:rsidP="00A63A89">
      <w:pPr>
        <w:spacing w:line="480" w:lineRule="auto"/>
        <w:jc w:val="both"/>
        <w:rPr>
          <w:b/>
          <w:bCs/>
        </w:rPr>
      </w:pPr>
    </w:p>
    <w:p w14:paraId="65E951D6" w14:textId="28859EA2" w:rsidR="00A35A08" w:rsidRPr="00F11C1B" w:rsidRDefault="00A35A08" w:rsidP="002517E2">
      <w:pPr>
        <w:pStyle w:val="Heading3"/>
        <w:rPr>
          <w:i w:val="0"/>
          <w:iCs/>
          <w:u w:val="single"/>
        </w:rPr>
      </w:pPr>
      <w:bookmarkStart w:id="62" w:name="_Toc132924198"/>
      <w:r w:rsidRPr="00F11C1B">
        <w:rPr>
          <w:i w:val="0"/>
          <w:iCs/>
          <w:u w:val="single"/>
        </w:rPr>
        <w:t>2.4.2 Cross-condensation Product Selectivity Shifts under Different Regimes</w:t>
      </w:r>
      <w:bookmarkEnd w:id="62"/>
    </w:p>
    <w:p w14:paraId="42F57BDF" w14:textId="77777777" w:rsidR="00A35A08" w:rsidRPr="009858B2" w:rsidRDefault="00A35A08" w:rsidP="00A63A89">
      <w:pPr>
        <w:pStyle w:val="ListParagraph"/>
        <w:spacing w:line="480" w:lineRule="auto"/>
        <w:ind w:left="0"/>
        <w:jc w:val="both"/>
        <w:rPr>
          <w:i/>
          <w:iCs/>
        </w:rPr>
      </w:pPr>
      <w:r w:rsidRPr="00723CEB">
        <w:rPr>
          <w:i/>
          <w:iCs/>
        </w:rPr>
        <w:tab/>
      </w:r>
      <w:r w:rsidRPr="00723CEB">
        <w:rPr>
          <w:rFonts w:eastAsiaTheme="minorEastAsia"/>
        </w:rPr>
        <w:t>After validating the use of the Na titration method to quantify MTL in self-</w:t>
      </w:r>
      <w:r>
        <w:rPr>
          <w:rFonts w:eastAsiaTheme="minorEastAsia"/>
        </w:rPr>
        <w:t xml:space="preserve">aldol </w:t>
      </w:r>
      <w:r w:rsidRPr="00723CEB">
        <w:rPr>
          <w:rFonts w:eastAsiaTheme="minorEastAsia"/>
        </w:rPr>
        <w:t xml:space="preserve">condensation reactions, the same method to </w:t>
      </w:r>
      <w:r w:rsidRPr="009858B2">
        <w:rPr>
          <w:rFonts w:eastAsiaTheme="minorEastAsia"/>
        </w:rPr>
        <w:t>investigate the effects of MTL</w:t>
      </w:r>
      <w:r>
        <w:rPr>
          <w:rFonts w:eastAsiaTheme="minorEastAsia"/>
        </w:rPr>
        <w:t xml:space="preserve"> was applied</w:t>
      </w:r>
      <w:r w:rsidRPr="009858B2">
        <w:rPr>
          <w:rFonts w:eastAsiaTheme="minorEastAsia"/>
        </w:rPr>
        <w:t xml:space="preserve"> </w:t>
      </w:r>
      <w:r>
        <w:rPr>
          <w:rFonts w:eastAsiaTheme="minorEastAsia"/>
        </w:rPr>
        <w:t xml:space="preserve">on </w:t>
      </w:r>
      <w:r w:rsidRPr="009858B2">
        <w:rPr>
          <w:rFonts w:eastAsiaTheme="minorEastAsia"/>
        </w:rPr>
        <w:t>cross-aldol condensation between ACE and CPO</w:t>
      </w:r>
      <w:r>
        <w:rPr>
          <w:rFonts w:eastAsiaTheme="minorEastAsia"/>
        </w:rPr>
        <w:t xml:space="preserve"> to observe </w:t>
      </w:r>
      <w:r w:rsidRPr="009858B2">
        <w:rPr>
          <w:rFonts w:eastAsiaTheme="minorEastAsia"/>
        </w:rPr>
        <w:t xml:space="preserve">selectivity </w:t>
      </w:r>
      <w:r>
        <w:rPr>
          <w:rFonts w:eastAsiaTheme="minorEastAsia"/>
        </w:rPr>
        <w:t>differences as different governing regimes actuate</w:t>
      </w:r>
      <w:r w:rsidRPr="009858B2">
        <w:rPr>
          <w:rFonts w:eastAsiaTheme="minorEastAsia"/>
        </w:rPr>
        <w:t xml:space="preserve">. </w:t>
      </w:r>
    </w:p>
    <w:p w14:paraId="6E94ED5D" w14:textId="6318F061" w:rsidR="00A35A08" w:rsidRPr="00A63A89" w:rsidRDefault="00A35A08" w:rsidP="00A63A89">
      <w:pPr>
        <w:spacing w:line="480" w:lineRule="auto"/>
        <w:ind w:firstLine="720"/>
        <w:jc w:val="both"/>
      </w:pPr>
      <w:r w:rsidRPr="00DA1436">
        <w:rPr>
          <w:rFonts w:eastAsiaTheme="minorEastAsia"/>
        </w:rPr>
        <w:t>Selectivity were monitored as gradual Na</w:t>
      </w:r>
      <w:r>
        <w:rPr>
          <w:rFonts w:eastAsiaTheme="minorEastAsia"/>
        </w:rPr>
        <w:t>-</w:t>
      </w:r>
      <w:r w:rsidRPr="00DA1436">
        <w:rPr>
          <w:rFonts w:eastAsiaTheme="minorEastAsia"/>
        </w:rPr>
        <w:t>titration moved the reaction regime from mass-transfer limited to kinetic control</w:t>
      </w:r>
      <w:r>
        <w:rPr>
          <w:rFonts w:eastAsiaTheme="minorEastAsia"/>
        </w:rPr>
        <w:t>led</w:t>
      </w:r>
      <w:r w:rsidRPr="00DA1436">
        <w:rPr>
          <w:rFonts w:eastAsiaTheme="minorEastAsia"/>
        </w:rPr>
        <w:t xml:space="preserve">. In all cases, dimers represented the largest majority (&gt; 90%) of the product and analyzed accordingly.  This pattern is different from the self-condensation of ACE on HY, which exhibited significant amounts of trimers. Therefore, in the case of cross-condensation on both zeolites selectivity will only refer to the four dimmers [A]A, [A]C, [C]A, and [C]C, where the brackets indicate the reactant that </w:t>
      </w:r>
      <w:r w:rsidRPr="00DA1436">
        <w:rPr>
          <w:rFonts w:eastAsiaTheme="minorEastAsia"/>
        </w:rPr>
        <w:lastRenderedPageBreak/>
        <w:t xml:space="preserve">has been activated first to form the enol intermediate and the one without brackets represents the electrophile attacked by the enol </w:t>
      </w:r>
      <w:r w:rsidRPr="00DA1436">
        <w:rPr>
          <w:rFonts w:eastAsiaTheme="minorEastAsia"/>
        </w:rPr>
        <w:fldChar w:fldCharType="begin"/>
      </w:r>
      <w:r w:rsidR="00C54D4B">
        <w:rPr>
          <w:rFonts w:eastAsiaTheme="minorEastAsia"/>
        </w:rPr>
        <w:instrText xml:space="preserve"> ADDIN EN.CITE &lt;EndNote&gt;&lt;Cite&gt;&lt;Author&gt;Li&lt;/Author&gt;&lt;Year&gt;2020&lt;/Year&gt;&lt;RecNum&gt;16&lt;/RecNum&gt;&lt;DisplayText&gt;[98]&lt;/DisplayText&gt;&lt;record&gt;&lt;rec-number&gt;16&lt;/rec-number&gt;&lt;foreign-keys&gt;&lt;key app="EN" db-id="59dvwrfdof9dw8exf0kvp0atwazsazeeffsp" timestamp="1667539523"&gt;16&lt;/key&gt;&lt;/foreign-keys&gt;&lt;ref-type name="Journal Article"&gt;17&lt;/ref-type&gt;&lt;contributors&gt;&lt;authors&gt;&lt;author&gt;Gengnan Li&lt;/author&gt;&lt;author&gt;Duong T. Ngo&lt;/author&gt;&lt;author&gt;Yu Yan&lt;/author&gt;&lt;author&gt;Qiaohua Tan&lt;/author&gt;&lt;author&gt;Bin Wang&lt;/author&gt;&lt;author&gt;Daniel E. Resasco&lt;/author&gt;&lt;/authors&gt;&lt;/contributors&gt;&lt;titles&gt;&lt;title&gt;Factors Determining Selectivity of Acid- and Base-Catalyzed Self- and Cross-Condensation of Acetone and Cyclopentanone&lt;/title&gt;&lt;secondary-title&gt;ACS Catalysis&lt;/secondary-title&gt;&lt;/titles&gt;&lt;periodical&gt;&lt;full-title&gt;ACS Catalysis&lt;/full-title&gt;&lt;/periodical&gt;&lt;pages&gt;12790-12800&lt;/pages&gt;&lt;volume&gt;10&lt;/volume&gt;&lt;dates&gt;&lt;year&gt;2020&lt;/year&gt;&lt;/dates&gt;&lt;urls&gt;&lt;/urls&gt;&lt;electronic-resource-num&gt;https://doi.org/10.1021/acscatal.0c02987&lt;/electronic-resource-num&gt;&lt;/record&gt;&lt;/Cite&gt;&lt;/EndNote&gt;</w:instrText>
      </w:r>
      <w:r w:rsidRPr="00DA1436">
        <w:rPr>
          <w:rFonts w:eastAsiaTheme="minorEastAsia"/>
        </w:rPr>
        <w:fldChar w:fldCharType="separate"/>
      </w:r>
      <w:r w:rsidR="00C54D4B">
        <w:rPr>
          <w:rFonts w:eastAsiaTheme="minorEastAsia"/>
          <w:noProof/>
        </w:rPr>
        <w:t>[</w:t>
      </w:r>
      <w:hyperlink w:anchor="_ENREF_98" w:tooltip="Li, 2020 #16" w:history="1">
        <w:r w:rsidR="00D307FA">
          <w:rPr>
            <w:rFonts w:eastAsiaTheme="minorEastAsia"/>
            <w:noProof/>
          </w:rPr>
          <w:t>98</w:t>
        </w:r>
      </w:hyperlink>
      <w:r w:rsidR="00C54D4B">
        <w:rPr>
          <w:rFonts w:eastAsiaTheme="minorEastAsia"/>
          <w:noProof/>
        </w:rPr>
        <w:t>]</w:t>
      </w:r>
      <w:r w:rsidRPr="00DA1436">
        <w:rPr>
          <w:rFonts w:eastAsiaTheme="minorEastAsia"/>
        </w:rPr>
        <w:fldChar w:fldCharType="end"/>
      </w:r>
      <w:r w:rsidRPr="00DA1436">
        <w:t>.</w:t>
      </w:r>
    </w:p>
    <w:p w14:paraId="5FB18CF3" w14:textId="77777777" w:rsidR="00A63A89" w:rsidRPr="002517E2" w:rsidRDefault="00A63A89" w:rsidP="002517E2">
      <w:pPr>
        <w:spacing w:line="480" w:lineRule="auto"/>
        <w:jc w:val="both"/>
      </w:pPr>
    </w:p>
    <w:p w14:paraId="6262EE03" w14:textId="3A7F6202" w:rsidR="00A35A08" w:rsidRPr="00F11C1B" w:rsidRDefault="002517E2" w:rsidP="002517E2">
      <w:pPr>
        <w:pStyle w:val="Heading4"/>
        <w:spacing w:line="480" w:lineRule="auto"/>
        <w:rPr>
          <w:rFonts w:ascii="Times New Roman" w:hAnsi="Times New Roman" w:cs="Times New Roman"/>
          <w:color w:val="auto"/>
        </w:rPr>
      </w:pPr>
      <w:r>
        <w:rPr>
          <w:rFonts w:ascii="Times New Roman" w:hAnsi="Times New Roman" w:cs="Times New Roman"/>
          <w:b/>
          <w:bCs/>
          <w:i w:val="0"/>
          <w:iCs w:val="0"/>
          <w:color w:val="auto"/>
        </w:rPr>
        <w:tab/>
      </w:r>
      <w:r w:rsidR="00A35A08" w:rsidRPr="00F11C1B">
        <w:rPr>
          <w:rFonts w:ascii="Times New Roman" w:hAnsi="Times New Roman" w:cs="Times New Roman"/>
          <w:color w:val="auto"/>
        </w:rPr>
        <w:t xml:space="preserve">2.4.2.1 HZSM-5 and NaHZSM-5 (Si/Al:140) zeolites </w:t>
      </w:r>
    </w:p>
    <w:p w14:paraId="0851D238" w14:textId="77777777" w:rsidR="00A35A08" w:rsidRPr="00DA1436" w:rsidRDefault="00A35A08" w:rsidP="002517E2">
      <w:pPr>
        <w:spacing w:line="480" w:lineRule="auto"/>
        <w:jc w:val="both"/>
        <w:rPr>
          <w:color w:val="000000" w:themeColor="text1"/>
        </w:rPr>
      </w:pPr>
      <w:r w:rsidRPr="002517E2">
        <w:tab/>
        <w:t xml:space="preserve">On this catalyst, the </w:t>
      </w:r>
      <w:r w:rsidRPr="00DA1436">
        <w:rPr>
          <w:color w:val="000000" w:themeColor="text1"/>
        </w:rPr>
        <w:t>Thiele moduli obtained for the two self-condensation reactions were relatively low (</w:t>
      </w:r>
      <m:oMath>
        <m:r>
          <w:rPr>
            <w:rFonts w:ascii="Cambria Math" w:hAnsi="Cambria Math"/>
            <w:color w:val="000000" w:themeColor="text1"/>
          </w:rPr>
          <m:t>∅</m:t>
        </m:r>
      </m:oMath>
      <w:r w:rsidRPr="00DA1436">
        <w:rPr>
          <w:color w:val="000000" w:themeColor="text1"/>
          <w:vertAlign w:val="subscript"/>
        </w:rPr>
        <w:t xml:space="preserve">ACE </w:t>
      </w:r>
      <w:r w:rsidRPr="00DA1436">
        <w:rPr>
          <w:color w:val="000000" w:themeColor="text1"/>
        </w:rPr>
        <w:t xml:space="preserve">= 2.0, </w:t>
      </w:r>
      <m:oMath>
        <m:r>
          <w:rPr>
            <w:rFonts w:ascii="Cambria Math" w:hAnsi="Cambria Math"/>
            <w:color w:val="000000" w:themeColor="text1"/>
          </w:rPr>
          <m:t>∅</m:t>
        </m:r>
      </m:oMath>
      <w:r w:rsidRPr="00DA1436">
        <w:rPr>
          <w:color w:val="000000" w:themeColor="text1"/>
          <w:vertAlign w:val="subscript"/>
        </w:rPr>
        <w:t xml:space="preserve">CPO </w:t>
      </w:r>
      <w:r w:rsidRPr="00DA1436">
        <w:rPr>
          <w:color w:val="000000" w:themeColor="text1"/>
        </w:rPr>
        <w:t xml:space="preserve">= 3.3) indicating only a small influence of MTL on either reactant, but somewhat higher </w:t>
      </w:r>
      <w:r w:rsidRPr="00C80AAF">
        <w:rPr>
          <w:color w:val="000000" w:themeColor="text1"/>
        </w:rPr>
        <w:t xml:space="preserve">in CPO.  In agreement with this behavior, the cross-condensation results </w:t>
      </w:r>
      <w:r w:rsidRPr="00C80AAF">
        <w:t xml:space="preserve">show a measured rate-drop very close to the ~ 60 % drop in BAS (see </w:t>
      </w:r>
      <w:r w:rsidRPr="00C80AAF">
        <w:rPr>
          <w:b/>
          <w:bCs/>
        </w:rPr>
        <w:t>Table 5</w:t>
      </w:r>
      <w:r w:rsidRPr="00C80AAF">
        <w:t>)</w:t>
      </w:r>
      <w:r w:rsidRPr="00C80AAF">
        <w:rPr>
          <w:color w:val="000000" w:themeColor="text1"/>
        </w:rPr>
        <w:t>.  In this case, with a minor extent</w:t>
      </w:r>
      <w:r w:rsidRPr="00DA1436">
        <w:rPr>
          <w:color w:val="000000" w:themeColor="text1"/>
        </w:rPr>
        <w:t xml:space="preserve"> of MTL, the changes in selectivity are also moderate, but changing in the direction that one might expect.  That is, the product involving the smallest reactant ([A]A), which is favored under MTL become less favored when MTL are removed by Na titration. By contrast, the selectivity to the one derived from the larger reactant ([C]C) becomes enhanced without MTL.  However, in all cases the selectivity changes upon Na titration are unexceptional since both Thiele modulus values are similarly low. </w:t>
      </w:r>
    </w:p>
    <w:p w14:paraId="45FA5BC0" w14:textId="04B6E6D5" w:rsidR="00A35A08" w:rsidRPr="00F63CB5" w:rsidRDefault="00A35A08" w:rsidP="00A35A08">
      <w:pPr>
        <w:pStyle w:val="Caption"/>
        <w:keepNext/>
        <w:rPr>
          <w:i w:val="0"/>
          <w:iCs w:val="0"/>
          <w:color w:val="auto"/>
          <w:sz w:val="24"/>
          <w:szCs w:val="24"/>
        </w:rPr>
      </w:pPr>
      <w:bookmarkStart w:id="63" w:name="_Toc131948656"/>
      <w:r w:rsidRPr="00F63CB5">
        <w:rPr>
          <w:b/>
          <w:bCs/>
          <w:i w:val="0"/>
          <w:iCs w:val="0"/>
          <w:color w:val="auto"/>
          <w:sz w:val="24"/>
          <w:szCs w:val="24"/>
        </w:rPr>
        <w:t xml:space="preserve">Table </w:t>
      </w:r>
      <w:r w:rsidRPr="00F63CB5">
        <w:rPr>
          <w:b/>
          <w:bCs/>
          <w:i w:val="0"/>
          <w:iCs w:val="0"/>
          <w:color w:val="auto"/>
          <w:sz w:val="24"/>
          <w:szCs w:val="24"/>
        </w:rPr>
        <w:fldChar w:fldCharType="begin"/>
      </w:r>
      <w:r w:rsidRPr="00F63CB5">
        <w:rPr>
          <w:b/>
          <w:bCs/>
          <w:i w:val="0"/>
          <w:iCs w:val="0"/>
          <w:color w:val="auto"/>
          <w:sz w:val="24"/>
          <w:szCs w:val="24"/>
        </w:rPr>
        <w:instrText xml:space="preserve"> SEQ Table \* ARABIC </w:instrText>
      </w:r>
      <w:r w:rsidRPr="00F63CB5">
        <w:rPr>
          <w:b/>
          <w:bCs/>
          <w:i w:val="0"/>
          <w:iCs w:val="0"/>
          <w:color w:val="auto"/>
          <w:sz w:val="24"/>
          <w:szCs w:val="24"/>
        </w:rPr>
        <w:fldChar w:fldCharType="separate"/>
      </w:r>
      <w:r w:rsidR="001F4741">
        <w:rPr>
          <w:b/>
          <w:bCs/>
          <w:i w:val="0"/>
          <w:iCs w:val="0"/>
          <w:noProof/>
          <w:color w:val="auto"/>
          <w:sz w:val="24"/>
          <w:szCs w:val="24"/>
        </w:rPr>
        <w:t>5</w:t>
      </w:r>
      <w:r w:rsidRPr="00F63CB5">
        <w:rPr>
          <w:b/>
          <w:bCs/>
          <w:i w:val="0"/>
          <w:iCs w:val="0"/>
          <w:color w:val="auto"/>
          <w:sz w:val="24"/>
          <w:szCs w:val="24"/>
        </w:rPr>
        <w:fldChar w:fldCharType="end"/>
      </w:r>
      <w:r w:rsidRPr="00F63CB5">
        <w:rPr>
          <w:b/>
          <w:bCs/>
          <w:i w:val="0"/>
          <w:iCs w:val="0"/>
          <w:color w:val="auto"/>
          <w:sz w:val="24"/>
          <w:szCs w:val="24"/>
        </w:rPr>
        <w:t>:</w:t>
      </w:r>
      <w:r w:rsidRPr="00F63CB5">
        <w:rPr>
          <w:i w:val="0"/>
          <w:iCs w:val="0"/>
          <w:color w:val="auto"/>
          <w:sz w:val="24"/>
          <w:szCs w:val="24"/>
        </w:rPr>
        <w:t xml:space="preserve"> Cross condensation reaction result outputs </w:t>
      </w:r>
      <w:r w:rsidRPr="00F63CB5">
        <w:rPr>
          <w:i w:val="0"/>
          <w:iCs w:val="0"/>
          <w:noProof/>
          <w:color w:val="auto"/>
          <w:sz w:val="24"/>
          <w:szCs w:val="24"/>
        </w:rPr>
        <w:t>in Z140.</w:t>
      </w:r>
      <w:bookmarkEnd w:id="63"/>
    </w:p>
    <w:tbl>
      <w:tblPr>
        <w:tblW w:w="8595" w:type="dxa"/>
        <w:tblLayout w:type="fixed"/>
        <w:tblLook w:val="04A0" w:firstRow="1" w:lastRow="0" w:firstColumn="1" w:lastColumn="0" w:noHBand="0" w:noVBand="1"/>
      </w:tblPr>
      <w:tblGrid>
        <w:gridCol w:w="1303"/>
        <w:gridCol w:w="1279"/>
        <w:gridCol w:w="829"/>
        <w:gridCol w:w="808"/>
        <w:gridCol w:w="808"/>
        <w:gridCol w:w="819"/>
        <w:gridCol w:w="1374"/>
        <w:gridCol w:w="1375"/>
      </w:tblGrid>
      <w:tr w:rsidR="00A35A08" w:rsidRPr="00DA1436" w14:paraId="6C5F90FF" w14:textId="77777777" w:rsidTr="007605FA">
        <w:trPr>
          <w:trHeight w:val="335"/>
        </w:trPr>
        <w:tc>
          <w:tcPr>
            <w:tcW w:w="1303" w:type="dxa"/>
            <w:vMerge w:val="restart"/>
            <w:tcBorders>
              <w:top w:val="single" w:sz="4" w:space="0" w:color="auto"/>
              <w:left w:val="nil"/>
              <w:bottom w:val="single" w:sz="4" w:space="0" w:color="000000"/>
              <w:right w:val="nil"/>
            </w:tcBorders>
            <w:shd w:val="clear" w:color="auto" w:fill="auto"/>
            <w:vAlign w:val="center"/>
            <w:hideMark/>
          </w:tcPr>
          <w:p w14:paraId="309EB170" w14:textId="77777777" w:rsidR="00A35A08" w:rsidRPr="00DA1436" w:rsidRDefault="00A35A08" w:rsidP="00974715">
            <w:pPr>
              <w:jc w:val="center"/>
              <w:rPr>
                <w:color w:val="000000"/>
              </w:rPr>
            </w:pPr>
            <w:r w:rsidRPr="00DA1436">
              <w:rPr>
                <w:color w:val="000000"/>
              </w:rPr>
              <w:t>Catalyst</w:t>
            </w:r>
          </w:p>
        </w:tc>
        <w:tc>
          <w:tcPr>
            <w:tcW w:w="1279" w:type="dxa"/>
            <w:vMerge w:val="restart"/>
            <w:tcBorders>
              <w:top w:val="single" w:sz="4" w:space="0" w:color="auto"/>
              <w:left w:val="nil"/>
              <w:bottom w:val="single" w:sz="4" w:space="0" w:color="000000"/>
              <w:right w:val="nil"/>
            </w:tcBorders>
            <w:shd w:val="clear" w:color="auto" w:fill="auto"/>
            <w:vAlign w:val="center"/>
            <w:hideMark/>
          </w:tcPr>
          <w:p w14:paraId="5309E39D" w14:textId="77777777" w:rsidR="00A35A08" w:rsidRPr="00DA1436" w:rsidRDefault="00A35A08" w:rsidP="00974715">
            <w:pPr>
              <w:jc w:val="center"/>
              <w:rPr>
                <w:color w:val="000000"/>
              </w:rPr>
            </w:pPr>
            <w:r w:rsidRPr="00DA1436">
              <w:rPr>
                <w:color w:val="000000"/>
              </w:rPr>
              <w:t>BAS (</w:t>
            </w:r>
            <w:r w:rsidRPr="007605FA">
              <w:rPr>
                <w:color w:val="000000"/>
                <w:sz w:val="22"/>
                <w:szCs w:val="22"/>
              </w:rPr>
              <w:t>mmol/g</w:t>
            </w:r>
            <w:r w:rsidRPr="007605FA">
              <w:rPr>
                <w:color w:val="000000"/>
                <w:sz w:val="22"/>
                <w:szCs w:val="22"/>
                <w:vertAlign w:val="subscript"/>
              </w:rPr>
              <w:t>cat</w:t>
            </w:r>
            <w:r w:rsidRPr="00DA1436">
              <w:rPr>
                <w:color w:val="000000"/>
              </w:rPr>
              <w:t>)</w:t>
            </w:r>
          </w:p>
        </w:tc>
        <w:tc>
          <w:tcPr>
            <w:tcW w:w="3264" w:type="dxa"/>
            <w:gridSpan w:val="4"/>
            <w:tcBorders>
              <w:top w:val="single" w:sz="4" w:space="0" w:color="auto"/>
              <w:left w:val="nil"/>
              <w:bottom w:val="nil"/>
              <w:right w:val="nil"/>
            </w:tcBorders>
            <w:shd w:val="clear" w:color="auto" w:fill="auto"/>
            <w:noWrap/>
            <w:vAlign w:val="center"/>
            <w:hideMark/>
          </w:tcPr>
          <w:p w14:paraId="3D6DD447" w14:textId="77777777" w:rsidR="00A35A08" w:rsidRPr="00DA1436" w:rsidRDefault="00A35A08" w:rsidP="00974715">
            <w:pPr>
              <w:jc w:val="center"/>
              <w:rPr>
                <w:color w:val="000000"/>
              </w:rPr>
            </w:pPr>
            <w:r w:rsidRPr="00DA1436">
              <w:rPr>
                <w:color w:val="000000"/>
              </w:rPr>
              <w:t>Product Selectivity</w:t>
            </w:r>
          </w:p>
        </w:tc>
        <w:tc>
          <w:tcPr>
            <w:tcW w:w="2749" w:type="dxa"/>
            <w:gridSpan w:val="2"/>
            <w:tcBorders>
              <w:top w:val="single" w:sz="4" w:space="0" w:color="auto"/>
              <w:left w:val="nil"/>
              <w:bottom w:val="single" w:sz="4" w:space="0" w:color="auto"/>
              <w:right w:val="nil"/>
            </w:tcBorders>
            <w:shd w:val="clear" w:color="auto" w:fill="auto"/>
            <w:noWrap/>
            <w:vAlign w:val="center"/>
            <w:hideMark/>
          </w:tcPr>
          <w:p w14:paraId="39758441" w14:textId="77777777" w:rsidR="00A35A08" w:rsidRPr="00DA1436" w:rsidRDefault="00A35A08" w:rsidP="00974715">
            <w:pPr>
              <w:jc w:val="center"/>
              <w:rPr>
                <w:color w:val="000000"/>
              </w:rPr>
            </w:pPr>
            <w:r w:rsidRPr="00DA1436">
              <w:rPr>
                <w:color w:val="000000"/>
              </w:rPr>
              <w:t>Overall Consumption Rate</w:t>
            </w:r>
          </w:p>
        </w:tc>
      </w:tr>
      <w:tr w:rsidR="00A35A08" w:rsidRPr="00DA1436" w14:paraId="24048F12" w14:textId="77777777" w:rsidTr="007605FA">
        <w:trPr>
          <w:trHeight w:val="673"/>
        </w:trPr>
        <w:tc>
          <w:tcPr>
            <w:tcW w:w="1303" w:type="dxa"/>
            <w:vMerge/>
            <w:tcBorders>
              <w:top w:val="single" w:sz="4" w:space="0" w:color="auto"/>
              <w:left w:val="nil"/>
              <w:bottom w:val="single" w:sz="4" w:space="0" w:color="000000"/>
              <w:right w:val="nil"/>
            </w:tcBorders>
            <w:vAlign w:val="center"/>
            <w:hideMark/>
          </w:tcPr>
          <w:p w14:paraId="294A693E" w14:textId="77777777" w:rsidR="00A35A08" w:rsidRPr="00DA1436" w:rsidRDefault="00A35A08" w:rsidP="00974715">
            <w:pPr>
              <w:jc w:val="center"/>
              <w:rPr>
                <w:color w:val="000000"/>
              </w:rPr>
            </w:pPr>
          </w:p>
        </w:tc>
        <w:tc>
          <w:tcPr>
            <w:tcW w:w="1279" w:type="dxa"/>
            <w:vMerge/>
            <w:tcBorders>
              <w:top w:val="single" w:sz="4" w:space="0" w:color="auto"/>
              <w:left w:val="nil"/>
              <w:bottom w:val="single" w:sz="4" w:space="0" w:color="000000"/>
              <w:right w:val="nil"/>
            </w:tcBorders>
            <w:vAlign w:val="center"/>
            <w:hideMark/>
          </w:tcPr>
          <w:p w14:paraId="26B44ADD" w14:textId="77777777" w:rsidR="00A35A08" w:rsidRPr="00DA1436" w:rsidRDefault="00A35A08" w:rsidP="00974715">
            <w:pPr>
              <w:jc w:val="center"/>
              <w:rPr>
                <w:color w:val="000000"/>
              </w:rPr>
            </w:pPr>
          </w:p>
        </w:tc>
        <w:tc>
          <w:tcPr>
            <w:tcW w:w="829" w:type="dxa"/>
            <w:tcBorders>
              <w:top w:val="single" w:sz="4" w:space="0" w:color="auto"/>
              <w:left w:val="nil"/>
              <w:bottom w:val="single" w:sz="4" w:space="0" w:color="auto"/>
              <w:right w:val="nil"/>
            </w:tcBorders>
            <w:shd w:val="clear" w:color="auto" w:fill="auto"/>
            <w:noWrap/>
            <w:vAlign w:val="center"/>
            <w:hideMark/>
          </w:tcPr>
          <w:p w14:paraId="6DA8C3DE" w14:textId="77777777" w:rsidR="00A35A08" w:rsidRPr="00DA1436" w:rsidRDefault="00A35A08" w:rsidP="00974715">
            <w:pPr>
              <w:jc w:val="center"/>
              <w:rPr>
                <w:color w:val="000000"/>
              </w:rPr>
            </w:pPr>
            <w:r w:rsidRPr="00DA1436">
              <w:rPr>
                <w:color w:val="000000"/>
              </w:rPr>
              <w:t>[A]A</w:t>
            </w:r>
          </w:p>
        </w:tc>
        <w:tc>
          <w:tcPr>
            <w:tcW w:w="808" w:type="dxa"/>
            <w:tcBorders>
              <w:top w:val="single" w:sz="4" w:space="0" w:color="auto"/>
              <w:left w:val="nil"/>
              <w:bottom w:val="single" w:sz="4" w:space="0" w:color="auto"/>
              <w:right w:val="nil"/>
            </w:tcBorders>
            <w:shd w:val="clear" w:color="auto" w:fill="auto"/>
            <w:noWrap/>
            <w:vAlign w:val="center"/>
            <w:hideMark/>
          </w:tcPr>
          <w:p w14:paraId="7E6F15B4" w14:textId="77777777" w:rsidR="00A35A08" w:rsidRPr="00DA1436" w:rsidRDefault="00A35A08" w:rsidP="00974715">
            <w:pPr>
              <w:jc w:val="center"/>
              <w:rPr>
                <w:color w:val="000000"/>
              </w:rPr>
            </w:pPr>
            <w:r w:rsidRPr="00DA1436">
              <w:rPr>
                <w:color w:val="000000"/>
              </w:rPr>
              <w:t>[A]C</w:t>
            </w:r>
          </w:p>
        </w:tc>
        <w:tc>
          <w:tcPr>
            <w:tcW w:w="808" w:type="dxa"/>
            <w:tcBorders>
              <w:top w:val="single" w:sz="4" w:space="0" w:color="auto"/>
              <w:left w:val="nil"/>
              <w:bottom w:val="single" w:sz="4" w:space="0" w:color="auto"/>
              <w:right w:val="nil"/>
            </w:tcBorders>
            <w:shd w:val="clear" w:color="auto" w:fill="auto"/>
            <w:noWrap/>
            <w:vAlign w:val="center"/>
            <w:hideMark/>
          </w:tcPr>
          <w:p w14:paraId="06A0968D" w14:textId="77777777" w:rsidR="00A35A08" w:rsidRPr="00DA1436" w:rsidRDefault="00A35A08" w:rsidP="00974715">
            <w:pPr>
              <w:jc w:val="center"/>
              <w:rPr>
                <w:color w:val="000000"/>
              </w:rPr>
            </w:pPr>
            <w:r w:rsidRPr="00DA1436">
              <w:rPr>
                <w:color w:val="000000"/>
              </w:rPr>
              <w:t>[C]A</w:t>
            </w:r>
          </w:p>
        </w:tc>
        <w:tc>
          <w:tcPr>
            <w:tcW w:w="817" w:type="dxa"/>
            <w:tcBorders>
              <w:top w:val="single" w:sz="4" w:space="0" w:color="auto"/>
              <w:left w:val="nil"/>
              <w:bottom w:val="single" w:sz="4" w:space="0" w:color="auto"/>
              <w:right w:val="nil"/>
            </w:tcBorders>
            <w:shd w:val="clear" w:color="auto" w:fill="auto"/>
            <w:noWrap/>
            <w:vAlign w:val="center"/>
            <w:hideMark/>
          </w:tcPr>
          <w:p w14:paraId="59BC51F3" w14:textId="77777777" w:rsidR="00A35A08" w:rsidRPr="00DA1436" w:rsidRDefault="00A35A08" w:rsidP="00974715">
            <w:pPr>
              <w:jc w:val="center"/>
              <w:rPr>
                <w:color w:val="000000"/>
              </w:rPr>
            </w:pPr>
            <w:r w:rsidRPr="00DA1436">
              <w:rPr>
                <w:color w:val="000000"/>
              </w:rPr>
              <w:t>[C]C</w:t>
            </w:r>
          </w:p>
        </w:tc>
        <w:tc>
          <w:tcPr>
            <w:tcW w:w="1374" w:type="dxa"/>
            <w:tcBorders>
              <w:top w:val="nil"/>
              <w:left w:val="nil"/>
              <w:bottom w:val="single" w:sz="4" w:space="0" w:color="auto"/>
              <w:right w:val="nil"/>
            </w:tcBorders>
            <w:shd w:val="clear" w:color="auto" w:fill="auto"/>
            <w:vAlign w:val="center"/>
            <w:hideMark/>
          </w:tcPr>
          <w:p w14:paraId="28A0AFFF" w14:textId="77777777" w:rsidR="00A35A08" w:rsidRPr="00DA1436" w:rsidRDefault="00A35A08" w:rsidP="00974715">
            <w:pPr>
              <w:jc w:val="center"/>
              <w:rPr>
                <w:color w:val="000000"/>
              </w:rPr>
            </w:pPr>
            <w:r w:rsidRPr="00DA1436">
              <w:rPr>
                <w:color w:val="000000"/>
              </w:rPr>
              <w:t>ACE (</w:t>
            </w:r>
            <w:r w:rsidRPr="007605FA">
              <w:rPr>
                <w:color w:val="000000"/>
                <w:sz w:val="22"/>
                <w:szCs w:val="22"/>
              </w:rPr>
              <w:t>umol/g</w:t>
            </w:r>
            <w:r w:rsidRPr="007605FA">
              <w:rPr>
                <w:color w:val="000000"/>
                <w:sz w:val="22"/>
                <w:szCs w:val="22"/>
                <w:vertAlign w:val="subscript"/>
              </w:rPr>
              <w:t>cat</w:t>
            </w:r>
            <w:r w:rsidRPr="007605FA">
              <w:rPr>
                <w:color w:val="000000"/>
                <w:sz w:val="22"/>
                <w:szCs w:val="22"/>
              </w:rPr>
              <w:t>.s</w:t>
            </w:r>
            <w:r w:rsidRPr="00DA1436">
              <w:rPr>
                <w:color w:val="000000"/>
              </w:rPr>
              <w:t>)</w:t>
            </w:r>
          </w:p>
        </w:tc>
        <w:tc>
          <w:tcPr>
            <w:tcW w:w="1375" w:type="dxa"/>
            <w:tcBorders>
              <w:top w:val="nil"/>
              <w:left w:val="nil"/>
              <w:bottom w:val="single" w:sz="4" w:space="0" w:color="auto"/>
              <w:right w:val="nil"/>
            </w:tcBorders>
            <w:shd w:val="clear" w:color="auto" w:fill="auto"/>
            <w:vAlign w:val="center"/>
            <w:hideMark/>
          </w:tcPr>
          <w:p w14:paraId="378C7F83" w14:textId="77777777" w:rsidR="00A35A08" w:rsidRPr="00DA1436" w:rsidRDefault="00A35A08" w:rsidP="00974715">
            <w:pPr>
              <w:jc w:val="center"/>
              <w:rPr>
                <w:color w:val="000000"/>
              </w:rPr>
            </w:pPr>
            <w:r w:rsidRPr="00DA1436">
              <w:rPr>
                <w:color w:val="000000"/>
              </w:rPr>
              <w:t>CPO (</w:t>
            </w:r>
            <w:r w:rsidRPr="007605FA">
              <w:rPr>
                <w:color w:val="000000"/>
                <w:sz w:val="22"/>
                <w:szCs w:val="22"/>
              </w:rPr>
              <w:t>umol/g</w:t>
            </w:r>
            <w:r w:rsidRPr="007605FA">
              <w:rPr>
                <w:color w:val="000000"/>
                <w:sz w:val="22"/>
                <w:szCs w:val="22"/>
                <w:vertAlign w:val="subscript"/>
              </w:rPr>
              <w:t>cat</w:t>
            </w:r>
            <w:r w:rsidRPr="007605FA">
              <w:rPr>
                <w:color w:val="000000"/>
                <w:sz w:val="22"/>
                <w:szCs w:val="22"/>
              </w:rPr>
              <w:t>.s</w:t>
            </w:r>
            <w:r w:rsidRPr="00DA1436">
              <w:rPr>
                <w:color w:val="000000"/>
              </w:rPr>
              <w:t>)</w:t>
            </w:r>
          </w:p>
        </w:tc>
      </w:tr>
      <w:tr w:rsidR="00A35A08" w:rsidRPr="00DA1436" w14:paraId="6AA84313" w14:textId="77777777" w:rsidTr="007605FA">
        <w:trPr>
          <w:trHeight w:val="335"/>
        </w:trPr>
        <w:tc>
          <w:tcPr>
            <w:tcW w:w="1303" w:type="dxa"/>
            <w:tcBorders>
              <w:top w:val="nil"/>
              <w:left w:val="nil"/>
              <w:bottom w:val="nil"/>
              <w:right w:val="nil"/>
            </w:tcBorders>
            <w:shd w:val="clear" w:color="auto" w:fill="auto"/>
            <w:noWrap/>
            <w:vAlign w:val="center"/>
            <w:hideMark/>
          </w:tcPr>
          <w:p w14:paraId="5DF16E25" w14:textId="77777777" w:rsidR="00A35A08" w:rsidRPr="00DA1436" w:rsidRDefault="00A35A08" w:rsidP="00974715">
            <w:pPr>
              <w:rPr>
                <w:color w:val="000000"/>
              </w:rPr>
            </w:pPr>
            <w:r w:rsidRPr="00DA1436">
              <w:rPr>
                <w:color w:val="000000"/>
              </w:rPr>
              <w:t>Z140</w:t>
            </w:r>
          </w:p>
        </w:tc>
        <w:tc>
          <w:tcPr>
            <w:tcW w:w="1279" w:type="dxa"/>
            <w:tcBorders>
              <w:top w:val="nil"/>
              <w:left w:val="nil"/>
              <w:bottom w:val="nil"/>
              <w:right w:val="nil"/>
            </w:tcBorders>
            <w:shd w:val="clear" w:color="auto" w:fill="auto"/>
            <w:noWrap/>
            <w:vAlign w:val="center"/>
            <w:hideMark/>
          </w:tcPr>
          <w:p w14:paraId="121B5BA8" w14:textId="77777777" w:rsidR="00A35A08" w:rsidRPr="00DA1436" w:rsidRDefault="00A35A08" w:rsidP="00974715">
            <w:pPr>
              <w:jc w:val="center"/>
              <w:rPr>
                <w:color w:val="000000"/>
              </w:rPr>
            </w:pPr>
            <w:r w:rsidRPr="00DA1436">
              <w:rPr>
                <w:color w:val="000000"/>
              </w:rPr>
              <w:t>0.10</w:t>
            </w:r>
          </w:p>
        </w:tc>
        <w:tc>
          <w:tcPr>
            <w:tcW w:w="829" w:type="dxa"/>
            <w:tcBorders>
              <w:top w:val="nil"/>
              <w:left w:val="nil"/>
              <w:bottom w:val="nil"/>
              <w:right w:val="nil"/>
            </w:tcBorders>
            <w:shd w:val="clear" w:color="auto" w:fill="auto"/>
            <w:noWrap/>
            <w:vAlign w:val="center"/>
            <w:hideMark/>
          </w:tcPr>
          <w:p w14:paraId="3E980A2F" w14:textId="77777777" w:rsidR="00A35A08" w:rsidRPr="00DA1436" w:rsidRDefault="00A35A08" w:rsidP="00974715">
            <w:pPr>
              <w:jc w:val="center"/>
              <w:rPr>
                <w:color w:val="000000"/>
              </w:rPr>
            </w:pPr>
            <w:r w:rsidRPr="00DA1436">
              <w:rPr>
                <w:color w:val="000000"/>
              </w:rPr>
              <w:t>25%</w:t>
            </w:r>
          </w:p>
        </w:tc>
        <w:tc>
          <w:tcPr>
            <w:tcW w:w="808" w:type="dxa"/>
            <w:tcBorders>
              <w:top w:val="nil"/>
              <w:left w:val="nil"/>
              <w:bottom w:val="nil"/>
              <w:right w:val="nil"/>
            </w:tcBorders>
            <w:shd w:val="clear" w:color="auto" w:fill="auto"/>
            <w:noWrap/>
            <w:vAlign w:val="center"/>
            <w:hideMark/>
          </w:tcPr>
          <w:p w14:paraId="69CB71DB" w14:textId="77777777" w:rsidR="00A35A08" w:rsidRPr="00DA1436" w:rsidRDefault="00A35A08" w:rsidP="00974715">
            <w:pPr>
              <w:jc w:val="center"/>
              <w:rPr>
                <w:color w:val="000000"/>
              </w:rPr>
            </w:pPr>
            <w:r w:rsidRPr="00DA1436">
              <w:rPr>
                <w:color w:val="000000"/>
              </w:rPr>
              <w:t>15%</w:t>
            </w:r>
          </w:p>
        </w:tc>
        <w:tc>
          <w:tcPr>
            <w:tcW w:w="808" w:type="dxa"/>
            <w:tcBorders>
              <w:top w:val="nil"/>
              <w:left w:val="nil"/>
              <w:bottom w:val="nil"/>
              <w:right w:val="nil"/>
            </w:tcBorders>
            <w:shd w:val="clear" w:color="auto" w:fill="auto"/>
            <w:noWrap/>
            <w:vAlign w:val="center"/>
            <w:hideMark/>
          </w:tcPr>
          <w:p w14:paraId="3CDBD505" w14:textId="77777777" w:rsidR="00A35A08" w:rsidRPr="00DA1436" w:rsidRDefault="00A35A08" w:rsidP="00974715">
            <w:pPr>
              <w:jc w:val="center"/>
              <w:rPr>
                <w:color w:val="000000"/>
              </w:rPr>
            </w:pPr>
            <w:r w:rsidRPr="00DA1436">
              <w:rPr>
                <w:color w:val="000000"/>
              </w:rPr>
              <w:t>16%</w:t>
            </w:r>
          </w:p>
        </w:tc>
        <w:tc>
          <w:tcPr>
            <w:tcW w:w="817" w:type="dxa"/>
            <w:tcBorders>
              <w:top w:val="nil"/>
              <w:left w:val="nil"/>
              <w:bottom w:val="nil"/>
              <w:right w:val="nil"/>
            </w:tcBorders>
            <w:shd w:val="clear" w:color="auto" w:fill="auto"/>
            <w:noWrap/>
            <w:vAlign w:val="center"/>
            <w:hideMark/>
          </w:tcPr>
          <w:p w14:paraId="58880153" w14:textId="77777777" w:rsidR="00A35A08" w:rsidRPr="00DA1436" w:rsidRDefault="00A35A08" w:rsidP="00974715">
            <w:pPr>
              <w:jc w:val="center"/>
              <w:rPr>
                <w:color w:val="000000"/>
              </w:rPr>
            </w:pPr>
            <w:r w:rsidRPr="00DA1436">
              <w:rPr>
                <w:color w:val="000000"/>
              </w:rPr>
              <w:t>44%</w:t>
            </w:r>
          </w:p>
        </w:tc>
        <w:tc>
          <w:tcPr>
            <w:tcW w:w="1374" w:type="dxa"/>
            <w:tcBorders>
              <w:top w:val="nil"/>
              <w:left w:val="nil"/>
              <w:bottom w:val="nil"/>
              <w:right w:val="nil"/>
            </w:tcBorders>
            <w:shd w:val="clear" w:color="auto" w:fill="auto"/>
            <w:noWrap/>
            <w:vAlign w:val="center"/>
            <w:hideMark/>
          </w:tcPr>
          <w:p w14:paraId="74A7A531" w14:textId="77777777" w:rsidR="00A35A08" w:rsidRPr="00DA1436" w:rsidRDefault="00A35A08" w:rsidP="00974715">
            <w:pPr>
              <w:jc w:val="center"/>
              <w:rPr>
                <w:color w:val="000000"/>
              </w:rPr>
            </w:pPr>
            <w:r w:rsidRPr="00DA1436">
              <w:rPr>
                <w:color w:val="000000"/>
              </w:rPr>
              <w:t>2.6</w:t>
            </w:r>
            <w:r>
              <w:rPr>
                <w:color w:val="000000"/>
              </w:rPr>
              <w:t>1</w:t>
            </w:r>
          </w:p>
        </w:tc>
        <w:tc>
          <w:tcPr>
            <w:tcW w:w="1375" w:type="dxa"/>
            <w:tcBorders>
              <w:top w:val="nil"/>
              <w:left w:val="nil"/>
              <w:bottom w:val="nil"/>
              <w:right w:val="nil"/>
            </w:tcBorders>
            <w:shd w:val="clear" w:color="auto" w:fill="auto"/>
            <w:noWrap/>
            <w:vAlign w:val="center"/>
            <w:hideMark/>
          </w:tcPr>
          <w:p w14:paraId="5E79330C" w14:textId="77777777" w:rsidR="00A35A08" w:rsidRPr="00DA1436" w:rsidRDefault="00A35A08" w:rsidP="00974715">
            <w:pPr>
              <w:jc w:val="center"/>
              <w:rPr>
                <w:color w:val="000000"/>
              </w:rPr>
            </w:pPr>
            <w:r w:rsidRPr="00DA1436">
              <w:rPr>
                <w:color w:val="000000"/>
              </w:rPr>
              <w:t>3.7</w:t>
            </w:r>
            <w:r>
              <w:rPr>
                <w:color w:val="000000"/>
              </w:rPr>
              <w:t>0</w:t>
            </w:r>
          </w:p>
        </w:tc>
      </w:tr>
      <w:tr w:rsidR="00A35A08" w:rsidRPr="00DA1436" w14:paraId="3CD189CE" w14:textId="77777777" w:rsidTr="007605FA">
        <w:trPr>
          <w:trHeight w:val="335"/>
        </w:trPr>
        <w:tc>
          <w:tcPr>
            <w:tcW w:w="1303" w:type="dxa"/>
            <w:tcBorders>
              <w:top w:val="nil"/>
              <w:left w:val="nil"/>
              <w:bottom w:val="single" w:sz="4" w:space="0" w:color="auto"/>
              <w:right w:val="nil"/>
            </w:tcBorders>
            <w:shd w:val="clear" w:color="auto" w:fill="auto"/>
            <w:vAlign w:val="center"/>
            <w:hideMark/>
          </w:tcPr>
          <w:p w14:paraId="5422296F" w14:textId="77777777" w:rsidR="00A35A08" w:rsidRPr="00DA1436" w:rsidRDefault="00A35A08" w:rsidP="00974715">
            <w:pPr>
              <w:rPr>
                <w:color w:val="000000"/>
              </w:rPr>
            </w:pPr>
            <w:r w:rsidRPr="00DA1436">
              <w:rPr>
                <w:color w:val="000000"/>
              </w:rPr>
              <w:t>Z140 0.05M</w:t>
            </w:r>
            <w:r>
              <w:rPr>
                <w:color w:val="000000"/>
              </w:rPr>
              <w:t xml:space="preserve"> </w:t>
            </w:r>
            <w:r w:rsidRPr="00DA1436">
              <w:rPr>
                <w:color w:val="000000"/>
              </w:rPr>
              <w:t>Na</w:t>
            </w:r>
          </w:p>
        </w:tc>
        <w:tc>
          <w:tcPr>
            <w:tcW w:w="1279" w:type="dxa"/>
            <w:tcBorders>
              <w:top w:val="nil"/>
              <w:left w:val="nil"/>
              <w:bottom w:val="single" w:sz="4" w:space="0" w:color="auto"/>
              <w:right w:val="nil"/>
            </w:tcBorders>
            <w:shd w:val="clear" w:color="auto" w:fill="auto"/>
            <w:noWrap/>
            <w:vAlign w:val="center"/>
            <w:hideMark/>
          </w:tcPr>
          <w:p w14:paraId="3D9C78FE" w14:textId="77777777" w:rsidR="00A35A08" w:rsidRPr="00DA1436" w:rsidRDefault="00A35A08" w:rsidP="00974715">
            <w:pPr>
              <w:jc w:val="center"/>
              <w:rPr>
                <w:color w:val="000000"/>
              </w:rPr>
            </w:pPr>
            <w:r w:rsidRPr="00DA1436">
              <w:rPr>
                <w:color w:val="000000"/>
              </w:rPr>
              <w:t>0.04</w:t>
            </w:r>
          </w:p>
        </w:tc>
        <w:tc>
          <w:tcPr>
            <w:tcW w:w="829" w:type="dxa"/>
            <w:tcBorders>
              <w:top w:val="nil"/>
              <w:left w:val="nil"/>
              <w:bottom w:val="single" w:sz="4" w:space="0" w:color="auto"/>
              <w:right w:val="nil"/>
            </w:tcBorders>
            <w:shd w:val="clear" w:color="auto" w:fill="auto"/>
            <w:noWrap/>
            <w:vAlign w:val="center"/>
            <w:hideMark/>
          </w:tcPr>
          <w:p w14:paraId="36DA70CE" w14:textId="77777777" w:rsidR="00A35A08" w:rsidRPr="00DA1436" w:rsidRDefault="00A35A08" w:rsidP="00974715">
            <w:pPr>
              <w:jc w:val="center"/>
              <w:rPr>
                <w:color w:val="000000"/>
              </w:rPr>
            </w:pPr>
            <w:r w:rsidRPr="00DA1436">
              <w:rPr>
                <w:color w:val="000000"/>
              </w:rPr>
              <w:t>18%</w:t>
            </w:r>
          </w:p>
        </w:tc>
        <w:tc>
          <w:tcPr>
            <w:tcW w:w="808" w:type="dxa"/>
            <w:tcBorders>
              <w:top w:val="nil"/>
              <w:left w:val="nil"/>
              <w:bottom w:val="single" w:sz="4" w:space="0" w:color="auto"/>
              <w:right w:val="nil"/>
            </w:tcBorders>
            <w:shd w:val="clear" w:color="auto" w:fill="auto"/>
            <w:noWrap/>
            <w:vAlign w:val="center"/>
            <w:hideMark/>
          </w:tcPr>
          <w:p w14:paraId="75266214" w14:textId="77777777" w:rsidR="00A35A08" w:rsidRPr="00DA1436" w:rsidRDefault="00A35A08" w:rsidP="00974715">
            <w:pPr>
              <w:jc w:val="center"/>
              <w:rPr>
                <w:color w:val="000000"/>
              </w:rPr>
            </w:pPr>
            <w:r w:rsidRPr="00DA1436">
              <w:rPr>
                <w:color w:val="000000"/>
              </w:rPr>
              <w:t>17%</w:t>
            </w:r>
          </w:p>
        </w:tc>
        <w:tc>
          <w:tcPr>
            <w:tcW w:w="808" w:type="dxa"/>
            <w:tcBorders>
              <w:top w:val="nil"/>
              <w:left w:val="nil"/>
              <w:bottom w:val="single" w:sz="4" w:space="0" w:color="auto"/>
              <w:right w:val="nil"/>
            </w:tcBorders>
            <w:shd w:val="clear" w:color="auto" w:fill="auto"/>
            <w:noWrap/>
            <w:vAlign w:val="center"/>
            <w:hideMark/>
          </w:tcPr>
          <w:p w14:paraId="5C8D91E6" w14:textId="77777777" w:rsidR="00A35A08" w:rsidRPr="00DA1436" w:rsidRDefault="00A35A08" w:rsidP="00974715">
            <w:pPr>
              <w:jc w:val="center"/>
              <w:rPr>
                <w:color w:val="000000"/>
              </w:rPr>
            </w:pPr>
            <w:r w:rsidRPr="00DA1436">
              <w:rPr>
                <w:color w:val="000000"/>
              </w:rPr>
              <w:t>16%</w:t>
            </w:r>
          </w:p>
        </w:tc>
        <w:tc>
          <w:tcPr>
            <w:tcW w:w="817" w:type="dxa"/>
            <w:tcBorders>
              <w:top w:val="nil"/>
              <w:left w:val="nil"/>
              <w:bottom w:val="single" w:sz="4" w:space="0" w:color="auto"/>
              <w:right w:val="nil"/>
            </w:tcBorders>
            <w:shd w:val="clear" w:color="auto" w:fill="auto"/>
            <w:noWrap/>
            <w:vAlign w:val="center"/>
            <w:hideMark/>
          </w:tcPr>
          <w:p w14:paraId="3E230F7A" w14:textId="77777777" w:rsidR="00A35A08" w:rsidRPr="00DA1436" w:rsidRDefault="00A35A08" w:rsidP="00974715">
            <w:pPr>
              <w:jc w:val="center"/>
              <w:rPr>
                <w:color w:val="000000"/>
              </w:rPr>
            </w:pPr>
            <w:r w:rsidRPr="00DA1436">
              <w:rPr>
                <w:color w:val="000000"/>
              </w:rPr>
              <w:t>48%</w:t>
            </w:r>
          </w:p>
        </w:tc>
        <w:tc>
          <w:tcPr>
            <w:tcW w:w="1374" w:type="dxa"/>
            <w:tcBorders>
              <w:top w:val="nil"/>
              <w:left w:val="nil"/>
              <w:bottom w:val="single" w:sz="4" w:space="0" w:color="auto"/>
              <w:right w:val="nil"/>
            </w:tcBorders>
            <w:shd w:val="clear" w:color="auto" w:fill="auto"/>
            <w:noWrap/>
            <w:vAlign w:val="center"/>
            <w:hideMark/>
          </w:tcPr>
          <w:p w14:paraId="62159CE0" w14:textId="77777777" w:rsidR="00A35A08" w:rsidRPr="00DA1436" w:rsidRDefault="00A35A08" w:rsidP="00974715">
            <w:pPr>
              <w:jc w:val="center"/>
              <w:rPr>
                <w:color w:val="000000"/>
              </w:rPr>
            </w:pPr>
            <w:r w:rsidRPr="00DA1436">
              <w:rPr>
                <w:color w:val="000000"/>
              </w:rPr>
              <w:t>0.</w:t>
            </w:r>
            <w:r>
              <w:rPr>
                <w:color w:val="000000"/>
              </w:rPr>
              <w:t>87</w:t>
            </w:r>
          </w:p>
        </w:tc>
        <w:tc>
          <w:tcPr>
            <w:tcW w:w="1375" w:type="dxa"/>
            <w:tcBorders>
              <w:top w:val="nil"/>
              <w:left w:val="nil"/>
              <w:bottom w:val="single" w:sz="4" w:space="0" w:color="auto"/>
              <w:right w:val="nil"/>
            </w:tcBorders>
            <w:shd w:val="clear" w:color="auto" w:fill="auto"/>
            <w:noWrap/>
            <w:vAlign w:val="center"/>
            <w:hideMark/>
          </w:tcPr>
          <w:p w14:paraId="72302A3E" w14:textId="77777777" w:rsidR="00A35A08" w:rsidRPr="00DA1436" w:rsidRDefault="00A35A08" w:rsidP="00974715">
            <w:pPr>
              <w:jc w:val="center"/>
              <w:rPr>
                <w:color w:val="000000"/>
              </w:rPr>
            </w:pPr>
            <w:r w:rsidRPr="00DA1436">
              <w:rPr>
                <w:color w:val="000000"/>
              </w:rPr>
              <w:t>1.6</w:t>
            </w:r>
            <w:r>
              <w:rPr>
                <w:color w:val="000000"/>
              </w:rPr>
              <w:t>2</w:t>
            </w:r>
          </w:p>
        </w:tc>
      </w:tr>
    </w:tbl>
    <w:p w14:paraId="4DA07249" w14:textId="77777777" w:rsidR="00A35A08" w:rsidRPr="002517E2" w:rsidRDefault="00A35A08" w:rsidP="002517E2">
      <w:pPr>
        <w:spacing w:line="480" w:lineRule="auto"/>
        <w:jc w:val="both"/>
        <w:rPr>
          <w:color w:val="000000" w:themeColor="text1"/>
        </w:rPr>
      </w:pPr>
    </w:p>
    <w:p w14:paraId="1F4D3B2E" w14:textId="6274C916" w:rsidR="00A35A08" w:rsidRPr="00F11C1B" w:rsidRDefault="002517E2" w:rsidP="002517E2">
      <w:pPr>
        <w:pStyle w:val="Heading4"/>
        <w:spacing w:line="480" w:lineRule="auto"/>
        <w:rPr>
          <w:rFonts w:ascii="Times New Roman" w:hAnsi="Times New Roman" w:cs="Times New Roman"/>
          <w:color w:val="auto"/>
        </w:rPr>
      </w:pPr>
      <w:r w:rsidRPr="00F11C1B">
        <w:rPr>
          <w:rFonts w:ascii="Times New Roman" w:hAnsi="Times New Roman" w:cs="Times New Roman"/>
          <w:color w:val="auto"/>
        </w:rPr>
        <w:tab/>
      </w:r>
      <w:r w:rsidR="00A35A08" w:rsidRPr="00F11C1B">
        <w:rPr>
          <w:rFonts w:ascii="Times New Roman" w:hAnsi="Times New Roman" w:cs="Times New Roman"/>
          <w:color w:val="auto"/>
        </w:rPr>
        <w:t xml:space="preserve">2.4.2.2 HZSM-5 and NaHZSM-5 (Si/Al:40) zeolites </w:t>
      </w:r>
    </w:p>
    <w:p w14:paraId="70E41353" w14:textId="77777777" w:rsidR="00A35A08" w:rsidRPr="00DA1436" w:rsidRDefault="00A35A08" w:rsidP="002517E2">
      <w:pPr>
        <w:spacing w:line="480" w:lineRule="auto"/>
        <w:jc w:val="both"/>
        <w:rPr>
          <w:color w:val="000000" w:themeColor="text1"/>
        </w:rPr>
      </w:pPr>
      <w:r w:rsidRPr="002517E2">
        <w:rPr>
          <w:color w:val="000000" w:themeColor="text1"/>
        </w:rPr>
        <w:tab/>
        <w:t xml:space="preserve">A similar set of analysis is done over Z40. Here the effect of MTL is clearly higher </w:t>
      </w:r>
      <w:r>
        <w:rPr>
          <w:color w:val="000000" w:themeColor="text1"/>
        </w:rPr>
        <w:t xml:space="preserve">and </w:t>
      </w:r>
      <w:r w:rsidRPr="00F63CB5">
        <w:t xml:space="preserve">thus the changes over the cross-condensation results are more pronounced as shown in </w:t>
      </w:r>
      <w:r w:rsidRPr="00C80AAF">
        <w:rPr>
          <w:b/>
          <w:bCs/>
        </w:rPr>
        <w:lastRenderedPageBreak/>
        <w:t>Table 6</w:t>
      </w:r>
      <w:r w:rsidRPr="00C80AAF">
        <w:t>.</w:t>
      </w:r>
      <w:r w:rsidRPr="00C80AAF">
        <w:rPr>
          <w:color w:val="000000" w:themeColor="text1"/>
        </w:rPr>
        <w:t xml:space="preserve"> Within the CPO</w:t>
      </w:r>
      <w:r>
        <w:rPr>
          <w:color w:val="000000" w:themeColor="text1"/>
        </w:rPr>
        <w:t xml:space="preserve"> activated products the increase in [C]C selectivity in contrast with [C]A decrease highlights the regime effect on this catalyst. The ACE activated products showed an unexpected behavior with an increase of both [A]A and [A]C products as titration occurs. A hypothesis for such is a correlation between the concentration gradient of ACE and CPO and their diffusion inside the MFI framework. Because ACE has less effect over MTL compared to CPO, by decreasing MTL along the particle ACE concentration increases rapidly compared to CPO, then more products containing ACE appear. However, as the MTL is mitigated CPO products are more favored as observed in Z140.</w:t>
      </w:r>
      <w:r w:rsidRPr="00DA1436">
        <w:rPr>
          <w:color w:val="000000" w:themeColor="text1"/>
        </w:rPr>
        <w:t xml:space="preserve"> </w:t>
      </w:r>
    </w:p>
    <w:p w14:paraId="78C63928" w14:textId="13EB56DF" w:rsidR="00A35A08" w:rsidRPr="00F63CB5" w:rsidRDefault="00A35A08" w:rsidP="00A35A08">
      <w:pPr>
        <w:pStyle w:val="Caption"/>
        <w:keepNext/>
        <w:rPr>
          <w:i w:val="0"/>
          <w:iCs w:val="0"/>
          <w:color w:val="auto"/>
          <w:sz w:val="24"/>
          <w:szCs w:val="24"/>
        </w:rPr>
      </w:pPr>
      <w:bookmarkStart w:id="64" w:name="_Toc131948657"/>
      <w:r w:rsidRPr="00F63CB5">
        <w:rPr>
          <w:b/>
          <w:bCs/>
          <w:i w:val="0"/>
          <w:iCs w:val="0"/>
          <w:color w:val="auto"/>
          <w:sz w:val="24"/>
          <w:szCs w:val="24"/>
        </w:rPr>
        <w:t xml:space="preserve">Table </w:t>
      </w:r>
      <w:r w:rsidRPr="00F63CB5">
        <w:rPr>
          <w:b/>
          <w:bCs/>
          <w:i w:val="0"/>
          <w:iCs w:val="0"/>
          <w:color w:val="auto"/>
          <w:sz w:val="24"/>
          <w:szCs w:val="24"/>
        </w:rPr>
        <w:fldChar w:fldCharType="begin"/>
      </w:r>
      <w:r w:rsidRPr="00F63CB5">
        <w:rPr>
          <w:b/>
          <w:bCs/>
          <w:i w:val="0"/>
          <w:iCs w:val="0"/>
          <w:color w:val="auto"/>
          <w:sz w:val="24"/>
          <w:szCs w:val="24"/>
        </w:rPr>
        <w:instrText xml:space="preserve"> SEQ Table \* ARABIC </w:instrText>
      </w:r>
      <w:r w:rsidRPr="00F63CB5">
        <w:rPr>
          <w:b/>
          <w:bCs/>
          <w:i w:val="0"/>
          <w:iCs w:val="0"/>
          <w:color w:val="auto"/>
          <w:sz w:val="24"/>
          <w:szCs w:val="24"/>
        </w:rPr>
        <w:fldChar w:fldCharType="separate"/>
      </w:r>
      <w:r w:rsidR="001F4741">
        <w:rPr>
          <w:b/>
          <w:bCs/>
          <w:i w:val="0"/>
          <w:iCs w:val="0"/>
          <w:noProof/>
          <w:color w:val="auto"/>
          <w:sz w:val="24"/>
          <w:szCs w:val="24"/>
        </w:rPr>
        <w:t>6</w:t>
      </w:r>
      <w:r w:rsidRPr="00F63CB5">
        <w:rPr>
          <w:b/>
          <w:bCs/>
          <w:i w:val="0"/>
          <w:iCs w:val="0"/>
          <w:color w:val="auto"/>
          <w:sz w:val="24"/>
          <w:szCs w:val="24"/>
        </w:rPr>
        <w:fldChar w:fldCharType="end"/>
      </w:r>
      <w:r w:rsidRPr="00F63CB5">
        <w:rPr>
          <w:b/>
          <w:bCs/>
          <w:i w:val="0"/>
          <w:iCs w:val="0"/>
          <w:color w:val="auto"/>
          <w:sz w:val="24"/>
          <w:szCs w:val="24"/>
        </w:rPr>
        <w:t>:</w:t>
      </w:r>
      <w:r w:rsidRPr="00F63CB5">
        <w:rPr>
          <w:i w:val="0"/>
          <w:iCs w:val="0"/>
          <w:color w:val="auto"/>
          <w:sz w:val="24"/>
          <w:szCs w:val="24"/>
        </w:rPr>
        <w:t xml:space="preserve"> Cross condensation reaction result outputs </w:t>
      </w:r>
      <w:r w:rsidRPr="00F63CB5">
        <w:rPr>
          <w:i w:val="0"/>
          <w:iCs w:val="0"/>
          <w:noProof/>
          <w:color w:val="auto"/>
          <w:sz w:val="24"/>
          <w:szCs w:val="24"/>
        </w:rPr>
        <w:t>in Z40.</w:t>
      </w:r>
      <w:bookmarkEnd w:id="64"/>
    </w:p>
    <w:tbl>
      <w:tblPr>
        <w:tblW w:w="8621" w:type="dxa"/>
        <w:tblLayout w:type="fixed"/>
        <w:tblLook w:val="04A0" w:firstRow="1" w:lastRow="0" w:firstColumn="1" w:lastColumn="0" w:noHBand="0" w:noVBand="1"/>
      </w:tblPr>
      <w:tblGrid>
        <w:gridCol w:w="1440"/>
        <w:gridCol w:w="1260"/>
        <w:gridCol w:w="774"/>
        <w:gridCol w:w="803"/>
        <w:gridCol w:w="803"/>
        <w:gridCol w:w="812"/>
        <w:gridCol w:w="1364"/>
        <w:gridCol w:w="1365"/>
      </w:tblGrid>
      <w:tr w:rsidR="00A35A08" w:rsidRPr="00DA1436" w14:paraId="5A5264E6" w14:textId="77777777" w:rsidTr="007605FA">
        <w:trPr>
          <w:trHeight w:val="325"/>
        </w:trPr>
        <w:tc>
          <w:tcPr>
            <w:tcW w:w="1440" w:type="dxa"/>
            <w:vMerge w:val="restart"/>
            <w:tcBorders>
              <w:top w:val="single" w:sz="4" w:space="0" w:color="auto"/>
              <w:left w:val="nil"/>
              <w:bottom w:val="single" w:sz="4" w:space="0" w:color="000000"/>
              <w:right w:val="nil"/>
            </w:tcBorders>
            <w:shd w:val="clear" w:color="auto" w:fill="auto"/>
            <w:vAlign w:val="center"/>
            <w:hideMark/>
          </w:tcPr>
          <w:p w14:paraId="678BA3D9" w14:textId="77777777" w:rsidR="00A35A08" w:rsidRPr="00DA1436" w:rsidRDefault="00A35A08" w:rsidP="00974715">
            <w:pPr>
              <w:jc w:val="center"/>
              <w:rPr>
                <w:color w:val="000000"/>
              </w:rPr>
            </w:pPr>
            <w:r w:rsidRPr="00DA1436">
              <w:rPr>
                <w:color w:val="000000"/>
              </w:rPr>
              <w:t>Catalyst</w:t>
            </w:r>
          </w:p>
        </w:tc>
        <w:tc>
          <w:tcPr>
            <w:tcW w:w="1260" w:type="dxa"/>
            <w:vMerge w:val="restart"/>
            <w:tcBorders>
              <w:top w:val="single" w:sz="4" w:space="0" w:color="auto"/>
              <w:left w:val="nil"/>
              <w:bottom w:val="single" w:sz="4" w:space="0" w:color="000000"/>
              <w:right w:val="nil"/>
            </w:tcBorders>
            <w:shd w:val="clear" w:color="auto" w:fill="auto"/>
            <w:vAlign w:val="center"/>
            <w:hideMark/>
          </w:tcPr>
          <w:p w14:paraId="7319A075" w14:textId="77777777" w:rsidR="00A35A08" w:rsidRPr="00DA1436" w:rsidRDefault="00A35A08" w:rsidP="00974715">
            <w:pPr>
              <w:jc w:val="center"/>
              <w:rPr>
                <w:color w:val="000000"/>
              </w:rPr>
            </w:pPr>
            <w:r w:rsidRPr="00DA1436">
              <w:rPr>
                <w:color w:val="000000"/>
              </w:rPr>
              <w:t>BAS (</w:t>
            </w:r>
            <w:r w:rsidRPr="007605FA">
              <w:rPr>
                <w:color w:val="000000"/>
                <w:sz w:val="22"/>
                <w:szCs w:val="22"/>
              </w:rPr>
              <w:t>mmol/g</w:t>
            </w:r>
            <w:r w:rsidRPr="007605FA">
              <w:rPr>
                <w:color w:val="000000"/>
                <w:sz w:val="22"/>
                <w:szCs w:val="22"/>
                <w:vertAlign w:val="subscript"/>
              </w:rPr>
              <w:t>cat</w:t>
            </w:r>
            <w:r w:rsidRPr="00DA1436">
              <w:rPr>
                <w:color w:val="000000"/>
              </w:rPr>
              <w:t>)</w:t>
            </w:r>
          </w:p>
        </w:tc>
        <w:tc>
          <w:tcPr>
            <w:tcW w:w="3192" w:type="dxa"/>
            <w:gridSpan w:val="4"/>
            <w:tcBorders>
              <w:top w:val="single" w:sz="4" w:space="0" w:color="auto"/>
              <w:left w:val="nil"/>
              <w:bottom w:val="nil"/>
              <w:right w:val="nil"/>
            </w:tcBorders>
            <w:shd w:val="clear" w:color="auto" w:fill="auto"/>
            <w:noWrap/>
            <w:vAlign w:val="center"/>
            <w:hideMark/>
          </w:tcPr>
          <w:p w14:paraId="392DA689" w14:textId="77777777" w:rsidR="00A35A08" w:rsidRPr="00DA1436" w:rsidRDefault="00A35A08" w:rsidP="00974715">
            <w:pPr>
              <w:jc w:val="center"/>
              <w:rPr>
                <w:color w:val="000000"/>
              </w:rPr>
            </w:pPr>
            <w:r w:rsidRPr="00DA1436">
              <w:rPr>
                <w:color w:val="000000"/>
              </w:rPr>
              <w:t>Product Selectivity</w:t>
            </w:r>
          </w:p>
        </w:tc>
        <w:tc>
          <w:tcPr>
            <w:tcW w:w="2729" w:type="dxa"/>
            <w:gridSpan w:val="2"/>
            <w:tcBorders>
              <w:top w:val="single" w:sz="4" w:space="0" w:color="auto"/>
              <w:left w:val="nil"/>
              <w:bottom w:val="single" w:sz="4" w:space="0" w:color="auto"/>
              <w:right w:val="nil"/>
            </w:tcBorders>
            <w:shd w:val="clear" w:color="auto" w:fill="auto"/>
            <w:noWrap/>
            <w:vAlign w:val="center"/>
            <w:hideMark/>
          </w:tcPr>
          <w:p w14:paraId="275A9D54" w14:textId="77777777" w:rsidR="00A35A08" w:rsidRPr="00DA1436" w:rsidRDefault="00A35A08" w:rsidP="00974715">
            <w:pPr>
              <w:jc w:val="center"/>
              <w:rPr>
                <w:color w:val="000000"/>
              </w:rPr>
            </w:pPr>
            <w:r w:rsidRPr="00DA1436">
              <w:rPr>
                <w:color w:val="000000"/>
              </w:rPr>
              <w:t>Overall Consumption Rate</w:t>
            </w:r>
          </w:p>
        </w:tc>
      </w:tr>
      <w:tr w:rsidR="00A35A08" w:rsidRPr="00DA1436" w14:paraId="0135907A" w14:textId="77777777" w:rsidTr="007605FA">
        <w:trPr>
          <w:trHeight w:val="651"/>
        </w:trPr>
        <w:tc>
          <w:tcPr>
            <w:tcW w:w="1440" w:type="dxa"/>
            <w:vMerge/>
            <w:tcBorders>
              <w:top w:val="single" w:sz="4" w:space="0" w:color="auto"/>
              <w:left w:val="nil"/>
              <w:bottom w:val="single" w:sz="4" w:space="0" w:color="000000"/>
              <w:right w:val="nil"/>
            </w:tcBorders>
            <w:vAlign w:val="center"/>
            <w:hideMark/>
          </w:tcPr>
          <w:p w14:paraId="25F5AD0A" w14:textId="77777777" w:rsidR="00A35A08" w:rsidRPr="00DA1436" w:rsidRDefault="00A35A08" w:rsidP="00974715">
            <w:pPr>
              <w:jc w:val="center"/>
              <w:rPr>
                <w:color w:val="000000"/>
              </w:rPr>
            </w:pPr>
          </w:p>
        </w:tc>
        <w:tc>
          <w:tcPr>
            <w:tcW w:w="1260" w:type="dxa"/>
            <w:vMerge/>
            <w:tcBorders>
              <w:top w:val="single" w:sz="4" w:space="0" w:color="auto"/>
              <w:left w:val="nil"/>
              <w:bottom w:val="single" w:sz="4" w:space="0" w:color="000000"/>
              <w:right w:val="nil"/>
            </w:tcBorders>
            <w:vAlign w:val="center"/>
            <w:hideMark/>
          </w:tcPr>
          <w:p w14:paraId="5CFC182C" w14:textId="77777777" w:rsidR="00A35A08" w:rsidRPr="00DA1436" w:rsidRDefault="00A35A08" w:rsidP="00974715">
            <w:pPr>
              <w:jc w:val="center"/>
              <w:rPr>
                <w:color w:val="000000"/>
              </w:rPr>
            </w:pPr>
          </w:p>
        </w:tc>
        <w:tc>
          <w:tcPr>
            <w:tcW w:w="774" w:type="dxa"/>
            <w:tcBorders>
              <w:top w:val="single" w:sz="4" w:space="0" w:color="auto"/>
              <w:left w:val="nil"/>
              <w:bottom w:val="single" w:sz="4" w:space="0" w:color="auto"/>
              <w:right w:val="nil"/>
            </w:tcBorders>
            <w:shd w:val="clear" w:color="auto" w:fill="auto"/>
            <w:noWrap/>
            <w:vAlign w:val="center"/>
            <w:hideMark/>
          </w:tcPr>
          <w:p w14:paraId="4E382B06" w14:textId="77777777" w:rsidR="00A35A08" w:rsidRPr="00DA1436" w:rsidRDefault="00A35A08" w:rsidP="00974715">
            <w:pPr>
              <w:jc w:val="center"/>
              <w:rPr>
                <w:color w:val="000000"/>
              </w:rPr>
            </w:pPr>
            <w:r w:rsidRPr="00DA1436">
              <w:rPr>
                <w:color w:val="000000"/>
              </w:rPr>
              <w:t>[A]A</w:t>
            </w:r>
          </w:p>
        </w:tc>
        <w:tc>
          <w:tcPr>
            <w:tcW w:w="803" w:type="dxa"/>
            <w:tcBorders>
              <w:top w:val="single" w:sz="4" w:space="0" w:color="auto"/>
              <w:left w:val="nil"/>
              <w:bottom w:val="single" w:sz="4" w:space="0" w:color="auto"/>
              <w:right w:val="nil"/>
            </w:tcBorders>
            <w:shd w:val="clear" w:color="auto" w:fill="auto"/>
            <w:noWrap/>
            <w:vAlign w:val="center"/>
            <w:hideMark/>
          </w:tcPr>
          <w:p w14:paraId="5BD75341" w14:textId="77777777" w:rsidR="00A35A08" w:rsidRPr="00DA1436" w:rsidRDefault="00A35A08" w:rsidP="00974715">
            <w:pPr>
              <w:jc w:val="center"/>
              <w:rPr>
                <w:color w:val="000000"/>
              </w:rPr>
            </w:pPr>
            <w:r w:rsidRPr="00DA1436">
              <w:rPr>
                <w:color w:val="000000"/>
              </w:rPr>
              <w:t>[A]C</w:t>
            </w:r>
          </w:p>
        </w:tc>
        <w:tc>
          <w:tcPr>
            <w:tcW w:w="803" w:type="dxa"/>
            <w:tcBorders>
              <w:top w:val="single" w:sz="4" w:space="0" w:color="auto"/>
              <w:left w:val="nil"/>
              <w:bottom w:val="single" w:sz="4" w:space="0" w:color="auto"/>
              <w:right w:val="nil"/>
            </w:tcBorders>
            <w:shd w:val="clear" w:color="auto" w:fill="auto"/>
            <w:noWrap/>
            <w:vAlign w:val="center"/>
            <w:hideMark/>
          </w:tcPr>
          <w:p w14:paraId="6EA1C8CA" w14:textId="77777777" w:rsidR="00A35A08" w:rsidRPr="00DA1436" w:rsidRDefault="00A35A08" w:rsidP="00974715">
            <w:pPr>
              <w:jc w:val="center"/>
              <w:rPr>
                <w:color w:val="000000"/>
              </w:rPr>
            </w:pPr>
            <w:r w:rsidRPr="00DA1436">
              <w:rPr>
                <w:color w:val="000000"/>
              </w:rPr>
              <w:t>[C]A</w:t>
            </w:r>
          </w:p>
        </w:tc>
        <w:tc>
          <w:tcPr>
            <w:tcW w:w="812" w:type="dxa"/>
            <w:tcBorders>
              <w:top w:val="single" w:sz="4" w:space="0" w:color="auto"/>
              <w:left w:val="nil"/>
              <w:bottom w:val="single" w:sz="4" w:space="0" w:color="auto"/>
              <w:right w:val="nil"/>
            </w:tcBorders>
            <w:shd w:val="clear" w:color="auto" w:fill="auto"/>
            <w:noWrap/>
            <w:vAlign w:val="center"/>
            <w:hideMark/>
          </w:tcPr>
          <w:p w14:paraId="4FA0E7F7" w14:textId="77777777" w:rsidR="00A35A08" w:rsidRPr="00DA1436" w:rsidRDefault="00A35A08" w:rsidP="00974715">
            <w:pPr>
              <w:jc w:val="center"/>
              <w:rPr>
                <w:color w:val="000000"/>
              </w:rPr>
            </w:pPr>
            <w:r w:rsidRPr="00DA1436">
              <w:rPr>
                <w:color w:val="000000"/>
              </w:rPr>
              <w:t>[C]C</w:t>
            </w:r>
          </w:p>
        </w:tc>
        <w:tc>
          <w:tcPr>
            <w:tcW w:w="1364" w:type="dxa"/>
            <w:tcBorders>
              <w:top w:val="nil"/>
              <w:left w:val="nil"/>
              <w:bottom w:val="single" w:sz="4" w:space="0" w:color="auto"/>
              <w:right w:val="nil"/>
            </w:tcBorders>
            <w:shd w:val="clear" w:color="auto" w:fill="auto"/>
            <w:vAlign w:val="center"/>
            <w:hideMark/>
          </w:tcPr>
          <w:p w14:paraId="6AEFCEDC" w14:textId="77777777" w:rsidR="00A35A08" w:rsidRPr="00DA1436" w:rsidRDefault="00A35A08" w:rsidP="00974715">
            <w:pPr>
              <w:jc w:val="center"/>
              <w:rPr>
                <w:color w:val="000000"/>
              </w:rPr>
            </w:pPr>
            <w:r w:rsidRPr="00DA1436">
              <w:rPr>
                <w:color w:val="000000"/>
              </w:rPr>
              <w:t>ACE (</w:t>
            </w:r>
            <w:r w:rsidRPr="007605FA">
              <w:rPr>
                <w:color w:val="000000"/>
                <w:sz w:val="22"/>
                <w:szCs w:val="22"/>
              </w:rPr>
              <w:t>umol/g</w:t>
            </w:r>
            <w:r w:rsidRPr="007605FA">
              <w:rPr>
                <w:color w:val="000000"/>
                <w:sz w:val="22"/>
                <w:szCs w:val="22"/>
                <w:vertAlign w:val="subscript"/>
              </w:rPr>
              <w:t>cat</w:t>
            </w:r>
            <w:r w:rsidRPr="007605FA">
              <w:rPr>
                <w:color w:val="000000"/>
                <w:sz w:val="22"/>
                <w:szCs w:val="22"/>
              </w:rPr>
              <w:t>.s</w:t>
            </w:r>
            <w:r w:rsidRPr="00DA1436">
              <w:rPr>
                <w:color w:val="000000"/>
              </w:rPr>
              <w:t>)</w:t>
            </w:r>
          </w:p>
        </w:tc>
        <w:tc>
          <w:tcPr>
            <w:tcW w:w="1365" w:type="dxa"/>
            <w:tcBorders>
              <w:top w:val="nil"/>
              <w:left w:val="nil"/>
              <w:bottom w:val="single" w:sz="4" w:space="0" w:color="auto"/>
              <w:right w:val="nil"/>
            </w:tcBorders>
            <w:shd w:val="clear" w:color="auto" w:fill="auto"/>
            <w:vAlign w:val="center"/>
            <w:hideMark/>
          </w:tcPr>
          <w:p w14:paraId="0CDFCFDA" w14:textId="77777777" w:rsidR="00A35A08" w:rsidRPr="00DA1436" w:rsidRDefault="00A35A08" w:rsidP="00974715">
            <w:pPr>
              <w:jc w:val="center"/>
              <w:rPr>
                <w:color w:val="000000"/>
              </w:rPr>
            </w:pPr>
            <w:r w:rsidRPr="00DA1436">
              <w:rPr>
                <w:color w:val="000000"/>
              </w:rPr>
              <w:t>CPO (</w:t>
            </w:r>
            <w:r w:rsidRPr="007605FA">
              <w:rPr>
                <w:color w:val="000000"/>
                <w:sz w:val="22"/>
                <w:szCs w:val="22"/>
              </w:rPr>
              <w:t>umol/g</w:t>
            </w:r>
            <w:r w:rsidRPr="007605FA">
              <w:rPr>
                <w:color w:val="000000"/>
                <w:sz w:val="22"/>
                <w:szCs w:val="22"/>
                <w:vertAlign w:val="subscript"/>
              </w:rPr>
              <w:t>cat</w:t>
            </w:r>
            <w:r w:rsidRPr="007605FA">
              <w:rPr>
                <w:color w:val="000000"/>
                <w:sz w:val="22"/>
                <w:szCs w:val="22"/>
              </w:rPr>
              <w:t>.s</w:t>
            </w:r>
            <w:r w:rsidRPr="00DA1436">
              <w:rPr>
                <w:color w:val="000000"/>
              </w:rPr>
              <w:t>)</w:t>
            </w:r>
          </w:p>
        </w:tc>
      </w:tr>
      <w:tr w:rsidR="00A35A08" w:rsidRPr="00DA1436" w14:paraId="79FB094E" w14:textId="77777777" w:rsidTr="007605FA">
        <w:trPr>
          <w:trHeight w:val="325"/>
        </w:trPr>
        <w:tc>
          <w:tcPr>
            <w:tcW w:w="1440" w:type="dxa"/>
            <w:tcBorders>
              <w:top w:val="nil"/>
              <w:left w:val="nil"/>
              <w:bottom w:val="nil"/>
              <w:right w:val="nil"/>
            </w:tcBorders>
            <w:shd w:val="clear" w:color="auto" w:fill="auto"/>
            <w:noWrap/>
            <w:vAlign w:val="center"/>
            <w:hideMark/>
          </w:tcPr>
          <w:p w14:paraId="7EF44739" w14:textId="77777777" w:rsidR="00A35A08" w:rsidRPr="00DA1436" w:rsidRDefault="00A35A08" w:rsidP="00974715">
            <w:pPr>
              <w:rPr>
                <w:color w:val="000000"/>
              </w:rPr>
            </w:pPr>
            <w:r w:rsidRPr="00DA1436">
              <w:rPr>
                <w:color w:val="000000"/>
              </w:rPr>
              <w:t>Z40</w:t>
            </w:r>
          </w:p>
        </w:tc>
        <w:tc>
          <w:tcPr>
            <w:tcW w:w="1260" w:type="dxa"/>
            <w:tcBorders>
              <w:top w:val="nil"/>
              <w:left w:val="nil"/>
              <w:bottom w:val="nil"/>
              <w:right w:val="nil"/>
            </w:tcBorders>
            <w:shd w:val="clear" w:color="auto" w:fill="auto"/>
            <w:noWrap/>
            <w:vAlign w:val="center"/>
            <w:hideMark/>
          </w:tcPr>
          <w:p w14:paraId="7C5D4AAB" w14:textId="77777777" w:rsidR="00A35A08" w:rsidRPr="004B25DC" w:rsidRDefault="00A35A08" w:rsidP="00974715">
            <w:pPr>
              <w:jc w:val="center"/>
              <w:rPr>
                <w:color w:val="000000"/>
              </w:rPr>
            </w:pPr>
            <w:r w:rsidRPr="004B25DC">
              <w:rPr>
                <w:color w:val="000000"/>
              </w:rPr>
              <w:t>0.40</w:t>
            </w:r>
          </w:p>
        </w:tc>
        <w:tc>
          <w:tcPr>
            <w:tcW w:w="774" w:type="dxa"/>
            <w:tcBorders>
              <w:top w:val="nil"/>
              <w:left w:val="nil"/>
              <w:bottom w:val="nil"/>
              <w:right w:val="nil"/>
            </w:tcBorders>
            <w:shd w:val="clear" w:color="auto" w:fill="auto"/>
            <w:noWrap/>
            <w:vAlign w:val="center"/>
            <w:hideMark/>
          </w:tcPr>
          <w:p w14:paraId="22067C55" w14:textId="77777777" w:rsidR="00A35A08" w:rsidRPr="004B25DC" w:rsidRDefault="00A35A08" w:rsidP="00974715">
            <w:pPr>
              <w:jc w:val="center"/>
              <w:rPr>
                <w:color w:val="000000"/>
              </w:rPr>
            </w:pPr>
            <w:r>
              <w:t>16</w:t>
            </w:r>
            <w:r w:rsidRPr="004B25DC">
              <w:t>%</w:t>
            </w:r>
          </w:p>
        </w:tc>
        <w:tc>
          <w:tcPr>
            <w:tcW w:w="803" w:type="dxa"/>
            <w:tcBorders>
              <w:top w:val="nil"/>
              <w:left w:val="nil"/>
              <w:bottom w:val="nil"/>
              <w:right w:val="nil"/>
            </w:tcBorders>
            <w:shd w:val="clear" w:color="auto" w:fill="auto"/>
            <w:noWrap/>
            <w:vAlign w:val="center"/>
            <w:hideMark/>
          </w:tcPr>
          <w:p w14:paraId="6DDC863E" w14:textId="77777777" w:rsidR="00A35A08" w:rsidRPr="004B25DC" w:rsidRDefault="00A35A08" w:rsidP="00974715">
            <w:pPr>
              <w:jc w:val="center"/>
              <w:rPr>
                <w:color w:val="000000"/>
              </w:rPr>
            </w:pPr>
            <w:r>
              <w:t>12</w:t>
            </w:r>
            <w:r w:rsidRPr="004B25DC">
              <w:t>%</w:t>
            </w:r>
          </w:p>
        </w:tc>
        <w:tc>
          <w:tcPr>
            <w:tcW w:w="803" w:type="dxa"/>
            <w:tcBorders>
              <w:top w:val="nil"/>
              <w:left w:val="nil"/>
              <w:bottom w:val="nil"/>
              <w:right w:val="nil"/>
            </w:tcBorders>
            <w:shd w:val="clear" w:color="auto" w:fill="auto"/>
            <w:noWrap/>
            <w:vAlign w:val="center"/>
            <w:hideMark/>
          </w:tcPr>
          <w:p w14:paraId="4016EFA9" w14:textId="77777777" w:rsidR="00A35A08" w:rsidRPr="004B25DC" w:rsidRDefault="00A35A08" w:rsidP="00974715">
            <w:pPr>
              <w:jc w:val="center"/>
              <w:rPr>
                <w:color w:val="000000"/>
              </w:rPr>
            </w:pPr>
            <w:r>
              <w:t>36</w:t>
            </w:r>
            <w:r w:rsidRPr="004B25DC">
              <w:t>%</w:t>
            </w:r>
          </w:p>
        </w:tc>
        <w:tc>
          <w:tcPr>
            <w:tcW w:w="812" w:type="dxa"/>
            <w:tcBorders>
              <w:top w:val="nil"/>
              <w:left w:val="nil"/>
              <w:bottom w:val="nil"/>
              <w:right w:val="nil"/>
            </w:tcBorders>
            <w:shd w:val="clear" w:color="auto" w:fill="auto"/>
            <w:noWrap/>
            <w:vAlign w:val="center"/>
            <w:hideMark/>
          </w:tcPr>
          <w:p w14:paraId="4AF4F90A" w14:textId="77777777" w:rsidR="00A35A08" w:rsidRPr="004B25DC" w:rsidRDefault="00A35A08" w:rsidP="00974715">
            <w:pPr>
              <w:jc w:val="center"/>
              <w:rPr>
                <w:color w:val="000000"/>
              </w:rPr>
            </w:pPr>
            <w:r>
              <w:t>35</w:t>
            </w:r>
            <w:r w:rsidRPr="004B25DC">
              <w:t>%</w:t>
            </w:r>
          </w:p>
        </w:tc>
        <w:tc>
          <w:tcPr>
            <w:tcW w:w="1364" w:type="dxa"/>
            <w:tcBorders>
              <w:top w:val="nil"/>
              <w:left w:val="nil"/>
              <w:bottom w:val="nil"/>
              <w:right w:val="nil"/>
            </w:tcBorders>
            <w:shd w:val="clear" w:color="auto" w:fill="auto"/>
            <w:noWrap/>
            <w:vAlign w:val="center"/>
            <w:hideMark/>
          </w:tcPr>
          <w:p w14:paraId="3302DBE3" w14:textId="77777777" w:rsidR="00A35A08" w:rsidRPr="004B25DC" w:rsidRDefault="00A35A08" w:rsidP="00974715">
            <w:pPr>
              <w:jc w:val="center"/>
              <w:rPr>
                <w:color w:val="000000"/>
              </w:rPr>
            </w:pPr>
            <w:r>
              <w:rPr>
                <w:color w:val="000000"/>
              </w:rPr>
              <w:t>5.55</w:t>
            </w:r>
          </w:p>
        </w:tc>
        <w:tc>
          <w:tcPr>
            <w:tcW w:w="1365" w:type="dxa"/>
            <w:tcBorders>
              <w:top w:val="nil"/>
              <w:left w:val="nil"/>
              <w:bottom w:val="nil"/>
              <w:right w:val="nil"/>
            </w:tcBorders>
            <w:shd w:val="clear" w:color="auto" w:fill="auto"/>
            <w:noWrap/>
            <w:vAlign w:val="center"/>
            <w:hideMark/>
          </w:tcPr>
          <w:p w14:paraId="0FBA527C" w14:textId="77777777" w:rsidR="00A35A08" w:rsidRPr="00DA1436" w:rsidRDefault="00A35A08" w:rsidP="00974715">
            <w:pPr>
              <w:jc w:val="center"/>
              <w:rPr>
                <w:color w:val="000000"/>
              </w:rPr>
            </w:pPr>
            <w:r>
              <w:rPr>
                <w:color w:val="000000"/>
              </w:rPr>
              <w:t>7.39</w:t>
            </w:r>
          </w:p>
        </w:tc>
      </w:tr>
      <w:tr w:rsidR="00A35A08" w:rsidRPr="00DA1436" w14:paraId="7838E45D" w14:textId="77777777" w:rsidTr="007605FA">
        <w:trPr>
          <w:trHeight w:val="325"/>
        </w:trPr>
        <w:tc>
          <w:tcPr>
            <w:tcW w:w="1440" w:type="dxa"/>
            <w:tcBorders>
              <w:top w:val="nil"/>
              <w:left w:val="nil"/>
              <w:bottom w:val="single" w:sz="4" w:space="0" w:color="auto"/>
              <w:right w:val="nil"/>
            </w:tcBorders>
            <w:shd w:val="clear" w:color="auto" w:fill="auto"/>
            <w:vAlign w:val="center"/>
            <w:hideMark/>
          </w:tcPr>
          <w:p w14:paraId="2EA0E043" w14:textId="77777777" w:rsidR="00A35A08" w:rsidRPr="00DA1436" w:rsidRDefault="00A35A08" w:rsidP="00974715">
            <w:pPr>
              <w:rPr>
                <w:color w:val="000000"/>
              </w:rPr>
            </w:pPr>
            <w:r w:rsidRPr="00DA1436">
              <w:rPr>
                <w:color w:val="000000"/>
              </w:rPr>
              <w:t>Z40 0.05M</w:t>
            </w:r>
            <w:r>
              <w:rPr>
                <w:color w:val="000000"/>
              </w:rPr>
              <w:t xml:space="preserve">3x </w:t>
            </w:r>
            <w:r w:rsidRPr="00DA1436">
              <w:rPr>
                <w:color w:val="000000"/>
              </w:rPr>
              <w:t>Na</w:t>
            </w:r>
          </w:p>
        </w:tc>
        <w:tc>
          <w:tcPr>
            <w:tcW w:w="1260" w:type="dxa"/>
            <w:tcBorders>
              <w:top w:val="nil"/>
              <w:left w:val="nil"/>
              <w:bottom w:val="single" w:sz="4" w:space="0" w:color="auto"/>
              <w:right w:val="nil"/>
            </w:tcBorders>
            <w:shd w:val="clear" w:color="auto" w:fill="auto"/>
            <w:noWrap/>
            <w:vAlign w:val="center"/>
            <w:hideMark/>
          </w:tcPr>
          <w:p w14:paraId="6CC8259B" w14:textId="77777777" w:rsidR="00A35A08" w:rsidRPr="004B25DC" w:rsidRDefault="00A35A08" w:rsidP="00974715">
            <w:pPr>
              <w:jc w:val="center"/>
              <w:rPr>
                <w:color w:val="000000"/>
              </w:rPr>
            </w:pPr>
            <w:r w:rsidRPr="004B25DC">
              <w:rPr>
                <w:color w:val="000000"/>
              </w:rPr>
              <w:t>0.15</w:t>
            </w:r>
          </w:p>
        </w:tc>
        <w:tc>
          <w:tcPr>
            <w:tcW w:w="774" w:type="dxa"/>
            <w:tcBorders>
              <w:top w:val="nil"/>
              <w:left w:val="nil"/>
              <w:bottom w:val="single" w:sz="4" w:space="0" w:color="auto"/>
              <w:right w:val="nil"/>
            </w:tcBorders>
            <w:shd w:val="clear" w:color="auto" w:fill="auto"/>
            <w:noWrap/>
            <w:vAlign w:val="center"/>
            <w:hideMark/>
          </w:tcPr>
          <w:p w14:paraId="55579F26" w14:textId="77777777" w:rsidR="00A35A08" w:rsidRPr="004B25DC" w:rsidRDefault="00A35A08" w:rsidP="00974715">
            <w:pPr>
              <w:jc w:val="center"/>
              <w:rPr>
                <w:color w:val="000000"/>
              </w:rPr>
            </w:pPr>
            <w:r>
              <w:t>20</w:t>
            </w:r>
            <w:r w:rsidRPr="004B25DC">
              <w:t>%</w:t>
            </w:r>
          </w:p>
        </w:tc>
        <w:tc>
          <w:tcPr>
            <w:tcW w:w="803" w:type="dxa"/>
            <w:tcBorders>
              <w:top w:val="nil"/>
              <w:left w:val="nil"/>
              <w:bottom w:val="single" w:sz="4" w:space="0" w:color="auto"/>
              <w:right w:val="nil"/>
            </w:tcBorders>
            <w:shd w:val="clear" w:color="auto" w:fill="auto"/>
            <w:noWrap/>
            <w:vAlign w:val="center"/>
            <w:hideMark/>
          </w:tcPr>
          <w:p w14:paraId="1D8147C1" w14:textId="77777777" w:rsidR="00A35A08" w:rsidRPr="004B25DC" w:rsidRDefault="00A35A08" w:rsidP="00974715">
            <w:pPr>
              <w:jc w:val="center"/>
              <w:rPr>
                <w:color w:val="000000"/>
              </w:rPr>
            </w:pPr>
            <w:r w:rsidRPr="004B25DC">
              <w:t>1</w:t>
            </w:r>
            <w:r>
              <w:t>4</w:t>
            </w:r>
            <w:r w:rsidRPr="004B25DC">
              <w:t>%</w:t>
            </w:r>
          </w:p>
        </w:tc>
        <w:tc>
          <w:tcPr>
            <w:tcW w:w="803" w:type="dxa"/>
            <w:tcBorders>
              <w:top w:val="nil"/>
              <w:left w:val="nil"/>
              <w:bottom w:val="single" w:sz="4" w:space="0" w:color="auto"/>
              <w:right w:val="nil"/>
            </w:tcBorders>
            <w:shd w:val="clear" w:color="auto" w:fill="auto"/>
            <w:noWrap/>
            <w:vAlign w:val="center"/>
            <w:hideMark/>
          </w:tcPr>
          <w:p w14:paraId="03AA6D84" w14:textId="77777777" w:rsidR="00A35A08" w:rsidRPr="004B25DC" w:rsidRDefault="00A35A08" w:rsidP="00974715">
            <w:pPr>
              <w:jc w:val="center"/>
              <w:rPr>
                <w:color w:val="000000"/>
              </w:rPr>
            </w:pPr>
            <w:r>
              <w:t>24</w:t>
            </w:r>
            <w:r w:rsidRPr="004B25DC">
              <w:t>%</w:t>
            </w:r>
          </w:p>
        </w:tc>
        <w:tc>
          <w:tcPr>
            <w:tcW w:w="812" w:type="dxa"/>
            <w:tcBorders>
              <w:top w:val="nil"/>
              <w:left w:val="nil"/>
              <w:bottom w:val="single" w:sz="4" w:space="0" w:color="auto"/>
              <w:right w:val="nil"/>
            </w:tcBorders>
            <w:shd w:val="clear" w:color="auto" w:fill="auto"/>
            <w:noWrap/>
            <w:vAlign w:val="center"/>
            <w:hideMark/>
          </w:tcPr>
          <w:p w14:paraId="3C380F7C" w14:textId="77777777" w:rsidR="00A35A08" w:rsidRPr="004B25DC" w:rsidRDefault="00A35A08" w:rsidP="00974715">
            <w:pPr>
              <w:jc w:val="center"/>
              <w:rPr>
                <w:color w:val="000000"/>
              </w:rPr>
            </w:pPr>
            <w:r>
              <w:t>41</w:t>
            </w:r>
            <w:r w:rsidRPr="004B25DC">
              <w:t>%</w:t>
            </w:r>
          </w:p>
        </w:tc>
        <w:tc>
          <w:tcPr>
            <w:tcW w:w="1364" w:type="dxa"/>
            <w:tcBorders>
              <w:top w:val="nil"/>
              <w:left w:val="nil"/>
              <w:bottom w:val="single" w:sz="4" w:space="0" w:color="auto"/>
              <w:right w:val="nil"/>
            </w:tcBorders>
            <w:shd w:val="clear" w:color="auto" w:fill="auto"/>
            <w:noWrap/>
            <w:vAlign w:val="center"/>
            <w:hideMark/>
          </w:tcPr>
          <w:p w14:paraId="4DB6DA2B" w14:textId="77777777" w:rsidR="00A35A08" w:rsidRPr="004B25DC" w:rsidRDefault="00A35A08" w:rsidP="00974715">
            <w:pPr>
              <w:jc w:val="center"/>
              <w:rPr>
                <w:color w:val="000000"/>
              </w:rPr>
            </w:pPr>
            <w:r>
              <w:rPr>
                <w:color w:val="000000"/>
              </w:rPr>
              <w:t>4.31</w:t>
            </w:r>
          </w:p>
        </w:tc>
        <w:tc>
          <w:tcPr>
            <w:tcW w:w="1365" w:type="dxa"/>
            <w:tcBorders>
              <w:top w:val="nil"/>
              <w:left w:val="nil"/>
              <w:bottom w:val="single" w:sz="4" w:space="0" w:color="auto"/>
              <w:right w:val="nil"/>
            </w:tcBorders>
            <w:shd w:val="clear" w:color="auto" w:fill="auto"/>
            <w:noWrap/>
            <w:vAlign w:val="center"/>
            <w:hideMark/>
          </w:tcPr>
          <w:p w14:paraId="7ADC8074" w14:textId="77777777" w:rsidR="00A35A08" w:rsidRPr="00DA1436" w:rsidRDefault="00A35A08" w:rsidP="00974715">
            <w:pPr>
              <w:jc w:val="center"/>
              <w:rPr>
                <w:color w:val="000000"/>
              </w:rPr>
            </w:pPr>
            <w:r>
              <w:rPr>
                <w:color w:val="000000"/>
              </w:rPr>
              <w:t>6.44</w:t>
            </w:r>
          </w:p>
        </w:tc>
      </w:tr>
    </w:tbl>
    <w:p w14:paraId="72B426D4" w14:textId="77777777" w:rsidR="00A35A08" w:rsidRPr="00DA1436" w:rsidRDefault="00A35A08" w:rsidP="00A35A08">
      <w:pPr>
        <w:jc w:val="both"/>
        <w:rPr>
          <w:color w:val="000000" w:themeColor="text1"/>
        </w:rPr>
      </w:pPr>
    </w:p>
    <w:p w14:paraId="04429073" w14:textId="77777777" w:rsidR="00A35A08" w:rsidRPr="00AF7EDB" w:rsidRDefault="00A35A08" w:rsidP="00A63A89">
      <w:pPr>
        <w:spacing w:line="480" w:lineRule="auto"/>
        <w:jc w:val="both"/>
      </w:pPr>
      <w:r w:rsidRPr="00AF7EDB">
        <w:t>2.4.2.3 HY and NaHY (Si/Al:30) zeolites</w:t>
      </w:r>
    </w:p>
    <w:p w14:paraId="08AC41F4" w14:textId="1072B794" w:rsidR="00A35A08" w:rsidRPr="00DA1436" w:rsidRDefault="00A35A08" w:rsidP="00A63A89">
      <w:pPr>
        <w:spacing w:line="480" w:lineRule="auto"/>
        <w:jc w:val="both"/>
        <w:rPr>
          <w:rFonts w:eastAsiaTheme="minorEastAsia"/>
        </w:rPr>
      </w:pPr>
      <w:r w:rsidRPr="00DA1436">
        <w:rPr>
          <w:rFonts w:eastAsiaTheme="minorEastAsia"/>
        </w:rPr>
        <w:tab/>
        <w:t xml:space="preserve">The effect of Na titration on selectivity is more pronounced on the NaHY series than on </w:t>
      </w:r>
      <w:r w:rsidRPr="00F63CB5">
        <w:rPr>
          <w:rFonts w:eastAsiaTheme="minorEastAsia"/>
        </w:rPr>
        <w:t>the NaH-</w:t>
      </w:r>
      <w:r w:rsidRPr="00C80AAF">
        <w:rPr>
          <w:rFonts w:eastAsiaTheme="minorEastAsia"/>
        </w:rPr>
        <w:t xml:space="preserve">ZSM5.  As shown in </w:t>
      </w:r>
      <w:r w:rsidRPr="00C80AAF">
        <w:rPr>
          <w:rFonts w:eastAsiaTheme="minorEastAsia"/>
          <w:b/>
          <w:bCs/>
        </w:rPr>
        <w:t xml:space="preserve">Figure </w:t>
      </w:r>
      <w:r w:rsidR="007D27D3" w:rsidRPr="00C80AAF">
        <w:rPr>
          <w:rFonts w:eastAsiaTheme="minorEastAsia"/>
          <w:b/>
          <w:bCs/>
        </w:rPr>
        <w:t>31</w:t>
      </w:r>
      <w:r w:rsidRPr="00C80AAF">
        <w:rPr>
          <w:rFonts w:eastAsiaTheme="minorEastAsia"/>
        </w:rPr>
        <w:t>, the removal of MTL causes</w:t>
      </w:r>
      <w:r w:rsidRPr="00DA1436">
        <w:rPr>
          <w:rFonts w:eastAsiaTheme="minorEastAsia"/>
        </w:rPr>
        <w:t xml:space="preserve"> an interesting shift in selectivity for both [C]C vs. [C]A as well as [A]C vs. [A]A. The product preference shifts from [C]A &gt; [C]C and [A]A &gt; [A]C under MTL to [C]C &gt; [C]A and [A]C &gt; [A]A when MTL are removed. That is in the kinetic regime, the C electrophile is preferred rather than A. This is caused by the easier accommodation of a positive charge in a secondary β-carbon near the carbonyl as the ketone is activated in a confined environment. Previous study on cross aldol selectivity with ACE and CPO was done in functionalized mesoporous </w:t>
      </w:r>
      <w:r w:rsidRPr="00DA1436">
        <w:rPr>
          <w:rFonts w:eastAsiaTheme="minorEastAsia"/>
        </w:rPr>
        <w:lastRenderedPageBreak/>
        <w:t xml:space="preserve">MCM-41 at low and high density of sites </w:t>
      </w:r>
      <w:r w:rsidRPr="00DA1436">
        <w:rPr>
          <w:rFonts w:eastAsiaTheme="minorEastAsia"/>
        </w:rPr>
        <w:fldChar w:fldCharType="begin"/>
      </w:r>
      <w:r w:rsidR="00C54D4B">
        <w:rPr>
          <w:rFonts w:eastAsiaTheme="minorEastAsia"/>
        </w:rPr>
        <w:instrText xml:space="preserve"> ADDIN EN.CITE &lt;EndNote&gt;&lt;Cite&gt;&lt;Author&gt;Li&lt;/Author&gt;&lt;Year&gt;2020&lt;/Year&gt;&lt;RecNum&gt;16&lt;/RecNum&gt;&lt;DisplayText&gt;[98]&lt;/DisplayText&gt;&lt;record&gt;&lt;rec-number&gt;16&lt;/rec-number&gt;&lt;foreign-keys&gt;&lt;key app="EN" db-id="59dvwrfdof9dw8exf0kvp0atwazsazeeffsp" timestamp="1667539523"&gt;16&lt;/key&gt;&lt;/foreign-keys&gt;&lt;ref-type name="Journal Article"&gt;17&lt;/ref-type&gt;&lt;contributors&gt;&lt;authors&gt;&lt;author&gt;Gengnan Li&lt;/author&gt;&lt;author&gt;Duong T. Ngo&lt;/author&gt;&lt;author&gt;Yu Yan&lt;/author&gt;&lt;author&gt;Qiaohua Tan&lt;/author&gt;&lt;author&gt;Bin Wang&lt;/author&gt;&lt;author&gt;Daniel E. Resasco&lt;/author&gt;&lt;/authors&gt;&lt;/contributors&gt;&lt;titles&gt;&lt;title&gt;Factors Determining Selectivity of Acid- and Base-Catalyzed Self- and Cross-Condensation of Acetone and Cyclopentanone&lt;/title&gt;&lt;secondary-title&gt;ACS Catalysis&lt;/secondary-title&gt;&lt;/titles&gt;&lt;periodical&gt;&lt;full-title&gt;ACS Catalysis&lt;/full-title&gt;&lt;/periodical&gt;&lt;pages&gt;12790-12800&lt;/pages&gt;&lt;volume&gt;10&lt;/volume&gt;&lt;dates&gt;&lt;year&gt;2020&lt;/year&gt;&lt;/dates&gt;&lt;urls&gt;&lt;/urls&gt;&lt;electronic-resource-num&gt;https://doi.org/10.1021/acscatal.0c02987&lt;/electronic-resource-num&gt;&lt;/record&gt;&lt;/Cite&gt;&lt;/EndNote&gt;</w:instrText>
      </w:r>
      <w:r w:rsidRPr="00DA1436">
        <w:rPr>
          <w:rFonts w:eastAsiaTheme="minorEastAsia"/>
        </w:rPr>
        <w:fldChar w:fldCharType="separate"/>
      </w:r>
      <w:r w:rsidR="00C54D4B">
        <w:rPr>
          <w:rFonts w:eastAsiaTheme="minorEastAsia"/>
          <w:noProof/>
        </w:rPr>
        <w:t>[</w:t>
      </w:r>
      <w:hyperlink w:anchor="_ENREF_98" w:tooltip="Li, 2020 #16" w:history="1">
        <w:r w:rsidR="00D307FA">
          <w:rPr>
            <w:rFonts w:eastAsiaTheme="minorEastAsia"/>
            <w:noProof/>
          </w:rPr>
          <w:t>98</w:t>
        </w:r>
      </w:hyperlink>
      <w:r w:rsidR="00C54D4B">
        <w:rPr>
          <w:rFonts w:eastAsiaTheme="minorEastAsia"/>
          <w:noProof/>
        </w:rPr>
        <w:t>]</w:t>
      </w:r>
      <w:r w:rsidRPr="00DA1436">
        <w:rPr>
          <w:rFonts w:eastAsiaTheme="minorEastAsia"/>
        </w:rPr>
        <w:fldChar w:fldCharType="end"/>
      </w:r>
      <w:r w:rsidRPr="00DA1436">
        <w:rPr>
          <w:rFonts w:eastAsiaTheme="minorEastAsia"/>
        </w:rPr>
        <w:t xml:space="preserve">. The steric factor was determining in that case which no specie-framework interaction existed, which might be the decisive factor at present zeolite. </w:t>
      </w:r>
    </w:p>
    <w:p w14:paraId="536AEDA1" w14:textId="77777777" w:rsidR="00A35A08" w:rsidRDefault="00A35A08" w:rsidP="00463612">
      <w:pPr>
        <w:keepNext/>
        <w:jc w:val="center"/>
      </w:pPr>
      <w:r w:rsidRPr="00DA1436">
        <w:rPr>
          <w:noProof/>
        </w:rPr>
        <w:drawing>
          <wp:inline distT="0" distB="0" distL="0" distR="0" wp14:anchorId="6C9F3EC4" wp14:editId="3437E3E8">
            <wp:extent cx="5563129" cy="2286000"/>
            <wp:effectExtent l="0" t="0" r="0" b="0"/>
            <wp:docPr id="47" name="Picture 4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63129" cy="2286000"/>
                    </a:xfrm>
                    <a:prstGeom prst="rect">
                      <a:avLst/>
                    </a:prstGeom>
                    <a:noFill/>
                  </pic:spPr>
                </pic:pic>
              </a:graphicData>
            </a:graphic>
          </wp:inline>
        </w:drawing>
      </w:r>
    </w:p>
    <w:p w14:paraId="482B17F9" w14:textId="050FB778" w:rsidR="00A35A08" w:rsidRPr="00DA1436" w:rsidRDefault="00A35A08" w:rsidP="00463612">
      <w:pPr>
        <w:pStyle w:val="Caption"/>
        <w:jc w:val="both"/>
        <w:rPr>
          <w:i w:val="0"/>
          <w:iCs w:val="0"/>
          <w:color w:val="auto"/>
          <w:sz w:val="24"/>
          <w:szCs w:val="24"/>
        </w:rPr>
      </w:pPr>
      <w:bookmarkStart w:id="65" w:name="_Toc131948695"/>
      <w:r w:rsidRPr="00F63CB5">
        <w:rPr>
          <w:b/>
          <w:bCs/>
          <w:i w:val="0"/>
          <w:iCs w:val="0"/>
          <w:color w:val="auto"/>
          <w:sz w:val="24"/>
          <w:szCs w:val="24"/>
        </w:rPr>
        <w:t xml:space="preserve">Figure </w:t>
      </w:r>
      <w:r w:rsidRPr="00F63CB5">
        <w:rPr>
          <w:b/>
          <w:bCs/>
          <w:i w:val="0"/>
          <w:iCs w:val="0"/>
          <w:color w:val="auto"/>
          <w:sz w:val="24"/>
          <w:szCs w:val="24"/>
        </w:rPr>
        <w:fldChar w:fldCharType="begin"/>
      </w:r>
      <w:r w:rsidRPr="00F63CB5">
        <w:rPr>
          <w:b/>
          <w:bCs/>
          <w:i w:val="0"/>
          <w:iCs w:val="0"/>
          <w:color w:val="auto"/>
          <w:sz w:val="24"/>
          <w:szCs w:val="24"/>
        </w:rPr>
        <w:instrText xml:space="preserve"> SEQ Figure \* ARABIC </w:instrText>
      </w:r>
      <w:r w:rsidRPr="00F63CB5">
        <w:rPr>
          <w:b/>
          <w:bCs/>
          <w:i w:val="0"/>
          <w:iCs w:val="0"/>
          <w:color w:val="auto"/>
          <w:sz w:val="24"/>
          <w:szCs w:val="24"/>
        </w:rPr>
        <w:fldChar w:fldCharType="separate"/>
      </w:r>
      <w:r w:rsidR="001F4741">
        <w:rPr>
          <w:b/>
          <w:bCs/>
          <w:i w:val="0"/>
          <w:iCs w:val="0"/>
          <w:noProof/>
          <w:color w:val="auto"/>
          <w:sz w:val="24"/>
          <w:szCs w:val="24"/>
        </w:rPr>
        <w:t>31</w:t>
      </w:r>
      <w:r w:rsidRPr="00F63CB5">
        <w:rPr>
          <w:b/>
          <w:bCs/>
          <w:i w:val="0"/>
          <w:iCs w:val="0"/>
          <w:color w:val="auto"/>
          <w:sz w:val="24"/>
          <w:szCs w:val="24"/>
        </w:rPr>
        <w:fldChar w:fldCharType="end"/>
      </w:r>
      <w:r w:rsidRPr="00F63CB5">
        <w:rPr>
          <w:b/>
          <w:bCs/>
          <w:i w:val="0"/>
          <w:iCs w:val="0"/>
          <w:color w:val="auto"/>
          <w:sz w:val="24"/>
          <w:szCs w:val="24"/>
        </w:rPr>
        <w:t>:</w:t>
      </w:r>
      <w:r w:rsidRPr="00F63CB5">
        <w:rPr>
          <w:i w:val="0"/>
          <w:iCs w:val="0"/>
          <w:color w:val="auto"/>
          <w:sz w:val="24"/>
          <w:szCs w:val="24"/>
        </w:rPr>
        <w:t xml:space="preserve"> S</w:t>
      </w:r>
      <w:r w:rsidRPr="00DA1436">
        <w:rPr>
          <w:i w:val="0"/>
          <w:iCs w:val="0"/>
          <w:color w:val="auto"/>
          <w:sz w:val="24"/>
          <w:szCs w:val="24"/>
        </w:rPr>
        <w:t>electivity distribution of cross-aldol condensation of Ace-CPO in NaHY 30 series.</w:t>
      </w:r>
      <w:bookmarkEnd w:id="65"/>
    </w:p>
    <w:p w14:paraId="11A5630D" w14:textId="51763120" w:rsidR="00A35A08" w:rsidRPr="00DA1436" w:rsidRDefault="00A35A08" w:rsidP="00A63A89">
      <w:pPr>
        <w:spacing w:line="480" w:lineRule="auto"/>
        <w:ind w:firstLine="720"/>
        <w:jc w:val="both"/>
        <w:rPr>
          <w:rFonts w:eastAsiaTheme="minorEastAsia"/>
        </w:rPr>
      </w:pPr>
      <w:r w:rsidRPr="00DA1436">
        <w:rPr>
          <w:rFonts w:eastAsiaTheme="minorEastAsia"/>
        </w:rPr>
        <w:t xml:space="preserve">The Thiele modulus estimation for cross-condensation were calculated from the catalytic experiments following the same methodology as for self-condensation. The results are </w:t>
      </w:r>
      <w:r w:rsidRPr="00C80AAF">
        <w:rPr>
          <w:rFonts w:eastAsiaTheme="minorEastAsia"/>
        </w:rPr>
        <w:t xml:space="preserve">shown in </w:t>
      </w:r>
      <w:r w:rsidRPr="00C80AAF">
        <w:rPr>
          <w:rFonts w:eastAsiaTheme="minorEastAsia"/>
          <w:b/>
          <w:bCs/>
        </w:rPr>
        <w:t>Table 7</w:t>
      </w:r>
      <w:r w:rsidRPr="00C80AAF">
        <w:rPr>
          <w:rFonts w:eastAsiaTheme="minorEastAsia"/>
        </w:rPr>
        <w:t xml:space="preserve"> and </w:t>
      </w:r>
      <w:r w:rsidRPr="00C80AAF">
        <w:rPr>
          <w:rFonts w:eastAsiaTheme="minorEastAsia"/>
          <w:b/>
          <w:bCs/>
        </w:rPr>
        <w:t xml:space="preserve">Figure </w:t>
      </w:r>
      <w:r w:rsidR="007D27D3" w:rsidRPr="00C80AAF">
        <w:rPr>
          <w:rFonts w:eastAsiaTheme="minorEastAsia"/>
          <w:b/>
          <w:bCs/>
        </w:rPr>
        <w:t>3</w:t>
      </w:r>
      <w:r w:rsidRPr="00C80AAF">
        <w:rPr>
          <w:rFonts w:eastAsiaTheme="minorEastAsia"/>
          <w:b/>
          <w:bCs/>
        </w:rPr>
        <w:t>2</w:t>
      </w:r>
      <w:r w:rsidRPr="00C80AAF">
        <w:rPr>
          <w:rFonts w:eastAsiaTheme="minorEastAsia"/>
        </w:rPr>
        <w:t>. Once again,</w:t>
      </w:r>
      <w:r w:rsidRPr="00DA1436">
        <w:rPr>
          <w:rFonts w:eastAsiaTheme="minorEastAsia"/>
        </w:rPr>
        <w:t xml:space="preserve"> the large Thiele numbers were found on CPO products as a reflection of its large diffusion constraint in confined environments when compared to ACE. An analysis in regards of the diffusion influence over the cross condensation products formation considers the already discussed three decisive factors that lead to the observed trends in mass-transfer limited and kinetic limited systems: enol activation, steric influence at C-C coupling formation, and confinement effect. From the catalytic results it is clear that CPO is preferentially activated when ACE is present, existing in &gt;80% of the products formed. In a MTL regime, the steric influence CPO faces is higher compared to ACE, and as a result [x]A products dominates in the Na-free catalytic run</w:t>
      </w:r>
      <w:r>
        <w:rPr>
          <w:rFonts w:eastAsiaTheme="minorEastAsia"/>
        </w:rPr>
        <w:t>s</w:t>
      </w:r>
      <w:r w:rsidRPr="00DA1436">
        <w:rPr>
          <w:rFonts w:eastAsiaTheme="minorEastAsia"/>
        </w:rPr>
        <w:t xml:space="preserve">. The two times higher turnover rate between [C]A and [C]C highlights the faster acetone diffusion that was previously discussed in the self-condensation case, </w:t>
      </w:r>
      <w:r w:rsidRPr="00DA1436">
        <w:rPr>
          <w:rFonts w:eastAsiaTheme="minorEastAsia"/>
        </w:rPr>
        <w:lastRenderedPageBreak/>
        <w:t xml:space="preserve">which was one of the factors that influenced in MTL. As titration progresses towards a more kinetic driven regime the shift in products selectivity occurred in the very beginning of titration for the [A]x products whereas for [C]x seems to shift at very high levels of site titration according to the simulations </w:t>
      </w:r>
      <w:r w:rsidRPr="00C80AAF">
        <w:rPr>
          <w:rFonts w:eastAsiaTheme="minorEastAsia"/>
        </w:rPr>
        <w:t xml:space="preserve">represented in </w:t>
      </w:r>
      <w:r w:rsidRPr="00C80AAF">
        <w:rPr>
          <w:rFonts w:eastAsiaTheme="minorEastAsia"/>
          <w:b/>
          <w:bCs/>
        </w:rPr>
        <w:t xml:space="preserve">Figure </w:t>
      </w:r>
      <w:r w:rsidR="007D27D3" w:rsidRPr="00C80AAF">
        <w:rPr>
          <w:rFonts w:eastAsiaTheme="minorEastAsia"/>
          <w:b/>
          <w:bCs/>
        </w:rPr>
        <w:t>32</w:t>
      </w:r>
      <w:r w:rsidRPr="00C80AAF">
        <w:rPr>
          <w:rFonts w:eastAsiaTheme="minorEastAsia"/>
        </w:rPr>
        <w:t>. Such titration levels</w:t>
      </w:r>
      <w:r w:rsidRPr="00DA1436">
        <w:rPr>
          <w:rFonts w:eastAsiaTheme="minorEastAsia"/>
        </w:rPr>
        <w:t xml:space="preserve"> could not be obtained experimentally. The steric effect is responsible for the preference towards [C]C and thus the higher the confinement effect. </w:t>
      </w:r>
    </w:p>
    <w:p w14:paraId="10D5A8D1" w14:textId="60982F07" w:rsidR="00A35A08" w:rsidRPr="001A1528" w:rsidRDefault="00A35A08" w:rsidP="00A35A08">
      <w:pPr>
        <w:pStyle w:val="Caption"/>
        <w:keepNext/>
        <w:rPr>
          <w:i w:val="0"/>
          <w:iCs w:val="0"/>
          <w:color w:val="auto"/>
          <w:sz w:val="24"/>
          <w:szCs w:val="24"/>
        </w:rPr>
      </w:pPr>
      <w:bookmarkStart w:id="66" w:name="_Toc131948658"/>
      <w:r w:rsidRPr="001A1528">
        <w:rPr>
          <w:b/>
          <w:bCs/>
          <w:i w:val="0"/>
          <w:iCs w:val="0"/>
          <w:color w:val="auto"/>
          <w:sz w:val="24"/>
          <w:szCs w:val="24"/>
        </w:rPr>
        <w:t xml:space="preserve">Table </w:t>
      </w:r>
      <w:r w:rsidRPr="001A1528">
        <w:rPr>
          <w:b/>
          <w:bCs/>
          <w:i w:val="0"/>
          <w:iCs w:val="0"/>
          <w:color w:val="auto"/>
          <w:sz w:val="24"/>
          <w:szCs w:val="24"/>
        </w:rPr>
        <w:fldChar w:fldCharType="begin"/>
      </w:r>
      <w:r w:rsidRPr="001A1528">
        <w:rPr>
          <w:b/>
          <w:bCs/>
          <w:i w:val="0"/>
          <w:iCs w:val="0"/>
          <w:color w:val="auto"/>
          <w:sz w:val="24"/>
          <w:szCs w:val="24"/>
        </w:rPr>
        <w:instrText xml:space="preserve"> SEQ Table \* ARABIC </w:instrText>
      </w:r>
      <w:r w:rsidRPr="001A1528">
        <w:rPr>
          <w:b/>
          <w:bCs/>
          <w:i w:val="0"/>
          <w:iCs w:val="0"/>
          <w:color w:val="auto"/>
          <w:sz w:val="24"/>
          <w:szCs w:val="24"/>
        </w:rPr>
        <w:fldChar w:fldCharType="separate"/>
      </w:r>
      <w:r w:rsidR="001F4741">
        <w:rPr>
          <w:b/>
          <w:bCs/>
          <w:i w:val="0"/>
          <w:iCs w:val="0"/>
          <w:noProof/>
          <w:color w:val="auto"/>
          <w:sz w:val="24"/>
          <w:szCs w:val="24"/>
        </w:rPr>
        <w:t>7</w:t>
      </w:r>
      <w:r w:rsidRPr="001A1528">
        <w:rPr>
          <w:b/>
          <w:bCs/>
          <w:i w:val="0"/>
          <w:iCs w:val="0"/>
          <w:color w:val="auto"/>
          <w:sz w:val="24"/>
          <w:szCs w:val="24"/>
        </w:rPr>
        <w:fldChar w:fldCharType="end"/>
      </w:r>
      <w:r w:rsidRPr="001A1528">
        <w:rPr>
          <w:b/>
          <w:bCs/>
          <w:i w:val="0"/>
          <w:iCs w:val="0"/>
          <w:color w:val="auto"/>
          <w:sz w:val="24"/>
          <w:szCs w:val="24"/>
        </w:rPr>
        <w:t>:</w:t>
      </w:r>
      <w:r w:rsidRPr="001A1528">
        <w:rPr>
          <w:i w:val="0"/>
          <w:iCs w:val="0"/>
          <w:color w:val="auto"/>
          <w:sz w:val="24"/>
          <w:szCs w:val="24"/>
        </w:rPr>
        <w:t xml:space="preserve"> Parameters obtained by fitting experimental data of cross-aldol condensation on the NaHY(Si/Al:30) series with the reaction-diffusion model.</w:t>
      </w:r>
      <w:bookmarkEnd w:id="66"/>
    </w:p>
    <w:tbl>
      <w:tblPr>
        <w:tblW w:w="8586" w:type="dxa"/>
        <w:jc w:val="center"/>
        <w:tblLayout w:type="fixed"/>
        <w:tblLook w:val="04A0" w:firstRow="1" w:lastRow="0" w:firstColumn="1" w:lastColumn="0" w:noHBand="0" w:noVBand="1"/>
      </w:tblPr>
      <w:tblGrid>
        <w:gridCol w:w="762"/>
        <w:gridCol w:w="1795"/>
        <w:gridCol w:w="1660"/>
        <w:gridCol w:w="1997"/>
        <w:gridCol w:w="1186"/>
        <w:gridCol w:w="1186"/>
      </w:tblGrid>
      <w:tr w:rsidR="00A35A08" w:rsidRPr="00DA1436" w14:paraId="5B2A852E" w14:textId="77777777" w:rsidTr="00334BAB">
        <w:trPr>
          <w:trHeight w:val="687"/>
          <w:jc w:val="center"/>
        </w:trPr>
        <w:tc>
          <w:tcPr>
            <w:tcW w:w="762" w:type="dxa"/>
            <w:tcBorders>
              <w:top w:val="single" w:sz="4" w:space="0" w:color="auto"/>
              <w:bottom w:val="single" w:sz="4" w:space="0" w:color="auto"/>
            </w:tcBorders>
            <w:shd w:val="clear" w:color="auto" w:fill="auto"/>
            <w:noWrap/>
            <w:vAlign w:val="center"/>
            <w:hideMark/>
          </w:tcPr>
          <w:p w14:paraId="6FBA0B27" w14:textId="77777777" w:rsidR="00A35A08" w:rsidRPr="00DA1436" w:rsidRDefault="00A35A08" w:rsidP="00974715">
            <w:pPr>
              <w:jc w:val="center"/>
            </w:pPr>
          </w:p>
        </w:tc>
        <w:tc>
          <w:tcPr>
            <w:tcW w:w="1795" w:type="dxa"/>
            <w:tcBorders>
              <w:top w:val="single" w:sz="4" w:space="0" w:color="auto"/>
              <w:bottom w:val="single" w:sz="4" w:space="0" w:color="auto"/>
            </w:tcBorders>
            <w:shd w:val="clear" w:color="auto" w:fill="auto"/>
            <w:noWrap/>
            <w:vAlign w:val="center"/>
            <w:hideMark/>
          </w:tcPr>
          <w:p w14:paraId="4F4ABDF8" w14:textId="77777777" w:rsidR="00A35A08" w:rsidRPr="00DA1436" w:rsidRDefault="00A35A08" w:rsidP="00974715">
            <w:pPr>
              <w:jc w:val="center"/>
            </w:pPr>
            <w:r w:rsidRPr="00DA1436">
              <w:t>Thiele Modulus (</w:t>
            </w:r>
            <w:r w:rsidRPr="00DA1436">
              <w:rPr>
                <w:i/>
                <w:iCs/>
              </w:rPr>
              <w:t>ϕ</w:t>
            </w:r>
            <w:r w:rsidRPr="00DA1436">
              <w:t>)</w:t>
            </w:r>
          </w:p>
        </w:tc>
        <w:tc>
          <w:tcPr>
            <w:tcW w:w="1660" w:type="dxa"/>
            <w:tcBorders>
              <w:top w:val="single" w:sz="4" w:space="0" w:color="auto"/>
              <w:bottom w:val="single" w:sz="4" w:space="0" w:color="auto"/>
            </w:tcBorders>
            <w:shd w:val="clear" w:color="auto" w:fill="auto"/>
            <w:vAlign w:val="center"/>
            <w:hideMark/>
          </w:tcPr>
          <w:p w14:paraId="0166B507" w14:textId="77777777" w:rsidR="00A35A08" w:rsidRPr="00DA1436" w:rsidRDefault="00A35A08" w:rsidP="00974715">
            <w:pPr>
              <w:jc w:val="center"/>
            </w:pPr>
            <w:r w:rsidRPr="00DA1436">
              <w:t>Effectiveness Factor (</w:t>
            </w:r>
            <w:r w:rsidRPr="00DA1436">
              <w:rPr>
                <w:i/>
                <w:iCs/>
              </w:rPr>
              <w:t>η</w:t>
            </w:r>
            <w:r w:rsidRPr="00DA1436">
              <w:t>)</w:t>
            </w:r>
          </w:p>
        </w:tc>
        <w:tc>
          <w:tcPr>
            <w:tcW w:w="1997" w:type="dxa"/>
            <w:tcBorders>
              <w:top w:val="single" w:sz="4" w:space="0" w:color="auto"/>
              <w:bottom w:val="single" w:sz="4" w:space="0" w:color="auto"/>
            </w:tcBorders>
            <w:vAlign w:val="center"/>
          </w:tcPr>
          <w:p w14:paraId="5C3B9087" w14:textId="77777777" w:rsidR="00A35A08" w:rsidRPr="00DA1436" w:rsidRDefault="00A35A08" w:rsidP="00974715">
            <w:pPr>
              <w:jc w:val="center"/>
            </w:pPr>
            <w:r w:rsidRPr="00DA1436">
              <w:t>Maximum Rate (</w:t>
            </w:r>
            <m:oMath>
              <m:r>
                <w:rPr>
                  <w:rFonts w:ascii="Cambria Math" w:hAnsi="Cambria Math"/>
                </w:rPr>
                <m:t>μ</m:t>
              </m:r>
            </m:oMath>
            <w:r w:rsidRPr="00DA1436">
              <w:t>mol/g</w:t>
            </w:r>
            <w:r w:rsidRPr="00DA1436">
              <w:rPr>
                <w:vertAlign w:val="subscript"/>
              </w:rPr>
              <w:t>cat</w:t>
            </w:r>
            <w:r w:rsidRPr="00DA1436">
              <w:t xml:space="preserve"> sec)</w:t>
            </w:r>
          </w:p>
        </w:tc>
        <w:tc>
          <w:tcPr>
            <w:tcW w:w="1186" w:type="dxa"/>
            <w:tcBorders>
              <w:top w:val="single" w:sz="4" w:space="0" w:color="auto"/>
              <w:bottom w:val="single" w:sz="4" w:space="0" w:color="auto"/>
            </w:tcBorders>
            <w:vAlign w:val="center"/>
          </w:tcPr>
          <w:p w14:paraId="742473B7" w14:textId="77777777" w:rsidR="00A35A08" w:rsidRPr="00DA1436" w:rsidRDefault="00A35A08" w:rsidP="00974715">
            <w:pPr>
              <w:jc w:val="center"/>
            </w:pPr>
            <w:r w:rsidRPr="00DA1436">
              <w:t>TOF</w:t>
            </w:r>
            <w:r w:rsidRPr="00DA1436">
              <w:rPr>
                <w:vertAlign w:val="subscript"/>
              </w:rPr>
              <w:t>max</w:t>
            </w:r>
          </w:p>
          <w:p w14:paraId="357835A2" w14:textId="77777777" w:rsidR="00A35A08" w:rsidRPr="00DA1436" w:rsidRDefault="00A35A08" w:rsidP="00974715">
            <w:pPr>
              <w:jc w:val="center"/>
            </w:pPr>
            <w:r w:rsidRPr="00DA1436">
              <w:t>(x10</w:t>
            </w:r>
            <w:r w:rsidRPr="00DA1436">
              <w:rPr>
                <w:vertAlign w:val="superscript"/>
              </w:rPr>
              <w:t>-3</w:t>
            </w:r>
            <w:r w:rsidRPr="00DA1436">
              <w:t xml:space="preserve"> sec</w:t>
            </w:r>
            <w:r w:rsidRPr="00DA1436">
              <w:rPr>
                <w:vertAlign w:val="superscript"/>
              </w:rPr>
              <w:t>-1</w:t>
            </w:r>
            <w:r w:rsidRPr="00DA1436">
              <w:t>)</w:t>
            </w:r>
          </w:p>
        </w:tc>
        <w:tc>
          <w:tcPr>
            <w:tcW w:w="1186" w:type="dxa"/>
            <w:tcBorders>
              <w:top w:val="single" w:sz="4" w:space="0" w:color="auto"/>
              <w:bottom w:val="single" w:sz="4" w:space="0" w:color="auto"/>
            </w:tcBorders>
            <w:vAlign w:val="center"/>
          </w:tcPr>
          <w:p w14:paraId="5FAE4EF5" w14:textId="77777777" w:rsidR="00A35A08" w:rsidRPr="00DA1436" w:rsidRDefault="00A35A08" w:rsidP="00974715">
            <w:pPr>
              <w:jc w:val="center"/>
            </w:pPr>
            <w:r w:rsidRPr="00DA1436">
              <w:t>TOF</w:t>
            </w:r>
            <w:r w:rsidRPr="00DA1436">
              <w:rPr>
                <w:vertAlign w:val="subscript"/>
              </w:rPr>
              <w:t>meas</w:t>
            </w:r>
          </w:p>
          <w:p w14:paraId="3D17F54E" w14:textId="77777777" w:rsidR="00A35A08" w:rsidRPr="00DA1436" w:rsidRDefault="00A35A08" w:rsidP="00974715">
            <w:pPr>
              <w:jc w:val="center"/>
            </w:pPr>
            <w:r w:rsidRPr="00DA1436">
              <w:t>(x10</w:t>
            </w:r>
            <w:r w:rsidRPr="00DA1436">
              <w:rPr>
                <w:vertAlign w:val="superscript"/>
              </w:rPr>
              <w:t>-3</w:t>
            </w:r>
            <w:r w:rsidRPr="00DA1436">
              <w:t xml:space="preserve"> sec</w:t>
            </w:r>
            <w:r w:rsidRPr="00DA1436">
              <w:rPr>
                <w:vertAlign w:val="superscript"/>
              </w:rPr>
              <w:t>-1</w:t>
            </w:r>
            <w:r w:rsidRPr="00DA1436">
              <w:t>)</w:t>
            </w:r>
          </w:p>
        </w:tc>
      </w:tr>
      <w:tr w:rsidR="00A35A08" w:rsidRPr="00DA1436" w14:paraId="4BFA7140" w14:textId="77777777" w:rsidTr="00334BAB">
        <w:trPr>
          <w:trHeight w:val="305"/>
          <w:jc w:val="center"/>
        </w:trPr>
        <w:tc>
          <w:tcPr>
            <w:tcW w:w="762" w:type="dxa"/>
            <w:tcBorders>
              <w:top w:val="single" w:sz="4" w:space="0" w:color="auto"/>
            </w:tcBorders>
            <w:shd w:val="clear" w:color="auto" w:fill="auto"/>
            <w:noWrap/>
            <w:vAlign w:val="center"/>
            <w:hideMark/>
          </w:tcPr>
          <w:p w14:paraId="0944195F" w14:textId="77777777" w:rsidR="00A35A08" w:rsidRPr="00DA1436" w:rsidRDefault="00A35A08" w:rsidP="00334BAB">
            <w:pPr>
              <w:jc w:val="center"/>
            </w:pPr>
            <w:r w:rsidRPr="00DA1436">
              <w:t>[A]A</w:t>
            </w:r>
          </w:p>
        </w:tc>
        <w:tc>
          <w:tcPr>
            <w:tcW w:w="1795" w:type="dxa"/>
            <w:tcBorders>
              <w:top w:val="single" w:sz="4" w:space="0" w:color="auto"/>
            </w:tcBorders>
            <w:shd w:val="clear" w:color="auto" w:fill="auto"/>
            <w:noWrap/>
            <w:vAlign w:val="center"/>
            <w:hideMark/>
          </w:tcPr>
          <w:p w14:paraId="148DF4F5" w14:textId="77777777" w:rsidR="00A35A08" w:rsidRPr="00DA1436" w:rsidRDefault="00A35A08" w:rsidP="00974715">
            <w:pPr>
              <w:jc w:val="center"/>
            </w:pPr>
            <w:r w:rsidRPr="00DA1436">
              <w:t>0.0</w:t>
            </w:r>
          </w:p>
        </w:tc>
        <w:tc>
          <w:tcPr>
            <w:tcW w:w="1660" w:type="dxa"/>
            <w:tcBorders>
              <w:top w:val="single" w:sz="4" w:space="0" w:color="auto"/>
            </w:tcBorders>
            <w:shd w:val="clear" w:color="auto" w:fill="auto"/>
            <w:noWrap/>
            <w:vAlign w:val="center"/>
            <w:hideMark/>
          </w:tcPr>
          <w:p w14:paraId="24FB0B42" w14:textId="77777777" w:rsidR="00A35A08" w:rsidRPr="00DA1436" w:rsidRDefault="00A35A08" w:rsidP="00974715">
            <w:pPr>
              <w:jc w:val="center"/>
            </w:pPr>
            <w:r w:rsidRPr="00DA1436">
              <w:t>1.00</w:t>
            </w:r>
          </w:p>
        </w:tc>
        <w:tc>
          <w:tcPr>
            <w:tcW w:w="1997" w:type="dxa"/>
            <w:tcBorders>
              <w:top w:val="single" w:sz="4" w:space="0" w:color="auto"/>
            </w:tcBorders>
          </w:tcPr>
          <w:p w14:paraId="4DEBBBEA" w14:textId="77777777" w:rsidR="00A35A08" w:rsidRPr="00DA1436" w:rsidRDefault="00A35A08" w:rsidP="00974715">
            <w:pPr>
              <w:jc w:val="center"/>
            </w:pPr>
            <w:r w:rsidRPr="00DA1436">
              <w:t>0.66</w:t>
            </w:r>
          </w:p>
        </w:tc>
        <w:tc>
          <w:tcPr>
            <w:tcW w:w="1186" w:type="dxa"/>
            <w:tcBorders>
              <w:top w:val="single" w:sz="4" w:space="0" w:color="auto"/>
            </w:tcBorders>
          </w:tcPr>
          <w:p w14:paraId="6794F126" w14:textId="77777777" w:rsidR="00A35A08" w:rsidRPr="00DA1436" w:rsidRDefault="00A35A08" w:rsidP="00974715">
            <w:pPr>
              <w:jc w:val="center"/>
            </w:pPr>
            <w:r w:rsidRPr="00DA1436">
              <w:t>3</w:t>
            </w:r>
          </w:p>
        </w:tc>
        <w:tc>
          <w:tcPr>
            <w:tcW w:w="1186" w:type="dxa"/>
            <w:tcBorders>
              <w:top w:val="single" w:sz="4" w:space="0" w:color="auto"/>
            </w:tcBorders>
          </w:tcPr>
          <w:p w14:paraId="57F42348" w14:textId="77777777" w:rsidR="00A35A08" w:rsidRPr="00DA1436" w:rsidRDefault="00A35A08" w:rsidP="00974715">
            <w:pPr>
              <w:jc w:val="center"/>
            </w:pPr>
            <w:r w:rsidRPr="00DA1436">
              <w:t>3</w:t>
            </w:r>
          </w:p>
        </w:tc>
      </w:tr>
      <w:tr w:rsidR="00A35A08" w:rsidRPr="00DA1436" w14:paraId="433DF37C" w14:textId="77777777" w:rsidTr="00334BAB">
        <w:trPr>
          <w:trHeight w:val="305"/>
          <w:jc w:val="center"/>
        </w:trPr>
        <w:tc>
          <w:tcPr>
            <w:tcW w:w="762" w:type="dxa"/>
            <w:shd w:val="clear" w:color="auto" w:fill="auto"/>
            <w:noWrap/>
            <w:vAlign w:val="center"/>
            <w:hideMark/>
          </w:tcPr>
          <w:p w14:paraId="61D773E6" w14:textId="77777777" w:rsidR="00A35A08" w:rsidRPr="00DA1436" w:rsidRDefault="00A35A08" w:rsidP="00334BAB">
            <w:pPr>
              <w:jc w:val="center"/>
            </w:pPr>
            <w:r w:rsidRPr="00DA1436">
              <w:t>[A]C</w:t>
            </w:r>
          </w:p>
        </w:tc>
        <w:tc>
          <w:tcPr>
            <w:tcW w:w="1795" w:type="dxa"/>
            <w:shd w:val="clear" w:color="auto" w:fill="auto"/>
            <w:noWrap/>
            <w:vAlign w:val="center"/>
            <w:hideMark/>
          </w:tcPr>
          <w:p w14:paraId="21861B9E" w14:textId="77777777" w:rsidR="00A35A08" w:rsidRPr="00DA1436" w:rsidRDefault="00A35A08" w:rsidP="00974715">
            <w:pPr>
              <w:jc w:val="center"/>
            </w:pPr>
            <w:r w:rsidRPr="00DA1436">
              <w:t>8.9</w:t>
            </w:r>
          </w:p>
        </w:tc>
        <w:tc>
          <w:tcPr>
            <w:tcW w:w="1660" w:type="dxa"/>
            <w:shd w:val="clear" w:color="auto" w:fill="auto"/>
            <w:noWrap/>
            <w:vAlign w:val="center"/>
            <w:hideMark/>
          </w:tcPr>
          <w:p w14:paraId="30DE46CE" w14:textId="77777777" w:rsidR="00A35A08" w:rsidRPr="00DA1436" w:rsidRDefault="00A35A08" w:rsidP="00974715">
            <w:pPr>
              <w:jc w:val="center"/>
            </w:pPr>
            <w:r w:rsidRPr="00DA1436">
              <w:t>0.30</w:t>
            </w:r>
          </w:p>
        </w:tc>
        <w:tc>
          <w:tcPr>
            <w:tcW w:w="1997" w:type="dxa"/>
          </w:tcPr>
          <w:p w14:paraId="5A4F0E79" w14:textId="77777777" w:rsidR="00A35A08" w:rsidRPr="00DA1436" w:rsidRDefault="00A35A08" w:rsidP="00974715">
            <w:pPr>
              <w:jc w:val="center"/>
            </w:pPr>
            <w:r w:rsidRPr="00DA1436">
              <w:t>2.17</w:t>
            </w:r>
          </w:p>
        </w:tc>
        <w:tc>
          <w:tcPr>
            <w:tcW w:w="1186" w:type="dxa"/>
          </w:tcPr>
          <w:p w14:paraId="25EB164B" w14:textId="77777777" w:rsidR="00A35A08" w:rsidRPr="00DA1436" w:rsidRDefault="00A35A08" w:rsidP="00974715">
            <w:pPr>
              <w:jc w:val="center"/>
            </w:pPr>
            <w:r w:rsidRPr="00DA1436">
              <w:t>9</w:t>
            </w:r>
          </w:p>
        </w:tc>
        <w:tc>
          <w:tcPr>
            <w:tcW w:w="1186" w:type="dxa"/>
          </w:tcPr>
          <w:p w14:paraId="46C30906" w14:textId="77777777" w:rsidR="00A35A08" w:rsidRPr="00DA1436" w:rsidRDefault="00A35A08" w:rsidP="00974715">
            <w:pPr>
              <w:jc w:val="center"/>
            </w:pPr>
            <w:r w:rsidRPr="00DA1436">
              <w:t>2</w:t>
            </w:r>
          </w:p>
        </w:tc>
      </w:tr>
      <w:tr w:rsidR="00A35A08" w:rsidRPr="00DA1436" w14:paraId="299E1C1C" w14:textId="77777777" w:rsidTr="00334BAB">
        <w:trPr>
          <w:trHeight w:val="305"/>
          <w:jc w:val="center"/>
        </w:trPr>
        <w:tc>
          <w:tcPr>
            <w:tcW w:w="762" w:type="dxa"/>
            <w:shd w:val="clear" w:color="auto" w:fill="auto"/>
            <w:noWrap/>
            <w:vAlign w:val="center"/>
            <w:hideMark/>
          </w:tcPr>
          <w:p w14:paraId="3AB2C0C0" w14:textId="77777777" w:rsidR="00A35A08" w:rsidRPr="00DA1436" w:rsidRDefault="00A35A08" w:rsidP="00334BAB">
            <w:pPr>
              <w:jc w:val="center"/>
            </w:pPr>
            <w:r w:rsidRPr="00DA1436">
              <w:t>[C]A</w:t>
            </w:r>
          </w:p>
        </w:tc>
        <w:tc>
          <w:tcPr>
            <w:tcW w:w="1795" w:type="dxa"/>
            <w:shd w:val="clear" w:color="auto" w:fill="auto"/>
            <w:noWrap/>
            <w:vAlign w:val="center"/>
            <w:hideMark/>
          </w:tcPr>
          <w:p w14:paraId="76996462" w14:textId="77777777" w:rsidR="00A35A08" w:rsidRPr="00DA1436" w:rsidRDefault="00A35A08" w:rsidP="00974715">
            <w:pPr>
              <w:jc w:val="center"/>
            </w:pPr>
            <w:r w:rsidRPr="00DA1436">
              <w:t>3.0</w:t>
            </w:r>
          </w:p>
        </w:tc>
        <w:tc>
          <w:tcPr>
            <w:tcW w:w="1660" w:type="dxa"/>
            <w:shd w:val="clear" w:color="auto" w:fill="auto"/>
            <w:noWrap/>
            <w:vAlign w:val="center"/>
            <w:hideMark/>
          </w:tcPr>
          <w:p w14:paraId="75ACED3F" w14:textId="77777777" w:rsidR="00A35A08" w:rsidRPr="00DA1436" w:rsidRDefault="00A35A08" w:rsidP="00974715">
            <w:pPr>
              <w:jc w:val="center"/>
            </w:pPr>
            <w:r w:rsidRPr="00DA1436">
              <w:t>0.67</w:t>
            </w:r>
          </w:p>
        </w:tc>
        <w:tc>
          <w:tcPr>
            <w:tcW w:w="1997" w:type="dxa"/>
          </w:tcPr>
          <w:p w14:paraId="06168E97" w14:textId="77777777" w:rsidR="00A35A08" w:rsidRPr="00DA1436" w:rsidRDefault="00A35A08" w:rsidP="00974715">
            <w:pPr>
              <w:jc w:val="center"/>
            </w:pPr>
            <w:r w:rsidRPr="00DA1436">
              <w:t>6.25</w:t>
            </w:r>
          </w:p>
        </w:tc>
        <w:tc>
          <w:tcPr>
            <w:tcW w:w="1186" w:type="dxa"/>
          </w:tcPr>
          <w:p w14:paraId="2A68DE58" w14:textId="77777777" w:rsidR="00A35A08" w:rsidRPr="00DA1436" w:rsidRDefault="00A35A08" w:rsidP="00974715">
            <w:pPr>
              <w:jc w:val="center"/>
            </w:pPr>
            <w:r w:rsidRPr="00DA1436">
              <w:t>27</w:t>
            </w:r>
          </w:p>
        </w:tc>
        <w:tc>
          <w:tcPr>
            <w:tcW w:w="1186" w:type="dxa"/>
          </w:tcPr>
          <w:p w14:paraId="1426A53F" w14:textId="77777777" w:rsidR="00A35A08" w:rsidRPr="00DA1436" w:rsidRDefault="00A35A08" w:rsidP="00974715">
            <w:pPr>
              <w:jc w:val="center"/>
            </w:pPr>
            <w:r w:rsidRPr="00DA1436">
              <w:t>18</w:t>
            </w:r>
          </w:p>
        </w:tc>
      </w:tr>
      <w:tr w:rsidR="00A35A08" w:rsidRPr="00DA1436" w14:paraId="03826C1E" w14:textId="77777777" w:rsidTr="00334BAB">
        <w:trPr>
          <w:trHeight w:val="305"/>
          <w:jc w:val="center"/>
        </w:trPr>
        <w:tc>
          <w:tcPr>
            <w:tcW w:w="762" w:type="dxa"/>
            <w:tcBorders>
              <w:bottom w:val="single" w:sz="4" w:space="0" w:color="auto"/>
            </w:tcBorders>
            <w:shd w:val="clear" w:color="auto" w:fill="auto"/>
            <w:noWrap/>
            <w:vAlign w:val="center"/>
            <w:hideMark/>
          </w:tcPr>
          <w:p w14:paraId="31A916D2" w14:textId="77777777" w:rsidR="00A35A08" w:rsidRPr="00DA1436" w:rsidRDefault="00A35A08" w:rsidP="00334BAB">
            <w:pPr>
              <w:jc w:val="center"/>
            </w:pPr>
            <w:r w:rsidRPr="00DA1436">
              <w:t>[C]C</w:t>
            </w:r>
          </w:p>
        </w:tc>
        <w:tc>
          <w:tcPr>
            <w:tcW w:w="1795" w:type="dxa"/>
            <w:tcBorders>
              <w:bottom w:val="single" w:sz="4" w:space="0" w:color="auto"/>
            </w:tcBorders>
            <w:shd w:val="clear" w:color="auto" w:fill="auto"/>
            <w:noWrap/>
            <w:vAlign w:val="center"/>
            <w:hideMark/>
          </w:tcPr>
          <w:p w14:paraId="3EDD360E" w14:textId="77777777" w:rsidR="00A35A08" w:rsidRPr="00DA1436" w:rsidRDefault="00A35A08" w:rsidP="00974715">
            <w:pPr>
              <w:jc w:val="center"/>
            </w:pPr>
            <w:r w:rsidRPr="00DA1436">
              <w:t>8.1</w:t>
            </w:r>
          </w:p>
        </w:tc>
        <w:tc>
          <w:tcPr>
            <w:tcW w:w="1660" w:type="dxa"/>
            <w:tcBorders>
              <w:bottom w:val="single" w:sz="4" w:space="0" w:color="auto"/>
            </w:tcBorders>
            <w:shd w:val="clear" w:color="auto" w:fill="auto"/>
            <w:noWrap/>
            <w:vAlign w:val="center"/>
            <w:hideMark/>
          </w:tcPr>
          <w:p w14:paraId="476F80AA" w14:textId="77777777" w:rsidR="00A35A08" w:rsidRPr="00DA1436" w:rsidRDefault="00A35A08" w:rsidP="00974715">
            <w:pPr>
              <w:jc w:val="center"/>
            </w:pPr>
            <w:r w:rsidRPr="00DA1436">
              <w:t>0.33</w:t>
            </w:r>
          </w:p>
        </w:tc>
        <w:tc>
          <w:tcPr>
            <w:tcW w:w="1997" w:type="dxa"/>
            <w:tcBorders>
              <w:bottom w:val="single" w:sz="4" w:space="0" w:color="auto"/>
            </w:tcBorders>
          </w:tcPr>
          <w:p w14:paraId="1BA7E1D6" w14:textId="77777777" w:rsidR="00A35A08" w:rsidRPr="00DA1436" w:rsidRDefault="00A35A08" w:rsidP="00974715">
            <w:pPr>
              <w:jc w:val="center"/>
            </w:pPr>
            <w:r w:rsidRPr="00DA1436">
              <w:t>6.42</w:t>
            </w:r>
          </w:p>
        </w:tc>
        <w:tc>
          <w:tcPr>
            <w:tcW w:w="1186" w:type="dxa"/>
            <w:tcBorders>
              <w:bottom w:val="single" w:sz="4" w:space="0" w:color="auto"/>
            </w:tcBorders>
          </w:tcPr>
          <w:p w14:paraId="128F8DAF" w14:textId="77777777" w:rsidR="00A35A08" w:rsidRPr="00DA1436" w:rsidRDefault="00A35A08" w:rsidP="00974715">
            <w:pPr>
              <w:jc w:val="center"/>
            </w:pPr>
            <w:r w:rsidRPr="00DA1436">
              <w:t>28</w:t>
            </w:r>
          </w:p>
        </w:tc>
        <w:tc>
          <w:tcPr>
            <w:tcW w:w="1186" w:type="dxa"/>
            <w:tcBorders>
              <w:bottom w:val="single" w:sz="4" w:space="0" w:color="auto"/>
            </w:tcBorders>
          </w:tcPr>
          <w:p w14:paraId="283B3C3B" w14:textId="77777777" w:rsidR="00A35A08" w:rsidRPr="00DA1436" w:rsidRDefault="00A35A08" w:rsidP="00974715">
            <w:pPr>
              <w:jc w:val="center"/>
            </w:pPr>
            <w:r w:rsidRPr="00DA1436">
              <w:t>8</w:t>
            </w:r>
          </w:p>
        </w:tc>
      </w:tr>
    </w:tbl>
    <w:p w14:paraId="3D7A75B8" w14:textId="77777777" w:rsidR="00A35A08" w:rsidRPr="00DA1436" w:rsidRDefault="00A35A08" w:rsidP="00A35A08">
      <w:pPr>
        <w:jc w:val="both"/>
        <w:rPr>
          <w:b/>
          <w:bCs/>
        </w:rPr>
      </w:pPr>
    </w:p>
    <w:p w14:paraId="1E02DDE0" w14:textId="77777777" w:rsidR="00A35A08" w:rsidRDefault="00A35A08" w:rsidP="00463612">
      <w:pPr>
        <w:keepNext/>
        <w:jc w:val="center"/>
      </w:pPr>
      <w:r w:rsidRPr="00DA1436">
        <w:rPr>
          <w:noProof/>
        </w:rPr>
        <w:drawing>
          <wp:inline distT="0" distB="0" distL="0" distR="0" wp14:anchorId="5F2F1B1D" wp14:editId="128A175B">
            <wp:extent cx="5396157" cy="1645920"/>
            <wp:effectExtent l="0" t="0" r="0" b="0"/>
            <wp:docPr id="48" name="Picture 48"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 scatter chart&#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96157" cy="1645920"/>
                    </a:xfrm>
                    <a:prstGeom prst="rect">
                      <a:avLst/>
                    </a:prstGeom>
                    <a:noFill/>
                  </pic:spPr>
                </pic:pic>
              </a:graphicData>
            </a:graphic>
          </wp:inline>
        </w:drawing>
      </w:r>
    </w:p>
    <w:p w14:paraId="6F069F88" w14:textId="55653E73" w:rsidR="00A35A08" w:rsidRPr="00DA1436" w:rsidRDefault="00A35A08" w:rsidP="00463612">
      <w:pPr>
        <w:pStyle w:val="Caption"/>
        <w:jc w:val="both"/>
        <w:rPr>
          <w:i w:val="0"/>
          <w:iCs w:val="0"/>
          <w:color w:val="auto"/>
          <w:sz w:val="24"/>
          <w:szCs w:val="24"/>
        </w:rPr>
      </w:pPr>
      <w:bookmarkStart w:id="67" w:name="_Toc131948696"/>
      <w:r w:rsidRPr="001A1528">
        <w:rPr>
          <w:b/>
          <w:bCs/>
          <w:i w:val="0"/>
          <w:iCs w:val="0"/>
          <w:color w:val="auto"/>
          <w:sz w:val="24"/>
          <w:szCs w:val="24"/>
        </w:rPr>
        <w:t xml:space="preserve">Figure </w:t>
      </w:r>
      <w:r w:rsidRPr="001A1528">
        <w:rPr>
          <w:b/>
          <w:bCs/>
          <w:i w:val="0"/>
          <w:iCs w:val="0"/>
          <w:color w:val="auto"/>
          <w:sz w:val="24"/>
          <w:szCs w:val="24"/>
        </w:rPr>
        <w:fldChar w:fldCharType="begin"/>
      </w:r>
      <w:r w:rsidRPr="001A1528">
        <w:rPr>
          <w:b/>
          <w:bCs/>
          <w:i w:val="0"/>
          <w:iCs w:val="0"/>
          <w:color w:val="auto"/>
          <w:sz w:val="24"/>
          <w:szCs w:val="24"/>
        </w:rPr>
        <w:instrText xml:space="preserve"> SEQ Figure \* ARABIC </w:instrText>
      </w:r>
      <w:r w:rsidRPr="001A1528">
        <w:rPr>
          <w:b/>
          <w:bCs/>
          <w:i w:val="0"/>
          <w:iCs w:val="0"/>
          <w:color w:val="auto"/>
          <w:sz w:val="24"/>
          <w:szCs w:val="24"/>
        </w:rPr>
        <w:fldChar w:fldCharType="separate"/>
      </w:r>
      <w:r w:rsidR="001F4741">
        <w:rPr>
          <w:b/>
          <w:bCs/>
          <w:i w:val="0"/>
          <w:iCs w:val="0"/>
          <w:noProof/>
          <w:color w:val="auto"/>
          <w:sz w:val="24"/>
          <w:szCs w:val="24"/>
        </w:rPr>
        <w:t>32</w:t>
      </w:r>
      <w:r w:rsidRPr="001A1528">
        <w:rPr>
          <w:b/>
          <w:bCs/>
          <w:i w:val="0"/>
          <w:iCs w:val="0"/>
          <w:color w:val="auto"/>
          <w:sz w:val="24"/>
          <w:szCs w:val="24"/>
        </w:rPr>
        <w:fldChar w:fldCharType="end"/>
      </w:r>
      <w:r w:rsidRPr="001A1528">
        <w:rPr>
          <w:b/>
          <w:bCs/>
          <w:i w:val="0"/>
          <w:iCs w:val="0"/>
          <w:color w:val="auto"/>
          <w:sz w:val="24"/>
          <w:szCs w:val="24"/>
        </w:rPr>
        <w:t>:</w:t>
      </w:r>
      <w:r w:rsidRPr="001A1528">
        <w:rPr>
          <w:i w:val="0"/>
          <w:iCs w:val="0"/>
          <w:color w:val="auto"/>
          <w:sz w:val="24"/>
          <w:szCs w:val="24"/>
        </w:rPr>
        <w:t xml:space="preserve"> R</w:t>
      </w:r>
      <w:r w:rsidRPr="00DA1436">
        <w:rPr>
          <w:i w:val="0"/>
          <w:iCs w:val="0"/>
          <w:color w:val="auto"/>
          <w:sz w:val="24"/>
          <w:szCs w:val="24"/>
        </w:rPr>
        <w:t>ates of products formation as a function of Na-titrated site density in the NaHY (Si/Al:30) zeolite series (symbols) compared to calculated rates derived from the reaction-diffusion model</w:t>
      </w:r>
      <w:r>
        <w:rPr>
          <w:i w:val="0"/>
          <w:iCs w:val="0"/>
          <w:color w:val="auto"/>
          <w:sz w:val="24"/>
          <w:szCs w:val="24"/>
        </w:rPr>
        <w:t>.</w:t>
      </w:r>
      <w:bookmarkEnd w:id="67"/>
      <w:r w:rsidR="00205A21" w:rsidRPr="00205A21">
        <w:rPr>
          <w:i w:val="0"/>
          <w:iCs w:val="0"/>
          <w:color w:val="auto"/>
          <w:sz w:val="24"/>
          <w:szCs w:val="24"/>
        </w:rPr>
        <w:t xml:space="preserve"> </w:t>
      </w:r>
      <w:r w:rsidR="00205A21">
        <w:rPr>
          <w:i w:val="0"/>
          <w:iCs w:val="0"/>
          <w:color w:val="auto"/>
          <w:sz w:val="24"/>
          <w:szCs w:val="24"/>
        </w:rPr>
        <w:t>The lines represent the modeled profiles for each self-condensation result.</w:t>
      </w:r>
    </w:p>
    <w:p w14:paraId="6C231758" w14:textId="77777777" w:rsidR="00A35A08" w:rsidRPr="00DA1436" w:rsidRDefault="00A35A08" w:rsidP="00A63A89">
      <w:pPr>
        <w:spacing w:line="480" w:lineRule="auto"/>
        <w:jc w:val="both"/>
      </w:pPr>
      <w:r w:rsidRPr="00DA1436">
        <w:tab/>
        <w:t xml:space="preserve">Other result is the similar values for Thiele moduli obtained for [A]C and [C]C. At this point it seems reasonable to infer in the present case of the cross condensation between ACE and CPO that the extent of MTL in the HY 30 series is a result of both high surface coverage of [C] and CPO diffusion and further reaction as a secondary/nearby molecule. In an imaginary case that either ACE or CPO is activated, CPO has a lower preference for </w:t>
      </w:r>
      <w:r w:rsidRPr="00DA1436">
        <w:lastRenderedPageBreak/>
        <w:t>reacting because of its lower concentration inside the internal structure of the catalyst, when in fact ACE presents lower concentration gradients. And as such constraints are removed, the steric effect coupled with the confinement effect generated by the structure results in the preferential formation of [x]C products in contrast of [x]A.</w:t>
      </w:r>
    </w:p>
    <w:p w14:paraId="19437D63" w14:textId="77777777" w:rsidR="00A35A08" w:rsidRPr="0080277E" w:rsidRDefault="00A35A08" w:rsidP="0080277E">
      <w:pPr>
        <w:spacing w:line="480" w:lineRule="auto"/>
        <w:jc w:val="both"/>
        <w:rPr>
          <w:u w:val="single"/>
        </w:rPr>
      </w:pPr>
    </w:p>
    <w:p w14:paraId="4D2E0087" w14:textId="15228241" w:rsidR="00A35A08" w:rsidRPr="00F11C1B" w:rsidRDefault="0080277E" w:rsidP="0080277E">
      <w:pPr>
        <w:pStyle w:val="Heading4"/>
        <w:spacing w:line="480" w:lineRule="auto"/>
        <w:rPr>
          <w:rFonts w:ascii="Times New Roman" w:hAnsi="Times New Roman" w:cs="Times New Roman"/>
          <w:color w:val="auto"/>
        </w:rPr>
      </w:pPr>
      <w:r w:rsidRPr="00F11C1B">
        <w:rPr>
          <w:rFonts w:ascii="Times New Roman" w:hAnsi="Times New Roman" w:cs="Times New Roman"/>
          <w:color w:val="auto"/>
        </w:rPr>
        <w:tab/>
      </w:r>
      <w:r w:rsidR="00A35A08" w:rsidRPr="00F11C1B">
        <w:rPr>
          <w:rFonts w:ascii="Times New Roman" w:hAnsi="Times New Roman" w:cs="Times New Roman"/>
          <w:color w:val="auto"/>
        </w:rPr>
        <w:t>2.4.2.4 Analysis of true TOF for cross-condensation free of MTL</w:t>
      </w:r>
    </w:p>
    <w:p w14:paraId="78D71268" w14:textId="77777777" w:rsidR="00A35A08" w:rsidRPr="00DA1436" w:rsidRDefault="00A35A08" w:rsidP="0080277E">
      <w:pPr>
        <w:spacing w:line="480" w:lineRule="auto"/>
        <w:jc w:val="both"/>
      </w:pPr>
      <w:r w:rsidRPr="0080277E">
        <w:tab/>
        <w:t xml:space="preserve">Additionally, if both the maximum and </w:t>
      </w:r>
      <w:r w:rsidRPr="00DA1436">
        <w:t>measured turnover rates are compared (Table 6) the explanations given for the influence of MTL in Y series are plausible. [A]A does not seem to be affected by diffusion limitations due to its lower activity, mainly if compared to the self-condensation results (TOF</w:t>
      </w:r>
      <w:r w:rsidRPr="00DA1436">
        <w:rPr>
          <w:vertAlign w:val="subscript"/>
        </w:rPr>
        <w:t>self</w:t>
      </w:r>
      <w:r w:rsidRPr="00DA1436">
        <w:t xml:space="preserve"> Prod Formation = 17x10</w:t>
      </w:r>
      <w:r w:rsidRPr="00DA1436">
        <w:rPr>
          <w:vertAlign w:val="superscript"/>
        </w:rPr>
        <w:t>-3</w:t>
      </w:r>
      <w:r w:rsidRPr="00DA1436">
        <w:t xml:space="preserve"> sec</w:t>
      </w:r>
      <w:r w:rsidRPr="00DA1436">
        <w:rPr>
          <w:vertAlign w:val="superscript"/>
        </w:rPr>
        <w:t>-1</w:t>
      </w:r>
      <w:r w:rsidRPr="00DA1436">
        <w:t xml:space="preserve"> vs. TOF</w:t>
      </w:r>
      <w:r w:rsidRPr="00DA1436">
        <w:rPr>
          <w:vertAlign w:val="subscript"/>
        </w:rPr>
        <w:t>cross</w:t>
      </w:r>
      <w:r w:rsidRPr="00DA1436">
        <w:t xml:space="preserve"> Prod Formation = 3x10</w:t>
      </w:r>
      <w:r w:rsidRPr="00DA1436">
        <w:rPr>
          <w:vertAlign w:val="superscript"/>
        </w:rPr>
        <w:t>-3</w:t>
      </w:r>
      <w:r w:rsidRPr="00DA1436">
        <w:t xml:space="preserve"> sec</w:t>
      </w:r>
      <w:r w:rsidRPr="00DA1436">
        <w:rPr>
          <w:vertAlign w:val="superscript"/>
        </w:rPr>
        <w:t>-1</w:t>
      </w:r>
      <w:r w:rsidRPr="00DA1436">
        <w:t xml:space="preserve">). [A]C and [C]C </w:t>
      </w:r>
      <w:r w:rsidRPr="00DA1436">
        <w:rPr>
          <w:i/>
          <w:iCs/>
        </w:rPr>
        <w:t>true</w:t>
      </w:r>
      <w:r w:rsidRPr="00DA1436">
        <w:t xml:space="preserve"> TOF comparison shows the clear preference towards CPO as a nucleophile, resulted from its interaction with framework within a confined space. And last, the similar </w:t>
      </w:r>
      <w:r w:rsidRPr="00DA1436">
        <w:rPr>
          <w:i/>
          <w:iCs/>
        </w:rPr>
        <w:t>true</w:t>
      </w:r>
      <w:r w:rsidRPr="00DA1436">
        <w:t xml:space="preserve"> TOF found for [C]A and [C]C. No kinetics were studied to better understand th</w:t>
      </w:r>
      <w:r>
        <w:t xml:space="preserve">e contributions on both ketones in the cross-condensation </w:t>
      </w:r>
      <w:r w:rsidRPr="00DA1436">
        <w:t>due to the purpose of this work; however, it seems that the rate limiting step of these two condensation reactions are related to a unimolecular dependence on CPO rather than a bimolecular reaction pathway.</w:t>
      </w:r>
    </w:p>
    <w:p w14:paraId="6DEA180A" w14:textId="77777777" w:rsidR="00A35A08" w:rsidRDefault="00A35A08" w:rsidP="00A63A89">
      <w:pPr>
        <w:spacing w:line="480" w:lineRule="auto"/>
        <w:jc w:val="both"/>
        <w:rPr>
          <w:b/>
          <w:bCs/>
        </w:rPr>
      </w:pPr>
    </w:p>
    <w:p w14:paraId="48A92601" w14:textId="77777777" w:rsidR="00A35A08" w:rsidRPr="00F11C1B" w:rsidRDefault="00A35A08" w:rsidP="0080277E">
      <w:pPr>
        <w:pStyle w:val="Heading3"/>
        <w:rPr>
          <w:i w:val="0"/>
          <w:iCs/>
          <w:u w:val="single"/>
        </w:rPr>
      </w:pPr>
      <w:bookmarkStart w:id="68" w:name="_Toc132924199"/>
      <w:r w:rsidRPr="00F11C1B">
        <w:rPr>
          <w:i w:val="0"/>
          <w:iCs/>
          <w:u w:val="single"/>
        </w:rPr>
        <w:t>2.4.3 In-situ Pyridine Titration</w:t>
      </w:r>
      <w:bookmarkEnd w:id="68"/>
    </w:p>
    <w:p w14:paraId="1C23BD45" w14:textId="77777777" w:rsidR="00A35A08" w:rsidRDefault="00A35A08" w:rsidP="00A63A89">
      <w:pPr>
        <w:spacing w:line="480" w:lineRule="auto"/>
        <w:jc w:val="both"/>
      </w:pPr>
      <w:r>
        <w:tab/>
        <w:t>After a deep investigation of MTL in porous zeolites using Na as a titrant added prior to the catalytic reactions, the use of an in-situ procedure will be investigated next. The same series of zeolites are used, and the discussions are more relative towards a qualitatively effect rather than quantitative.</w:t>
      </w:r>
    </w:p>
    <w:p w14:paraId="577614CA" w14:textId="66E87345" w:rsidR="00A35A08" w:rsidRPr="00DA1436" w:rsidRDefault="00A35A08" w:rsidP="00A63A89">
      <w:pPr>
        <w:pStyle w:val="ListParagraph"/>
        <w:spacing w:line="480" w:lineRule="auto"/>
        <w:jc w:val="both"/>
      </w:pPr>
      <w:r w:rsidRPr="00B30BA1">
        <w:rPr>
          <w:i/>
          <w:iCs/>
          <w:u w:val="single"/>
        </w:rPr>
        <w:lastRenderedPageBreak/>
        <w:t>HZSM-5 (Si/Al 140) zeolite</w:t>
      </w:r>
      <w:r w:rsidRPr="00C80AAF">
        <w:rPr>
          <w:i/>
          <w:iCs/>
        </w:rPr>
        <w:t xml:space="preserve">:  </w:t>
      </w:r>
      <w:r w:rsidRPr="00C80AAF">
        <w:rPr>
          <w:b/>
          <w:bCs/>
        </w:rPr>
        <w:t xml:space="preserve">Figure </w:t>
      </w:r>
      <w:r w:rsidR="007D27D3" w:rsidRPr="00C80AAF">
        <w:rPr>
          <w:b/>
          <w:bCs/>
        </w:rPr>
        <w:t>33</w:t>
      </w:r>
      <w:r w:rsidRPr="00C80AAF">
        <w:t xml:space="preserve"> shows</w:t>
      </w:r>
      <w:r>
        <w:t xml:space="preserve"> the condensation rates of ACE and CPO over Z140 as a function of an increase in the in-situ pyridine uptake. Primary observations are mainly the inability of pyridine to cease the catalytic activity at higher loadings, leading to think that the titrant is desorbing from the acid surface rather than inactivating the active site. If a comparison between the pyridine experimental rates and modeled curves found in Na-titration is done, a confirmation from such desorption behavior is set and more </w:t>
      </w:r>
      <w:r w:rsidRPr="00B30BA1">
        <w:t xml:space="preserve">pronounced </w:t>
      </w:r>
      <w:r w:rsidRPr="00C80AAF">
        <w:t>in CPO. (</w:t>
      </w:r>
      <w:r w:rsidRPr="00C80AAF">
        <w:rPr>
          <w:b/>
          <w:bCs/>
        </w:rPr>
        <w:t>Figure</w:t>
      </w:r>
      <w:r w:rsidR="007D27D3" w:rsidRPr="00C80AAF">
        <w:rPr>
          <w:b/>
          <w:bCs/>
        </w:rPr>
        <w:t xml:space="preserve"> 34</w:t>
      </w:r>
      <w:r w:rsidRPr="00C80AAF">
        <w:t>).</w:t>
      </w:r>
      <w:r>
        <w:t xml:space="preserve"> </w:t>
      </w:r>
    </w:p>
    <w:p w14:paraId="680871C1" w14:textId="77777777" w:rsidR="00A35A08" w:rsidRDefault="00A35A08" w:rsidP="00463612">
      <w:pPr>
        <w:pStyle w:val="ListParagraph"/>
        <w:keepNext/>
        <w:jc w:val="center"/>
      </w:pPr>
      <w:r>
        <w:rPr>
          <w:noProof/>
        </w:rPr>
        <w:drawing>
          <wp:inline distT="0" distB="0" distL="0" distR="0" wp14:anchorId="27861C78" wp14:editId="5EFEED6D">
            <wp:extent cx="2729061" cy="2286000"/>
            <wp:effectExtent l="0" t="0" r="0" b="0"/>
            <wp:docPr id="27" name="Picture 2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scatter chart&#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29061" cy="2286000"/>
                    </a:xfrm>
                    <a:prstGeom prst="rect">
                      <a:avLst/>
                    </a:prstGeom>
                    <a:noFill/>
                  </pic:spPr>
                </pic:pic>
              </a:graphicData>
            </a:graphic>
          </wp:inline>
        </w:drawing>
      </w:r>
    </w:p>
    <w:p w14:paraId="2700FA4B" w14:textId="1968EBB1" w:rsidR="00A35A08" w:rsidRPr="007F4549" w:rsidRDefault="00A35A08" w:rsidP="00FA4E80">
      <w:pPr>
        <w:pStyle w:val="Caption"/>
        <w:ind w:left="720"/>
        <w:jc w:val="both"/>
        <w:rPr>
          <w:i w:val="0"/>
          <w:iCs w:val="0"/>
          <w:color w:val="auto"/>
          <w:sz w:val="24"/>
          <w:szCs w:val="24"/>
        </w:rPr>
      </w:pPr>
      <w:bookmarkStart w:id="69" w:name="_Toc131948697"/>
      <w:r w:rsidRPr="007F4549">
        <w:rPr>
          <w:b/>
          <w:bCs/>
          <w:i w:val="0"/>
          <w:iCs w:val="0"/>
          <w:color w:val="auto"/>
          <w:sz w:val="24"/>
          <w:szCs w:val="24"/>
        </w:rPr>
        <w:t xml:space="preserve">Figure </w:t>
      </w:r>
      <w:r w:rsidRPr="007F4549">
        <w:rPr>
          <w:b/>
          <w:bCs/>
          <w:i w:val="0"/>
          <w:iCs w:val="0"/>
          <w:color w:val="auto"/>
          <w:sz w:val="24"/>
          <w:szCs w:val="24"/>
        </w:rPr>
        <w:fldChar w:fldCharType="begin"/>
      </w:r>
      <w:r w:rsidRPr="007F4549">
        <w:rPr>
          <w:b/>
          <w:bCs/>
          <w:i w:val="0"/>
          <w:iCs w:val="0"/>
          <w:color w:val="auto"/>
          <w:sz w:val="24"/>
          <w:szCs w:val="24"/>
        </w:rPr>
        <w:instrText xml:space="preserve"> SEQ Figure \* ARABIC </w:instrText>
      </w:r>
      <w:r w:rsidRPr="007F4549">
        <w:rPr>
          <w:b/>
          <w:bCs/>
          <w:i w:val="0"/>
          <w:iCs w:val="0"/>
          <w:color w:val="auto"/>
          <w:sz w:val="24"/>
          <w:szCs w:val="24"/>
        </w:rPr>
        <w:fldChar w:fldCharType="separate"/>
      </w:r>
      <w:r w:rsidR="001F4741">
        <w:rPr>
          <w:b/>
          <w:bCs/>
          <w:i w:val="0"/>
          <w:iCs w:val="0"/>
          <w:noProof/>
          <w:color w:val="auto"/>
          <w:sz w:val="24"/>
          <w:szCs w:val="24"/>
        </w:rPr>
        <w:t>33</w:t>
      </w:r>
      <w:r w:rsidRPr="007F4549">
        <w:rPr>
          <w:b/>
          <w:bCs/>
          <w:i w:val="0"/>
          <w:iCs w:val="0"/>
          <w:color w:val="auto"/>
          <w:sz w:val="24"/>
          <w:szCs w:val="24"/>
        </w:rPr>
        <w:fldChar w:fldCharType="end"/>
      </w:r>
      <w:r w:rsidRPr="007F4549">
        <w:rPr>
          <w:b/>
          <w:bCs/>
          <w:i w:val="0"/>
          <w:iCs w:val="0"/>
          <w:color w:val="auto"/>
          <w:sz w:val="24"/>
          <w:szCs w:val="24"/>
        </w:rPr>
        <w:t>:</w:t>
      </w:r>
      <w:r w:rsidRPr="007F4549">
        <w:rPr>
          <w:i w:val="0"/>
          <w:iCs w:val="0"/>
          <w:color w:val="auto"/>
          <w:sz w:val="24"/>
          <w:szCs w:val="24"/>
        </w:rPr>
        <w:t xml:space="preserve"> Self-condensation rates of CPO and ACE as a function of in-situ pyridine uptake in ZSM5 zeolite with Si/Al of 140. The black point over the graph points to at zero</w:t>
      </w:r>
      <w:r w:rsidR="00606D30">
        <w:rPr>
          <w:i w:val="0"/>
          <w:iCs w:val="0"/>
          <w:color w:val="auto"/>
          <w:sz w:val="24"/>
          <w:szCs w:val="24"/>
        </w:rPr>
        <w:t xml:space="preserve"> </w:t>
      </w:r>
      <w:r w:rsidRPr="007F4549">
        <w:rPr>
          <w:i w:val="0"/>
          <w:iCs w:val="0"/>
          <w:color w:val="auto"/>
          <w:sz w:val="24"/>
          <w:szCs w:val="24"/>
        </w:rPr>
        <w:t>rate at the measured IPA-TPD BAS density relative to Z140.</w:t>
      </w:r>
      <w:bookmarkEnd w:id="69"/>
    </w:p>
    <w:p w14:paraId="5FAB7B0C" w14:textId="77777777" w:rsidR="00A35A08" w:rsidRPr="008E20CD" w:rsidRDefault="00A35A08" w:rsidP="00463612">
      <w:pPr>
        <w:pStyle w:val="ListParagraph"/>
        <w:keepNext/>
        <w:jc w:val="center"/>
        <w:rPr>
          <w:b/>
          <w:bCs/>
        </w:rPr>
      </w:pPr>
      <w:r w:rsidRPr="008E20CD">
        <w:rPr>
          <w:noProof/>
        </w:rPr>
        <w:drawing>
          <wp:inline distT="0" distB="0" distL="0" distR="0" wp14:anchorId="74E75386" wp14:editId="01573F35">
            <wp:extent cx="5026870" cy="2103120"/>
            <wp:effectExtent l="0" t="0" r="2540" b="0"/>
            <wp:docPr id="28" name="Picture 2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scatter chart&#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026870" cy="2103120"/>
                    </a:xfrm>
                    <a:prstGeom prst="rect">
                      <a:avLst/>
                    </a:prstGeom>
                    <a:noFill/>
                  </pic:spPr>
                </pic:pic>
              </a:graphicData>
            </a:graphic>
          </wp:inline>
        </w:drawing>
      </w:r>
    </w:p>
    <w:p w14:paraId="509C74F8" w14:textId="3518BE49" w:rsidR="00A35A08" w:rsidRPr="008E20CD" w:rsidRDefault="00A35A08" w:rsidP="00463612">
      <w:pPr>
        <w:pStyle w:val="ListParagraph"/>
        <w:keepNext/>
        <w:jc w:val="both"/>
      </w:pPr>
      <w:bookmarkStart w:id="70" w:name="_Toc131948698"/>
      <w:r w:rsidRPr="008E20CD">
        <w:rPr>
          <w:b/>
          <w:bCs/>
        </w:rPr>
        <w:t xml:space="preserve">Figure </w:t>
      </w:r>
      <w:r w:rsidRPr="008E20CD">
        <w:rPr>
          <w:b/>
          <w:bCs/>
        </w:rPr>
        <w:fldChar w:fldCharType="begin"/>
      </w:r>
      <w:r w:rsidRPr="008E20CD">
        <w:rPr>
          <w:b/>
          <w:bCs/>
        </w:rPr>
        <w:instrText xml:space="preserve"> SEQ Figure \* ARABIC </w:instrText>
      </w:r>
      <w:r w:rsidRPr="008E20CD">
        <w:rPr>
          <w:b/>
          <w:bCs/>
        </w:rPr>
        <w:fldChar w:fldCharType="separate"/>
      </w:r>
      <w:r w:rsidR="001F4741">
        <w:rPr>
          <w:b/>
          <w:bCs/>
          <w:noProof/>
        </w:rPr>
        <w:t>34</w:t>
      </w:r>
      <w:r w:rsidRPr="008E20CD">
        <w:rPr>
          <w:b/>
          <w:bCs/>
        </w:rPr>
        <w:fldChar w:fldCharType="end"/>
      </w:r>
      <w:r w:rsidRPr="008E20CD">
        <w:rPr>
          <w:b/>
          <w:bCs/>
        </w:rPr>
        <w:t>:</w:t>
      </w:r>
      <w:r w:rsidRPr="008E20CD">
        <w:t xml:space="preserve"> Comparison between experimental rates on pyridine with modeled Na-titration</w:t>
      </w:r>
      <w:r w:rsidR="00F80203">
        <w:t xml:space="preserve"> </w:t>
      </w:r>
      <w:r w:rsidRPr="008E20CD">
        <w:t>rates in ZSM5 zeolite with Si/Al of 140.</w:t>
      </w:r>
      <w:bookmarkEnd w:id="70"/>
    </w:p>
    <w:p w14:paraId="685363FD" w14:textId="77777777" w:rsidR="00141995" w:rsidRDefault="00141995" w:rsidP="00A63A89">
      <w:pPr>
        <w:pStyle w:val="ListParagraph"/>
        <w:spacing w:line="480" w:lineRule="auto"/>
        <w:jc w:val="both"/>
        <w:rPr>
          <w:i/>
          <w:iCs/>
          <w:u w:val="single"/>
        </w:rPr>
      </w:pPr>
    </w:p>
    <w:p w14:paraId="1F389392" w14:textId="5A541FC3" w:rsidR="00A35A08" w:rsidRDefault="00A35A08" w:rsidP="00A63A89">
      <w:pPr>
        <w:pStyle w:val="ListParagraph"/>
        <w:spacing w:line="480" w:lineRule="auto"/>
        <w:jc w:val="both"/>
      </w:pPr>
      <w:r w:rsidRPr="001046D6">
        <w:rPr>
          <w:i/>
          <w:iCs/>
          <w:u w:val="single"/>
        </w:rPr>
        <w:lastRenderedPageBreak/>
        <w:t>HZSM-5 (Si/Al 40) zeolite:</w:t>
      </w:r>
      <w:r w:rsidRPr="000600DC">
        <w:t xml:space="preserve">  </w:t>
      </w:r>
      <w:r>
        <w:t xml:space="preserve">In a higher site density ZSM5 it was proven the increase of MTL in both ketones, being more pronounced in CPO case. Here, the non-titrant behavior of pyridine in both cases is more </w:t>
      </w:r>
      <w:r w:rsidRPr="008E20CD">
        <w:t>obvious</w:t>
      </w:r>
      <w:r>
        <w:t xml:space="preserve">, shown by the plateau in CPO catalytic rates. It points out that an existing synergy in the liquid phase reactions between the reacting species and pyridine is possible either from a competitive adsorption between these two molecules or a solvent interaction between pyridine and cyclohexane. It is also important to highlight that in a lower BAS density the remaining activity was 28% of its initial rate compared to 42% in Z40. The same plot performed in Z140 comparing the modeled rate </w:t>
      </w:r>
      <w:r w:rsidRPr="008E20CD">
        <w:t xml:space="preserve">versus experimental rates with pyridine are shown </w:t>
      </w:r>
      <w:r w:rsidRPr="00C80AAF">
        <w:t xml:space="preserve">in </w:t>
      </w:r>
      <w:r w:rsidRPr="00C80AAF">
        <w:rPr>
          <w:b/>
          <w:bCs/>
        </w:rPr>
        <w:t xml:space="preserve">Figure </w:t>
      </w:r>
      <w:r w:rsidR="007D27D3" w:rsidRPr="00C80AAF">
        <w:rPr>
          <w:b/>
          <w:bCs/>
        </w:rPr>
        <w:t>35</w:t>
      </w:r>
      <w:r w:rsidRPr="00C80AAF">
        <w:t>. As occurred</w:t>
      </w:r>
      <w:r>
        <w:t xml:space="preserve"> in Z140, the titrant over ACE occurred more effective in comparison to CPO.</w:t>
      </w:r>
    </w:p>
    <w:p w14:paraId="588216CA" w14:textId="77777777" w:rsidR="00A35A08" w:rsidRPr="006C4260" w:rsidRDefault="00A35A08" w:rsidP="00A63A89">
      <w:pPr>
        <w:pStyle w:val="ListParagraph"/>
        <w:spacing w:line="480" w:lineRule="auto"/>
        <w:jc w:val="both"/>
      </w:pPr>
    </w:p>
    <w:p w14:paraId="11B1198E" w14:textId="77777777" w:rsidR="00A35A08" w:rsidRDefault="00A35A08" w:rsidP="00463612">
      <w:pPr>
        <w:pStyle w:val="ListParagraph"/>
        <w:keepNext/>
        <w:jc w:val="center"/>
      </w:pPr>
      <w:r>
        <w:rPr>
          <w:noProof/>
        </w:rPr>
        <w:drawing>
          <wp:inline distT="0" distB="0" distL="0" distR="0" wp14:anchorId="5C2C54C7" wp14:editId="2BBD438A">
            <wp:extent cx="2729061" cy="2286000"/>
            <wp:effectExtent l="0" t="0" r="0" b="0"/>
            <wp:docPr id="29" name="Picture 2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scatter chart&#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29061" cy="2286000"/>
                    </a:xfrm>
                    <a:prstGeom prst="rect">
                      <a:avLst/>
                    </a:prstGeom>
                    <a:noFill/>
                  </pic:spPr>
                </pic:pic>
              </a:graphicData>
            </a:graphic>
          </wp:inline>
        </w:drawing>
      </w:r>
    </w:p>
    <w:p w14:paraId="4B844EFC" w14:textId="4FAEE69D" w:rsidR="00A35A08" w:rsidRPr="00141995" w:rsidRDefault="00A35A08" w:rsidP="00463612">
      <w:pPr>
        <w:pStyle w:val="Caption"/>
        <w:ind w:left="720"/>
        <w:jc w:val="both"/>
        <w:rPr>
          <w:i w:val="0"/>
          <w:iCs w:val="0"/>
          <w:color w:val="auto"/>
          <w:sz w:val="24"/>
          <w:szCs w:val="24"/>
        </w:rPr>
      </w:pPr>
      <w:bookmarkStart w:id="71" w:name="_Toc131948699"/>
      <w:r w:rsidRPr="008E20CD">
        <w:rPr>
          <w:b/>
          <w:bCs/>
          <w:i w:val="0"/>
          <w:iCs w:val="0"/>
          <w:color w:val="auto"/>
          <w:sz w:val="24"/>
          <w:szCs w:val="24"/>
        </w:rPr>
        <w:t xml:space="preserve">Figure </w:t>
      </w:r>
      <w:r w:rsidRPr="008E20CD">
        <w:rPr>
          <w:b/>
          <w:bCs/>
          <w:i w:val="0"/>
          <w:iCs w:val="0"/>
          <w:color w:val="auto"/>
          <w:sz w:val="24"/>
          <w:szCs w:val="24"/>
        </w:rPr>
        <w:fldChar w:fldCharType="begin"/>
      </w:r>
      <w:r w:rsidRPr="008E20CD">
        <w:rPr>
          <w:b/>
          <w:bCs/>
          <w:i w:val="0"/>
          <w:iCs w:val="0"/>
          <w:color w:val="auto"/>
          <w:sz w:val="24"/>
          <w:szCs w:val="24"/>
        </w:rPr>
        <w:instrText xml:space="preserve"> SEQ Figure \* ARABIC </w:instrText>
      </w:r>
      <w:r w:rsidRPr="008E20CD">
        <w:rPr>
          <w:b/>
          <w:bCs/>
          <w:i w:val="0"/>
          <w:iCs w:val="0"/>
          <w:color w:val="auto"/>
          <w:sz w:val="24"/>
          <w:szCs w:val="24"/>
        </w:rPr>
        <w:fldChar w:fldCharType="separate"/>
      </w:r>
      <w:r w:rsidR="001F4741">
        <w:rPr>
          <w:b/>
          <w:bCs/>
          <w:i w:val="0"/>
          <w:iCs w:val="0"/>
          <w:noProof/>
          <w:color w:val="auto"/>
          <w:sz w:val="24"/>
          <w:szCs w:val="24"/>
        </w:rPr>
        <w:t>35</w:t>
      </w:r>
      <w:r w:rsidRPr="008E20CD">
        <w:rPr>
          <w:b/>
          <w:bCs/>
          <w:i w:val="0"/>
          <w:iCs w:val="0"/>
          <w:color w:val="auto"/>
          <w:sz w:val="24"/>
          <w:szCs w:val="24"/>
        </w:rPr>
        <w:fldChar w:fldCharType="end"/>
      </w:r>
      <w:r w:rsidRPr="008E20CD">
        <w:rPr>
          <w:b/>
          <w:bCs/>
          <w:i w:val="0"/>
          <w:iCs w:val="0"/>
          <w:color w:val="auto"/>
          <w:sz w:val="24"/>
          <w:szCs w:val="24"/>
        </w:rPr>
        <w:t>:</w:t>
      </w:r>
      <w:r w:rsidRPr="008E20CD">
        <w:rPr>
          <w:i w:val="0"/>
          <w:iCs w:val="0"/>
          <w:color w:val="auto"/>
          <w:sz w:val="24"/>
          <w:szCs w:val="24"/>
        </w:rPr>
        <w:t xml:space="preserve"> Self-condensation rates of CPO and ACE as a function of in-situ pyridine</w:t>
      </w:r>
      <w:r w:rsidR="00F80203">
        <w:rPr>
          <w:i w:val="0"/>
          <w:iCs w:val="0"/>
          <w:color w:val="auto"/>
          <w:sz w:val="24"/>
          <w:szCs w:val="24"/>
        </w:rPr>
        <w:t xml:space="preserve"> </w:t>
      </w:r>
      <w:r w:rsidRPr="008E20CD">
        <w:rPr>
          <w:i w:val="0"/>
          <w:iCs w:val="0"/>
          <w:color w:val="auto"/>
          <w:sz w:val="24"/>
          <w:szCs w:val="24"/>
        </w:rPr>
        <w:t>uptake in ZSM5 zeolite with Si/Al of 40.</w:t>
      </w:r>
      <w:bookmarkEnd w:id="71"/>
    </w:p>
    <w:p w14:paraId="2DD6FBC8" w14:textId="77777777" w:rsidR="00A35A08" w:rsidRDefault="00A35A08" w:rsidP="00463612">
      <w:pPr>
        <w:pStyle w:val="ListParagraph"/>
        <w:keepNext/>
        <w:jc w:val="center"/>
      </w:pPr>
      <w:r>
        <w:rPr>
          <w:noProof/>
        </w:rPr>
        <w:lastRenderedPageBreak/>
        <w:drawing>
          <wp:inline distT="0" distB="0" distL="0" distR="0" wp14:anchorId="16D4D888" wp14:editId="151BF878">
            <wp:extent cx="5028905" cy="2103120"/>
            <wp:effectExtent l="0" t="0" r="635" b="0"/>
            <wp:docPr id="30" name="Picture 3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scatter chart&#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028905" cy="2103120"/>
                    </a:xfrm>
                    <a:prstGeom prst="rect">
                      <a:avLst/>
                    </a:prstGeom>
                    <a:noFill/>
                  </pic:spPr>
                </pic:pic>
              </a:graphicData>
            </a:graphic>
          </wp:inline>
        </w:drawing>
      </w:r>
    </w:p>
    <w:p w14:paraId="2B85E027" w14:textId="7EA33D50" w:rsidR="00A35A08" w:rsidRPr="008E20CD" w:rsidRDefault="00A35A08" w:rsidP="00463612">
      <w:pPr>
        <w:pStyle w:val="Caption"/>
        <w:ind w:left="720"/>
        <w:jc w:val="both"/>
        <w:rPr>
          <w:i w:val="0"/>
          <w:iCs w:val="0"/>
          <w:color w:val="auto"/>
          <w:sz w:val="24"/>
          <w:szCs w:val="24"/>
        </w:rPr>
      </w:pPr>
      <w:bookmarkStart w:id="72" w:name="_Toc131948700"/>
      <w:r w:rsidRPr="008E20CD">
        <w:rPr>
          <w:b/>
          <w:bCs/>
          <w:i w:val="0"/>
          <w:iCs w:val="0"/>
          <w:color w:val="auto"/>
          <w:sz w:val="24"/>
          <w:szCs w:val="24"/>
        </w:rPr>
        <w:t xml:space="preserve">Figure </w:t>
      </w:r>
      <w:r w:rsidRPr="008E20CD">
        <w:rPr>
          <w:b/>
          <w:bCs/>
          <w:i w:val="0"/>
          <w:iCs w:val="0"/>
          <w:color w:val="auto"/>
          <w:sz w:val="24"/>
          <w:szCs w:val="24"/>
        </w:rPr>
        <w:fldChar w:fldCharType="begin"/>
      </w:r>
      <w:r w:rsidRPr="008E20CD">
        <w:rPr>
          <w:b/>
          <w:bCs/>
          <w:i w:val="0"/>
          <w:iCs w:val="0"/>
          <w:color w:val="auto"/>
          <w:sz w:val="24"/>
          <w:szCs w:val="24"/>
        </w:rPr>
        <w:instrText xml:space="preserve"> SEQ Figure \* ARABIC </w:instrText>
      </w:r>
      <w:r w:rsidRPr="008E20CD">
        <w:rPr>
          <w:b/>
          <w:bCs/>
          <w:i w:val="0"/>
          <w:iCs w:val="0"/>
          <w:color w:val="auto"/>
          <w:sz w:val="24"/>
          <w:szCs w:val="24"/>
        </w:rPr>
        <w:fldChar w:fldCharType="separate"/>
      </w:r>
      <w:r w:rsidR="001F4741">
        <w:rPr>
          <w:b/>
          <w:bCs/>
          <w:i w:val="0"/>
          <w:iCs w:val="0"/>
          <w:noProof/>
          <w:color w:val="auto"/>
          <w:sz w:val="24"/>
          <w:szCs w:val="24"/>
        </w:rPr>
        <w:t>36</w:t>
      </w:r>
      <w:r w:rsidRPr="008E20CD">
        <w:rPr>
          <w:b/>
          <w:bCs/>
          <w:i w:val="0"/>
          <w:iCs w:val="0"/>
          <w:color w:val="auto"/>
          <w:sz w:val="24"/>
          <w:szCs w:val="24"/>
        </w:rPr>
        <w:fldChar w:fldCharType="end"/>
      </w:r>
      <w:r w:rsidRPr="008E20CD">
        <w:rPr>
          <w:b/>
          <w:bCs/>
          <w:i w:val="0"/>
          <w:iCs w:val="0"/>
          <w:color w:val="auto"/>
          <w:sz w:val="24"/>
          <w:szCs w:val="24"/>
        </w:rPr>
        <w:t xml:space="preserve">: </w:t>
      </w:r>
      <w:r w:rsidRPr="008E20CD">
        <w:rPr>
          <w:i w:val="0"/>
          <w:iCs w:val="0"/>
          <w:color w:val="auto"/>
          <w:sz w:val="24"/>
          <w:szCs w:val="24"/>
        </w:rPr>
        <w:t>Comparison between experimental rates on pyridine with modeled Na-titration</w:t>
      </w:r>
      <w:r w:rsidR="00F80203">
        <w:rPr>
          <w:i w:val="0"/>
          <w:iCs w:val="0"/>
          <w:color w:val="auto"/>
          <w:sz w:val="24"/>
          <w:szCs w:val="24"/>
        </w:rPr>
        <w:t xml:space="preserve"> </w:t>
      </w:r>
      <w:r w:rsidRPr="008E20CD">
        <w:rPr>
          <w:i w:val="0"/>
          <w:iCs w:val="0"/>
          <w:color w:val="auto"/>
          <w:sz w:val="24"/>
          <w:szCs w:val="24"/>
        </w:rPr>
        <w:t>rates in ZSM5 zeolite with Si/Al of 40.</w:t>
      </w:r>
      <w:bookmarkEnd w:id="72"/>
    </w:p>
    <w:p w14:paraId="5EDF499B" w14:textId="77777777" w:rsidR="00141995" w:rsidRDefault="00141995" w:rsidP="00A63A89">
      <w:pPr>
        <w:pStyle w:val="ListParagraph"/>
        <w:spacing w:line="480" w:lineRule="auto"/>
        <w:jc w:val="both"/>
        <w:rPr>
          <w:i/>
          <w:iCs/>
          <w:u w:val="single"/>
        </w:rPr>
      </w:pPr>
    </w:p>
    <w:p w14:paraId="54FC10D9" w14:textId="622FCD2E" w:rsidR="00A35A08" w:rsidRDefault="00A35A08" w:rsidP="00A63A89">
      <w:pPr>
        <w:pStyle w:val="ListParagraph"/>
        <w:spacing w:line="480" w:lineRule="auto"/>
        <w:jc w:val="both"/>
      </w:pPr>
      <w:r w:rsidRPr="00F845CC">
        <w:rPr>
          <w:i/>
          <w:iCs/>
          <w:u w:val="single"/>
        </w:rPr>
        <w:t>HY (Si/Al 30) zeolite</w:t>
      </w:r>
      <w:r w:rsidRPr="00F845CC">
        <w:rPr>
          <w:i/>
          <w:iCs/>
        </w:rPr>
        <w:t xml:space="preserve">:  </w:t>
      </w:r>
      <w:r w:rsidRPr="00F845CC">
        <w:t>Previous observation</w:t>
      </w:r>
      <w:r>
        <w:t xml:space="preserve">s in regards of pyridine desorption from the surface are clearer in Y30, mainly with the pyridine evolution over CPO-condensation </w:t>
      </w:r>
      <w:r w:rsidRPr="008E20CD">
        <w:t xml:space="preserve">showing a plateau throughout the </w:t>
      </w:r>
      <w:r w:rsidRPr="00C80AAF">
        <w:t>whole range of titration (</w:t>
      </w:r>
      <w:r w:rsidRPr="00C80AAF">
        <w:rPr>
          <w:b/>
          <w:bCs/>
        </w:rPr>
        <w:t xml:space="preserve">Figure </w:t>
      </w:r>
      <w:r w:rsidR="00902F18" w:rsidRPr="00C80AAF">
        <w:rPr>
          <w:b/>
          <w:bCs/>
        </w:rPr>
        <w:t>37</w:t>
      </w:r>
      <w:r w:rsidRPr="00C80AAF">
        <w:rPr>
          <w:b/>
          <w:bCs/>
        </w:rPr>
        <w:t xml:space="preserve"> </w:t>
      </w:r>
      <w:r w:rsidRPr="00C80AAF">
        <w:t>and</w:t>
      </w:r>
      <w:r w:rsidRPr="00C80AAF">
        <w:rPr>
          <w:b/>
          <w:bCs/>
        </w:rPr>
        <w:t xml:space="preserve"> Figure </w:t>
      </w:r>
      <w:r w:rsidR="00902F18" w:rsidRPr="00C80AAF">
        <w:rPr>
          <w:b/>
          <w:bCs/>
        </w:rPr>
        <w:t>38</w:t>
      </w:r>
      <w:r w:rsidRPr="00C80AAF">
        <w:t>). ACE distanced itself from the</w:t>
      </w:r>
      <w:r>
        <w:t xml:space="preserve"> modeled curve, but showed an adequate rate drop as put next to the modeled curves.</w:t>
      </w:r>
    </w:p>
    <w:p w14:paraId="7B144E36" w14:textId="77777777" w:rsidR="00A35A08" w:rsidRDefault="00A35A08" w:rsidP="00463612">
      <w:pPr>
        <w:pStyle w:val="ListParagraph"/>
        <w:keepNext/>
        <w:jc w:val="center"/>
      </w:pPr>
      <w:r>
        <w:rPr>
          <w:noProof/>
        </w:rPr>
        <w:drawing>
          <wp:inline distT="0" distB="0" distL="0" distR="0" wp14:anchorId="18B4E0C9" wp14:editId="6E202D19">
            <wp:extent cx="2729061" cy="2286000"/>
            <wp:effectExtent l="0" t="0" r="0" b="0"/>
            <wp:docPr id="31" name="Picture 3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scatter chart&#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9061" cy="2286000"/>
                    </a:xfrm>
                    <a:prstGeom prst="rect">
                      <a:avLst/>
                    </a:prstGeom>
                    <a:noFill/>
                  </pic:spPr>
                </pic:pic>
              </a:graphicData>
            </a:graphic>
          </wp:inline>
        </w:drawing>
      </w:r>
    </w:p>
    <w:p w14:paraId="550958EA" w14:textId="7600FE93" w:rsidR="00A35A08" w:rsidRPr="008E20CD" w:rsidRDefault="00A35A08" w:rsidP="00463612">
      <w:pPr>
        <w:pStyle w:val="Caption"/>
        <w:ind w:left="720"/>
        <w:jc w:val="both"/>
        <w:rPr>
          <w:i w:val="0"/>
          <w:iCs w:val="0"/>
          <w:color w:val="auto"/>
          <w:sz w:val="24"/>
          <w:szCs w:val="24"/>
        </w:rPr>
      </w:pPr>
      <w:bookmarkStart w:id="73" w:name="_Toc131948701"/>
      <w:r w:rsidRPr="008E20CD">
        <w:rPr>
          <w:b/>
          <w:bCs/>
          <w:i w:val="0"/>
          <w:iCs w:val="0"/>
          <w:color w:val="auto"/>
          <w:sz w:val="24"/>
          <w:szCs w:val="24"/>
        </w:rPr>
        <w:t xml:space="preserve">Figure </w:t>
      </w:r>
      <w:r w:rsidRPr="008E20CD">
        <w:rPr>
          <w:b/>
          <w:bCs/>
          <w:i w:val="0"/>
          <w:iCs w:val="0"/>
          <w:color w:val="auto"/>
          <w:sz w:val="24"/>
          <w:szCs w:val="24"/>
        </w:rPr>
        <w:fldChar w:fldCharType="begin"/>
      </w:r>
      <w:r w:rsidRPr="008E20CD">
        <w:rPr>
          <w:b/>
          <w:bCs/>
          <w:i w:val="0"/>
          <w:iCs w:val="0"/>
          <w:color w:val="auto"/>
          <w:sz w:val="24"/>
          <w:szCs w:val="24"/>
        </w:rPr>
        <w:instrText xml:space="preserve"> SEQ Figure \* ARABIC </w:instrText>
      </w:r>
      <w:r w:rsidRPr="008E20CD">
        <w:rPr>
          <w:b/>
          <w:bCs/>
          <w:i w:val="0"/>
          <w:iCs w:val="0"/>
          <w:color w:val="auto"/>
          <w:sz w:val="24"/>
          <w:szCs w:val="24"/>
        </w:rPr>
        <w:fldChar w:fldCharType="separate"/>
      </w:r>
      <w:r w:rsidR="001F4741">
        <w:rPr>
          <w:b/>
          <w:bCs/>
          <w:i w:val="0"/>
          <w:iCs w:val="0"/>
          <w:noProof/>
          <w:color w:val="auto"/>
          <w:sz w:val="24"/>
          <w:szCs w:val="24"/>
        </w:rPr>
        <w:t>37</w:t>
      </w:r>
      <w:r w:rsidRPr="008E20CD">
        <w:rPr>
          <w:b/>
          <w:bCs/>
          <w:i w:val="0"/>
          <w:iCs w:val="0"/>
          <w:color w:val="auto"/>
          <w:sz w:val="24"/>
          <w:szCs w:val="24"/>
        </w:rPr>
        <w:fldChar w:fldCharType="end"/>
      </w:r>
      <w:r w:rsidRPr="008E20CD">
        <w:rPr>
          <w:b/>
          <w:bCs/>
          <w:i w:val="0"/>
          <w:iCs w:val="0"/>
          <w:color w:val="auto"/>
          <w:sz w:val="24"/>
          <w:szCs w:val="24"/>
        </w:rPr>
        <w:t>:</w:t>
      </w:r>
      <w:r w:rsidRPr="008E20CD">
        <w:rPr>
          <w:i w:val="0"/>
          <w:iCs w:val="0"/>
          <w:color w:val="auto"/>
          <w:sz w:val="24"/>
          <w:szCs w:val="24"/>
        </w:rPr>
        <w:t xml:space="preserve"> Self-condensation rates of CPO and ACE as a function of in-situ pyridine</w:t>
      </w:r>
      <w:r w:rsidR="00F80203">
        <w:rPr>
          <w:i w:val="0"/>
          <w:iCs w:val="0"/>
          <w:color w:val="auto"/>
          <w:sz w:val="24"/>
          <w:szCs w:val="24"/>
        </w:rPr>
        <w:t xml:space="preserve"> </w:t>
      </w:r>
      <w:r w:rsidRPr="008E20CD">
        <w:rPr>
          <w:i w:val="0"/>
          <w:iCs w:val="0"/>
          <w:color w:val="auto"/>
          <w:sz w:val="24"/>
          <w:szCs w:val="24"/>
        </w:rPr>
        <w:t>uptake in Y zeolite with Si/Al of 30.</w:t>
      </w:r>
      <w:bookmarkEnd w:id="73"/>
    </w:p>
    <w:p w14:paraId="6B406942" w14:textId="77777777" w:rsidR="00A35A08" w:rsidRDefault="00A35A08" w:rsidP="00463612">
      <w:pPr>
        <w:pStyle w:val="ListParagraph"/>
        <w:keepNext/>
      </w:pPr>
      <w:r>
        <w:rPr>
          <w:noProof/>
        </w:rPr>
        <w:lastRenderedPageBreak/>
        <w:drawing>
          <wp:inline distT="0" distB="0" distL="0" distR="0" wp14:anchorId="636F0D1E" wp14:editId="5EC04137">
            <wp:extent cx="5021473" cy="2103120"/>
            <wp:effectExtent l="0" t="0" r="8255" b="0"/>
            <wp:docPr id="32" name="Picture 3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scatter chart&#10;&#10;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021473" cy="2103120"/>
                    </a:xfrm>
                    <a:prstGeom prst="rect">
                      <a:avLst/>
                    </a:prstGeom>
                    <a:noFill/>
                  </pic:spPr>
                </pic:pic>
              </a:graphicData>
            </a:graphic>
          </wp:inline>
        </w:drawing>
      </w:r>
    </w:p>
    <w:p w14:paraId="21130822" w14:textId="73CC7A0F" w:rsidR="00A35A08" w:rsidRPr="008E20CD" w:rsidRDefault="00A35A08" w:rsidP="00463612">
      <w:pPr>
        <w:pStyle w:val="Caption"/>
        <w:ind w:left="720"/>
        <w:jc w:val="both"/>
        <w:rPr>
          <w:i w:val="0"/>
          <w:iCs w:val="0"/>
          <w:color w:val="auto"/>
          <w:sz w:val="24"/>
          <w:szCs w:val="24"/>
        </w:rPr>
      </w:pPr>
      <w:bookmarkStart w:id="74" w:name="_Toc131948702"/>
      <w:r w:rsidRPr="008E20CD">
        <w:rPr>
          <w:b/>
          <w:bCs/>
          <w:i w:val="0"/>
          <w:iCs w:val="0"/>
          <w:color w:val="auto"/>
          <w:sz w:val="24"/>
          <w:szCs w:val="24"/>
        </w:rPr>
        <w:t xml:space="preserve">Figure </w:t>
      </w:r>
      <w:r w:rsidRPr="008E20CD">
        <w:rPr>
          <w:b/>
          <w:bCs/>
          <w:i w:val="0"/>
          <w:iCs w:val="0"/>
          <w:color w:val="auto"/>
          <w:sz w:val="24"/>
          <w:szCs w:val="24"/>
        </w:rPr>
        <w:fldChar w:fldCharType="begin"/>
      </w:r>
      <w:r w:rsidRPr="008E20CD">
        <w:rPr>
          <w:b/>
          <w:bCs/>
          <w:i w:val="0"/>
          <w:iCs w:val="0"/>
          <w:color w:val="auto"/>
          <w:sz w:val="24"/>
          <w:szCs w:val="24"/>
        </w:rPr>
        <w:instrText xml:space="preserve"> SEQ Figure \* ARABIC </w:instrText>
      </w:r>
      <w:r w:rsidRPr="008E20CD">
        <w:rPr>
          <w:b/>
          <w:bCs/>
          <w:i w:val="0"/>
          <w:iCs w:val="0"/>
          <w:color w:val="auto"/>
          <w:sz w:val="24"/>
          <w:szCs w:val="24"/>
        </w:rPr>
        <w:fldChar w:fldCharType="separate"/>
      </w:r>
      <w:r w:rsidR="001F4741">
        <w:rPr>
          <w:b/>
          <w:bCs/>
          <w:i w:val="0"/>
          <w:iCs w:val="0"/>
          <w:noProof/>
          <w:color w:val="auto"/>
          <w:sz w:val="24"/>
          <w:szCs w:val="24"/>
        </w:rPr>
        <w:t>38</w:t>
      </w:r>
      <w:r w:rsidRPr="008E20CD">
        <w:rPr>
          <w:b/>
          <w:bCs/>
          <w:i w:val="0"/>
          <w:iCs w:val="0"/>
          <w:color w:val="auto"/>
          <w:sz w:val="24"/>
          <w:szCs w:val="24"/>
        </w:rPr>
        <w:fldChar w:fldCharType="end"/>
      </w:r>
      <w:r w:rsidRPr="008E20CD">
        <w:rPr>
          <w:b/>
          <w:bCs/>
          <w:i w:val="0"/>
          <w:iCs w:val="0"/>
          <w:color w:val="auto"/>
          <w:sz w:val="24"/>
          <w:szCs w:val="24"/>
        </w:rPr>
        <w:t>:</w:t>
      </w:r>
      <w:r w:rsidRPr="008E20CD">
        <w:rPr>
          <w:i w:val="0"/>
          <w:iCs w:val="0"/>
          <w:color w:val="auto"/>
          <w:sz w:val="24"/>
          <w:szCs w:val="24"/>
        </w:rPr>
        <w:t xml:space="preserve"> Comparison between experimental rates on pyridine with modeled Na-titration</w:t>
      </w:r>
      <w:r w:rsidR="00F80203">
        <w:rPr>
          <w:i w:val="0"/>
          <w:iCs w:val="0"/>
          <w:color w:val="auto"/>
          <w:sz w:val="24"/>
          <w:szCs w:val="24"/>
        </w:rPr>
        <w:t xml:space="preserve"> </w:t>
      </w:r>
      <w:r w:rsidRPr="008E20CD">
        <w:rPr>
          <w:i w:val="0"/>
          <w:iCs w:val="0"/>
          <w:color w:val="auto"/>
          <w:sz w:val="24"/>
          <w:szCs w:val="24"/>
        </w:rPr>
        <w:t>rates in Y zeolite with Si/Al of 30.</w:t>
      </w:r>
      <w:bookmarkEnd w:id="74"/>
    </w:p>
    <w:p w14:paraId="53BC608D" w14:textId="7B45580E" w:rsidR="00A35A08" w:rsidRPr="00F11C1B" w:rsidRDefault="0080277E" w:rsidP="0080277E">
      <w:pPr>
        <w:pStyle w:val="Heading4"/>
        <w:spacing w:line="480" w:lineRule="auto"/>
        <w:rPr>
          <w:rFonts w:ascii="Times New Roman" w:hAnsi="Times New Roman" w:cs="Times New Roman"/>
          <w:color w:val="auto"/>
        </w:rPr>
      </w:pPr>
      <w:r w:rsidRPr="00F11C1B">
        <w:rPr>
          <w:rFonts w:ascii="Times New Roman" w:hAnsi="Times New Roman" w:cs="Times New Roman"/>
          <w:color w:val="auto"/>
        </w:rPr>
        <w:tab/>
      </w:r>
      <w:r w:rsidR="00A35A08" w:rsidRPr="00F11C1B">
        <w:rPr>
          <w:rFonts w:ascii="Times New Roman" w:hAnsi="Times New Roman" w:cs="Times New Roman"/>
          <w:color w:val="auto"/>
        </w:rPr>
        <w:t xml:space="preserve">2.4.3.1 Role of Pyridine as a Titrant in Liquid Phase Reactions </w:t>
      </w:r>
    </w:p>
    <w:p w14:paraId="73066B44" w14:textId="1D0CDAC1" w:rsidR="00A35A08" w:rsidRPr="00EA031F" w:rsidRDefault="00A35A08" w:rsidP="0080277E">
      <w:pPr>
        <w:spacing w:line="480" w:lineRule="auto"/>
        <w:jc w:val="both"/>
        <w:rPr>
          <w:rFonts w:eastAsiaTheme="minorEastAsia"/>
          <w:color w:val="000000" w:themeColor="text1"/>
        </w:rPr>
      </w:pPr>
      <w:r w:rsidRPr="0080277E">
        <w:rPr>
          <w:rFonts w:eastAsiaTheme="minorEastAsia"/>
        </w:rPr>
        <w:tab/>
        <w:t xml:space="preserve">Differently than what was performed with the Na-titrated data, no modeling is done </w:t>
      </w:r>
      <w:r w:rsidRPr="00EA031F">
        <w:rPr>
          <w:rFonts w:eastAsiaTheme="minorEastAsia"/>
          <w:color w:val="000000" w:themeColor="text1"/>
        </w:rPr>
        <w:t xml:space="preserve">in the sake of understanding the role of pyridine in the zeolite active surfaces. To recall the conclusions taken from the titration graphs, pyridine seems to do not effectively titrate the active acid sites in all the zeolites performed resulted from a desorption. This behavior is affected due to a correlated synergy with the system characteristics in general: acid site density, intramolecular interaction with reactants and solvent, or the nature of each zeolite.  </w:t>
      </w:r>
    </w:p>
    <w:p w14:paraId="584E0E8E" w14:textId="4F95A8F0" w:rsidR="00A35A08" w:rsidRPr="0001013C" w:rsidRDefault="00A35A08" w:rsidP="00A63A89">
      <w:pPr>
        <w:spacing w:line="480" w:lineRule="auto"/>
        <w:ind w:firstLine="360"/>
        <w:jc w:val="both"/>
        <w:rPr>
          <w:rFonts w:eastAsiaTheme="minorEastAsia"/>
          <w:color w:val="000000" w:themeColor="text1"/>
        </w:rPr>
      </w:pPr>
      <w:r w:rsidRPr="00BB76AB">
        <w:rPr>
          <w:rFonts w:eastAsiaTheme="minorEastAsia"/>
        </w:rPr>
        <w:tab/>
        <w:t xml:space="preserve">A different way to observe the differences is plotted in </w:t>
      </w:r>
      <w:r w:rsidRPr="00C80AAF">
        <w:rPr>
          <w:rFonts w:eastAsiaTheme="minorEastAsia"/>
        </w:rPr>
        <w:t xml:space="preserve">the </w:t>
      </w:r>
      <w:r w:rsidRPr="00C80AAF">
        <w:rPr>
          <w:rFonts w:eastAsiaTheme="minorEastAsia"/>
          <w:b/>
          <w:bCs/>
        </w:rPr>
        <w:t xml:space="preserve">Figures </w:t>
      </w:r>
      <w:r w:rsidR="00902F18" w:rsidRPr="00C80AAF">
        <w:rPr>
          <w:rFonts w:eastAsiaTheme="minorEastAsia"/>
          <w:b/>
          <w:bCs/>
        </w:rPr>
        <w:t>39</w:t>
      </w:r>
      <w:r w:rsidRPr="00C80AAF">
        <w:rPr>
          <w:rFonts w:eastAsiaTheme="minorEastAsia"/>
        </w:rPr>
        <w:t xml:space="preserve">, </w:t>
      </w:r>
      <w:r w:rsidR="00902F18" w:rsidRPr="00C80AAF">
        <w:rPr>
          <w:rFonts w:eastAsiaTheme="minorEastAsia"/>
          <w:b/>
          <w:bCs/>
        </w:rPr>
        <w:t>40</w:t>
      </w:r>
      <w:r w:rsidRPr="00C80AAF">
        <w:rPr>
          <w:rFonts w:eastAsiaTheme="minorEastAsia"/>
        </w:rPr>
        <w:t>, and</w:t>
      </w:r>
      <w:r w:rsidRPr="00C80AAF">
        <w:rPr>
          <w:rFonts w:eastAsiaTheme="minorEastAsia"/>
          <w:b/>
          <w:bCs/>
        </w:rPr>
        <w:t xml:space="preserve"> </w:t>
      </w:r>
      <w:r w:rsidR="00902F18" w:rsidRPr="00C80AAF">
        <w:rPr>
          <w:rFonts w:eastAsiaTheme="minorEastAsia"/>
          <w:b/>
          <w:bCs/>
        </w:rPr>
        <w:t>41</w:t>
      </w:r>
      <w:r w:rsidRPr="00C80AAF">
        <w:rPr>
          <w:rFonts w:eastAsiaTheme="minorEastAsia"/>
        </w:rPr>
        <w:t>,</w:t>
      </w:r>
      <w:r w:rsidRPr="00C80AAF">
        <w:rPr>
          <w:rFonts w:eastAsiaTheme="minorEastAsia"/>
          <w:color w:val="000000" w:themeColor="text1"/>
        </w:rPr>
        <w:t xml:space="preserve"> bringing the relative activity drop within each zeolite as a function of either</w:t>
      </w:r>
      <w:r>
        <w:rPr>
          <w:rFonts w:eastAsiaTheme="minorEastAsia"/>
          <w:color w:val="000000" w:themeColor="text1"/>
        </w:rPr>
        <w:t xml:space="preserve"> pyridine uptake or Na-titrated sites. The purpose of these plots are mainly to show the deviation from the “</w:t>
      </w:r>
      <w:r w:rsidRPr="009464E0">
        <w:rPr>
          <w:rFonts w:eastAsiaTheme="minorEastAsia"/>
          <w:i/>
          <w:iCs/>
          <w:color w:val="000000" w:themeColor="text1"/>
        </w:rPr>
        <w:t>expected</w:t>
      </w:r>
      <w:r>
        <w:rPr>
          <w:rFonts w:eastAsiaTheme="minorEastAsia"/>
          <w:color w:val="000000" w:themeColor="text1"/>
        </w:rPr>
        <w:t>” (i.e. modeled) result as obtained during the Na-experiments. While in MFI the deviation is less evident, in faujasite it is notable for both ketones. Two hypotheses will be discussed next, whether the pyridine is being desorbed due to reaction temperature or because of an intermolecular interaction with the system species.</w:t>
      </w:r>
    </w:p>
    <w:p w14:paraId="45914B5B" w14:textId="77777777" w:rsidR="00A35A08" w:rsidRDefault="00A35A08" w:rsidP="00463612">
      <w:pPr>
        <w:keepNext/>
        <w:jc w:val="center"/>
      </w:pPr>
      <w:r w:rsidRPr="0001013C">
        <w:rPr>
          <w:noProof/>
        </w:rPr>
        <w:lastRenderedPageBreak/>
        <w:drawing>
          <wp:inline distT="0" distB="0" distL="0" distR="0" wp14:anchorId="497DA139" wp14:editId="4FD3EBF2">
            <wp:extent cx="5453362" cy="1920240"/>
            <wp:effectExtent l="0" t="0" r="0" b="3810"/>
            <wp:docPr id="33" name="Picture 3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scatter chart&#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53362" cy="1920240"/>
                    </a:xfrm>
                    <a:prstGeom prst="rect">
                      <a:avLst/>
                    </a:prstGeom>
                    <a:noFill/>
                  </pic:spPr>
                </pic:pic>
              </a:graphicData>
            </a:graphic>
          </wp:inline>
        </w:drawing>
      </w:r>
    </w:p>
    <w:p w14:paraId="7204BFDE" w14:textId="1A10E0A4" w:rsidR="00A35A08" w:rsidRPr="009C324A" w:rsidRDefault="00A35A08" w:rsidP="00463612">
      <w:pPr>
        <w:pStyle w:val="Caption"/>
        <w:jc w:val="both"/>
        <w:rPr>
          <w:i w:val="0"/>
          <w:iCs w:val="0"/>
          <w:color w:val="auto"/>
          <w:sz w:val="24"/>
          <w:szCs w:val="24"/>
        </w:rPr>
      </w:pPr>
      <w:bookmarkStart w:id="75" w:name="_Toc131948703"/>
      <w:r w:rsidRPr="00BB76AB">
        <w:rPr>
          <w:b/>
          <w:bCs/>
          <w:i w:val="0"/>
          <w:iCs w:val="0"/>
          <w:color w:val="auto"/>
          <w:sz w:val="24"/>
          <w:szCs w:val="24"/>
        </w:rPr>
        <w:t xml:space="preserve">Figure </w:t>
      </w:r>
      <w:r w:rsidRPr="00BB76AB">
        <w:rPr>
          <w:b/>
          <w:bCs/>
          <w:i w:val="0"/>
          <w:iCs w:val="0"/>
          <w:color w:val="auto"/>
          <w:sz w:val="24"/>
          <w:szCs w:val="24"/>
        </w:rPr>
        <w:fldChar w:fldCharType="begin"/>
      </w:r>
      <w:r w:rsidRPr="00BB76AB">
        <w:rPr>
          <w:b/>
          <w:bCs/>
          <w:i w:val="0"/>
          <w:iCs w:val="0"/>
          <w:color w:val="auto"/>
          <w:sz w:val="24"/>
          <w:szCs w:val="24"/>
        </w:rPr>
        <w:instrText xml:space="preserve"> SEQ Figure \* ARABIC </w:instrText>
      </w:r>
      <w:r w:rsidRPr="00BB76AB">
        <w:rPr>
          <w:b/>
          <w:bCs/>
          <w:i w:val="0"/>
          <w:iCs w:val="0"/>
          <w:color w:val="auto"/>
          <w:sz w:val="24"/>
          <w:szCs w:val="24"/>
        </w:rPr>
        <w:fldChar w:fldCharType="separate"/>
      </w:r>
      <w:r w:rsidR="001F4741">
        <w:rPr>
          <w:b/>
          <w:bCs/>
          <w:i w:val="0"/>
          <w:iCs w:val="0"/>
          <w:noProof/>
          <w:color w:val="auto"/>
          <w:sz w:val="24"/>
          <w:szCs w:val="24"/>
        </w:rPr>
        <w:t>39</w:t>
      </w:r>
      <w:r w:rsidRPr="00BB76AB">
        <w:rPr>
          <w:b/>
          <w:bCs/>
          <w:i w:val="0"/>
          <w:iCs w:val="0"/>
          <w:color w:val="auto"/>
          <w:sz w:val="24"/>
          <w:szCs w:val="24"/>
        </w:rPr>
        <w:fldChar w:fldCharType="end"/>
      </w:r>
      <w:r w:rsidRPr="00BB76AB">
        <w:rPr>
          <w:b/>
          <w:bCs/>
          <w:i w:val="0"/>
          <w:iCs w:val="0"/>
          <w:color w:val="auto"/>
          <w:sz w:val="24"/>
          <w:szCs w:val="24"/>
        </w:rPr>
        <w:t>:</w:t>
      </w:r>
      <w:r w:rsidRPr="00BB76AB">
        <w:rPr>
          <w:i w:val="0"/>
          <w:iCs w:val="0"/>
          <w:color w:val="auto"/>
          <w:sz w:val="24"/>
          <w:szCs w:val="24"/>
        </w:rPr>
        <w:t xml:space="preserve"> Relative activity drop as titrant agent is added in ZSM5 zeolite with Si/Al of 140 with </w:t>
      </w:r>
      <w:r w:rsidRPr="006448B4">
        <w:rPr>
          <w:b/>
          <w:bCs/>
          <w:i w:val="0"/>
          <w:iCs w:val="0"/>
          <w:color w:val="auto"/>
          <w:sz w:val="24"/>
          <w:szCs w:val="24"/>
        </w:rPr>
        <w:t>a)</w:t>
      </w:r>
      <w:r w:rsidRPr="00BB76AB">
        <w:rPr>
          <w:i w:val="0"/>
          <w:iCs w:val="0"/>
          <w:color w:val="auto"/>
          <w:sz w:val="24"/>
          <w:szCs w:val="24"/>
        </w:rPr>
        <w:t xml:space="preserve"> pyridine addition, and </w:t>
      </w:r>
      <w:r w:rsidRPr="006448B4">
        <w:rPr>
          <w:b/>
          <w:bCs/>
          <w:i w:val="0"/>
          <w:iCs w:val="0"/>
          <w:color w:val="auto"/>
          <w:sz w:val="24"/>
          <w:szCs w:val="24"/>
        </w:rPr>
        <w:t>b)</w:t>
      </w:r>
      <w:r w:rsidRPr="00BB76AB">
        <w:rPr>
          <w:i w:val="0"/>
          <w:iCs w:val="0"/>
          <w:color w:val="auto"/>
          <w:sz w:val="24"/>
          <w:szCs w:val="24"/>
        </w:rPr>
        <w:t xml:space="preserve"> Na-titration.</w:t>
      </w:r>
      <w:bookmarkEnd w:id="75"/>
    </w:p>
    <w:p w14:paraId="3B41915F" w14:textId="77777777" w:rsidR="00A35A08" w:rsidRDefault="00A35A08" w:rsidP="00463612">
      <w:pPr>
        <w:keepNext/>
        <w:jc w:val="center"/>
      </w:pPr>
      <w:r>
        <w:rPr>
          <w:noProof/>
        </w:rPr>
        <w:drawing>
          <wp:inline distT="0" distB="0" distL="0" distR="0" wp14:anchorId="3167C7B9" wp14:editId="62DCF18A">
            <wp:extent cx="5453361" cy="1920240"/>
            <wp:effectExtent l="0" t="0" r="0" b="3810"/>
            <wp:docPr id="34" name="Picture 3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scatter chart&#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53361" cy="1920240"/>
                    </a:xfrm>
                    <a:prstGeom prst="rect">
                      <a:avLst/>
                    </a:prstGeom>
                    <a:noFill/>
                  </pic:spPr>
                </pic:pic>
              </a:graphicData>
            </a:graphic>
          </wp:inline>
        </w:drawing>
      </w:r>
    </w:p>
    <w:p w14:paraId="5D72CEBD" w14:textId="282458EA" w:rsidR="00A35A08" w:rsidRPr="00EB54EC" w:rsidRDefault="00A35A08" w:rsidP="00463612">
      <w:pPr>
        <w:pStyle w:val="Caption"/>
        <w:jc w:val="both"/>
        <w:rPr>
          <w:i w:val="0"/>
          <w:iCs w:val="0"/>
          <w:color w:val="auto"/>
          <w:sz w:val="24"/>
          <w:szCs w:val="24"/>
        </w:rPr>
      </w:pPr>
      <w:bookmarkStart w:id="76" w:name="_Toc131948704"/>
      <w:r w:rsidRPr="00EB54EC">
        <w:rPr>
          <w:b/>
          <w:bCs/>
          <w:i w:val="0"/>
          <w:iCs w:val="0"/>
          <w:color w:val="auto"/>
          <w:sz w:val="24"/>
          <w:szCs w:val="24"/>
        </w:rPr>
        <w:t xml:space="preserve">Figure </w:t>
      </w:r>
      <w:r w:rsidRPr="00EB54EC">
        <w:rPr>
          <w:b/>
          <w:bCs/>
          <w:i w:val="0"/>
          <w:iCs w:val="0"/>
          <w:color w:val="auto"/>
          <w:sz w:val="24"/>
          <w:szCs w:val="24"/>
        </w:rPr>
        <w:fldChar w:fldCharType="begin"/>
      </w:r>
      <w:r w:rsidRPr="00EB54EC">
        <w:rPr>
          <w:b/>
          <w:bCs/>
          <w:i w:val="0"/>
          <w:iCs w:val="0"/>
          <w:color w:val="auto"/>
          <w:sz w:val="24"/>
          <w:szCs w:val="24"/>
        </w:rPr>
        <w:instrText xml:space="preserve"> SEQ Figure \* ARABIC </w:instrText>
      </w:r>
      <w:r w:rsidRPr="00EB54EC">
        <w:rPr>
          <w:b/>
          <w:bCs/>
          <w:i w:val="0"/>
          <w:iCs w:val="0"/>
          <w:color w:val="auto"/>
          <w:sz w:val="24"/>
          <w:szCs w:val="24"/>
        </w:rPr>
        <w:fldChar w:fldCharType="separate"/>
      </w:r>
      <w:r w:rsidR="001F4741">
        <w:rPr>
          <w:b/>
          <w:bCs/>
          <w:i w:val="0"/>
          <w:iCs w:val="0"/>
          <w:noProof/>
          <w:color w:val="auto"/>
          <w:sz w:val="24"/>
          <w:szCs w:val="24"/>
        </w:rPr>
        <w:t>40</w:t>
      </w:r>
      <w:r w:rsidRPr="00EB54EC">
        <w:rPr>
          <w:b/>
          <w:bCs/>
          <w:i w:val="0"/>
          <w:iCs w:val="0"/>
          <w:color w:val="auto"/>
          <w:sz w:val="24"/>
          <w:szCs w:val="24"/>
        </w:rPr>
        <w:fldChar w:fldCharType="end"/>
      </w:r>
      <w:r w:rsidRPr="00EB54EC">
        <w:rPr>
          <w:b/>
          <w:bCs/>
          <w:i w:val="0"/>
          <w:iCs w:val="0"/>
          <w:color w:val="auto"/>
          <w:sz w:val="24"/>
          <w:szCs w:val="24"/>
        </w:rPr>
        <w:t>:</w:t>
      </w:r>
      <w:r w:rsidRPr="00EB54EC">
        <w:rPr>
          <w:i w:val="0"/>
          <w:iCs w:val="0"/>
          <w:color w:val="auto"/>
          <w:sz w:val="24"/>
          <w:szCs w:val="24"/>
        </w:rPr>
        <w:t xml:space="preserve"> Relative activity drop as titrant agent is added in ZSM5 zeolite with Si/Al of 40 with </w:t>
      </w:r>
      <w:r w:rsidRPr="006448B4">
        <w:rPr>
          <w:b/>
          <w:bCs/>
          <w:i w:val="0"/>
          <w:iCs w:val="0"/>
          <w:color w:val="auto"/>
          <w:sz w:val="24"/>
          <w:szCs w:val="24"/>
        </w:rPr>
        <w:t>a)</w:t>
      </w:r>
      <w:r w:rsidRPr="00EB54EC">
        <w:rPr>
          <w:i w:val="0"/>
          <w:iCs w:val="0"/>
          <w:color w:val="auto"/>
          <w:sz w:val="24"/>
          <w:szCs w:val="24"/>
        </w:rPr>
        <w:t xml:space="preserve"> pyridine addition, and </w:t>
      </w:r>
      <w:r w:rsidRPr="006448B4">
        <w:rPr>
          <w:b/>
          <w:bCs/>
          <w:i w:val="0"/>
          <w:iCs w:val="0"/>
          <w:color w:val="auto"/>
          <w:sz w:val="24"/>
          <w:szCs w:val="24"/>
        </w:rPr>
        <w:t>b)</w:t>
      </w:r>
      <w:r w:rsidRPr="00EB54EC">
        <w:rPr>
          <w:i w:val="0"/>
          <w:iCs w:val="0"/>
          <w:color w:val="auto"/>
          <w:sz w:val="24"/>
          <w:szCs w:val="24"/>
        </w:rPr>
        <w:t xml:space="preserve"> Na-titration.</w:t>
      </w:r>
      <w:bookmarkEnd w:id="76"/>
    </w:p>
    <w:p w14:paraId="187211B6" w14:textId="77777777" w:rsidR="00A35A08" w:rsidRPr="009C324A" w:rsidRDefault="00A35A08" w:rsidP="00463612">
      <w:pPr>
        <w:keepNext/>
        <w:jc w:val="center"/>
      </w:pPr>
      <w:r w:rsidRPr="009C324A">
        <w:rPr>
          <w:noProof/>
        </w:rPr>
        <w:drawing>
          <wp:inline distT="0" distB="0" distL="0" distR="0" wp14:anchorId="5D0D662C" wp14:editId="6776501A">
            <wp:extent cx="5453361" cy="1920240"/>
            <wp:effectExtent l="0" t="0" r="0" b="3810"/>
            <wp:docPr id="35" name="Picture 3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scatter chart&#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53361" cy="1920240"/>
                    </a:xfrm>
                    <a:prstGeom prst="rect">
                      <a:avLst/>
                    </a:prstGeom>
                    <a:noFill/>
                  </pic:spPr>
                </pic:pic>
              </a:graphicData>
            </a:graphic>
          </wp:inline>
        </w:drawing>
      </w:r>
    </w:p>
    <w:p w14:paraId="6B1E3FEB" w14:textId="5939C79C" w:rsidR="00A35A08" w:rsidRPr="009C324A" w:rsidRDefault="00A35A08" w:rsidP="00463612">
      <w:pPr>
        <w:pStyle w:val="Caption"/>
        <w:jc w:val="both"/>
        <w:rPr>
          <w:i w:val="0"/>
          <w:iCs w:val="0"/>
          <w:color w:val="auto"/>
          <w:sz w:val="24"/>
          <w:szCs w:val="24"/>
        </w:rPr>
      </w:pPr>
      <w:bookmarkStart w:id="77" w:name="_Toc131948705"/>
      <w:r w:rsidRPr="009C324A">
        <w:rPr>
          <w:b/>
          <w:bCs/>
          <w:i w:val="0"/>
          <w:iCs w:val="0"/>
          <w:color w:val="auto"/>
          <w:sz w:val="24"/>
          <w:szCs w:val="24"/>
        </w:rPr>
        <w:t xml:space="preserve">Figure </w:t>
      </w:r>
      <w:r w:rsidRPr="009C324A">
        <w:rPr>
          <w:b/>
          <w:bCs/>
          <w:i w:val="0"/>
          <w:iCs w:val="0"/>
          <w:color w:val="auto"/>
          <w:sz w:val="24"/>
          <w:szCs w:val="24"/>
        </w:rPr>
        <w:fldChar w:fldCharType="begin"/>
      </w:r>
      <w:r w:rsidRPr="009C324A">
        <w:rPr>
          <w:b/>
          <w:bCs/>
          <w:i w:val="0"/>
          <w:iCs w:val="0"/>
          <w:color w:val="auto"/>
          <w:sz w:val="24"/>
          <w:szCs w:val="24"/>
        </w:rPr>
        <w:instrText xml:space="preserve"> SEQ Figure \* ARABIC </w:instrText>
      </w:r>
      <w:r w:rsidRPr="009C324A">
        <w:rPr>
          <w:b/>
          <w:bCs/>
          <w:i w:val="0"/>
          <w:iCs w:val="0"/>
          <w:color w:val="auto"/>
          <w:sz w:val="24"/>
          <w:szCs w:val="24"/>
        </w:rPr>
        <w:fldChar w:fldCharType="separate"/>
      </w:r>
      <w:r w:rsidR="001F4741">
        <w:rPr>
          <w:b/>
          <w:bCs/>
          <w:i w:val="0"/>
          <w:iCs w:val="0"/>
          <w:noProof/>
          <w:color w:val="auto"/>
          <w:sz w:val="24"/>
          <w:szCs w:val="24"/>
        </w:rPr>
        <w:t>41</w:t>
      </w:r>
      <w:r w:rsidRPr="009C324A">
        <w:rPr>
          <w:b/>
          <w:bCs/>
          <w:i w:val="0"/>
          <w:iCs w:val="0"/>
          <w:color w:val="auto"/>
          <w:sz w:val="24"/>
          <w:szCs w:val="24"/>
        </w:rPr>
        <w:fldChar w:fldCharType="end"/>
      </w:r>
      <w:r w:rsidRPr="009C324A">
        <w:rPr>
          <w:b/>
          <w:bCs/>
          <w:i w:val="0"/>
          <w:iCs w:val="0"/>
          <w:color w:val="auto"/>
          <w:sz w:val="24"/>
          <w:szCs w:val="24"/>
        </w:rPr>
        <w:t>:</w:t>
      </w:r>
      <w:r w:rsidRPr="009C324A">
        <w:rPr>
          <w:i w:val="0"/>
          <w:iCs w:val="0"/>
          <w:color w:val="auto"/>
          <w:sz w:val="24"/>
          <w:szCs w:val="24"/>
        </w:rPr>
        <w:t xml:space="preserve"> Relative activity drop as titrant agent is added in ZSM5 zeolite with Si/Al of 40 with </w:t>
      </w:r>
      <w:r w:rsidRPr="006448B4">
        <w:rPr>
          <w:b/>
          <w:bCs/>
          <w:i w:val="0"/>
          <w:iCs w:val="0"/>
          <w:color w:val="auto"/>
          <w:sz w:val="24"/>
          <w:szCs w:val="24"/>
        </w:rPr>
        <w:t>a)</w:t>
      </w:r>
      <w:r w:rsidRPr="009C324A">
        <w:rPr>
          <w:i w:val="0"/>
          <w:iCs w:val="0"/>
          <w:color w:val="auto"/>
          <w:sz w:val="24"/>
          <w:szCs w:val="24"/>
        </w:rPr>
        <w:t xml:space="preserve"> pyridine addition, and </w:t>
      </w:r>
      <w:r w:rsidRPr="006448B4">
        <w:rPr>
          <w:b/>
          <w:bCs/>
          <w:i w:val="0"/>
          <w:iCs w:val="0"/>
          <w:color w:val="auto"/>
          <w:sz w:val="24"/>
          <w:szCs w:val="24"/>
        </w:rPr>
        <w:t>b)</w:t>
      </w:r>
      <w:r w:rsidRPr="009C324A">
        <w:rPr>
          <w:i w:val="0"/>
          <w:iCs w:val="0"/>
          <w:color w:val="auto"/>
          <w:sz w:val="24"/>
          <w:szCs w:val="24"/>
        </w:rPr>
        <w:t xml:space="preserve"> Na-titration.</w:t>
      </w:r>
      <w:bookmarkEnd w:id="77"/>
    </w:p>
    <w:p w14:paraId="0286FB2F" w14:textId="67B9500B" w:rsidR="00A35A08" w:rsidRDefault="00A35A08" w:rsidP="00A63A89">
      <w:pPr>
        <w:spacing w:line="480" w:lineRule="auto"/>
        <w:jc w:val="both"/>
        <w:rPr>
          <w:color w:val="000000" w:themeColor="text1"/>
        </w:rPr>
      </w:pPr>
      <w:r w:rsidRPr="00F8011E">
        <w:tab/>
      </w:r>
      <w:r w:rsidRPr="00F8011E">
        <w:rPr>
          <w:color w:val="000000" w:themeColor="text1"/>
        </w:rPr>
        <w:t xml:space="preserve">The chemical adsorption of species over </w:t>
      </w:r>
      <w:r>
        <w:rPr>
          <w:color w:val="000000" w:themeColor="text1"/>
        </w:rPr>
        <w:t xml:space="preserve">active surfaces and its analysis using infrared or ultraviolet-visible spectroscopy is a commonly used technique to characterize Bronsted or Lewis acid sites in catalysts </w:t>
      </w:r>
      <w:r>
        <w:rPr>
          <w:color w:val="000000" w:themeColor="text1"/>
        </w:rPr>
        <w:fldChar w:fldCharType="begin">
          <w:fldData xml:space="preserve">PEVuZE5vdGU+PENpdGU+PEF1dGhvcj5XYW5nPC9BdXRob3I+PFllYXI+MjAxOTwvWWVhcj48UmVj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</w:fldData>
        </w:fldChar>
      </w:r>
      <w:r w:rsidR="00C54D4B">
        <w:rPr>
          <w:color w:val="000000" w:themeColor="text1"/>
        </w:rPr>
        <w:instrText xml:space="preserve"> ADDIN EN.CITE </w:instrText>
      </w:r>
      <w:r w:rsidR="00C54D4B">
        <w:rPr>
          <w:color w:val="000000" w:themeColor="text1"/>
        </w:rPr>
        <w:fldChar w:fldCharType="begin">
          <w:fldData xml:space="preserve">PEVuZE5vdGU+PENpdGU+PEF1dGhvcj5XYW5nPC9BdXRob3I+PFllYXI+MjAxOTwvWWVhcj48UmVj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</w:fldData>
        </w:fldChar>
      </w:r>
      <w:r w:rsidR="00C54D4B">
        <w:rPr>
          <w:color w:val="000000" w:themeColor="text1"/>
        </w:rPr>
        <w:instrText xml:space="preserve"> ADDIN EN.CITE.DATA </w:instrText>
      </w:r>
      <w:r w:rsidR="00C54D4B">
        <w:rPr>
          <w:color w:val="000000" w:themeColor="text1"/>
        </w:rPr>
      </w:r>
      <w:r w:rsidR="00C54D4B">
        <w:rPr>
          <w:color w:val="000000" w:themeColor="text1"/>
        </w:rPr>
        <w:fldChar w:fldCharType="end"/>
      </w:r>
      <w:r>
        <w:rPr>
          <w:color w:val="000000" w:themeColor="text1"/>
        </w:rPr>
      </w:r>
      <w:r>
        <w:rPr>
          <w:color w:val="000000" w:themeColor="text1"/>
        </w:rPr>
        <w:fldChar w:fldCharType="separate"/>
      </w:r>
      <w:r w:rsidR="00C54D4B">
        <w:rPr>
          <w:noProof/>
          <w:color w:val="000000" w:themeColor="text1"/>
        </w:rPr>
        <w:t>[</w:t>
      </w:r>
      <w:hyperlink w:anchor="_ENREF_153" w:tooltip="Wang, 2019 #140" w:history="1">
        <w:r w:rsidR="00D307FA">
          <w:rPr>
            <w:noProof/>
            <w:color w:val="000000" w:themeColor="text1"/>
          </w:rPr>
          <w:t>153-155</w:t>
        </w:r>
      </w:hyperlink>
      <w:r w:rsidR="00C54D4B">
        <w:rPr>
          <w:noProof/>
          <w:color w:val="000000" w:themeColor="text1"/>
        </w:rPr>
        <w:t>]</w:t>
      </w:r>
      <w:r>
        <w:rPr>
          <w:color w:val="000000" w:themeColor="text1"/>
        </w:rPr>
        <w:fldChar w:fldCharType="end"/>
      </w:r>
      <w:r>
        <w:rPr>
          <w:color w:val="000000" w:themeColor="text1"/>
        </w:rPr>
        <w:t xml:space="preserve">. In acid sites, infrared spectroscopy can </w:t>
      </w:r>
      <w:r>
        <w:rPr>
          <w:color w:val="000000" w:themeColor="text1"/>
        </w:rPr>
        <w:lastRenderedPageBreak/>
        <w:t xml:space="preserve">use pyridine addition over the catalyst sample to observe peak disappearances relative to titrant adsorption and the growth of new peaks relative to the interaction with the surface atoms </w:t>
      </w:r>
      <w:r>
        <w:rPr>
          <w:color w:val="000000" w:themeColor="text1"/>
        </w:rPr>
        <w:fldChar w:fldCharType="begin">
          <w:fldData xml:space="preserve">PEVuZE5vdGU+PENpdGU+PEF1dGhvcj5Cb3JhZGU8L0F1dGhvcj48WWVhcj4xOTkwPC9ZZWFyPjxS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</w:fldData>
        </w:fldChar>
      </w:r>
      <w:r w:rsidR="00C54D4B">
        <w:rPr>
          <w:color w:val="000000" w:themeColor="text1"/>
        </w:rPr>
        <w:instrText xml:space="preserve"> ADDIN EN.CITE </w:instrText>
      </w:r>
      <w:r w:rsidR="00C54D4B">
        <w:rPr>
          <w:color w:val="000000" w:themeColor="text1"/>
        </w:rPr>
        <w:fldChar w:fldCharType="begin">
          <w:fldData xml:space="preserve">PEVuZE5vdGU+PENpdGU+PEF1dGhvcj5Cb3JhZGU8L0F1dGhvcj48WWVhcj4xOTkwPC9ZZWFyPjxS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</w:fldData>
        </w:fldChar>
      </w:r>
      <w:r w:rsidR="00C54D4B">
        <w:rPr>
          <w:color w:val="000000" w:themeColor="text1"/>
        </w:rPr>
        <w:instrText xml:space="preserve"> ADDIN EN.CITE.DATA </w:instrText>
      </w:r>
      <w:r w:rsidR="00C54D4B">
        <w:rPr>
          <w:color w:val="000000" w:themeColor="text1"/>
        </w:rPr>
      </w:r>
      <w:r w:rsidR="00C54D4B">
        <w:rPr>
          <w:color w:val="000000" w:themeColor="text1"/>
        </w:rPr>
        <w:fldChar w:fldCharType="end"/>
      </w:r>
      <w:r>
        <w:rPr>
          <w:color w:val="000000" w:themeColor="text1"/>
        </w:rPr>
      </w:r>
      <w:r>
        <w:rPr>
          <w:color w:val="000000" w:themeColor="text1"/>
        </w:rPr>
        <w:fldChar w:fldCharType="separate"/>
      </w:r>
      <w:r w:rsidR="00C54D4B">
        <w:rPr>
          <w:noProof/>
          <w:color w:val="000000" w:themeColor="text1"/>
        </w:rPr>
        <w:t>[</w:t>
      </w:r>
      <w:hyperlink w:anchor="_ENREF_156" w:tooltip="Borade, 1990 #143" w:history="1">
        <w:r w:rsidR="00D307FA">
          <w:rPr>
            <w:noProof/>
            <w:color w:val="000000" w:themeColor="text1"/>
          </w:rPr>
          <w:t>156</w:t>
        </w:r>
      </w:hyperlink>
      <w:r w:rsidR="00C54D4B">
        <w:rPr>
          <w:noProof/>
          <w:color w:val="000000" w:themeColor="text1"/>
        </w:rPr>
        <w:t xml:space="preserve">, </w:t>
      </w:r>
      <w:hyperlink w:anchor="_ENREF_157" w:tooltip="Kondo, 2010 #144" w:history="1">
        <w:r w:rsidR="00D307FA">
          <w:rPr>
            <w:noProof/>
            <w:color w:val="000000" w:themeColor="text1"/>
          </w:rPr>
          <w:t>157</w:t>
        </w:r>
      </w:hyperlink>
      <w:r w:rsidR="00C54D4B">
        <w:rPr>
          <w:noProof/>
          <w:color w:val="000000" w:themeColor="text1"/>
        </w:rPr>
        <w:t>]</w:t>
      </w:r>
      <w:r>
        <w:rPr>
          <w:color w:val="000000" w:themeColor="text1"/>
        </w:rPr>
        <w:fldChar w:fldCharType="end"/>
      </w:r>
      <w:r>
        <w:rPr>
          <w:color w:val="000000" w:themeColor="text1"/>
        </w:rPr>
        <w:t xml:space="preserve">. Busch et al. had identified the peaks assigned to pyridine interaction with BAS in both zeolite Y and </w:t>
      </w:r>
      <w:r w:rsidRPr="005550EC">
        <w:rPr>
          <w:color w:val="000000" w:themeColor="text1"/>
        </w:rPr>
        <w:t>ZSM5 (</w:t>
      </w:r>
      <w:r w:rsidRPr="005550EC">
        <w:rPr>
          <w:b/>
          <w:bCs/>
        </w:rPr>
        <w:t>Table 8</w:t>
      </w:r>
      <w:r w:rsidRPr="005550EC">
        <w:rPr>
          <w:color w:val="000000" w:themeColor="text1"/>
        </w:rPr>
        <w:t xml:space="preserve">), and observed their spectra after heating the sample chamber at high temperatures </w:t>
      </w:r>
      <w:r w:rsidRPr="005550EC">
        <w:rPr>
          <w:color w:val="000000" w:themeColor="text1"/>
        </w:rPr>
        <w:fldChar w:fldCharType="begin"/>
      </w:r>
      <w:r w:rsidR="00C54D4B" w:rsidRPr="005550EC">
        <w:rPr>
          <w:color w:val="000000" w:themeColor="text1"/>
        </w:rPr>
        <w:instrText xml:space="preserve"> ADDIN EN.CITE &lt;EndNote&gt;&lt;Cite&gt;&lt;Author&gt;Busch&lt;/Author&gt;&lt;Year&gt;2004&lt;/Year&gt;&lt;RecNum&gt;82&lt;/RecNum&gt;&lt;DisplayText&gt;[158]&lt;/DisplayText&gt;&lt;record&gt;&lt;rec-number&gt;82&lt;/rec-number&gt;&lt;foreign-keys&gt;&lt;key app="EN" db-id="59dvwrfdof9dw8exf0kvp0atwazsazeeffsp" timestamp="1672190139"&gt;82&lt;/key&gt;&lt;/foreign-keys&gt;&lt;ref-type name="Journal Article"&gt;17&lt;/ref-type&gt;&lt;contributors&gt;&lt;authors&gt;&lt;author&gt;Oliver M. Busch&lt;/author&gt;&lt;author&gt;Werner Brijoux&lt;/author&gt;&lt;author&gt;Stuart Thomson&lt;/author&gt;&lt;author&gt;Ferdi Schüth&lt;/author&gt;&lt;/authors&gt;&lt;/contributors&gt;&lt;titles&gt;&lt;title&gt;Spatially resolving infrared spectroscopy for parallelized characterization of acid sites of catalysts via pyridine sorption: Possibilities and limitations&lt;/title&gt;&lt;secondary-title&gt;Journal of Catalysis&lt;/secondary-title&gt;&lt;/titles&gt;&lt;periodical&gt;&lt;full-title&gt;Journal of Catalysis&lt;/full-title&gt;&lt;/periodical&gt;&lt;pages&gt;174-179&lt;/pages&gt;&lt;volume&gt;222&lt;/volume&gt;&lt;number&gt;1&lt;/number&gt;&lt;dates&gt;&lt;year&gt;2004&lt;/year&gt;&lt;/dates&gt;&lt;urls&gt;&lt;/urls&gt;&lt;electronic-resource-num&gt;https://doi.org/10.1016/j.jcat.2003.11.002&lt;/electronic-resource-num&gt;&lt;/record&gt;&lt;/Cite&gt;&lt;/EndNote&gt;</w:instrText>
      </w:r>
      <w:r w:rsidRPr="005550EC">
        <w:rPr>
          <w:color w:val="000000" w:themeColor="text1"/>
        </w:rPr>
        <w:fldChar w:fldCharType="separate"/>
      </w:r>
      <w:r w:rsidR="00C54D4B" w:rsidRPr="005550EC">
        <w:rPr>
          <w:noProof/>
          <w:color w:val="000000" w:themeColor="text1"/>
        </w:rPr>
        <w:t>[</w:t>
      </w:r>
      <w:hyperlink w:anchor="_ENREF_158" w:tooltip="Busch, 2004 #82" w:history="1">
        <w:r w:rsidR="00D307FA" w:rsidRPr="005550EC">
          <w:rPr>
            <w:noProof/>
            <w:color w:val="000000" w:themeColor="text1"/>
          </w:rPr>
          <w:t>158</w:t>
        </w:r>
      </w:hyperlink>
      <w:r w:rsidR="00C54D4B" w:rsidRPr="005550EC">
        <w:rPr>
          <w:noProof/>
          <w:color w:val="000000" w:themeColor="text1"/>
        </w:rPr>
        <w:t>]</w:t>
      </w:r>
      <w:r w:rsidRPr="005550EC">
        <w:rPr>
          <w:color w:val="000000" w:themeColor="text1"/>
        </w:rPr>
        <w:fldChar w:fldCharType="end"/>
      </w:r>
      <w:r w:rsidRPr="005550EC">
        <w:rPr>
          <w:color w:val="000000" w:themeColor="text1"/>
        </w:rPr>
        <w:t xml:space="preserve">. After a thermal treatment at 250 </w:t>
      </w:r>
      <w:r w:rsidRPr="005550EC">
        <w:rPr>
          <w:color w:val="000000" w:themeColor="text1"/>
          <w:vertAlign w:val="superscript"/>
        </w:rPr>
        <w:t>o</w:t>
      </w:r>
      <w:r w:rsidRPr="005550EC">
        <w:rPr>
          <w:color w:val="000000" w:themeColor="text1"/>
        </w:rPr>
        <w:t>C for 15 min physisorbed pyridine peaks disappeared while chemisorbed pyridine at peaks position of in the Bronsted and Lewis sites remained (</w:t>
      </w:r>
      <w:r w:rsidRPr="005550EC">
        <w:rPr>
          <w:b/>
          <w:bCs/>
        </w:rPr>
        <w:t xml:space="preserve">Figure </w:t>
      </w:r>
      <w:r w:rsidR="00B61947" w:rsidRPr="005550EC">
        <w:rPr>
          <w:b/>
          <w:bCs/>
        </w:rPr>
        <w:t>42</w:t>
      </w:r>
      <w:r w:rsidRPr="005550EC">
        <w:rPr>
          <w:b/>
          <w:bCs/>
        </w:rPr>
        <w:t xml:space="preserve"> </w:t>
      </w:r>
      <w:r w:rsidRPr="005550EC">
        <w:t>and</w:t>
      </w:r>
      <w:r w:rsidRPr="005550EC">
        <w:rPr>
          <w:b/>
          <w:bCs/>
        </w:rPr>
        <w:t xml:space="preserve"> </w:t>
      </w:r>
      <w:r w:rsidR="00B61947" w:rsidRPr="005550EC">
        <w:rPr>
          <w:b/>
          <w:bCs/>
        </w:rPr>
        <w:t>Figure 43</w:t>
      </w:r>
      <w:r w:rsidRPr="005550EC">
        <w:rPr>
          <w:color w:val="000000" w:themeColor="text1"/>
        </w:rPr>
        <w:t>). Based on this example, temperature is not likely to be the reason pyridine is desorbing from</w:t>
      </w:r>
      <w:r>
        <w:rPr>
          <w:color w:val="000000" w:themeColor="text1"/>
        </w:rPr>
        <w:t xml:space="preserve"> the BAS surface, so the idea of an interaction with the system species might cause of non-titrant behavior.</w:t>
      </w:r>
    </w:p>
    <w:p w14:paraId="0F5EE144" w14:textId="601B85D5" w:rsidR="00A35A08" w:rsidRPr="007F54A7" w:rsidRDefault="00A35A08" w:rsidP="00A35A08">
      <w:pPr>
        <w:pStyle w:val="Caption"/>
        <w:keepNext/>
        <w:rPr>
          <w:i w:val="0"/>
          <w:iCs w:val="0"/>
          <w:color w:val="auto"/>
          <w:sz w:val="24"/>
          <w:szCs w:val="24"/>
        </w:rPr>
      </w:pPr>
      <w:bookmarkStart w:id="78" w:name="_Toc131948659"/>
      <w:r w:rsidRPr="007F54A7">
        <w:rPr>
          <w:b/>
          <w:bCs/>
          <w:i w:val="0"/>
          <w:iCs w:val="0"/>
          <w:color w:val="auto"/>
          <w:sz w:val="24"/>
          <w:szCs w:val="24"/>
        </w:rPr>
        <w:t xml:space="preserve">Table </w:t>
      </w:r>
      <w:r w:rsidRPr="007F54A7">
        <w:rPr>
          <w:b/>
          <w:bCs/>
          <w:i w:val="0"/>
          <w:iCs w:val="0"/>
          <w:color w:val="auto"/>
          <w:sz w:val="24"/>
          <w:szCs w:val="24"/>
        </w:rPr>
        <w:fldChar w:fldCharType="begin"/>
      </w:r>
      <w:r w:rsidRPr="007F54A7">
        <w:rPr>
          <w:b/>
          <w:bCs/>
          <w:i w:val="0"/>
          <w:iCs w:val="0"/>
          <w:color w:val="auto"/>
          <w:sz w:val="24"/>
          <w:szCs w:val="24"/>
        </w:rPr>
        <w:instrText xml:space="preserve"> SEQ Table \* ARABIC </w:instrText>
      </w:r>
      <w:r w:rsidRPr="007F54A7">
        <w:rPr>
          <w:b/>
          <w:bCs/>
          <w:i w:val="0"/>
          <w:iCs w:val="0"/>
          <w:color w:val="auto"/>
          <w:sz w:val="24"/>
          <w:szCs w:val="24"/>
        </w:rPr>
        <w:fldChar w:fldCharType="separate"/>
      </w:r>
      <w:r w:rsidR="001F4741">
        <w:rPr>
          <w:b/>
          <w:bCs/>
          <w:i w:val="0"/>
          <w:iCs w:val="0"/>
          <w:noProof/>
          <w:color w:val="auto"/>
          <w:sz w:val="24"/>
          <w:szCs w:val="24"/>
        </w:rPr>
        <w:t>8</w:t>
      </w:r>
      <w:r w:rsidRPr="007F54A7">
        <w:rPr>
          <w:b/>
          <w:bCs/>
          <w:i w:val="0"/>
          <w:iCs w:val="0"/>
          <w:color w:val="auto"/>
          <w:sz w:val="24"/>
          <w:szCs w:val="24"/>
        </w:rPr>
        <w:fldChar w:fldCharType="end"/>
      </w:r>
      <w:r w:rsidRPr="007F54A7">
        <w:rPr>
          <w:b/>
          <w:bCs/>
          <w:i w:val="0"/>
          <w:iCs w:val="0"/>
          <w:color w:val="auto"/>
          <w:sz w:val="24"/>
          <w:szCs w:val="24"/>
        </w:rPr>
        <w:t>:</w:t>
      </w:r>
      <w:r w:rsidRPr="007F54A7">
        <w:rPr>
          <w:i w:val="0"/>
          <w:iCs w:val="0"/>
          <w:color w:val="auto"/>
          <w:sz w:val="24"/>
          <w:szCs w:val="24"/>
        </w:rPr>
        <w:t xml:space="preserve"> Classification of chemi- and physisorbed pyridine on acidic solids</w:t>
      </w:r>
      <w:r w:rsidRPr="007F54A7">
        <w:rPr>
          <w:i w:val="0"/>
          <w:iCs w:val="0"/>
          <w:noProof/>
          <w:color w:val="auto"/>
          <w:sz w:val="24"/>
          <w:szCs w:val="24"/>
        </w:rPr>
        <w:t xml:space="preserve">. Adapted from Ref </w:t>
      </w:r>
      <w:r w:rsidRPr="007F54A7">
        <w:rPr>
          <w:i w:val="0"/>
          <w:iCs w:val="0"/>
          <w:noProof/>
          <w:color w:val="auto"/>
          <w:sz w:val="24"/>
          <w:szCs w:val="24"/>
        </w:rPr>
        <w:fldChar w:fldCharType="begin"/>
      </w:r>
      <w:r w:rsidR="00C54D4B">
        <w:rPr>
          <w:i w:val="0"/>
          <w:iCs w:val="0"/>
          <w:noProof/>
          <w:color w:val="auto"/>
          <w:sz w:val="24"/>
          <w:szCs w:val="24"/>
        </w:rPr>
        <w:instrText xml:space="preserve"> ADDIN EN.CITE &lt;EndNote&gt;&lt;Cite&gt;&lt;Author&gt;Busch&lt;/Author&gt;&lt;Year&gt;2004&lt;/Year&gt;&lt;RecNum&gt;82&lt;/RecNum&gt;&lt;DisplayText&gt;[158]&lt;/DisplayText&gt;&lt;record&gt;&lt;rec-number&gt;82&lt;/rec-number&gt;&lt;foreign-keys&gt;&lt;key app="EN" db-id="59dvwrfdof9dw8exf0kvp0atwazsazeeffsp" timestamp="1672190139"&gt;82&lt;/key&gt;&lt;/foreign-keys&gt;&lt;ref-type name="Journal Article"&gt;17&lt;/ref-type&gt;&lt;contributors&gt;&lt;authors&gt;&lt;author&gt;Oliver M. Busch&lt;/author&gt;&lt;author&gt;Werner Brijoux&lt;/author&gt;&lt;author&gt;Stuart Thomson&lt;/author&gt;&lt;author&gt;Ferdi Schüth&lt;/author&gt;&lt;/authors&gt;&lt;/contributors&gt;&lt;titles&gt;&lt;title&gt;Spatially resolving infrared spectroscopy for parallelized characterization of acid sites of catalysts via pyridine sorption: Possibilities and limitations&lt;/title&gt;&lt;secondary-title&gt;Journal of Catalysis&lt;/secondary-title&gt;&lt;/titles&gt;&lt;periodical&gt;&lt;full-title&gt;Journal of Catalysis&lt;/full-title&gt;&lt;/periodical&gt;&lt;pages&gt;174-179&lt;/pages&gt;&lt;volume&gt;222&lt;/volume&gt;&lt;number&gt;1&lt;/number&gt;&lt;dates&gt;&lt;year&gt;2004&lt;/year&gt;&lt;/dates&gt;&lt;urls&gt;&lt;/urls&gt;&lt;electronic-resource-num&gt;https://doi.org/10.1016/j.jcat.2003.11.002&lt;/electronic-resource-num&gt;&lt;/record&gt;&lt;/Cite&gt;&lt;/EndNote&gt;</w:instrText>
      </w:r>
      <w:r w:rsidRPr="007F54A7">
        <w:rPr>
          <w:i w:val="0"/>
          <w:iCs w:val="0"/>
          <w:noProof/>
          <w:color w:val="auto"/>
          <w:sz w:val="24"/>
          <w:szCs w:val="24"/>
        </w:rPr>
        <w:fldChar w:fldCharType="separate"/>
      </w:r>
      <w:r w:rsidR="00C54D4B">
        <w:rPr>
          <w:i w:val="0"/>
          <w:iCs w:val="0"/>
          <w:noProof/>
          <w:color w:val="auto"/>
          <w:sz w:val="24"/>
          <w:szCs w:val="24"/>
        </w:rPr>
        <w:t>[</w:t>
      </w:r>
      <w:hyperlink w:anchor="_ENREF_158" w:tooltip="Busch, 2004 #82" w:history="1">
        <w:r w:rsidR="00D307FA">
          <w:rPr>
            <w:i w:val="0"/>
            <w:iCs w:val="0"/>
            <w:noProof/>
            <w:color w:val="auto"/>
            <w:sz w:val="24"/>
            <w:szCs w:val="24"/>
          </w:rPr>
          <w:t>158</w:t>
        </w:r>
      </w:hyperlink>
      <w:r w:rsidR="00C54D4B">
        <w:rPr>
          <w:i w:val="0"/>
          <w:iCs w:val="0"/>
          <w:noProof/>
          <w:color w:val="auto"/>
          <w:sz w:val="24"/>
          <w:szCs w:val="24"/>
        </w:rPr>
        <w:t>]</w:t>
      </w:r>
      <w:r w:rsidRPr="007F54A7">
        <w:rPr>
          <w:i w:val="0"/>
          <w:iCs w:val="0"/>
          <w:noProof/>
          <w:color w:val="auto"/>
          <w:sz w:val="24"/>
          <w:szCs w:val="24"/>
        </w:rPr>
        <w:fldChar w:fldCharType="end"/>
      </w:r>
      <w:r w:rsidRPr="007F54A7">
        <w:rPr>
          <w:i w:val="0"/>
          <w:iCs w:val="0"/>
          <w:noProof/>
          <w:color w:val="auto"/>
          <w:sz w:val="24"/>
          <w:szCs w:val="24"/>
        </w:rPr>
        <w:t>.</w:t>
      </w:r>
      <w:bookmarkEnd w:id="78"/>
    </w:p>
    <w:tbl>
      <w:tblPr>
        <w:tblW w:w="5197" w:type="dxa"/>
        <w:tblLook w:val="04A0" w:firstRow="1" w:lastRow="0" w:firstColumn="1" w:lastColumn="0" w:noHBand="0" w:noVBand="1"/>
      </w:tblPr>
      <w:tblGrid>
        <w:gridCol w:w="1803"/>
        <w:gridCol w:w="3394"/>
      </w:tblGrid>
      <w:tr w:rsidR="00A35A08" w:rsidRPr="006D0CFD" w14:paraId="1A641E66" w14:textId="77777777" w:rsidTr="00974715">
        <w:trPr>
          <w:trHeight w:val="631"/>
        </w:trPr>
        <w:tc>
          <w:tcPr>
            <w:tcW w:w="1803" w:type="dxa"/>
            <w:tcBorders>
              <w:top w:val="single" w:sz="4" w:space="0" w:color="auto"/>
              <w:left w:val="nil"/>
              <w:bottom w:val="single" w:sz="4" w:space="0" w:color="auto"/>
              <w:right w:val="nil"/>
            </w:tcBorders>
            <w:shd w:val="clear" w:color="auto" w:fill="auto"/>
            <w:vAlign w:val="center"/>
            <w:hideMark/>
          </w:tcPr>
          <w:p w14:paraId="45F4A11B" w14:textId="77777777" w:rsidR="00A35A08" w:rsidRPr="006D0CFD" w:rsidRDefault="00A35A08" w:rsidP="00974715">
            <w:pPr>
              <w:rPr>
                <w:color w:val="000000"/>
              </w:rPr>
            </w:pPr>
            <w:r w:rsidRPr="006D0CFD">
              <w:rPr>
                <w:color w:val="000000"/>
              </w:rPr>
              <w:t>Position of the band [cm-1]</w:t>
            </w:r>
          </w:p>
        </w:tc>
        <w:tc>
          <w:tcPr>
            <w:tcW w:w="3394" w:type="dxa"/>
            <w:tcBorders>
              <w:top w:val="single" w:sz="4" w:space="0" w:color="auto"/>
              <w:left w:val="nil"/>
              <w:bottom w:val="single" w:sz="4" w:space="0" w:color="auto"/>
              <w:right w:val="nil"/>
            </w:tcBorders>
            <w:shd w:val="clear" w:color="auto" w:fill="auto"/>
            <w:noWrap/>
            <w:vAlign w:val="center"/>
            <w:hideMark/>
          </w:tcPr>
          <w:p w14:paraId="54D56A84" w14:textId="77777777" w:rsidR="00A35A08" w:rsidRPr="006D0CFD" w:rsidRDefault="00A35A08" w:rsidP="00974715">
            <w:pPr>
              <w:rPr>
                <w:color w:val="000000"/>
              </w:rPr>
            </w:pPr>
            <w:r w:rsidRPr="006D0CFD">
              <w:rPr>
                <w:color w:val="000000"/>
              </w:rPr>
              <w:t>Linkage of pyridine</w:t>
            </w:r>
          </w:p>
        </w:tc>
      </w:tr>
      <w:tr w:rsidR="00A35A08" w:rsidRPr="006D0CFD" w14:paraId="2CF2F7F8" w14:textId="77777777" w:rsidTr="00974715">
        <w:trPr>
          <w:trHeight w:val="315"/>
        </w:trPr>
        <w:tc>
          <w:tcPr>
            <w:tcW w:w="1803" w:type="dxa"/>
            <w:tcBorders>
              <w:top w:val="nil"/>
              <w:left w:val="nil"/>
              <w:bottom w:val="nil"/>
              <w:right w:val="nil"/>
            </w:tcBorders>
            <w:shd w:val="clear" w:color="auto" w:fill="auto"/>
            <w:noWrap/>
            <w:vAlign w:val="center"/>
            <w:hideMark/>
          </w:tcPr>
          <w:p w14:paraId="0DEEFDBC" w14:textId="77777777" w:rsidR="00A35A08" w:rsidRPr="006D0CFD" w:rsidRDefault="00A35A08" w:rsidP="00974715">
            <w:pPr>
              <w:jc w:val="center"/>
              <w:rPr>
                <w:color w:val="000000"/>
              </w:rPr>
            </w:pPr>
            <w:r w:rsidRPr="006D0CFD">
              <w:rPr>
                <w:color w:val="000000"/>
              </w:rPr>
              <w:t>1638</w:t>
            </w:r>
          </w:p>
        </w:tc>
        <w:tc>
          <w:tcPr>
            <w:tcW w:w="3394" w:type="dxa"/>
            <w:tcBorders>
              <w:top w:val="nil"/>
              <w:left w:val="nil"/>
              <w:bottom w:val="nil"/>
              <w:right w:val="nil"/>
            </w:tcBorders>
            <w:shd w:val="clear" w:color="auto" w:fill="auto"/>
            <w:noWrap/>
            <w:vAlign w:val="center"/>
            <w:hideMark/>
          </w:tcPr>
          <w:p w14:paraId="2488BE23" w14:textId="77777777" w:rsidR="00A35A08" w:rsidRPr="006D0CFD" w:rsidRDefault="00A35A08" w:rsidP="00974715">
            <w:pPr>
              <w:rPr>
                <w:color w:val="000000"/>
              </w:rPr>
            </w:pPr>
            <w:r w:rsidRPr="006D0CFD">
              <w:rPr>
                <w:color w:val="000000"/>
              </w:rPr>
              <w:t>Bronsted acid sites</w:t>
            </w:r>
          </w:p>
        </w:tc>
      </w:tr>
      <w:tr w:rsidR="00A35A08" w:rsidRPr="006D0CFD" w14:paraId="5B506BF3" w14:textId="77777777" w:rsidTr="00974715">
        <w:trPr>
          <w:trHeight w:val="315"/>
        </w:trPr>
        <w:tc>
          <w:tcPr>
            <w:tcW w:w="1803" w:type="dxa"/>
            <w:tcBorders>
              <w:top w:val="nil"/>
              <w:left w:val="nil"/>
              <w:bottom w:val="nil"/>
              <w:right w:val="nil"/>
            </w:tcBorders>
            <w:shd w:val="clear" w:color="auto" w:fill="auto"/>
            <w:noWrap/>
            <w:vAlign w:val="center"/>
            <w:hideMark/>
          </w:tcPr>
          <w:p w14:paraId="001FA1DD" w14:textId="77777777" w:rsidR="00A35A08" w:rsidRPr="006D0CFD" w:rsidRDefault="00A35A08" w:rsidP="00974715">
            <w:pPr>
              <w:jc w:val="center"/>
              <w:rPr>
                <w:color w:val="000000"/>
              </w:rPr>
            </w:pPr>
            <w:r w:rsidRPr="006D0CFD">
              <w:rPr>
                <w:color w:val="000000"/>
              </w:rPr>
              <w:t>1620</w:t>
            </w:r>
          </w:p>
        </w:tc>
        <w:tc>
          <w:tcPr>
            <w:tcW w:w="3394" w:type="dxa"/>
            <w:tcBorders>
              <w:top w:val="nil"/>
              <w:left w:val="nil"/>
              <w:bottom w:val="nil"/>
              <w:right w:val="nil"/>
            </w:tcBorders>
            <w:shd w:val="clear" w:color="auto" w:fill="auto"/>
            <w:noWrap/>
            <w:vAlign w:val="center"/>
            <w:hideMark/>
          </w:tcPr>
          <w:p w14:paraId="58915AAC" w14:textId="77777777" w:rsidR="00A35A08" w:rsidRPr="006D0CFD" w:rsidRDefault="00A35A08" w:rsidP="00974715">
            <w:pPr>
              <w:rPr>
                <w:color w:val="000000"/>
              </w:rPr>
            </w:pPr>
            <w:r w:rsidRPr="006D0CFD">
              <w:rPr>
                <w:color w:val="000000"/>
              </w:rPr>
              <w:t>Lewis acid sites</w:t>
            </w:r>
          </w:p>
        </w:tc>
      </w:tr>
      <w:tr w:rsidR="00A35A08" w:rsidRPr="006D0CFD" w14:paraId="3A3B3F93" w14:textId="77777777" w:rsidTr="00974715">
        <w:trPr>
          <w:trHeight w:val="315"/>
        </w:trPr>
        <w:tc>
          <w:tcPr>
            <w:tcW w:w="1803" w:type="dxa"/>
            <w:tcBorders>
              <w:top w:val="nil"/>
              <w:left w:val="nil"/>
              <w:bottom w:val="nil"/>
              <w:right w:val="nil"/>
            </w:tcBorders>
            <w:shd w:val="clear" w:color="auto" w:fill="auto"/>
            <w:noWrap/>
            <w:vAlign w:val="center"/>
            <w:hideMark/>
          </w:tcPr>
          <w:p w14:paraId="374A2DFB" w14:textId="77777777" w:rsidR="00A35A08" w:rsidRPr="006D0CFD" w:rsidRDefault="00A35A08" w:rsidP="00974715">
            <w:pPr>
              <w:jc w:val="center"/>
              <w:rPr>
                <w:color w:val="000000"/>
              </w:rPr>
            </w:pPr>
            <w:r w:rsidRPr="006D0CFD">
              <w:rPr>
                <w:color w:val="000000"/>
              </w:rPr>
              <w:t>1580</w:t>
            </w:r>
          </w:p>
        </w:tc>
        <w:tc>
          <w:tcPr>
            <w:tcW w:w="3394" w:type="dxa"/>
            <w:tcBorders>
              <w:top w:val="nil"/>
              <w:left w:val="nil"/>
              <w:bottom w:val="nil"/>
              <w:right w:val="nil"/>
            </w:tcBorders>
            <w:shd w:val="clear" w:color="auto" w:fill="auto"/>
            <w:noWrap/>
            <w:vAlign w:val="center"/>
            <w:hideMark/>
          </w:tcPr>
          <w:p w14:paraId="33D2D4D2" w14:textId="77777777" w:rsidR="00A35A08" w:rsidRPr="006D0CFD" w:rsidRDefault="00A35A08" w:rsidP="00974715">
            <w:pPr>
              <w:rPr>
                <w:color w:val="000000"/>
              </w:rPr>
            </w:pPr>
            <w:r w:rsidRPr="006D0CFD">
              <w:rPr>
                <w:color w:val="000000"/>
              </w:rPr>
              <w:t>Physisorbed</w:t>
            </w:r>
          </w:p>
        </w:tc>
      </w:tr>
      <w:tr w:rsidR="00A35A08" w:rsidRPr="006D0CFD" w14:paraId="7D186535" w14:textId="77777777" w:rsidTr="00974715">
        <w:trPr>
          <w:trHeight w:val="315"/>
        </w:trPr>
        <w:tc>
          <w:tcPr>
            <w:tcW w:w="1803" w:type="dxa"/>
            <w:tcBorders>
              <w:top w:val="nil"/>
              <w:left w:val="nil"/>
              <w:bottom w:val="nil"/>
              <w:right w:val="nil"/>
            </w:tcBorders>
            <w:shd w:val="clear" w:color="auto" w:fill="auto"/>
            <w:noWrap/>
            <w:vAlign w:val="center"/>
            <w:hideMark/>
          </w:tcPr>
          <w:p w14:paraId="0E02C897" w14:textId="77777777" w:rsidR="00A35A08" w:rsidRPr="006D0CFD" w:rsidRDefault="00A35A08" w:rsidP="00974715">
            <w:pPr>
              <w:jc w:val="center"/>
              <w:rPr>
                <w:color w:val="000000"/>
              </w:rPr>
            </w:pPr>
            <w:r w:rsidRPr="006D0CFD">
              <w:rPr>
                <w:color w:val="000000"/>
              </w:rPr>
              <w:t>1545</w:t>
            </w:r>
          </w:p>
        </w:tc>
        <w:tc>
          <w:tcPr>
            <w:tcW w:w="3394" w:type="dxa"/>
            <w:tcBorders>
              <w:top w:val="nil"/>
              <w:left w:val="nil"/>
              <w:bottom w:val="nil"/>
              <w:right w:val="nil"/>
            </w:tcBorders>
            <w:shd w:val="clear" w:color="auto" w:fill="auto"/>
            <w:noWrap/>
            <w:vAlign w:val="center"/>
            <w:hideMark/>
          </w:tcPr>
          <w:p w14:paraId="1BD608B2" w14:textId="77777777" w:rsidR="00A35A08" w:rsidRPr="006D0CFD" w:rsidRDefault="00A35A08" w:rsidP="00974715">
            <w:pPr>
              <w:rPr>
                <w:color w:val="000000"/>
              </w:rPr>
            </w:pPr>
            <w:r w:rsidRPr="006D0CFD">
              <w:rPr>
                <w:color w:val="000000"/>
              </w:rPr>
              <w:t>Bronsted acid sites</w:t>
            </w:r>
          </w:p>
        </w:tc>
      </w:tr>
      <w:tr w:rsidR="00A35A08" w:rsidRPr="006D0CFD" w14:paraId="655E12B7" w14:textId="77777777" w:rsidTr="00974715">
        <w:trPr>
          <w:trHeight w:val="315"/>
        </w:trPr>
        <w:tc>
          <w:tcPr>
            <w:tcW w:w="1803" w:type="dxa"/>
            <w:tcBorders>
              <w:top w:val="nil"/>
              <w:left w:val="nil"/>
              <w:bottom w:val="nil"/>
              <w:right w:val="nil"/>
            </w:tcBorders>
            <w:shd w:val="clear" w:color="auto" w:fill="auto"/>
            <w:noWrap/>
            <w:vAlign w:val="center"/>
            <w:hideMark/>
          </w:tcPr>
          <w:p w14:paraId="2BEFAC93" w14:textId="77777777" w:rsidR="00A35A08" w:rsidRPr="006D0CFD" w:rsidRDefault="00A35A08" w:rsidP="00974715">
            <w:pPr>
              <w:jc w:val="center"/>
              <w:rPr>
                <w:color w:val="000000"/>
              </w:rPr>
            </w:pPr>
            <w:r w:rsidRPr="006D0CFD">
              <w:rPr>
                <w:color w:val="000000"/>
              </w:rPr>
              <w:t>1490</w:t>
            </w:r>
          </w:p>
        </w:tc>
        <w:tc>
          <w:tcPr>
            <w:tcW w:w="3394" w:type="dxa"/>
            <w:tcBorders>
              <w:top w:val="nil"/>
              <w:left w:val="nil"/>
              <w:bottom w:val="nil"/>
              <w:right w:val="nil"/>
            </w:tcBorders>
            <w:shd w:val="clear" w:color="auto" w:fill="auto"/>
            <w:noWrap/>
            <w:vAlign w:val="center"/>
            <w:hideMark/>
          </w:tcPr>
          <w:p w14:paraId="24BC42DE" w14:textId="77777777" w:rsidR="00A35A08" w:rsidRPr="006D0CFD" w:rsidRDefault="00A35A08" w:rsidP="00974715">
            <w:pPr>
              <w:rPr>
                <w:color w:val="000000"/>
              </w:rPr>
            </w:pPr>
            <w:r w:rsidRPr="006D0CFD">
              <w:rPr>
                <w:color w:val="000000"/>
              </w:rPr>
              <w:t>Bronsted and Lewis acid sites</w:t>
            </w:r>
          </w:p>
        </w:tc>
      </w:tr>
      <w:tr w:rsidR="00A35A08" w:rsidRPr="006D0CFD" w14:paraId="61383E6D" w14:textId="77777777" w:rsidTr="00974715">
        <w:trPr>
          <w:trHeight w:val="315"/>
        </w:trPr>
        <w:tc>
          <w:tcPr>
            <w:tcW w:w="1803" w:type="dxa"/>
            <w:tcBorders>
              <w:top w:val="nil"/>
              <w:left w:val="nil"/>
              <w:bottom w:val="nil"/>
              <w:right w:val="nil"/>
            </w:tcBorders>
            <w:shd w:val="clear" w:color="auto" w:fill="auto"/>
            <w:noWrap/>
            <w:vAlign w:val="center"/>
            <w:hideMark/>
          </w:tcPr>
          <w:p w14:paraId="6500EF0A" w14:textId="77777777" w:rsidR="00A35A08" w:rsidRPr="006D0CFD" w:rsidRDefault="00A35A08" w:rsidP="00974715">
            <w:pPr>
              <w:jc w:val="center"/>
              <w:rPr>
                <w:color w:val="000000"/>
              </w:rPr>
            </w:pPr>
            <w:r w:rsidRPr="006D0CFD">
              <w:rPr>
                <w:color w:val="000000"/>
              </w:rPr>
              <w:t>1450</w:t>
            </w:r>
          </w:p>
        </w:tc>
        <w:tc>
          <w:tcPr>
            <w:tcW w:w="3394" w:type="dxa"/>
            <w:tcBorders>
              <w:top w:val="nil"/>
              <w:left w:val="nil"/>
              <w:bottom w:val="nil"/>
              <w:right w:val="nil"/>
            </w:tcBorders>
            <w:shd w:val="clear" w:color="auto" w:fill="auto"/>
            <w:noWrap/>
            <w:vAlign w:val="center"/>
            <w:hideMark/>
          </w:tcPr>
          <w:p w14:paraId="6FDF366F" w14:textId="77777777" w:rsidR="00A35A08" w:rsidRPr="006D0CFD" w:rsidRDefault="00A35A08" w:rsidP="00974715">
            <w:pPr>
              <w:rPr>
                <w:color w:val="000000"/>
              </w:rPr>
            </w:pPr>
            <w:r w:rsidRPr="006D0CFD">
              <w:rPr>
                <w:color w:val="000000"/>
              </w:rPr>
              <w:t>Lewis acid sites</w:t>
            </w:r>
          </w:p>
        </w:tc>
      </w:tr>
      <w:tr w:rsidR="00A35A08" w:rsidRPr="006D0CFD" w14:paraId="43E29A73" w14:textId="77777777" w:rsidTr="00974715">
        <w:trPr>
          <w:trHeight w:val="315"/>
        </w:trPr>
        <w:tc>
          <w:tcPr>
            <w:tcW w:w="1803" w:type="dxa"/>
            <w:tcBorders>
              <w:top w:val="nil"/>
              <w:left w:val="nil"/>
              <w:bottom w:val="single" w:sz="4" w:space="0" w:color="auto"/>
              <w:right w:val="nil"/>
            </w:tcBorders>
            <w:shd w:val="clear" w:color="auto" w:fill="auto"/>
            <w:noWrap/>
            <w:vAlign w:val="center"/>
            <w:hideMark/>
          </w:tcPr>
          <w:p w14:paraId="45BFD069" w14:textId="77777777" w:rsidR="00A35A08" w:rsidRPr="006D0CFD" w:rsidRDefault="00A35A08" w:rsidP="00974715">
            <w:pPr>
              <w:jc w:val="center"/>
              <w:rPr>
                <w:color w:val="000000"/>
              </w:rPr>
            </w:pPr>
            <w:r w:rsidRPr="006D0CFD">
              <w:rPr>
                <w:color w:val="000000"/>
              </w:rPr>
              <w:t>1439</w:t>
            </w:r>
          </w:p>
        </w:tc>
        <w:tc>
          <w:tcPr>
            <w:tcW w:w="3394" w:type="dxa"/>
            <w:tcBorders>
              <w:top w:val="nil"/>
              <w:left w:val="nil"/>
              <w:bottom w:val="single" w:sz="4" w:space="0" w:color="auto"/>
              <w:right w:val="nil"/>
            </w:tcBorders>
            <w:shd w:val="clear" w:color="auto" w:fill="auto"/>
            <w:noWrap/>
            <w:vAlign w:val="center"/>
            <w:hideMark/>
          </w:tcPr>
          <w:p w14:paraId="6AAB2CCD" w14:textId="77777777" w:rsidR="00A35A08" w:rsidRPr="006D0CFD" w:rsidRDefault="00A35A08" w:rsidP="00974715">
            <w:pPr>
              <w:rPr>
                <w:color w:val="000000"/>
              </w:rPr>
            </w:pPr>
            <w:r w:rsidRPr="006D0CFD">
              <w:rPr>
                <w:color w:val="000000"/>
              </w:rPr>
              <w:t>Physisorbed</w:t>
            </w:r>
          </w:p>
        </w:tc>
      </w:tr>
    </w:tbl>
    <w:p w14:paraId="674C0FC8" w14:textId="77777777" w:rsidR="00A35A08" w:rsidRDefault="00A35A08" w:rsidP="00A35A08">
      <w:pPr>
        <w:jc w:val="both"/>
        <w:rPr>
          <w:color w:val="000000" w:themeColor="text1"/>
        </w:rPr>
      </w:pPr>
    </w:p>
    <w:p w14:paraId="6C065BF9" w14:textId="77777777" w:rsidR="00A35A08" w:rsidRDefault="00A35A08" w:rsidP="00463612">
      <w:pPr>
        <w:keepNext/>
        <w:jc w:val="center"/>
      </w:pPr>
      <w:r w:rsidRPr="001473E5">
        <w:rPr>
          <w:noProof/>
          <w:color w:val="000000" w:themeColor="text1"/>
        </w:rPr>
        <w:lastRenderedPageBreak/>
        <w:drawing>
          <wp:inline distT="0" distB="0" distL="0" distR="0" wp14:anchorId="63DAFC0B" wp14:editId="630424DC">
            <wp:extent cx="3672728" cy="2286000"/>
            <wp:effectExtent l="0" t="0" r="4445" b="0"/>
            <wp:docPr id="37" name="Picture 3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10;&#10;Description automatically generated"/>
                    <pic:cNvPicPr/>
                  </pic:nvPicPr>
                  <pic:blipFill>
                    <a:blip r:embed="rId56"/>
                    <a:stretch>
                      <a:fillRect/>
                    </a:stretch>
                  </pic:blipFill>
                  <pic:spPr>
                    <a:xfrm>
                      <a:off x="0" y="0"/>
                      <a:ext cx="3672728" cy="2286000"/>
                    </a:xfrm>
                    <a:prstGeom prst="rect">
                      <a:avLst/>
                    </a:prstGeom>
                  </pic:spPr>
                </pic:pic>
              </a:graphicData>
            </a:graphic>
          </wp:inline>
        </w:drawing>
      </w:r>
    </w:p>
    <w:p w14:paraId="4B034403" w14:textId="3D378311" w:rsidR="00A35A08" w:rsidRPr="007F54A7" w:rsidRDefault="00A35A08" w:rsidP="00463612">
      <w:pPr>
        <w:pStyle w:val="Caption"/>
        <w:jc w:val="both"/>
        <w:rPr>
          <w:i w:val="0"/>
          <w:iCs w:val="0"/>
          <w:color w:val="auto"/>
          <w:sz w:val="24"/>
          <w:szCs w:val="24"/>
        </w:rPr>
      </w:pPr>
      <w:bookmarkStart w:id="79" w:name="_Toc131948706"/>
      <w:r w:rsidRPr="007F54A7">
        <w:rPr>
          <w:b/>
          <w:bCs/>
          <w:i w:val="0"/>
          <w:iCs w:val="0"/>
          <w:color w:val="auto"/>
          <w:sz w:val="24"/>
          <w:szCs w:val="24"/>
        </w:rPr>
        <w:t xml:space="preserve">Figure </w:t>
      </w:r>
      <w:r w:rsidRPr="007F54A7">
        <w:rPr>
          <w:b/>
          <w:bCs/>
          <w:i w:val="0"/>
          <w:iCs w:val="0"/>
          <w:color w:val="auto"/>
          <w:sz w:val="24"/>
          <w:szCs w:val="24"/>
        </w:rPr>
        <w:fldChar w:fldCharType="begin"/>
      </w:r>
      <w:r w:rsidRPr="007F54A7">
        <w:rPr>
          <w:b/>
          <w:bCs/>
          <w:i w:val="0"/>
          <w:iCs w:val="0"/>
          <w:color w:val="auto"/>
          <w:sz w:val="24"/>
          <w:szCs w:val="24"/>
        </w:rPr>
        <w:instrText xml:space="preserve"> SEQ Figure \* ARABIC </w:instrText>
      </w:r>
      <w:r w:rsidRPr="007F54A7">
        <w:rPr>
          <w:b/>
          <w:bCs/>
          <w:i w:val="0"/>
          <w:iCs w:val="0"/>
          <w:color w:val="auto"/>
          <w:sz w:val="24"/>
          <w:szCs w:val="24"/>
        </w:rPr>
        <w:fldChar w:fldCharType="separate"/>
      </w:r>
      <w:r w:rsidR="001F4741">
        <w:rPr>
          <w:b/>
          <w:bCs/>
          <w:i w:val="0"/>
          <w:iCs w:val="0"/>
          <w:noProof/>
          <w:color w:val="auto"/>
          <w:sz w:val="24"/>
          <w:szCs w:val="24"/>
        </w:rPr>
        <w:t>42</w:t>
      </w:r>
      <w:r w:rsidRPr="007F54A7">
        <w:rPr>
          <w:b/>
          <w:bCs/>
          <w:i w:val="0"/>
          <w:iCs w:val="0"/>
          <w:color w:val="auto"/>
          <w:sz w:val="24"/>
          <w:szCs w:val="24"/>
        </w:rPr>
        <w:fldChar w:fldCharType="end"/>
      </w:r>
      <w:r w:rsidRPr="007F54A7">
        <w:rPr>
          <w:b/>
          <w:bCs/>
          <w:i w:val="0"/>
          <w:iCs w:val="0"/>
          <w:color w:val="auto"/>
          <w:sz w:val="24"/>
          <w:szCs w:val="24"/>
        </w:rPr>
        <w:t>:</w:t>
      </w:r>
      <w:r w:rsidRPr="007F54A7">
        <w:rPr>
          <w:i w:val="0"/>
          <w:iCs w:val="0"/>
          <w:color w:val="auto"/>
          <w:sz w:val="24"/>
          <w:szCs w:val="24"/>
        </w:rPr>
        <w:t xml:space="preserve"> R spectrum of sorbed pyridine on the surface of zeolite Y (10 mg/cm</w:t>
      </w:r>
      <w:r w:rsidRPr="007F54A7">
        <w:rPr>
          <w:i w:val="0"/>
          <w:iCs w:val="0"/>
          <w:color w:val="auto"/>
          <w:sz w:val="24"/>
          <w:szCs w:val="24"/>
          <w:vertAlign w:val="superscript"/>
        </w:rPr>
        <w:t>2</w:t>
      </w:r>
      <w:r w:rsidRPr="007F54A7">
        <w:rPr>
          <w:i w:val="0"/>
          <w:iCs w:val="0"/>
          <w:color w:val="auto"/>
          <w:sz w:val="24"/>
          <w:szCs w:val="24"/>
        </w:rPr>
        <w:t xml:space="preserve">) before heating (trace a) and after heating at 250 ◦C for 15 min (trace b) recorded in parallel mode with the FPA detector. The spectra are for the same sample at the same position in the cell. Reproduced from Ref </w:t>
      </w:r>
      <w:r w:rsidRPr="007F54A7">
        <w:rPr>
          <w:i w:val="0"/>
          <w:iCs w:val="0"/>
          <w:color w:val="auto"/>
          <w:sz w:val="24"/>
          <w:szCs w:val="24"/>
        </w:rPr>
        <w:fldChar w:fldCharType="begin"/>
      </w:r>
      <w:r w:rsidR="00C54D4B">
        <w:rPr>
          <w:i w:val="0"/>
          <w:iCs w:val="0"/>
          <w:color w:val="auto"/>
          <w:sz w:val="24"/>
          <w:szCs w:val="24"/>
        </w:rPr>
        <w:instrText xml:space="preserve"> ADDIN EN.CITE &lt;EndNote&gt;&lt;Cite&gt;&lt;Author&gt;Busch&lt;/Author&gt;&lt;Year&gt;2004&lt;/Year&gt;&lt;RecNum&gt;82&lt;/RecNum&gt;&lt;DisplayText&gt;[158]&lt;/DisplayText&gt;&lt;record&gt;&lt;rec-number&gt;82&lt;/rec-number&gt;&lt;foreign-keys&gt;&lt;key app="EN" db-id="59dvwrfdof9dw8exf0kvp0atwazsazeeffsp" timestamp="1672190139"&gt;82&lt;/key&gt;&lt;/foreign-keys&gt;&lt;ref-type name="Journal Article"&gt;17&lt;/ref-type&gt;&lt;contributors&gt;&lt;authors&gt;&lt;author&gt;Oliver M. Busch&lt;/author&gt;&lt;author&gt;Werner Brijoux&lt;/author&gt;&lt;author&gt;Stuart Thomson&lt;/author&gt;&lt;author&gt;Ferdi Schüth&lt;/author&gt;&lt;/authors&gt;&lt;/contributors&gt;&lt;titles&gt;&lt;title&gt;Spatially resolving infrared spectroscopy for parallelized characterization of acid sites of catalysts via pyridine sorption: Possibilities and limitations&lt;/title&gt;&lt;secondary-title&gt;Journal of Catalysis&lt;/secondary-title&gt;&lt;/titles&gt;&lt;periodical&gt;&lt;full-title&gt;Journal of Catalysis&lt;/full-title&gt;&lt;/periodical&gt;&lt;pages&gt;174-179&lt;/pages&gt;&lt;volume&gt;222&lt;/volume&gt;&lt;number&gt;1&lt;/number&gt;&lt;dates&gt;&lt;year&gt;2004&lt;/year&gt;&lt;/dates&gt;&lt;urls&gt;&lt;/urls&gt;&lt;electronic-resource-num&gt;https://doi.org/10.1016/j.jcat.2003.11.002&lt;/electronic-resource-num&gt;&lt;/record&gt;&lt;/Cite&gt;&lt;/EndNote&gt;</w:instrText>
      </w:r>
      <w:r w:rsidRPr="007F54A7">
        <w:rPr>
          <w:i w:val="0"/>
          <w:iCs w:val="0"/>
          <w:color w:val="auto"/>
          <w:sz w:val="24"/>
          <w:szCs w:val="24"/>
        </w:rPr>
        <w:fldChar w:fldCharType="separate"/>
      </w:r>
      <w:r w:rsidR="00C54D4B">
        <w:rPr>
          <w:i w:val="0"/>
          <w:iCs w:val="0"/>
          <w:noProof/>
          <w:color w:val="auto"/>
          <w:sz w:val="24"/>
          <w:szCs w:val="24"/>
        </w:rPr>
        <w:t>[</w:t>
      </w:r>
      <w:hyperlink w:anchor="_ENREF_158" w:tooltip="Busch, 2004 #82" w:history="1">
        <w:r w:rsidR="00D307FA">
          <w:rPr>
            <w:i w:val="0"/>
            <w:iCs w:val="0"/>
            <w:noProof/>
            <w:color w:val="auto"/>
            <w:sz w:val="24"/>
            <w:szCs w:val="24"/>
          </w:rPr>
          <w:t>158</w:t>
        </w:r>
      </w:hyperlink>
      <w:r w:rsidR="00C54D4B">
        <w:rPr>
          <w:i w:val="0"/>
          <w:iCs w:val="0"/>
          <w:noProof/>
          <w:color w:val="auto"/>
          <w:sz w:val="24"/>
          <w:szCs w:val="24"/>
        </w:rPr>
        <w:t>]</w:t>
      </w:r>
      <w:r w:rsidRPr="007F54A7">
        <w:rPr>
          <w:i w:val="0"/>
          <w:iCs w:val="0"/>
          <w:color w:val="auto"/>
          <w:sz w:val="24"/>
          <w:szCs w:val="24"/>
        </w:rPr>
        <w:fldChar w:fldCharType="end"/>
      </w:r>
      <w:r w:rsidRPr="007F54A7">
        <w:rPr>
          <w:i w:val="0"/>
          <w:iCs w:val="0"/>
          <w:color w:val="auto"/>
          <w:sz w:val="24"/>
          <w:szCs w:val="24"/>
        </w:rPr>
        <w:t>.</w:t>
      </w:r>
      <w:bookmarkEnd w:id="79"/>
    </w:p>
    <w:p w14:paraId="5754F7F0" w14:textId="77777777" w:rsidR="00A35A08" w:rsidRPr="007F54A7" w:rsidRDefault="00A35A08" w:rsidP="00463612">
      <w:pPr>
        <w:keepNext/>
        <w:jc w:val="center"/>
      </w:pPr>
      <w:r w:rsidRPr="007F54A7">
        <w:rPr>
          <w:noProof/>
        </w:rPr>
        <w:drawing>
          <wp:inline distT="0" distB="0" distL="0" distR="0" wp14:anchorId="3106F738" wp14:editId="7346FD60">
            <wp:extent cx="3624722" cy="2194560"/>
            <wp:effectExtent l="0" t="0" r="0" b="0"/>
            <wp:docPr id="38" name="Picture 3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 line chart&#10;&#10;Description automatically generated"/>
                    <pic:cNvPicPr/>
                  </pic:nvPicPr>
                  <pic:blipFill>
                    <a:blip r:embed="rId57"/>
                    <a:stretch>
                      <a:fillRect/>
                    </a:stretch>
                  </pic:blipFill>
                  <pic:spPr>
                    <a:xfrm>
                      <a:off x="0" y="0"/>
                      <a:ext cx="3624722" cy="2194560"/>
                    </a:xfrm>
                    <a:prstGeom prst="rect">
                      <a:avLst/>
                    </a:prstGeom>
                  </pic:spPr>
                </pic:pic>
              </a:graphicData>
            </a:graphic>
          </wp:inline>
        </w:drawing>
      </w:r>
    </w:p>
    <w:p w14:paraId="71B88BA6" w14:textId="50AED8EF" w:rsidR="00A35A08" w:rsidRPr="007F54A7" w:rsidRDefault="00A35A08" w:rsidP="00463612">
      <w:pPr>
        <w:pStyle w:val="Caption"/>
        <w:jc w:val="both"/>
        <w:rPr>
          <w:i w:val="0"/>
          <w:iCs w:val="0"/>
          <w:color w:val="auto"/>
          <w:sz w:val="24"/>
          <w:szCs w:val="24"/>
        </w:rPr>
      </w:pPr>
      <w:bookmarkStart w:id="80" w:name="_Toc131948707"/>
      <w:r w:rsidRPr="007F54A7">
        <w:rPr>
          <w:b/>
          <w:bCs/>
          <w:i w:val="0"/>
          <w:iCs w:val="0"/>
          <w:color w:val="auto"/>
          <w:sz w:val="24"/>
          <w:szCs w:val="24"/>
        </w:rPr>
        <w:t xml:space="preserve">Figure </w:t>
      </w:r>
      <w:r w:rsidRPr="007F54A7">
        <w:rPr>
          <w:b/>
          <w:bCs/>
          <w:i w:val="0"/>
          <w:iCs w:val="0"/>
          <w:color w:val="auto"/>
          <w:sz w:val="24"/>
          <w:szCs w:val="24"/>
        </w:rPr>
        <w:fldChar w:fldCharType="begin"/>
      </w:r>
      <w:r w:rsidRPr="007F54A7">
        <w:rPr>
          <w:b/>
          <w:bCs/>
          <w:i w:val="0"/>
          <w:iCs w:val="0"/>
          <w:color w:val="auto"/>
          <w:sz w:val="24"/>
          <w:szCs w:val="24"/>
        </w:rPr>
        <w:instrText xml:space="preserve"> SEQ Figure \* ARABIC </w:instrText>
      </w:r>
      <w:r w:rsidRPr="007F54A7">
        <w:rPr>
          <w:b/>
          <w:bCs/>
          <w:i w:val="0"/>
          <w:iCs w:val="0"/>
          <w:color w:val="auto"/>
          <w:sz w:val="24"/>
          <w:szCs w:val="24"/>
        </w:rPr>
        <w:fldChar w:fldCharType="separate"/>
      </w:r>
      <w:r w:rsidR="001F4741">
        <w:rPr>
          <w:b/>
          <w:bCs/>
          <w:i w:val="0"/>
          <w:iCs w:val="0"/>
          <w:noProof/>
          <w:color w:val="auto"/>
          <w:sz w:val="24"/>
          <w:szCs w:val="24"/>
        </w:rPr>
        <w:t>43</w:t>
      </w:r>
      <w:r w:rsidRPr="007F54A7">
        <w:rPr>
          <w:b/>
          <w:bCs/>
          <w:i w:val="0"/>
          <w:iCs w:val="0"/>
          <w:color w:val="auto"/>
          <w:sz w:val="24"/>
          <w:szCs w:val="24"/>
        </w:rPr>
        <w:fldChar w:fldCharType="end"/>
      </w:r>
      <w:r w:rsidRPr="007F54A7">
        <w:rPr>
          <w:b/>
          <w:bCs/>
          <w:i w:val="0"/>
          <w:iCs w:val="0"/>
          <w:color w:val="auto"/>
          <w:sz w:val="24"/>
          <w:szCs w:val="24"/>
        </w:rPr>
        <w:t>:</w:t>
      </w:r>
      <w:r w:rsidRPr="007F54A7">
        <w:rPr>
          <w:i w:val="0"/>
          <w:iCs w:val="0"/>
          <w:color w:val="auto"/>
          <w:sz w:val="24"/>
          <w:szCs w:val="24"/>
        </w:rPr>
        <w:t xml:space="preserve"> IR spectrum of sorbed pyridine on the surface of H-ZSM-5 (10 mg/cm</w:t>
      </w:r>
      <w:r w:rsidRPr="007F54A7">
        <w:rPr>
          <w:i w:val="0"/>
          <w:iCs w:val="0"/>
          <w:color w:val="auto"/>
          <w:sz w:val="24"/>
          <w:szCs w:val="24"/>
          <w:vertAlign w:val="superscript"/>
        </w:rPr>
        <w:t>2</w:t>
      </w:r>
      <w:r w:rsidRPr="007F54A7">
        <w:rPr>
          <w:i w:val="0"/>
          <w:iCs w:val="0"/>
          <w:color w:val="auto"/>
          <w:sz w:val="24"/>
          <w:szCs w:val="24"/>
        </w:rPr>
        <w:t xml:space="preserve">) before heating (trace a) and after heating at 250 ◦C for 15 min (trace b) recorded in parallel mode with the FPA detector. The spectra are for the same sample at the same position in the cell. Reproduced from Ref </w:t>
      </w:r>
      <w:r w:rsidRPr="007F54A7">
        <w:rPr>
          <w:i w:val="0"/>
          <w:iCs w:val="0"/>
          <w:color w:val="auto"/>
          <w:sz w:val="24"/>
          <w:szCs w:val="24"/>
        </w:rPr>
        <w:fldChar w:fldCharType="begin"/>
      </w:r>
      <w:r w:rsidR="00C54D4B">
        <w:rPr>
          <w:i w:val="0"/>
          <w:iCs w:val="0"/>
          <w:color w:val="auto"/>
          <w:sz w:val="24"/>
          <w:szCs w:val="24"/>
        </w:rPr>
        <w:instrText xml:space="preserve"> ADDIN EN.CITE &lt;EndNote&gt;&lt;Cite&gt;&lt;Author&gt;Busch&lt;/Author&gt;&lt;Year&gt;2004&lt;/Year&gt;&lt;RecNum&gt;82&lt;/RecNum&gt;&lt;DisplayText&gt;[158]&lt;/DisplayText&gt;&lt;record&gt;&lt;rec-number&gt;82&lt;/rec-number&gt;&lt;foreign-keys&gt;&lt;key app="EN" db-id="59dvwrfdof9dw8exf0kvp0atwazsazeeffsp" timestamp="1672190139"&gt;82&lt;/key&gt;&lt;/foreign-keys&gt;&lt;ref-type name="Journal Article"&gt;17&lt;/ref-type&gt;&lt;contributors&gt;&lt;authors&gt;&lt;author&gt;Oliver M. Busch&lt;/author&gt;&lt;author&gt;Werner Brijoux&lt;/author&gt;&lt;author&gt;Stuart Thomson&lt;/author&gt;&lt;author&gt;Ferdi Schüth&lt;/author&gt;&lt;/authors&gt;&lt;/contributors&gt;&lt;titles&gt;&lt;title&gt;Spatially resolving infrared spectroscopy for parallelized characterization of acid sites of catalysts via pyridine sorption: Possibilities and limitations&lt;/title&gt;&lt;secondary-title&gt;Journal of Catalysis&lt;/secondary-title&gt;&lt;/titles&gt;&lt;periodical&gt;&lt;full-title&gt;Journal of Catalysis&lt;/full-title&gt;&lt;/periodical&gt;&lt;pages&gt;174-179&lt;/pages&gt;&lt;volume&gt;222&lt;/volume&gt;&lt;number&gt;1&lt;/number&gt;&lt;dates&gt;&lt;year&gt;2004&lt;/year&gt;&lt;/dates&gt;&lt;urls&gt;&lt;/urls&gt;&lt;electronic-resource-num&gt;https://doi.org/10.1016/j.jcat.2003.11.002&lt;/electronic-resource-num&gt;&lt;/record&gt;&lt;/Cite&gt;&lt;/EndNote&gt;</w:instrText>
      </w:r>
      <w:r w:rsidRPr="007F54A7">
        <w:rPr>
          <w:i w:val="0"/>
          <w:iCs w:val="0"/>
          <w:color w:val="auto"/>
          <w:sz w:val="24"/>
          <w:szCs w:val="24"/>
        </w:rPr>
        <w:fldChar w:fldCharType="separate"/>
      </w:r>
      <w:r w:rsidR="00C54D4B">
        <w:rPr>
          <w:i w:val="0"/>
          <w:iCs w:val="0"/>
          <w:noProof/>
          <w:color w:val="auto"/>
          <w:sz w:val="24"/>
          <w:szCs w:val="24"/>
        </w:rPr>
        <w:t>[</w:t>
      </w:r>
      <w:hyperlink w:anchor="_ENREF_158" w:tooltip="Busch, 2004 #82" w:history="1">
        <w:r w:rsidR="00D307FA">
          <w:rPr>
            <w:i w:val="0"/>
            <w:iCs w:val="0"/>
            <w:noProof/>
            <w:color w:val="auto"/>
            <w:sz w:val="24"/>
            <w:szCs w:val="24"/>
          </w:rPr>
          <w:t>158</w:t>
        </w:r>
      </w:hyperlink>
      <w:r w:rsidR="00C54D4B">
        <w:rPr>
          <w:i w:val="0"/>
          <w:iCs w:val="0"/>
          <w:noProof/>
          <w:color w:val="auto"/>
          <w:sz w:val="24"/>
          <w:szCs w:val="24"/>
        </w:rPr>
        <w:t>]</w:t>
      </w:r>
      <w:r w:rsidRPr="007F54A7">
        <w:rPr>
          <w:i w:val="0"/>
          <w:iCs w:val="0"/>
          <w:color w:val="auto"/>
          <w:sz w:val="24"/>
          <w:szCs w:val="24"/>
        </w:rPr>
        <w:fldChar w:fldCharType="end"/>
      </w:r>
      <w:r w:rsidRPr="007F54A7">
        <w:rPr>
          <w:i w:val="0"/>
          <w:iCs w:val="0"/>
          <w:color w:val="auto"/>
          <w:sz w:val="24"/>
          <w:szCs w:val="24"/>
        </w:rPr>
        <w:t>.</w:t>
      </w:r>
      <w:bookmarkEnd w:id="80"/>
    </w:p>
    <w:p w14:paraId="4FD25ADC" w14:textId="77777777" w:rsidR="00A35A08" w:rsidRDefault="00A35A08" w:rsidP="006D32D4">
      <w:pPr>
        <w:spacing w:line="480" w:lineRule="auto"/>
        <w:jc w:val="both"/>
        <w:rPr>
          <w:color w:val="000000" w:themeColor="text1"/>
        </w:rPr>
      </w:pPr>
      <w:r>
        <w:rPr>
          <w:color w:val="000000" w:themeColor="text1"/>
        </w:rPr>
        <w:tab/>
        <w:t xml:space="preserve">A question could exist in regards of this interaction, whether it happens in the bulk phase or inside the zeolite framework around the site environment. In MFI, the tortuous channels have a constant diameter of around 5.5 Å which could impede the existence of a large concentration of species around the active site. However, the supercages in zeolite Y have an intern diameter of 13 Å with a pore aperture of 7.4 Å, being more permissive for </w:t>
      </w:r>
      <w:r>
        <w:rPr>
          <w:color w:val="000000" w:themeColor="text1"/>
        </w:rPr>
        <w:lastRenderedPageBreak/>
        <w:t xml:space="preserve">the species transit and aggregation inside the framework. Thinking about these differences, solvent interactions appears to cause pyridine desorption. </w:t>
      </w:r>
    </w:p>
    <w:p w14:paraId="53F497FE" w14:textId="2D53C7AA" w:rsidR="00A35A08" w:rsidRDefault="00A35A08" w:rsidP="006D32D4">
      <w:pPr>
        <w:spacing w:line="480" w:lineRule="auto"/>
        <w:jc w:val="both"/>
        <w:rPr>
          <w:color w:val="000000" w:themeColor="text1"/>
        </w:rPr>
      </w:pPr>
      <w:r>
        <w:rPr>
          <w:color w:val="000000" w:themeColor="text1"/>
        </w:rPr>
        <w:tab/>
        <w:t xml:space="preserve">In order to prove the presented hypothesis, a mixture containing catalyst, solvent and pyridine at high loadings was stirred for 30 min at room temperature and analyzed in ultraviolet-visible spectroscopy (UV </w:t>
      </w:r>
      <w:r w:rsidRPr="0060294C">
        <w:rPr>
          <w:color w:val="000000" w:themeColor="text1"/>
        </w:rPr>
        <w:t xml:space="preserve">vis). </w:t>
      </w:r>
      <w:r w:rsidRPr="0060294C">
        <w:rPr>
          <w:b/>
          <w:bCs/>
        </w:rPr>
        <w:t xml:space="preserve">Figure </w:t>
      </w:r>
      <w:r w:rsidR="00B61947" w:rsidRPr="0060294C">
        <w:rPr>
          <w:b/>
          <w:bCs/>
        </w:rPr>
        <w:t>44</w:t>
      </w:r>
      <w:r w:rsidRPr="0060294C">
        <w:t xml:space="preserve"> </w:t>
      </w:r>
      <w:r w:rsidRPr="0060294C">
        <w:rPr>
          <w:color w:val="000000" w:themeColor="text1"/>
        </w:rPr>
        <w:t>displays</w:t>
      </w:r>
      <w:r>
        <w:rPr>
          <w:color w:val="000000" w:themeColor="text1"/>
        </w:rPr>
        <w:t xml:space="preserve"> the UV vis spectra of both zeolite ZSM5 and Y used in the catalytic reactions. The peaks in the gray spectra are due to catalyst-solvent interactions that exist in the filtered mixture, and the subtracted line represents pyridine and its interactions with either the solvent or the catalyst. Once UV vis does not capture pyridine inside the zeolite framework, it is assumed that the existing difference is due to dissolved pyridine within the mixture. It is clear from the UV vis results the stronger effect of solvent towards pyridine in zeolite Y, which inside ZSM5 due to the lack of space this solvent-pyridine effect is minimal. To comply such conclusion the plateau in CPO catalytic results over Z140 with pyridine uptake only occurs at higher loadings of pyridine, enough to titrate a portion of the sites but enough to be located in the bulk liquid phase, while in zeolite Y such plateau exists early in the titration.</w:t>
      </w:r>
    </w:p>
    <w:p w14:paraId="6977BE97" w14:textId="77777777" w:rsidR="00A35A08" w:rsidRDefault="00A35A08" w:rsidP="00463612">
      <w:pPr>
        <w:keepNext/>
        <w:jc w:val="center"/>
      </w:pPr>
      <w:r>
        <w:rPr>
          <w:noProof/>
        </w:rPr>
        <w:lastRenderedPageBreak/>
        <w:drawing>
          <wp:inline distT="0" distB="0" distL="0" distR="0" wp14:anchorId="05734A82" wp14:editId="57D61E40">
            <wp:extent cx="3269966" cy="3657600"/>
            <wp:effectExtent l="0" t="0" r="6985" b="0"/>
            <wp:docPr id="36" name="Picture 3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histogram&#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269966" cy="3657600"/>
                    </a:xfrm>
                    <a:prstGeom prst="rect">
                      <a:avLst/>
                    </a:prstGeom>
                    <a:noFill/>
                  </pic:spPr>
                </pic:pic>
              </a:graphicData>
            </a:graphic>
          </wp:inline>
        </w:drawing>
      </w:r>
    </w:p>
    <w:p w14:paraId="31D7A676" w14:textId="5054CF91" w:rsidR="00A35A08" w:rsidRPr="007F54A7" w:rsidRDefault="00A35A08" w:rsidP="00463612">
      <w:pPr>
        <w:pStyle w:val="Caption"/>
        <w:jc w:val="both"/>
        <w:rPr>
          <w:i w:val="0"/>
          <w:iCs w:val="0"/>
          <w:color w:val="auto"/>
          <w:sz w:val="24"/>
          <w:szCs w:val="24"/>
        </w:rPr>
      </w:pPr>
      <w:bookmarkStart w:id="81" w:name="_Toc131948708"/>
      <w:r w:rsidRPr="007F54A7">
        <w:rPr>
          <w:b/>
          <w:bCs/>
          <w:i w:val="0"/>
          <w:iCs w:val="0"/>
          <w:color w:val="auto"/>
          <w:sz w:val="24"/>
          <w:szCs w:val="24"/>
        </w:rPr>
        <w:t xml:space="preserve">Figure </w:t>
      </w:r>
      <w:r w:rsidRPr="007F54A7">
        <w:rPr>
          <w:b/>
          <w:bCs/>
          <w:i w:val="0"/>
          <w:iCs w:val="0"/>
          <w:color w:val="auto"/>
          <w:sz w:val="24"/>
          <w:szCs w:val="24"/>
        </w:rPr>
        <w:fldChar w:fldCharType="begin"/>
      </w:r>
      <w:r w:rsidRPr="007F54A7">
        <w:rPr>
          <w:b/>
          <w:bCs/>
          <w:i w:val="0"/>
          <w:iCs w:val="0"/>
          <w:color w:val="auto"/>
          <w:sz w:val="24"/>
          <w:szCs w:val="24"/>
        </w:rPr>
        <w:instrText xml:space="preserve"> SEQ Figure \* ARABIC </w:instrText>
      </w:r>
      <w:r w:rsidRPr="007F54A7">
        <w:rPr>
          <w:b/>
          <w:bCs/>
          <w:i w:val="0"/>
          <w:iCs w:val="0"/>
          <w:color w:val="auto"/>
          <w:sz w:val="24"/>
          <w:szCs w:val="24"/>
        </w:rPr>
        <w:fldChar w:fldCharType="separate"/>
      </w:r>
      <w:r w:rsidR="001F4741">
        <w:rPr>
          <w:b/>
          <w:bCs/>
          <w:i w:val="0"/>
          <w:iCs w:val="0"/>
          <w:noProof/>
          <w:color w:val="auto"/>
          <w:sz w:val="24"/>
          <w:szCs w:val="24"/>
        </w:rPr>
        <w:t>44</w:t>
      </w:r>
      <w:r w:rsidRPr="007F54A7">
        <w:rPr>
          <w:b/>
          <w:bCs/>
          <w:i w:val="0"/>
          <w:iCs w:val="0"/>
          <w:color w:val="auto"/>
          <w:sz w:val="24"/>
          <w:szCs w:val="24"/>
        </w:rPr>
        <w:fldChar w:fldCharType="end"/>
      </w:r>
      <w:r w:rsidRPr="007F54A7">
        <w:rPr>
          <w:b/>
          <w:bCs/>
          <w:i w:val="0"/>
          <w:iCs w:val="0"/>
          <w:color w:val="auto"/>
          <w:sz w:val="24"/>
          <w:szCs w:val="24"/>
        </w:rPr>
        <w:t>:</w:t>
      </w:r>
      <w:r w:rsidRPr="007F54A7">
        <w:rPr>
          <w:i w:val="0"/>
          <w:iCs w:val="0"/>
          <w:color w:val="auto"/>
          <w:sz w:val="24"/>
          <w:szCs w:val="24"/>
        </w:rPr>
        <w:t xml:space="preserve"> Ultraviolet visible light spectra of a mixture containing 400 mg of catalyst (‘a)’ respective to zeolite ZSM5, and ‘b)’ to zeolite Y) in 100 mL of cyclohexane as solvent with 0.20 mmol/g</w:t>
      </w:r>
      <w:r w:rsidRPr="007F54A7">
        <w:rPr>
          <w:i w:val="0"/>
          <w:iCs w:val="0"/>
          <w:color w:val="auto"/>
          <w:sz w:val="24"/>
          <w:szCs w:val="24"/>
          <w:vertAlign w:val="subscript"/>
        </w:rPr>
        <w:t>cat</w:t>
      </w:r>
      <w:r w:rsidRPr="007F54A7">
        <w:rPr>
          <w:i w:val="0"/>
          <w:iCs w:val="0"/>
          <w:color w:val="auto"/>
          <w:sz w:val="24"/>
          <w:szCs w:val="24"/>
        </w:rPr>
        <w:t xml:space="preserve"> of pyridine added.</w:t>
      </w:r>
      <w:bookmarkEnd w:id="81"/>
    </w:p>
    <w:p w14:paraId="3919BD28" w14:textId="2EFD1D1A" w:rsidR="00A35A08" w:rsidRDefault="00A35A08" w:rsidP="006D32D4">
      <w:pPr>
        <w:spacing w:line="480" w:lineRule="auto"/>
        <w:jc w:val="both"/>
      </w:pPr>
      <w:r>
        <w:tab/>
        <w:t xml:space="preserve">To prove </w:t>
      </w:r>
      <w:r w:rsidRPr="0060294C">
        <w:t xml:space="preserve">that pyridine that those peaks are assigned to dissolved pyridine, two and threefold amount of titrant were added into the blank volume. Their respective UV vis spectra in </w:t>
      </w:r>
      <w:r w:rsidRPr="0060294C">
        <w:rPr>
          <w:b/>
          <w:bCs/>
        </w:rPr>
        <w:t xml:space="preserve">Figure </w:t>
      </w:r>
      <w:r w:rsidR="00B61947" w:rsidRPr="0060294C">
        <w:rPr>
          <w:b/>
          <w:bCs/>
        </w:rPr>
        <w:t>45</w:t>
      </w:r>
      <w:r w:rsidRPr="0060294C">
        <w:t xml:space="preserve"> displays the substantial</w:t>
      </w:r>
      <w:r>
        <w:t xml:space="preserve"> increase of the 292 nm peak, an indication of more pyridine in the solution.</w:t>
      </w:r>
    </w:p>
    <w:p w14:paraId="2B7A7B87" w14:textId="77777777" w:rsidR="00A35A08" w:rsidRDefault="00A35A08" w:rsidP="00463612">
      <w:pPr>
        <w:keepNext/>
        <w:jc w:val="center"/>
      </w:pPr>
      <w:r>
        <w:rPr>
          <w:noProof/>
        </w:rPr>
        <w:lastRenderedPageBreak/>
        <w:drawing>
          <wp:inline distT="0" distB="0" distL="0" distR="0" wp14:anchorId="57B11C9D" wp14:editId="40A39784">
            <wp:extent cx="3657600" cy="2285752"/>
            <wp:effectExtent l="0" t="0" r="0" b="635"/>
            <wp:docPr id="39" name="Picture 3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line chart&#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657600" cy="2285752"/>
                    </a:xfrm>
                    <a:prstGeom prst="rect">
                      <a:avLst/>
                    </a:prstGeom>
                    <a:noFill/>
                  </pic:spPr>
                </pic:pic>
              </a:graphicData>
            </a:graphic>
          </wp:inline>
        </w:drawing>
      </w:r>
    </w:p>
    <w:p w14:paraId="14E1B546" w14:textId="4808A94B" w:rsidR="00A35A08" w:rsidRPr="007F54A7" w:rsidRDefault="00A35A08" w:rsidP="00463612">
      <w:pPr>
        <w:pStyle w:val="Caption"/>
        <w:jc w:val="both"/>
        <w:rPr>
          <w:i w:val="0"/>
          <w:iCs w:val="0"/>
          <w:color w:val="auto"/>
          <w:sz w:val="24"/>
          <w:szCs w:val="24"/>
        </w:rPr>
      </w:pPr>
      <w:bookmarkStart w:id="82" w:name="_Toc131948709"/>
      <w:r w:rsidRPr="007F54A7">
        <w:rPr>
          <w:b/>
          <w:bCs/>
          <w:i w:val="0"/>
          <w:iCs w:val="0"/>
          <w:color w:val="auto"/>
          <w:sz w:val="24"/>
          <w:szCs w:val="24"/>
        </w:rPr>
        <w:t xml:space="preserve">Figure </w:t>
      </w:r>
      <w:r w:rsidRPr="007F54A7">
        <w:rPr>
          <w:b/>
          <w:bCs/>
          <w:i w:val="0"/>
          <w:iCs w:val="0"/>
          <w:color w:val="auto"/>
          <w:sz w:val="24"/>
          <w:szCs w:val="24"/>
        </w:rPr>
        <w:fldChar w:fldCharType="begin"/>
      </w:r>
      <w:r w:rsidRPr="007F54A7">
        <w:rPr>
          <w:b/>
          <w:bCs/>
          <w:i w:val="0"/>
          <w:iCs w:val="0"/>
          <w:color w:val="auto"/>
          <w:sz w:val="24"/>
          <w:szCs w:val="24"/>
        </w:rPr>
        <w:instrText xml:space="preserve"> SEQ Figure \* ARABIC </w:instrText>
      </w:r>
      <w:r w:rsidRPr="007F54A7">
        <w:rPr>
          <w:b/>
          <w:bCs/>
          <w:i w:val="0"/>
          <w:iCs w:val="0"/>
          <w:color w:val="auto"/>
          <w:sz w:val="24"/>
          <w:szCs w:val="24"/>
        </w:rPr>
        <w:fldChar w:fldCharType="separate"/>
      </w:r>
      <w:r w:rsidR="001F4741">
        <w:rPr>
          <w:b/>
          <w:bCs/>
          <w:i w:val="0"/>
          <w:iCs w:val="0"/>
          <w:noProof/>
          <w:color w:val="auto"/>
          <w:sz w:val="24"/>
          <w:szCs w:val="24"/>
        </w:rPr>
        <w:t>45</w:t>
      </w:r>
      <w:r w:rsidRPr="007F54A7">
        <w:rPr>
          <w:b/>
          <w:bCs/>
          <w:i w:val="0"/>
          <w:iCs w:val="0"/>
          <w:color w:val="auto"/>
          <w:sz w:val="24"/>
          <w:szCs w:val="24"/>
        </w:rPr>
        <w:fldChar w:fldCharType="end"/>
      </w:r>
      <w:r w:rsidRPr="007F54A7">
        <w:rPr>
          <w:b/>
          <w:bCs/>
          <w:i w:val="0"/>
          <w:iCs w:val="0"/>
          <w:color w:val="auto"/>
          <w:sz w:val="24"/>
          <w:szCs w:val="24"/>
        </w:rPr>
        <w:t>:</w:t>
      </w:r>
      <w:r w:rsidRPr="007F54A7">
        <w:rPr>
          <w:i w:val="0"/>
          <w:iCs w:val="0"/>
          <w:color w:val="auto"/>
          <w:sz w:val="24"/>
          <w:szCs w:val="24"/>
        </w:rPr>
        <w:t xml:space="preserve"> Ultraviolet visible light spectra of a mixture containing 400 mg of zeolite ZSM5 in 100 mL of cyclohexane as solvent with 0.20 (‘W Py’), 0.40 (‘W Py2x’) and 0.60 (‘W Py3x’) mmol/g</w:t>
      </w:r>
      <w:r w:rsidRPr="007F54A7">
        <w:rPr>
          <w:i w:val="0"/>
          <w:iCs w:val="0"/>
          <w:color w:val="auto"/>
          <w:sz w:val="24"/>
          <w:szCs w:val="24"/>
          <w:vertAlign w:val="subscript"/>
        </w:rPr>
        <w:t>cat</w:t>
      </w:r>
      <w:r w:rsidRPr="007F54A7">
        <w:rPr>
          <w:i w:val="0"/>
          <w:iCs w:val="0"/>
          <w:color w:val="auto"/>
          <w:sz w:val="24"/>
          <w:szCs w:val="24"/>
        </w:rPr>
        <w:t xml:space="preserve"> of pyridine added.</w:t>
      </w:r>
      <w:bookmarkEnd w:id="82"/>
    </w:p>
    <w:p w14:paraId="31F3FFFE" w14:textId="192C0184" w:rsidR="00A35A08" w:rsidRDefault="00A35A08" w:rsidP="006D32D4">
      <w:pPr>
        <w:spacing w:line="480" w:lineRule="auto"/>
        <w:jc w:val="both"/>
      </w:pPr>
      <w:r>
        <w:tab/>
        <w:t xml:space="preserve">The proposed solvation effect might happen due to the similar structure cyclohexane has compared to pyridine, what could also occur in CPO. These three molecules share a geometry which favors their intermolecular interactions </w:t>
      </w:r>
      <w:r>
        <w:fldChar w:fldCharType="begin"/>
      </w:r>
      <w:r>
        <w:instrText xml:space="preserve"> ADDIN EN.CITE &lt;EndNote&gt;&lt;Cite&gt;&lt;Author&gt;Leonard&lt;/Author&gt;&lt;Year&gt;1975&lt;/Year&gt;&lt;RecNum&gt;86&lt;/RecNum&gt;&lt;DisplayText&gt;[159, 160]&lt;/DisplayText&gt;&lt;record&gt;&lt;rec-number&gt;86&lt;/rec-number&gt;&lt;foreign-keys&gt;&lt;key app="EN" db-id="59dvwrfdof9dw8exf0kvp0atwazsazeeffsp" timestamp="1672193106"&gt;86&lt;/key&gt;&lt;/foreign-keys&gt;&lt;ref-type name="Journal Article"&gt;17&lt;/ref-type&gt;&lt;contributors&gt;&lt;authors&gt;&lt;author&gt;Jack E. Leonard&lt;/author&gt;&lt;author&gt;George S. Hammond&lt;/author&gt;&lt;author&gt;Howard E. Simmons&lt;/author&gt;&lt;/authors&gt;&lt;/contributors&gt;&lt;titles&gt;&lt;title&gt;The Apparent Symmetry of Cyclohexane&lt;/title&gt;&lt;secondary-title&gt;Journal of American Chemical Society&lt;/secondary-title&gt;&lt;/titles&gt;&lt;periodical&gt;&lt;full-title&gt;Journal of American Chemical Society&lt;/full-title&gt;&lt;/periodical&gt;&lt;pages&gt;5052-5054&lt;/pages&gt;&lt;dates&gt;&lt;year&gt;1975&lt;/year&gt;&lt;/dates&gt;&lt;urls&gt;&lt;/urls&gt;&lt;/record&gt;&lt;/Cite&gt;&lt;Cite&gt;&lt;Author&gt;Mootz&lt;/Author&gt;&lt;Year&gt;1981&lt;/Year&gt;&lt;RecNum&gt;84&lt;/RecNum&gt;&lt;record&gt;&lt;rec-number&gt;84&lt;/rec-number&gt;&lt;foreign-keys&gt;&lt;key app="EN" db-id="59dvwrfdof9dw8exf0kvp0atwazsazeeffsp" timestamp="1672192793"&gt;84&lt;/key&gt;&lt;/foreign-keys&gt;&lt;ref-type name="Journal Article"&gt;17&lt;/ref-type&gt;&lt;contributors&gt;&lt;authors&gt;&lt;author&gt;D. Mootz&lt;/author&gt;&lt;author&gt;H.‐G. Wussow&lt;/author&gt;&lt;/authors&gt;&lt;/contributors&gt;&lt;titles&gt;&lt;title&gt;Crystal structures of pyridine and pyridine trihydrate&lt;/title&gt;&lt;secondary-title&gt;The Journal of Chemical Physics&lt;/secondary-title&gt;&lt;/titles&gt;&lt;periodical&gt;&lt;full-title&gt;The Journal of Chemical Physics&lt;/full-title&gt;&lt;/periodical&gt;&lt;pages&gt;1517-1522&lt;/pages&gt;&lt;volume&gt;75&lt;/volume&gt;&lt;dates&gt;&lt;year&gt;1981&lt;/year&gt;&lt;/dates&gt;&lt;urls&gt;&lt;/urls&gt;&lt;electronic-resource-num&gt;https://doi.org/10.1063/1.442204&lt;/electronic-resource-num&gt;&lt;/record&gt;&lt;/Cite&gt;&lt;/EndNote&gt;</w:instrText>
      </w:r>
      <w:r>
        <w:fldChar w:fldCharType="separate"/>
      </w:r>
      <w:r>
        <w:rPr>
          <w:noProof/>
        </w:rPr>
        <w:t>[</w:t>
      </w:r>
      <w:hyperlink w:anchor="_ENREF_159" w:tooltip="Leonard, 1975 #86" w:history="1">
        <w:r w:rsidR="00D307FA">
          <w:rPr>
            <w:noProof/>
          </w:rPr>
          <w:t>159</w:t>
        </w:r>
      </w:hyperlink>
      <w:r>
        <w:rPr>
          <w:noProof/>
        </w:rPr>
        <w:t xml:space="preserve">, </w:t>
      </w:r>
      <w:hyperlink w:anchor="_ENREF_160" w:tooltip="Mootz, 1981 #84" w:history="1">
        <w:r w:rsidR="00D307FA">
          <w:rPr>
            <w:noProof/>
          </w:rPr>
          <w:t>160</w:t>
        </w:r>
      </w:hyperlink>
      <w:r>
        <w:rPr>
          <w:noProof/>
        </w:rPr>
        <w:t>]</w:t>
      </w:r>
      <w:r>
        <w:fldChar w:fldCharType="end"/>
      </w:r>
      <w:r>
        <w:t xml:space="preserve">. ACE in the opposite direction, does not have a geometry favoring such interaction and in the presence of pyridine its catalytic activity drops progressively. So, a synergy among cyclohexane, cyclopentanone and pyridine can explain the reason for its non-titrant behavior over CPO-condensation. Another possibility resides in the stronger adsorption of cyclopentanone and for this step be the rate limiting step in zeolite Y. Even with high pyridine loadings the competitive adsorption hypothesis exists due to the observed plateau in CPO consumption over Y30. Due to the large volume of Y supercages the existence of cyclohexane, cyclopentanone and pyridine is possible and a solvation effect perturbing pyridine adsorption might occur. Once CPO adsorption is a possible rate-limiting step for CPO condensation as discussed previously, a weakening of the pyridine adsorption strength competing simultaneously with CPO adsorption opens the possibility of its continuous reaction over an acid site even with the presence of a titrant specie. Some future </w:t>
      </w:r>
      <w:r>
        <w:lastRenderedPageBreak/>
        <w:t xml:space="preserve">studies in this regard could comprehend of using different titrant and also different solvents to investigate their effect on pyridine solvation and titration over acid sites in porous catalysts, e.g., toluene. Toluene and pyridine share a planar conformation favoring the interchanging electron clouds interactions which could favor pyridine desorption and higher concentrations at liquid phase </w:t>
      </w:r>
      <w:r>
        <w:fldChar w:fldCharType="begin">
          <w:fldData xml:space="preserve">PEVuZE5vdGU+PENpdGU+PEF1dGhvcj5QYW5nPC9BdXRob3I+PFllYXI+MTk4MDwvWWVhcj48UmVj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</w:fldData>
        </w:fldChar>
      </w:r>
      <w:r>
        <w:instrText xml:space="preserve"> ADDIN EN.CITE </w:instrText>
      </w:r>
      <w:r>
        <w:fldChar w:fldCharType="begin">
          <w:fldData xml:space="preserve">PEVuZE5vdGU+PENpdGU+PEF1dGhvcj5QYW5nPC9BdXRob3I+PFllYXI+MTk4MDwvWWVhcj48UmVj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</w:fldData>
        </w:fldChar>
      </w:r>
      <w:r>
        <w:instrText xml:space="preserve"> ADDIN EN.CITE.DATA </w:instrText>
      </w:r>
      <w:r>
        <w:fldChar w:fldCharType="end"/>
      </w:r>
      <w:r>
        <w:fldChar w:fldCharType="separate"/>
      </w:r>
      <w:r>
        <w:rPr>
          <w:noProof/>
        </w:rPr>
        <w:t>[</w:t>
      </w:r>
      <w:hyperlink w:anchor="_ENREF_160" w:tooltip="Mootz, 1981 #84" w:history="1">
        <w:r w:rsidR="00D307FA">
          <w:rPr>
            <w:noProof/>
          </w:rPr>
          <w:t>160-162</w:t>
        </w:r>
      </w:hyperlink>
      <w:r>
        <w:rPr>
          <w:noProof/>
        </w:rPr>
        <w:t>]</w:t>
      </w:r>
      <w:r>
        <w:fldChar w:fldCharType="end"/>
      </w:r>
      <w:r>
        <w:t>.</w:t>
      </w:r>
    </w:p>
    <w:p w14:paraId="78B08AA3" w14:textId="77777777" w:rsidR="00A35A08" w:rsidRDefault="00A35A08" w:rsidP="0080277E">
      <w:pPr>
        <w:spacing w:line="480" w:lineRule="auto"/>
        <w:jc w:val="both"/>
        <w:rPr>
          <w:b/>
          <w:bCs/>
          <w:i/>
          <w:iCs/>
        </w:rPr>
      </w:pPr>
    </w:p>
    <w:p w14:paraId="27C3877A" w14:textId="5E8673FF" w:rsidR="00A35A08" w:rsidRPr="00F11C1B" w:rsidRDefault="0080277E" w:rsidP="0080277E">
      <w:pPr>
        <w:pStyle w:val="Heading4"/>
        <w:spacing w:line="480" w:lineRule="auto"/>
        <w:rPr>
          <w:rFonts w:ascii="Times New Roman" w:hAnsi="Times New Roman" w:cs="Times New Roman"/>
          <w:color w:val="auto"/>
        </w:rPr>
      </w:pPr>
      <w:r w:rsidRPr="00F11C1B">
        <w:rPr>
          <w:rFonts w:ascii="Times New Roman" w:hAnsi="Times New Roman" w:cs="Times New Roman"/>
          <w:color w:val="auto"/>
        </w:rPr>
        <w:tab/>
      </w:r>
      <w:r w:rsidR="00A35A08" w:rsidRPr="00F11C1B">
        <w:rPr>
          <w:rFonts w:ascii="Times New Roman" w:hAnsi="Times New Roman" w:cs="Times New Roman"/>
          <w:color w:val="auto"/>
        </w:rPr>
        <w:t>2.4.3.2. Pyridine Effect on Cross-condensation Product Selectivity</w:t>
      </w:r>
    </w:p>
    <w:p w14:paraId="13311B54" w14:textId="77777777" w:rsidR="00A35A08" w:rsidRPr="0060294C" w:rsidRDefault="00A35A08" w:rsidP="0080277E">
      <w:pPr>
        <w:pStyle w:val="ListParagraph"/>
        <w:spacing w:line="480" w:lineRule="auto"/>
        <w:ind w:left="0"/>
        <w:jc w:val="both"/>
        <w:rPr>
          <w:rFonts w:eastAsiaTheme="minorEastAsia"/>
        </w:rPr>
      </w:pPr>
      <w:r w:rsidRPr="00EE0A8E">
        <w:tab/>
      </w:r>
      <w:r w:rsidRPr="00723CEB">
        <w:rPr>
          <w:rFonts w:eastAsiaTheme="minorEastAsia"/>
        </w:rPr>
        <w:t xml:space="preserve">After </w:t>
      </w:r>
      <w:r>
        <w:rPr>
          <w:rFonts w:eastAsiaTheme="minorEastAsia"/>
        </w:rPr>
        <w:t xml:space="preserve">understanding pyridine role as a titrant in the presence of both ketones separately, the titration over cross-aldol condensation between the two reactants is analyzed next. Here, pyridine addition can overcome the total number of active sites of the catalyst, while in Na-series it was restricted by the total amount of sites within that material. The results over zeolite Y30 will be analyzed alone once the majority of the previous discussions were </w:t>
      </w:r>
      <w:r w:rsidRPr="0060294C">
        <w:rPr>
          <w:rFonts w:eastAsiaTheme="minorEastAsia"/>
        </w:rPr>
        <w:t>done in the Na-Y30 series.</w:t>
      </w:r>
    </w:p>
    <w:p w14:paraId="5DF22E58" w14:textId="08A6F605" w:rsidR="00A35A08" w:rsidRDefault="00A35A08" w:rsidP="006D32D4">
      <w:pPr>
        <w:pStyle w:val="ListParagraph"/>
        <w:spacing w:line="480" w:lineRule="auto"/>
        <w:ind w:left="0"/>
        <w:jc w:val="both"/>
        <w:rPr>
          <w:rFonts w:eastAsiaTheme="minorEastAsia"/>
        </w:rPr>
      </w:pPr>
      <w:r w:rsidRPr="0060294C">
        <w:rPr>
          <w:rFonts w:eastAsiaTheme="minorEastAsia"/>
        </w:rPr>
        <w:tab/>
      </w:r>
      <w:r w:rsidRPr="0060294C">
        <w:rPr>
          <w:rFonts w:eastAsiaTheme="minorEastAsia"/>
          <w:b/>
          <w:bCs/>
        </w:rPr>
        <w:t xml:space="preserve">Figure </w:t>
      </w:r>
      <w:r w:rsidR="00B61947" w:rsidRPr="0060294C">
        <w:rPr>
          <w:rFonts w:eastAsiaTheme="minorEastAsia"/>
          <w:b/>
          <w:bCs/>
        </w:rPr>
        <w:t>46</w:t>
      </w:r>
      <w:r w:rsidRPr="0060294C">
        <w:rPr>
          <w:rFonts w:eastAsiaTheme="minorEastAsia"/>
        </w:rPr>
        <w:t xml:space="preserve"> displays the rate of products formation as a function of the pyridine evolution. The shift in selectivity led by pyridine has a more pronounced effect due to the possible interactions the titrant has with ACE and CPO, and due to the lower reactant concentration gradient. A faster change in [C]C vs. [C]A selectivity as in [A]C vs. [A]A is observed, favored by the plateau over the formation of products acquiring CPO as a secondary molecule ([x]C) (</w:t>
      </w:r>
      <w:r w:rsidRPr="0060294C">
        <w:rPr>
          <w:rFonts w:eastAsiaTheme="minorEastAsia"/>
          <w:b/>
          <w:bCs/>
        </w:rPr>
        <w:t xml:space="preserve">Figure </w:t>
      </w:r>
      <w:r w:rsidR="00B61947" w:rsidRPr="0060294C">
        <w:rPr>
          <w:rFonts w:eastAsiaTheme="minorEastAsia"/>
          <w:b/>
          <w:bCs/>
        </w:rPr>
        <w:t>47</w:t>
      </w:r>
      <w:r w:rsidRPr="0060294C">
        <w:rPr>
          <w:rFonts w:eastAsiaTheme="minorEastAsia"/>
        </w:rPr>
        <w:t>). At higher loadings the shift in [C] products occurred, not observed previously. It seems, pyridine</w:t>
      </w:r>
      <w:r>
        <w:rPr>
          <w:rFonts w:eastAsiaTheme="minorEastAsia"/>
        </w:rPr>
        <w:t xml:space="preserve"> impedes ACE electrophile attack over the formed enol while CPO continuously condenses throughout the whole range of titration.</w:t>
      </w:r>
    </w:p>
    <w:p w14:paraId="2EE8D517" w14:textId="77777777" w:rsidR="00A35A08" w:rsidRDefault="00A35A08" w:rsidP="006D32D4">
      <w:pPr>
        <w:pStyle w:val="ListParagraph"/>
        <w:spacing w:line="480" w:lineRule="auto"/>
        <w:ind w:left="0"/>
        <w:jc w:val="both"/>
        <w:rPr>
          <w:rFonts w:eastAsiaTheme="minorEastAsia"/>
        </w:rPr>
      </w:pPr>
      <w:r>
        <w:rPr>
          <w:rFonts w:eastAsiaTheme="minorEastAsia"/>
        </w:rPr>
        <w:lastRenderedPageBreak/>
        <w:tab/>
        <w:t>The MTL discussion remains analogous mainly when it is noted the same products preference in both MTL region and kinetic region, with a higher selectivity towards [A]C and [C]C compared to Na-titration. At this point, it is fair to assume a better titrant behavior from pyridine in tailoring selectivity when both ketones were cofed if compared to Na-titration.</w:t>
      </w:r>
    </w:p>
    <w:p w14:paraId="35439525" w14:textId="77777777" w:rsidR="00A35A08" w:rsidRDefault="00A35A08" w:rsidP="00463612">
      <w:pPr>
        <w:pStyle w:val="Caption"/>
        <w:keepNext/>
        <w:jc w:val="center"/>
      </w:pPr>
      <w:r>
        <w:rPr>
          <w:noProof/>
          <w:sz w:val="24"/>
          <w:szCs w:val="24"/>
        </w:rPr>
        <w:drawing>
          <wp:inline distT="0" distB="0" distL="0" distR="0" wp14:anchorId="5EF86CAE" wp14:editId="7B6E4538">
            <wp:extent cx="5462525" cy="2194560"/>
            <wp:effectExtent l="0" t="0" r="5080" b="0"/>
            <wp:docPr id="41" name="Picture 4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hart, scatter chart&#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62525" cy="2194560"/>
                    </a:xfrm>
                    <a:prstGeom prst="rect">
                      <a:avLst/>
                    </a:prstGeom>
                    <a:noFill/>
                  </pic:spPr>
                </pic:pic>
              </a:graphicData>
            </a:graphic>
          </wp:inline>
        </w:drawing>
      </w:r>
    </w:p>
    <w:p w14:paraId="7CBD7259" w14:textId="04851814" w:rsidR="00A35A08" w:rsidRPr="00666598" w:rsidRDefault="00A35A08" w:rsidP="00463612">
      <w:pPr>
        <w:pStyle w:val="Caption"/>
        <w:jc w:val="both"/>
        <w:rPr>
          <w:i w:val="0"/>
          <w:iCs w:val="0"/>
          <w:color w:val="auto"/>
          <w:sz w:val="24"/>
          <w:szCs w:val="24"/>
        </w:rPr>
      </w:pPr>
      <w:bookmarkStart w:id="83" w:name="_Toc131948710"/>
      <w:r w:rsidRPr="001B4EC2">
        <w:rPr>
          <w:b/>
          <w:bCs/>
          <w:i w:val="0"/>
          <w:iCs w:val="0"/>
          <w:color w:val="auto"/>
          <w:sz w:val="24"/>
          <w:szCs w:val="24"/>
        </w:rPr>
        <w:t xml:space="preserve">Figure </w:t>
      </w:r>
      <w:r w:rsidRPr="001B4EC2">
        <w:rPr>
          <w:b/>
          <w:bCs/>
          <w:i w:val="0"/>
          <w:iCs w:val="0"/>
          <w:color w:val="auto"/>
          <w:sz w:val="24"/>
          <w:szCs w:val="24"/>
        </w:rPr>
        <w:fldChar w:fldCharType="begin"/>
      </w:r>
      <w:r w:rsidRPr="001B4EC2">
        <w:rPr>
          <w:b/>
          <w:bCs/>
          <w:i w:val="0"/>
          <w:iCs w:val="0"/>
          <w:color w:val="auto"/>
          <w:sz w:val="24"/>
          <w:szCs w:val="24"/>
        </w:rPr>
        <w:instrText xml:space="preserve"> SEQ Figure \* ARABIC </w:instrText>
      </w:r>
      <w:r w:rsidRPr="001B4EC2">
        <w:rPr>
          <w:b/>
          <w:bCs/>
          <w:i w:val="0"/>
          <w:iCs w:val="0"/>
          <w:color w:val="auto"/>
          <w:sz w:val="24"/>
          <w:szCs w:val="24"/>
        </w:rPr>
        <w:fldChar w:fldCharType="separate"/>
      </w:r>
      <w:r w:rsidR="001F4741">
        <w:rPr>
          <w:b/>
          <w:bCs/>
          <w:i w:val="0"/>
          <w:iCs w:val="0"/>
          <w:noProof/>
          <w:color w:val="auto"/>
          <w:sz w:val="24"/>
          <w:szCs w:val="24"/>
        </w:rPr>
        <w:t>46</w:t>
      </w:r>
      <w:r w:rsidRPr="001B4EC2">
        <w:rPr>
          <w:b/>
          <w:bCs/>
          <w:i w:val="0"/>
          <w:iCs w:val="0"/>
          <w:color w:val="auto"/>
          <w:sz w:val="24"/>
          <w:szCs w:val="24"/>
        </w:rPr>
        <w:fldChar w:fldCharType="end"/>
      </w:r>
      <w:r w:rsidRPr="001B4EC2">
        <w:rPr>
          <w:b/>
          <w:bCs/>
          <w:i w:val="0"/>
          <w:iCs w:val="0"/>
          <w:color w:val="auto"/>
          <w:sz w:val="24"/>
          <w:szCs w:val="24"/>
        </w:rPr>
        <w:t>:</w:t>
      </w:r>
      <w:r w:rsidRPr="001B4EC2">
        <w:rPr>
          <w:i w:val="0"/>
          <w:iCs w:val="0"/>
          <w:color w:val="auto"/>
          <w:sz w:val="24"/>
          <w:szCs w:val="24"/>
        </w:rPr>
        <w:t xml:space="preserve"> Rates of products formation as a function of pyridine uptake in Y30 zeolite in respect to </w:t>
      </w:r>
      <w:r>
        <w:rPr>
          <w:i w:val="0"/>
          <w:iCs w:val="0"/>
          <w:color w:val="auto"/>
          <w:sz w:val="24"/>
          <w:szCs w:val="24"/>
        </w:rPr>
        <w:t>[A] products (</w:t>
      </w:r>
      <w:r w:rsidRPr="00FB7593">
        <w:rPr>
          <w:color w:val="auto"/>
          <w:sz w:val="24"/>
          <w:szCs w:val="24"/>
        </w:rPr>
        <w:t>‘a)’</w:t>
      </w:r>
      <w:r>
        <w:rPr>
          <w:i w:val="0"/>
          <w:iCs w:val="0"/>
          <w:color w:val="auto"/>
          <w:sz w:val="24"/>
          <w:szCs w:val="24"/>
        </w:rPr>
        <w:t>) and [C] products (</w:t>
      </w:r>
      <w:r w:rsidRPr="00FB7593">
        <w:rPr>
          <w:color w:val="auto"/>
          <w:sz w:val="24"/>
          <w:szCs w:val="24"/>
        </w:rPr>
        <w:t>'b)’</w:t>
      </w:r>
      <w:r>
        <w:rPr>
          <w:i w:val="0"/>
          <w:iCs w:val="0"/>
          <w:color w:val="auto"/>
          <w:sz w:val="24"/>
          <w:szCs w:val="24"/>
        </w:rPr>
        <w:t>).</w:t>
      </w:r>
      <w:bookmarkEnd w:id="83"/>
    </w:p>
    <w:p w14:paraId="0AD8AC3B" w14:textId="77777777" w:rsidR="00A35A08" w:rsidRDefault="00A35A08" w:rsidP="00463612">
      <w:pPr>
        <w:keepNext/>
        <w:jc w:val="center"/>
      </w:pPr>
      <w:r>
        <w:rPr>
          <w:noProof/>
        </w:rPr>
        <w:drawing>
          <wp:inline distT="0" distB="0" distL="0" distR="0" wp14:anchorId="506278C4" wp14:editId="6CBFE81E">
            <wp:extent cx="5464226" cy="2286000"/>
            <wp:effectExtent l="0" t="0" r="3175" b="0"/>
            <wp:docPr id="40" name="Picture 4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 scatter chart&#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64226" cy="2286000"/>
                    </a:xfrm>
                    <a:prstGeom prst="rect">
                      <a:avLst/>
                    </a:prstGeom>
                    <a:noFill/>
                  </pic:spPr>
                </pic:pic>
              </a:graphicData>
            </a:graphic>
          </wp:inline>
        </w:drawing>
      </w:r>
    </w:p>
    <w:p w14:paraId="35541C7D" w14:textId="53D00660" w:rsidR="00A35A08" w:rsidRPr="001B4EC2" w:rsidRDefault="00A35A08" w:rsidP="00463612">
      <w:pPr>
        <w:pStyle w:val="Caption"/>
        <w:jc w:val="both"/>
        <w:rPr>
          <w:i w:val="0"/>
          <w:iCs w:val="0"/>
          <w:color w:val="auto"/>
          <w:sz w:val="24"/>
          <w:szCs w:val="24"/>
        </w:rPr>
      </w:pPr>
      <w:bookmarkStart w:id="84" w:name="_Toc131948711"/>
      <w:r w:rsidRPr="001B4EC2">
        <w:rPr>
          <w:b/>
          <w:bCs/>
          <w:i w:val="0"/>
          <w:iCs w:val="0"/>
          <w:color w:val="auto"/>
          <w:sz w:val="24"/>
          <w:szCs w:val="24"/>
        </w:rPr>
        <w:t xml:space="preserve">Figure </w:t>
      </w:r>
      <w:r w:rsidRPr="001B4EC2">
        <w:rPr>
          <w:b/>
          <w:bCs/>
          <w:i w:val="0"/>
          <w:iCs w:val="0"/>
          <w:color w:val="auto"/>
          <w:sz w:val="24"/>
          <w:szCs w:val="24"/>
        </w:rPr>
        <w:fldChar w:fldCharType="begin"/>
      </w:r>
      <w:r w:rsidRPr="001B4EC2">
        <w:rPr>
          <w:b/>
          <w:bCs/>
          <w:i w:val="0"/>
          <w:iCs w:val="0"/>
          <w:color w:val="auto"/>
          <w:sz w:val="24"/>
          <w:szCs w:val="24"/>
        </w:rPr>
        <w:instrText xml:space="preserve"> SEQ Figure \* ARABIC </w:instrText>
      </w:r>
      <w:r w:rsidRPr="001B4EC2">
        <w:rPr>
          <w:b/>
          <w:bCs/>
          <w:i w:val="0"/>
          <w:iCs w:val="0"/>
          <w:color w:val="auto"/>
          <w:sz w:val="24"/>
          <w:szCs w:val="24"/>
        </w:rPr>
        <w:fldChar w:fldCharType="separate"/>
      </w:r>
      <w:r w:rsidR="001F4741">
        <w:rPr>
          <w:b/>
          <w:bCs/>
          <w:i w:val="0"/>
          <w:iCs w:val="0"/>
          <w:noProof/>
          <w:color w:val="auto"/>
          <w:sz w:val="24"/>
          <w:szCs w:val="24"/>
        </w:rPr>
        <w:t>47</w:t>
      </w:r>
      <w:r w:rsidRPr="001B4EC2">
        <w:rPr>
          <w:b/>
          <w:bCs/>
          <w:i w:val="0"/>
          <w:iCs w:val="0"/>
          <w:color w:val="auto"/>
          <w:sz w:val="24"/>
          <w:szCs w:val="24"/>
        </w:rPr>
        <w:fldChar w:fldCharType="end"/>
      </w:r>
      <w:r w:rsidRPr="001B4EC2">
        <w:rPr>
          <w:b/>
          <w:bCs/>
          <w:i w:val="0"/>
          <w:iCs w:val="0"/>
          <w:color w:val="auto"/>
          <w:sz w:val="24"/>
          <w:szCs w:val="24"/>
        </w:rPr>
        <w:t>:</w:t>
      </w:r>
      <w:r w:rsidRPr="001B4EC2">
        <w:rPr>
          <w:i w:val="0"/>
          <w:iCs w:val="0"/>
          <w:color w:val="auto"/>
          <w:sz w:val="24"/>
          <w:szCs w:val="24"/>
        </w:rPr>
        <w:t xml:space="preserve"> Selectivity distribution of cross-aldol condensation of A</w:t>
      </w:r>
      <w:r w:rsidR="002505B7">
        <w:rPr>
          <w:i w:val="0"/>
          <w:iCs w:val="0"/>
          <w:color w:val="auto"/>
          <w:sz w:val="24"/>
          <w:szCs w:val="24"/>
        </w:rPr>
        <w:t>CE</w:t>
      </w:r>
      <w:r w:rsidRPr="001B4EC2">
        <w:rPr>
          <w:i w:val="0"/>
          <w:iCs w:val="0"/>
          <w:color w:val="auto"/>
          <w:sz w:val="24"/>
          <w:szCs w:val="24"/>
        </w:rPr>
        <w:t>-CPO in Y30 through in-situ pyridine titration.</w:t>
      </w:r>
      <w:bookmarkEnd w:id="84"/>
    </w:p>
    <w:p w14:paraId="76D5C511" w14:textId="77777777" w:rsidR="00A35A08" w:rsidRDefault="00A35A08" w:rsidP="00A35A08">
      <w:pPr>
        <w:jc w:val="both"/>
      </w:pPr>
    </w:p>
    <w:p w14:paraId="51609814" w14:textId="77777777" w:rsidR="00F11C1B" w:rsidRDefault="00F11C1B" w:rsidP="00BA5F6A">
      <w:pPr>
        <w:spacing w:line="480" w:lineRule="auto"/>
        <w:jc w:val="both"/>
        <w:rPr>
          <w:b/>
          <w:bCs/>
          <w:i/>
          <w:iCs/>
          <w:sz w:val="28"/>
          <w:szCs w:val="28"/>
        </w:rPr>
      </w:pPr>
    </w:p>
    <w:p w14:paraId="674048AB" w14:textId="77777777" w:rsidR="00F11C1B" w:rsidRDefault="00F11C1B" w:rsidP="00BA5F6A">
      <w:pPr>
        <w:spacing w:line="480" w:lineRule="auto"/>
        <w:jc w:val="both"/>
        <w:rPr>
          <w:b/>
          <w:bCs/>
          <w:i/>
          <w:iCs/>
          <w:sz w:val="28"/>
          <w:szCs w:val="28"/>
        </w:rPr>
      </w:pPr>
    </w:p>
    <w:p w14:paraId="174ADC11" w14:textId="01B71228" w:rsidR="00A35A08" w:rsidRPr="00F11C1B" w:rsidRDefault="00A35A08" w:rsidP="00F11C1B">
      <w:pPr>
        <w:pStyle w:val="Heading2"/>
        <w:rPr>
          <w:i w:val="0"/>
          <w:iCs/>
          <w:sz w:val="28"/>
          <w:szCs w:val="28"/>
        </w:rPr>
      </w:pPr>
      <w:bookmarkStart w:id="85" w:name="_Toc132924200"/>
      <w:r w:rsidRPr="00F11C1B">
        <w:rPr>
          <w:i w:val="0"/>
          <w:iCs/>
          <w:sz w:val="28"/>
          <w:szCs w:val="28"/>
        </w:rPr>
        <w:lastRenderedPageBreak/>
        <w:t>2.5 Conclusion</w:t>
      </w:r>
      <w:bookmarkEnd w:id="85"/>
    </w:p>
    <w:p w14:paraId="2DE93CA9" w14:textId="77777777" w:rsidR="00A35A08" w:rsidRDefault="00A35A08" w:rsidP="00BA5F6A">
      <w:pPr>
        <w:spacing w:line="480" w:lineRule="auto"/>
        <w:jc w:val="both"/>
      </w:pPr>
      <w:r>
        <w:tab/>
        <w:t xml:space="preserve">The study of mass-transfer limitations on acid catalysts using the proposed experimental titration approaches and diffusion-reaction modeling proved effective in representing the catalytic drop as the density of acid active sites is modified in regard to understanding, quantifying, and controlling MTL over a catalytic system. Over the studied zeolitic structures the Uniform type of titration is the one that realistically represented the titrant distribution along the catalyst volume, whereas the Shrinking Core model was not observed throughout the studied series. Such model can be investigated using a synthesis approach, in where a catalyst is synthesized in two batches, the first at different temperatures to control the particle size at a constant Si to Al feed (and a resulting constant concentration of active acid sites) and a secondary diffusion-only volume grown at the outer surface of the first particle simulating what is described for the Shrinking Core model as titrant is added. </w:t>
      </w:r>
      <w:r w:rsidRPr="00585717">
        <w:t>Each synthesized catalyst would have a corresponding activity and could be compared to the expected modeled curve</w:t>
      </w:r>
      <w:r>
        <w:t>.</w:t>
      </w:r>
    </w:p>
    <w:p w14:paraId="67C8F9FB" w14:textId="6503BE56" w:rsidR="00A35A08" w:rsidRDefault="00A35A08" w:rsidP="00BA5F6A">
      <w:pPr>
        <w:spacing w:line="480" w:lineRule="auto"/>
        <w:jc w:val="both"/>
      </w:pPr>
      <w:r>
        <w:tab/>
        <w:t xml:space="preserve">Both Na-exchanged ZSM5 series modeling results presented higher mass-transfer limitation values for CPO self-aldol reactivity than for self-ACE reactions. The molecule size seems to be the determining factor inside the 5.4 Å MFI constricted channels </w:t>
      </w:r>
      <w:r w:rsidRPr="00555B79">
        <w:t>which also conferred greater reactivity due to the large volume interaction with the framework structure</w:t>
      </w:r>
      <w:r>
        <w:t xml:space="preserve">, also known as confinement effect. As the concentration of acid sites increase by 4-fold in ZSM5 Si/Al of 40 an </w:t>
      </w:r>
      <w:r w:rsidRPr="00B06F52">
        <w:t>increase in MTL was also observed, confirming the activity effect in broadening the reactant concentration gradient inside a particle</w:t>
      </w:r>
      <w:r>
        <w:t xml:space="preserve">. There, the presence of nearby sites could also have influenced such increase, but further studies in inactivating these pair-sites are required to fully understand their extent as compared to </w:t>
      </w:r>
      <w:r>
        <w:lastRenderedPageBreak/>
        <w:t xml:space="preserve">single sites influence. </w:t>
      </w:r>
      <w:r w:rsidRPr="00104CDA">
        <w:t>The use of calcium and cobalt as pair-site titrants seems convenient</w:t>
      </w:r>
      <w:r>
        <w:t xml:space="preserve">. Still, fine characterization techniques are required to certify the inexistence of CaOH and CoOH groups that can serve as weaker acid sites that are able to partially activate the reacting species </w:t>
      </w:r>
      <w:r>
        <w:fldChar w:fldCharType="begin"/>
      </w:r>
      <w:r>
        <w:instrText xml:space="preserve"> ADDIN EN.CITE &lt;EndNote&gt;&lt;Cite&gt;&lt;Author&gt;Pham&lt;/Author&gt;&lt;Year&gt;2023&lt;/Year&gt;&lt;RecNum&gt;145&lt;/RecNum&gt;&lt;DisplayText&gt;[163]&lt;/DisplayText&gt;&lt;record&gt;&lt;rec-number&gt;145&lt;/rec-number&gt;&lt;foreign-keys&gt;&lt;key app="EN" db-id="59dvwrfdof9dw8exf0kvp0atwazsazeeffsp" timestamp="1675122980"&gt;145&lt;/key&gt;&lt;/foreign-keys&gt;&lt;ref-type name="Journal Article"&gt;17&lt;/ref-type&gt;&lt;contributors&gt;&lt;authors&gt;&lt;author&gt;Tram N. Pham&lt;/author&gt;&lt;author&gt;Vy Nguyen&lt;/author&gt;&lt;author&gt;Huy Nguyen-Phu&lt;/author&gt;&lt;author&gt;Bin Wang&lt;/author&gt;&lt;author&gt;Steven Crossley&lt;/author&gt;&lt;/authors&gt;&lt;/contributors&gt;&lt;titles&gt;&lt;title&gt;Influence of Brønsted Acid Site Proximity on Alkane Cracking in MFI Zeolites&lt;/title&gt;&lt;secondary-title&gt;ACS Catalysis&lt;/secondary-title&gt;&lt;/titles&gt;&lt;periodical&gt;&lt;full-title&gt;ACS Catalysis&lt;/full-title&gt;&lt;/periodical&gt;&lt;pages&gt;1359-1370&lt;/pages&gt;&lt;volume&gt;13&lt;/volume&gt;&lt;number&gt;2&lt;/number&gt;&lt;dates&gt;&lt;year&gt;2023&lt;/year&gt;&lt;/dates&gt;&lt;urls&gt;&lt;/urls&gt;&lt;electronic-resource-num&gt;https://doi.org/10.1021/acscatal.2c05291&lt;/electronic-resource-num&gt;&lt;/record&gt;&lt;/Cite&gt;&lt;/EndNote&gt;</w:instrText>
      </w:r>
      <w:r>
        <w:fldChar w:fldCharType="separate"/>
      </w:r>
      <w:r>
        <w:rPr>
          <w:noProof/>
        </w:rPr>
        <w:t>[</w:t>
      </w:r>
      <w:hyperlink w:anchor="_ENREF_163" w:tooltip="Pham, 2023 #145" w:history="1">
        <w:r w:rsidR="00D307FA">
          <w:rPr>
            <w:noProof/>
          </w:rPr>
          <w:t>163</w:t>
        </w:r>
      </w:hyperlink>
      <w:r>
        <w:rPr>
          <w:noProof/>
        </w:rPr>
        <w:t>]</w:t>
      </w:r>
      <w:r>
        <w:fldChar w:fldCharType="end"/>
      </w:r>
      <w:r>
        <w:t xml:space="preserve">. This is to restrict the titrant role as deactivating pair-sites only. In the Na-zeolite Y series, ACE was affected by MTL, whereas CPO was not. A lower activity for CPO was found and a straight drop was resulted as sites were titrated. The greater volume extent of the supercage did not provide much confinement effect as in ZSM5 to proceed with the observed activities, however the smaller ACE size might had allowed its interaction with hindered sodalite sites which facilitated its consumption as supercage sites were proximate. This hypothesis seems possible once partial interactions were already observed in literature </w:t>
      </w:r>
      <w:r>
        <w:fldChar w:fldCharType="begin"/>
      </w:r>
      <w:r w:rsidR="00C54D4B">
        <w:instrText xml:space="preserve"> ADDIN EN.CITE &lt;EndNote&gt;&lt;Cite&gt;&lt;Author&gt;Gounder&lt;/Author&gt;&lt;Year&gt;2012&lt;/Year&gt;&lt;RecNum&gt;10&lt;/RecNum&gt;&lt;DisplayText&gt;[65]&lt;/DisplayText&gt;&lt;record&gt;&lt;rec-number&gt;10&lt;/rec-number&gt;&lt;foreign-keys&gt;&lt;key app="EN" db-id="59dvwrfdof9dw8exf0kvp0atwazsazeeffsp" timestamp="1667538586"&gt;10&lt;/key&gt;&lt;/foreign-keys&gt;&lt;ref-type name="Journal Article"&gt;17&lt;/ref-type&gt;&lt;contributors&gt;&lt;authors&gt;&lt;author&gt;Rajamani Gounder&lt;/author&gt;&lt;author&gt;Enrique Iglesia&lt;/author&gt;&lt;/authors&gt;&lt;/contributors&gt;&lt;titles&gt;&lt;title&gt;The Roles of Entropy and Enthalpy in Stabilizing Ion-Pairs at Transition States in Zeolite Acid Catalysis&lt;/title&gt;&lt;secondary-title&gt;Accounts of Chemical Research&lt;/secondary-title&gt;&lt;/titles&gt;&lt;periodical&gt;&lt;full-title&gt;Accounts of Chemical Research&lt;/full-title&gt;&lt;/periodical&gt;&lt;pages&gt;229-238&lt;/pages&gt;&lt;volume&gt;45&lt;/volume&gt;&lt;number&gt;2&lt;/number&gt;&lt;dates&gt;&lt;year&gt;2012&lt;/year&gt;&lt;/dates&gt;&lt;urls&gt;&lt;/urls&gt;&lt;electronic-resource-num&gt;https://doi.org/10.1021/ar200138n&lt;/electronic-resource-num&gt;&lt;/record&gt;&lt;/Cite&gt;&lt;/EndNote&gt;</w:instrText>
      </w:r>
      <w:r>
        <w:fldChar w:fldCharType="separate"/>
      </w:r>
      <w:r w:rsidR="00C54D4B">
        <w:rPr>
          <w:noProof/>
        </w:rPr>
        <w:t>[</w:t>
      </w:r>
      <w:hyperlink w:anchor="_ENREF_65" w:tooltip="Gounder, 2012 #10" w:history="1">
        <w:r w:rsidR="00D307FA">
          <w:rPr>
            <w:noProof/>
          </w:rPr>
          <w:t>65</w:t>
        </w:r>
      </w:hyperlink>
      <w:r w:rsidR="00C54D4B">
        <w:rPr>
          <w:noProof/>
        </w:rPr>
        <w:t>]</w:t>
      </w:r>
      <w:r>
        <w:fldChar w:fldCharType="end"/>
      </w:r>
      <w:r>
        <w:t xml:space="preserve">. The use of Na to titrate acid sites and its use to understand the diffusion impacts of each molecule was appropriate and recommended to precisely tune the extent of MTL of a catalyst system. </w:t>
      </w:r>
    </w:p>
    <w:p w14:paraId="242B032D" w14:textId="77777777" w:rsidR="00A35A08" w:rsidRDefault="00A35A08" w:rsidP="00BA5F6A">
      <w:pPr>
        <w:spacing w:line="480" w:lineRule="auto"/>
        <w:jc w:val="both"/>
      </w:pPr>
      <w:r>
        <w:tab/>
      </w:r>
      <w:r w:rsidRPr="0099213E">
        <w:t>Regime control between a mass-transfer and a kinetic-limited system was investigated in the Na-Y30 series</w:t>
      </w:r>
      <w:r>
        <w:t xml:space="preserve"> in the cross-aldol condensation of ACE and CPO. In the Na-free catalyst, e.g. in the presence of MTL, the product preference sequences of [C]A &gt; [C]C and [A]A &gt; [A]C were observed and explained by the faster ACE diffusion and thus lower concentration gradient inside the faujasite catalyst volume.</w:t>
      </w:r>
      <w:r w:rsidRPr="00497690">
        <w:t xml:space="preserve"> As Na-exchange levels were raised, a shift was observed in the ACE-activated products, and a similar [C]A and [C]C maximum formation rate was found</w:t>
      </w:r>
      <w:r>
        <w:t xml:space="preserve">. It seems that as kinetics controls the activity in catalytic site environments, a C-C coupling with a nearby CPO is more favorable. The reactions over both ZSM5 series showed this preference with a slight increase in the percentage of CPO selectivity in a Na-exchanged catalyst, however, it must be </w:t>
      </w:r>
      <w:r>
        <w:lastRenderedPageBreak/>
        <w:t>acknowledged that the extent of MTL found in the self-condensation results could have increased over the cross-condensation reactions due to a higher presence of reacting species around the active site. Even though, tuning the MTL extent with Na, once is able to favor the reaction over a preferential product as shown.</w:t>
      </w:r>
    </w:p>
    <w:p w14:paraId="2125ABE4" w14:textId="77777777" w:rsidR="00A35A08" w:rsidRDefault="00A35A08" w:rsidP="00BA5F6A">
      <w:pPr>
        <w:spacing w:line="480" w:lineRule="auto"/>
        <w:jc w:val="both"/>
      </w:pPr>
      <w:r>
        <w:tab/>
      </w:r>
      <w:r w:rsidRPr="00846160">
        <w:t>When pyridine was used as a titrant agent during the self-aldol condensation of both ketones, reversible adsorption was detected, which was not expected</w:t>
      </w:r>
      <w:r>
        <w:t xml:space="preserve">. Two factors were used to explain the pyridine desorption: a solvation effect caused by its similar shape with cyclohexane, and a competitive adsorption with the reacting ketones. In the last, at similar concentration of pyridine uptake, cyclopentanone retained a higher rate of consumption indicating to have a stronger effect of adsorption inside the ZSM5 channels. </w:t>
      </w:r>
      <w:r w:rsidRPr="00D91D92">
        <w:t>In the analysis of the higher BAS concentration zeolite (ZSM5 Si/Al of 40), the desorption effect was more pronounced</w:t>
      </w:r>
      <w:r>
        <w:t xml:space="preserve">, highlighting the stronger preference of CPO adsorbing in confined acid sites as compared to pyridine. However, its use in the cross-condensation of cyclopentanone was more effective as compared to Na. The regime control provided by pyridine allowed at higher loadings a preference towards more kinetic relevant products showing a direct shift in the CPO active products, which did not occur in Na-titrated series results. Na-exchanged was limited by the amount concentration of sites whereas pyridine addition occurred as it pleased. Pyridine might also had restrained ACE adsorption and further reaction, being competitive with CPO only. Still, the behavior observed by the Na-results were reproduced using pyridine, proving its performance in controlling MTL. </w:t>
      </w:r>
    </w:p>
    <w:p w14:paraId="3D401BCD" w14:textId="77777777" w:rsidR="00A35A08" w:rsidRDefault="00A35A08" w:rsidP="00BA5F6A">
      <w:pPr>
        <w:spacing w:line="480" w:lineRule="auto"/>
        <w:jc w:val="both"/>
      </w:pPr>
      <w:r>
        <w:tab/>
        <w:t xml:space="preserve">In summary, the proposed experimental approach together with the titration modeling served well in representing the catalytic behavior in acid zeolites. Na was an effective cation to quantitatively titrate and determine the MTL extent in a zeolitic structure </w:t>
      </w:r>
      <w:r>
        <w:lastRenderedPageBreak/>
        <w:t>whereas pyridine was successful in qualitatively switch the governing regime to favor the formation of more kinetic relevant products. The stronger adsorption of CPO still a concern in pyridine uptake once the change in selectivity was due to both decreasing the concentration gradient of the reacting molecules and also restricting ACE adsorption.</w:t>
      </w:r>
    </w:p>
    <w:p w14:paraId="5F77565F" w14:textId="77777777" w:rsidR="00A35A08" w:rsidRDefault="00A35A08" w:rsidP="00BA5F6A">
      <w:pPr>
        <w:spacing w:line="480" w:lineRule="auto"/>
        <w:jc w:val="both"/>
      </w:pPr>
    </w:p>
    <w:p w14:paraId="33F272EA" w14:textId="77777777" w:rsidR="00CA0F0A" w:rsidRDefault="00CA0F0A" w:rsidP="00BA5F6A">
      <w:pPr>
        <w:spacing w:line="480" w:lineRule="auto"/>
      </w:pPr>
    </w:p>
    <w:p w14:paraId="1D24F2F8" w14:textId="77777777" w:rsidR="00BA5F6A" w:rsidRDefault="00BA5F6A" w:rsidP="00BA5F6A">
      <w:pPr>
        <w:spacing w:line="480" w:lineRule="auto"/>
      </w:pPr>
    </w:p>
    <w:p w14:paraId="19E7FBA5" w14:textId="77777777" w:rsidR="00BA5F6A" w:rsidRDefault="00BA5F6A" w:rsidP="00BA5F6A">
      <w:pPr>
        <w:spacing w:line="480" w:lineRule="auto"/>
      </w:pPr>
    </w:p>
    <w:p w14:paraId="4AE41303" w14:textId="77777777" w:rsidR="00454844" w:rsidRDefault="00454844" w:rsidP="00BA5F6A">
      <w:pPr>
        <w:spacing w:line="480" w:lineRule="auto"/>
      </w:pPr>
    </w:p>
    <w:p w14:paraId="4358CF4A" w14:textId="77777777" w:rsidR="00454844" w:rsidRDefault="00454844" w:rsidP="00BA5F6A">
      <w:pPr>
        <w:spacing w:line="480" w:lineRule="auto"/>
      </w:pPr>
    </w:p>
    <w:p w14:paraId="6386BC30" w14:textId="77777777" w:rsidR="00454844" w:rsidRDefault="00454844" w:rsidP="00BA5F6A">
      <w:pPr>
        <w:spacing w:line="480" w:lineRule="auto"/>
      </w:pPr>
    </w:p>
    <w:p w14:paraId="4E183F22" w14:textId="77777777" w:rsidR="00454844" w:rsidRDefault="00454844" w:rsidP="00BA5F6A">
      <w:pPr>
        <w:spacing w:line="480" w:lineRule="auto"/>
      </w:pPr>
    </w:p>
    <w:p w14:paraId="1AE3EB33" w14:textId="77777777" w:rsidR="00454844" w:rsidRDefault="00454844" w:rsidP="00BA5F6A">
      <w:pPr>
        <w:spacing w:line="480" w:lineRule="auto"/>
      </w:pPr>
    </w:p>
    <w:p w14:paraId="67E334B2" w14:textId="77777777" w:rsidR="00BA5F6A" w:rsidRDefault="00BA5F6A" w:rsidP="00BA5F6A">
      <w:pPr>
        <w:spacing w:line="480" w:lineRule="auto"/>
      </w:pPr>
    </w:p>
    <w:p w14:paraId="72191DAB" w14:textId="77777777" w:rsidR="00BA5F6A" w:rsidRDefault="00BA5F6A" w:rsidP="00BA5F6A">
      <w:pPr>
        <w:spacing w:line="480" w:lineRule="auto"/>
      </w:pPr>
    </w:p>
    <w:p w14:paraId="76CE6939" w14:textId="77777777" w:rsidR="00BA5F6A" w:rsidRDefault="00BA5F6A" w:rsidP="0080277E">
      <w:pPr>
        <w:spacing w:line="480" w:lineRule="auto"/>
      </w:pPr>
    </w:p>
    <w:p w14:paraId="27ACA877" w14:textId="77777777" w:rsidR="00BA5F6A" w:rsidRDefault="00BA5F6A" w:rsidP="0080277E">
      <w:pPr>
        <w:spacing w:line="480" w:lineRule="auto"/>
      </w:pPr>
    </w:p>
    <w:p w14:paraId="26B42530" w14:textId="3E13C64B" w:rsidR="00153C10" w:rsidRPr="00934C91" w:rsidRDefault="00153C10" w:rsidP="00934C91">
      <w:pPr>
        <w:pStyle w:val="Heading1"/>
        <w:spacing w:line="480" w:lineRule="auto"/>
        <w:jc w:val="center"/>
        <w:rPr>
          <w:b w:val="0"/>
          <w:bCs/>
          <w:sz w:val="36"/>
          <w:szCs w:val="36"/>
        </w:rPr>
      </w:pPr>
      <w:bookmarkStart w:id="86" w:name="_Toc132924201"/>
      <w:r w:rsidRPr="00934C91">
        <w:rPr>
          <w:sz w:val="36"/>
          <w:szCs w:val="36"/>
        </w:rPr>
        <w:lastRenderedPageBreak/>
        <w:t>Chapter 3</w:t>
      </w:r>
      <w:r w:rsidR="00934C91" w:rsidRPr="00934C91">
        <w:rPr>
          <w:sz w:val="36"/>
          <w:szCs w:val="36"/>
        </w:rPr>
        <w:t xml:space="preserve"> – </w:t>
      </w:r>
      <w:r w:rsidRPr="00934C91">
        <w:rPr>
          <w:bCs/>
          <w:sz w:val="36"/>
          <w:szCs w:val="36"/>
        </w:rPr>
        <w:t>MFI Synthesis: A Particle Size Effect Over Ketone-Condensation and Diffusivity Perspectives</w:t>
      </w:r>
      <w:bookmarkEnd w:id="86"/>
    </w:p>
    <w:p w14:paraId="68036259" w14:textId="77777777" w:rsidR="00153C10" w:rsidRPr="0080277E" w:rsidRDefault="00153C10" w:rsidP="00934C91">
      <w:pPr>
        <w:pStyle w:val="Heading2"/>
        <w:rPr>
          <w:i w:val="0"/>
          <w:iCs/>
          <w:sz w:val="28"/>
          <w:szCs w:val="28"/>
        </w:rPr>
      </w:pPr>
      <w:bookmarkStart w:id="87" w:name="_Toc132924202"/>
      <w:r w:rsidRPr="0080277E">
        <w:rPr>
          <w:i w:val="0"/>
          <w:iCs/>
          <w:sz w:val="28"/>
          <w:szCs w:val="28"/>
        </w:rPr>
        <w:t>3.1 Introduction and Literature Review</w:t>
      </w:r>
      <w:bookmarkEnd w:id="87"/>
    </w:p>
    <w:p w14:paraId="64E0EE36" w14:textId="5A1003DA" w:rsidR="00153C10" w:rsidRDefault="00153C10" w:rsidP="00BA5F6A">
      <w:pPr>
        <w:shd w:val="clear" w:color="auto" w:fill="FFFFFF"/>
        <w:spacing w:line="480" w:lineRule="auto"/>
        <w:ind w:firstLine="360"/>
        <w:jc w:val="both"/>
        <w:rPr>
          <w:color w:val="000000" w:themeColor="text1"/>
        </w:rPr>
      </w:pPr>
      <w:r w:rsidRPr="00A41253">
        <w:rPr>
          <w:color w:val="000000" w:themeColor="text1"/>
        </w:rPr>
        <w:tab/>
      </w:r>
      <w:r>
        <w:rPr>
          <w:color w:val="000000" w:themeColor="text1"/>
        </w:rPr>
        <w:t>It is not recent that catalyst synthesis studies are used to optimize process efficiency</w:t>
      </w:r>
      <w:r w:rsidRPr="00BC6633">
        <w:t xml:space="preserve"> </w:t>
      </w:r>
      <w:r w:rsidRPr="00BC6633">
        <w:rPr>
          <w:color w:val="000000" w:themeColor="text1"/>
        </w:rPr>
        <w:t xml:space="preserve">Those studies investigate individual systems, focusing on their fundamental comprehension by analyzing either the reaction chemical aspects or the physical particle properties </w:t>
      </w:r>
      <w:r>
        <w:rPr>
          <w:color w:val="000000" w:themeColor="text1"/>
        </w:rPr>
        <w:fldChar w:fldCharType="begin">
          <w:fldData xml:space="preserve">PEVuZE5vdGU+PENpdGU+PEF1dGhvcj5Zb2xkaTwvQXV0aG9yPjxZZWFyPjIwMTk8L1llYXI+PFJl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=
</w:fldData>
        </w:fldChar>
      </w:r>
      <w:r>
        <w:rPr>
          <w:color w:val="000000" w:themeColor="text1"/>
        </w:rPr>
        <w:instrText xml:space="preserve"> ADDIN EN.CITE </w:instrText>
      </w:r>
      <w:r>
        <w:rPr>
          <w:color w:val="000000" w:themeColor="text1"/>
        </w:rPr>
        <w:fldChar w:fldCharType="begin">
          <w:fldData xml:space="preserve">PEVuZE5vdGU+PENpdGU+PEF1dGhvcj5Zb2xkaTwvQXV0aG9yPjxZZWFyPjIwMTk8L1llYXI+PFJl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=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w:t>
      </w:r>
      <w:hyperlink w:anchor="_ENREF_164" w:tooltip="Yoldi, 2019 #110" w:history="1">
        <w:r w:rsidR="00D307FA">
          <w:rPr>
            <w:noProof/>
            <w:color w:val="000000" w:themeColor="text1"/>
          </w:rPr>
          <w:t>164-166</w:t>
        </w:r>
      </w:hyperlink>
      <w:r>
        <w:rPr>
          <w:noProof/>
          <w:color w:val="000000" w:themeColor="text1"/>
        </w:rPr>
        <w:t>]</w:t>
      </w:r>
      <w:r>
        <w:rPr>
          <w:color w:val="000000" w:themeColor="text1"/>
        </w:rPr>
        <w:fldChar w:fldCharType="end"/>
      </w:r>
      <w:r>
        <w:rPr>
          <w:color w:val="000000" w:themeColor="text1"/>
        </w:rPr>
        <w:t xml:space="preserve">. </w:t>
      </w:r>
      <w:r w:rsidRPr="00BC6633">
        <w:rPr>
          <w:color w:val="000000" w:themeColor="text1"/>
        </w:rPr>
        <w:t>Both aspects differently impact the results, requiring particular examination</w:t>
      </w:r>
      <w:r>
        <w:rPr>
          <w:color w:val="000000" w:themeColor="text1"/>
        </w:rPr>
        <w:t xml:space="preserve">. </w:t>
      </w:r>
      <w:r w:rsidRPr="0001490F">
        <w:rPr>
          <w:color w:val="000000" w:themeColor="text1"/>
        </w:rPr>
        <w:t>In zeolites, extensive research has been done in the last decades aiming at the design of catalysts with improved thermal stability, longevity, and activity</w:t>
      </w:r>
      <w:r>
        <w:rPr>
          <w:color w:val="000000" w:themeColor="text1"/>
        </w:rPr>
        <w:t xml:space="preserve"> </w:t>
      </w:r>
      <w:r>
        <w:rPr>
          <w:color w:val="000000" w:themeColor="text1"/>
        </w:rPr>
        <w:fldChar w:fldCharType="begin">
          <w:fldData xml:space="preserve">PEVuZE5vdGU+PENpdGU+PEF1dGhvcj5LYW5lemFzaGk8L0F1dGhvcj48WWVhcj4yMDA2PC9ZZWFy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</w:fldData>
        </w:fldChar>
      </w:r>
      <w:r>
        <w:rPr>
          <w:color w:val="000000" w:themeColor="text1"/>
        </w:rPr>
        <w:instrText xml:space="preserve"> ADDIN EN.CITE </w:instrText>
      </w:r>
      <w:r>
        <w:rPr>
          <w:color w:val="000000" w:themeColor="text1"/>
        </w:rPr>
        <w:fldChar w:fldCharType="begin">
          <w:fldData xml:space="preserve">PEVuZE5vdGU+PENpdGU+PEF1dGhvcj5LYW5lemFzaGk8L0F1dGhvcj48WWVhcj4yMDA2PC9ZZWFy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w:t>
      </w:r>
      <w:hyperlink w:anchor="_ENREF_167" w:tooltip="Kanezashi, 2006 #113" w:history="1">
        <w:r w:rsidR="00D307FA">
          <w:rPr>
            <w:noProof/>
            <w:color w:val="000000" w:themeColor="text1"/>
          </w:rPr>
          <w:t>167-172</w:t>
        </w:r>
      </w:hyperlink>
      <w:r>
        <w:rPr>
          <w:noProof/>
          <w:color w:val="000000" w:themeColor="text1"/>
        </w:rPr>
        <w:t>]</w:t>
      </w:r>
      <w:r>
        <w:rPr>
          <w:color w:val="000000" w:themeColor="text1"/>
        </w:rPr>
        <w:fldChar w:fldCharType="end"/>
      </w:r>
      <w:r>
        <w:rPr>
          <w:color w:val="000000" w:themeColor="text1"/>
        </w:rPr>
        <w:t>. All these aspects point in a direction where the framework structure should permit molecules diffusion without constraint, unless secondary reactions resulted from high residence times are desired.</w:t>
      </w:r>
    </w:p>
    <w:p w14:paraId="241F6D74" w14:textId="30B9FDA4" w:rsidR="00153C10" w:rsidRDefault="00153C10" w:rsidP="00BA5F6A">
      <w:pPr>
        <w:shd w:val="clear" w:color="auto" w:fill="FFFFFF"/>
        <w:spacing w:line="480" w:lineRule="auto"/>
        <w:ind w:firstLine="360"/>
        <w:jc w:val="both"/>
        <w:rPr>
          <w:color w:val="000000" w:themeColor="text1"/>
        </w:rPr>
      </w:pPr>
      <w:r>
        <w:rPr>
          <w:color w:val="000000" w:themeColor="text1"/>
        </w:rPr>
        <w:tab/>
      </w:r>
      <w:r w:rsidRPr="0001490F">
        <w:rPr>
          <w:color w:val="000000" w:themeColor="text1"/>
        </w:rPr>
        <w:t>The influence and impact of mass-transfer limitations (MTL) over ketone-condensation at reaction conditions were shown for the commercial MFI zeolite with different Si/Al ratios</w:t>
      </w:r>
      <w:r>
        <w:rPr>
          <w:color w:val="000000" w:themeColor="text1"/>
        </w:rPr>
        <w:t xml:space="preserve">. </w:t>
      </w:r>
      <w:r w:rsidRPr="00E1159E">
        <w:rPr>
          <w:color w:val="000000" w:themeColor="text1"/>
        </w:rPr>
        <w:t>However, it was not feasible to make any direct comparison because of differences in particle size, and the conclusions were directed to each zeolite specifically</w:t>
      </w:r>
      <w:r>
        <w:rPr>
          <w:color w:val="000000" w:themeColor="text1"/>
        </w:rPr>
        <w:t xml:space="preserve">. The control of these particle physical parameters are of a great importance and commonly done during catalyst synthesis or catalyst post-treatments. The last in rather drastic and not well controlled as compared to synthesis. In example, methods focusing on creating mesoporous pathways significantly diminishes </w:t>
      </w:r>
      <w:r w:rsidRPr="00586E04">
        <w:rPr>
          <w:color w:val="000000" w:themeColor="text1"/>
        </w:rPr>
        <w:t xml:space="preserve">diffusion </w:t>
      </w:r>
      <w:r>
        <w:rPr>
          <w:color w:val="000000" w:themeColor="text1"/>
        </w:rPr>
        <w:t xml:space="preserve">limitations </w:t>
      </w:r>
      <w:r>
        <w:rPr>
          <w:color w:val="000000" w:themeColor="text1"/>
        </w:rPr>
        <w:fldChar w:fldCharType="begin">
          <w:fldData xml:space="preserve">PEVuZE5vdGU+PENpdGU+PEF1dGhvcj5Tcml2YXN0YXZhPC9BdXRob3I+PFllYXI+MjAwNjwvWWVh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</w:fldData>
        </w:fldChar>
      </w:r>
      <w:r w:rsidR="00C54D4B">
        <w:rPr>
          <w:color w:val="000000" w:themeColor="text1"/>
        </w:rPr>
        <w:instrText xml:space="preserve"> ADDIN EN.CITE </w:instrText>
      </w:r>
      <w:r w:rsidR="00C54D4B">
        <w:rPr>
          <w:color w:val="000000" w:themeColor="text1"/>
        </w:rPr>
        <w:fldChar w:fldCharType="begin">
          <w:fldData xml:space="preserve">PEVuZE5vdGU+PENpdGU+PEF1dGhvcj5Tcml2YXN0YXZhPC9BdXRob3I+PFllYXI+MjAwNjwvWWVh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</w:fldData>
        </w:fldChar>
      </w:r>
      <w:r w:rsidR="00C54D4B">
        <w:rPr>
          <w:color w:val="000000" w:themeColor="text1"/>
        </w:rPr>
        <w:instrText xml:space="preserve"> ADDIN EN.CITE.DATA </w:instrText>
      </w:r>
      <w:r w:rsidR="00C54D4B">
        <w:rPr>
          <w:color w:val="000000" w:themeColor="text1"/>
        </w:rPr>
      </w:r>
      <w:r w:rsidR="00C54D4B">
        <w:rPr>
          <w:color w:val="000000" w:themeColor="text1"/>
        </w:rPr>
        <w:fldChar w:fldCharType="end"/>
      </w:r>
      <w:r>
        <w:rPr>
          <w:color w:val="000000" w:themeColor="text1"/>
        </w:rPr>
      </w:r>
      <w:r>
        <w:rPr>
          <w:color w:val="000000" w:themeColor="text1"/>
        </w:rPr>
        <w:fldChar w:fldCharType="separate"/>
      </w:r>
      <w:r w:rsidR="00C54D4B">
        <w:rPr>
          <w:noProof/>
          <w:color w:val="000000" w:themeColor="text1"/>
        </w:rPr>
        <w:t>[</w:t>
      </w:r>
      <w:hyperlink w:anchor="_ENREF_15" w:tooltip="Srivastava, 2006 #47" w:history="1">
        <w:r w:rsidR="00D307FA">
          <w:rPr>
            <w:noProof/>
            <w:color w:val="000000" w:themeColor="text1"/>
          </w:rPr>
          <w:t>15</w:t>
        </w:r>
      </w:hyperlink>
      <w:r w:rsidR="00C54D4B">
        <w:rPr>
          <w:noProof/>
          <w:color w:val="000000" w:themeColor="text1"/>
        </w:rPr>
        <w:t xml:space="preserve">, </w:t>
      </w:r>
      <w:hyperlink w:anchor="_ENREF_173" w:tooltip="Inayat, 2012 #118" w:history="1">
        <w:r w:rsidR="00D307FA">
          <w:rPr>
            <w:noProof/>
            <w:color w:val="000000" w:themeColor="text1"/>
          </w:rPr>
          <w:t>173-175</w:t>
        </w:r>
      </w:hyperlink>
      <w:r w:rsidR="00C54D4B">
        <w:rPr>
          <w:noProof/>
          <w:color w:val="000000" w:themeColor="text1"/>
        </w:rPr>
        <w:t>]</w:t>
      </w:r>
      <w:r>
        <w:rPr>
          <w:color w:val="000000" w:themeColor="text1"/>
        </w:rPr>
        <w:fldChar w:fldCharType="end"/>
      </w:r>
      <w:r w:rsidRPr="00586E04">
        <w:rPr>
          <w:color w:val="000000" w:themeColor="text1"/>
        </w:rPr>
        <w:t xml:space="preserve">. </w:t>
      </w:r>
      <w:r>
        <w:rPr>
          <w:color w:val="000000" w:themeColor="text1"/>
        </w:rPr>
        <w:t>Desilication is one resource used to</w:t>
      </w:r>
      <w:r w:rsidRPr="00FA556D">
        <w:rPr>
          <w:color w:val="000000" w:themeColor="text1"/>
        </w:rPr>
        <w:t xml:space="preserve"> </w:t>
      </w:r>
      <w:r>
        <w:rPr>
          <w:color w:val="000000" w:themeColor="text1"/>
        </w:rPr>
        <w:t xml:space="preserve">generate mesoporosity, consisting of a chemical treatment under alkaline conditions </w:t>
      </w:r>
      <w:r>
        <w:rPr>
          <w:color w:val="000000" w:themeColor="text1"/>
        </w:rPr>
        <w:fldChar w:fldCharType="begin"/>
      </w:r>
      <w:r>
        <w:rPr>
          <w:color w:val="000000" w:themeColor="text1"/>
        </w:rPr>
        <w:instrText xml:space="preserve"> ADDIN EN.CITE &lt;EndNote&gt;&lt;Cite&gt;&lt;Author&gt;Verboekend&lt;/Author&gt;&lt;Year&gt;2011&lt;/Year&gt;&lt;RecNum&gt;91&lt;/RecNum&gt;&lt;DisplayText&gt;[176, 177]&lt;/DisplayText&gt;&lt;record&gt;&lt;rec-number&gt;91&lt;/rec-number&gt;&lt;foreign-keys&gt;&lt;key app="EN" db-id="59dvwrfdof9dw8exf0kvp0atwazsazeeffsp" timestamp="1672698911"&gt;91&lt;/key&gt;&lt;/foreign-keys&gt;&lt;ref-type name="Journal Article"&gt;17&lt;/ref-type&gt;&lt;contributors&gt;&lt;authors&gt;&lt;author&gt;Danny Verboekend&lt;/author&gt;&lt;author&gt;Sharon Mitchell&lt;/author&gt;&lt;author&gt;Maria Milina&lt;/author&gt;&lt;author&gt;Johan C. Groen&lt;/author&gt;&lt;author&gt;Javier Pérez-Ramírez&lt;/author&gt;&lt;/authors&gt;&lt;/contributors&gt;&lt;titles&gt;&lt;title&gt;Full Compositional Flexibility in the Preparation of Mesoporous MFI Zeolites by Desilication&lt;/title&gt;&lt;secondary-title&gt;The Journal of Physical Chemistry C&lt;/secondary-title&gt;&lt;/titles&gt;&lt;periodical&gt;&lt;full-title&gt;The Journal of Physical Chemistry C&lt;/full-title&gt;&lt;/periodical&gt;&lt;pages&gt;14193-14203&lt;/pages&gt;&lt;volume&gt;115&lt;/volume&gt;&lt;dates&gt;&lt;year&gt;2011&lt;/year&gt;&lt;/dates&gt;&lt;urls&gt;&lt;/urls&gt;&lt;electronic-resource-num&gt;https://doi.org/10.1021/jp201671s&lt;/electronic-resource-num&gt;&lt;/record&gt;&lt;/Cite&gt;&lt;Cite&gt;&lt;Author&gt;Zhu&lt;/Author&gt;&lt;Year&gt;2010&lt;/Year&gt;&lt;RecNum&gt;89&lt;/RecNum&gt;&lt;record&gt;&lt;rec-number&gt;89&lt;/rec-number&gt;&lt;foreign-keys&gt;&lt;key app="EN" db-id="59dvwrfdof9dw8exf0kvp0atwazsazeeffsp" timestamp="1672698724"&gt;89&lt;/key&gt;&lt;/foreign-keys&gt;&lt;ref-type name="Journal Article"&gt;17&lt;/ref-type&gt;&lt;contributors&gt;&lt;authors&gt;&lt;author&gt;Xinli Zhu&lt;/author&gt;&lt;author&gt;Lance L .Lobban&lt;/author&gt;&lt;author&gt;Richard G. Mallinson&lt;/author&gt;&lt;author&gt;Daniel E. Resasco&lt;/author&gt;&lt;/authors&gt;&lt;/contributors&gt;&lt;titles&gt;&lt;title&gt;Tailoring the mesopore structure of HZSM-5 to control product distribution in the conversion of propanal&lt;/title&gt;&lt;secondary-title&gt;Journal of Catalysis&lt;/secondary-title&gt;&lt;/titles&gt;&lt;periodical&gt;&lt;full-title&gt;Journal of Catalysis&lt;/full-title&gt;&lt;/periodical&gt;&lt;pages&gt;88-98&lt;/pages&gt;&lt;volume&gt;271&lt;/volume&gt;&lt;number&gt;1&lt;/number&gt;&lt;dates&gt;&lt;year&gt;2010&lt;/year&gt;&lt;/dates&gt;&lt;urls&gt;&lt;/urls&gt;&lt;electronic-resource-num&gt;https://doi.org/10.1016/j.jcat.2010.02.004&lt;/electronic-resource-num&gt;&lt;/record&gt;&lt;/Cite&gt;&lt;/EndNote&gt;</w:instrText>
      </w:r>
      <w:r>
        <w:rPr>
          <w:color w:val="000000" w:themeColor="text1"/>
        </w:rPr>
        <w:fldChar w:fldCharType="separate"/>
      </w:r>
      <w:r>
        <w:rPr>
          <w:noProof/>
          <w:color w:val="000000" w:themeColor="text1"/>
        </w:rPr>
        <w:t>[</w:t>
      </w:r>
      <w:hyperlink w:anchor="_ENREF_176" w:tooltip="Verboekend, 2011 #91" w:history="1">
        <w:r w:rsidR="00D307FA">
          <w:rPr>
            <w:noProof/>
            <w:color w:val="000000" w:themeColor="text1"/>
          </w:rPr>
          <w:t>176</w:t>
        </w:r>
      </w:hyperlink>
      <w:r>
        <w:rPr>
          <w:noProof/>
          <w:color w:val="000000" w:themeColor="text1"/>
        </w:rPr>
        <w:t xml:space="preserve">, </w:t>
      </w:r>
      <w:hyperlink w:anchor="_ENREF_177" w:tooltip="Zhu, 2010 #89" w:history="1">
        <w:r w:rsidR="00D307FA">
          <w:rPr>
            <w:noProof/>
            <w:color w:val="000000" w:themeColor="text1"/>
          </w:rPr>
          <w:t>177</w:t>
        </w:r>
      </w:hyperlink>
      <w:r>
        <w:rPr>
          <w:noProof/>
          <w:color w:val="000000" w:themeColor="text1"/>
        </w:rPr>
        <w:t>]</w:t>
      </w:r>
      <w:r>
        <w:rPr>
          <w:color w:val="000000" w:themeColor="text1"/>
        </w:rPr>
        <w:fldChar w:fldCharType="end"/>
      </w:r>
      <w:r>
        <w:rPr>
          <w:color w:val="000000" w:themeColor="text1"/>
        </w:rPr>
        <w:t xml:space="preserve">. The drawback stands in the poor catalyst’s </w:t>
      </w:r>
      <w:r>
        <w:rPr>
          <w:color w:val="000000" w:themeColor="text1"/>
        </w:rPr>
        <w:lastRenderedPageBreak/>
        <w:t xml:space="preserve">stability under severe chemical and thermal treatments </w:t>
      </w:r>
      <w:r>
        <w:rPr>
          <w:color w:val="000000" w:themeColor="text1"/>
        </w:rPr>
        <w:fldChar w:fldCharType="begin"/>
      </w:r>
      <w:r>
        <w:rPr>
          <w:color w:val="000000" w:themeColor="text1"/>
        </w:rPr>
        <w:instrText xml:space="preserve"> ADDIN EN.CITE &lt;EndNote&gt;&lt;Cite&gt;&lt;Author&gt;Patra&lt;/Author&gt;&lt;Year&gt;2013&lt;/Year&gt;&lt;RecNum&gt;92&lt;/RecNum&gt;&lt;DisplayText&gt;[178]&lt;/DisplayText&gt;&lt;record&gt;&lt;rec-number&gt;92&lt;/rec-number&gt;&lt;foreign-keys&gt;&lt;key app="EN" db-id="59dvwrfdof9dw8exf0kvp0atwazsazeeffsp" timestamp="1672699152"&gt;92&lt;/key&gt;&lt;/foreign-keys&gt;&lt;ref-type name="Journal Article"&gt;17&lt;/ref-type&gt;&lt;contributors&gt;&lt;authors&gt;&lt;author&gt;Astam K. Patra&lt;/author&gt;&lt;author&gt;Arghya Dutta&lt;/author&gt;&lt;author&gt;Malay Pramanik&lt;/author&gt;&lt;author&gt;Mahasweta Nandi&lt;/author&gt;&lt;author&gt;Hiroshi Uyama&lt;/author&gt;&lt;author&gt;Asim Bhaumik&lt;/author&gt;&lt;/authors&gt;&lt;/contributors&gt;&lt;titles&gt;&lt;title&gt;Synthesis of Hierarchical Mesoporous Mn–MFI Zeolite Nanoparticles: A Unique Architecture of Heterogeneous Catalyst for the Aerobic Oxidation of Thiols to Disulfides&lt;/title&gt;&lt;secondary-title&gt;ChemCatChem&lt;/secondary-title&gt;&lt;/titles&gt;&lt;periodical&gt;&lt;full-title&gt;ChemCatChem&lt;/full-title&gt;&lt;/periodical&gt;&lt;pages&gt;220-229&lt;/pages&gt;&lt;volume&gt;6&lt;/volume&gt;&lt;number&gt;1&lt;/number&gt;&lt;dates&gt;&lt;year&gt;2013&lt;/year&gt;&lt;/dates&gt;&lt;urls&gt;&lt;/urls&gt;&lt;electronic-resource-num&gt;https://doi.org/10.1002/cctc.201300850&lt;/electronic-resource-num&gt;&lt;/record&gt;&lt;/Cite&gt;&lt;/EndNote&gt;</w:instrText>
      </w:r>
      <w:r>
        <w:rPr>
          <w:color w:val="000000" w:themeColor="text1"/>
        </w:rPr>
        <w:fldChar w:fldCharType="separate"/>
      </w:r>
      <w:r>
        <w:rPr>
          <w:noProof/>
          <w:color w:val="000000" w:themeColor="text1"/>
        </w:rPr>
        <w:t>[</w:t>
      </w:r>
      <w:hyperlink w:anchor="_ENREF_178" w:tooltip="Patra, 2013 #92" w:history="1">
        <w:r w:rsidR="00D307FA">
          <w:rPr>
            <w:noProof/>
            <w:color w:val="000000" w:themeColor="text1"/>
          </w:rPr>
          <w:t>178</w:t>
        </w:r>
      </w:hyperlink>
      <w:r>
        <w:rPr>
          <w:noProof/>
          <w:color w:val="000000" w:themeColor="text1"/>
        </w:rPr>
        <w:t>]</w:t>
      </w:r>
      <w:r>
        <w:rPr>
          <w:color w:val="000000" w:themeColor="text1"/>
        </w:rPr>
        <w:fldChar w:fldCharType="end"/>
      </w:r>
      <w:r>
        <w:rPr>
          <w:color w:val="000000" w:themeColor="text1"/>
        </w:rPr>
        <w:t>. Alternatively, this mesoporosity could also be managed to be produced through an incorporation of polymer or surfactant particles during the synthesis, which can be bound with the framework structure in the presence of -SiO</w:t>
      </w:r>
      <w:r w:rsidRPr="006B2A19">
        <w:rPr>
          <w:color w:val="000000" w:themeColor="text1"/>
          <w:vertAlign w:val="subscript"/>
        </w:rPr>
        <w:t>3</w:t>
      </w:r>
      <w:r>
        <w:rPr>
          <w:color w:val="000000" w:themeColor="text1"/>
        </w:rPr>
        <w:t xml:space="preserve"> functional groups; the organic content are further  removed with thermal treatments </w:t>
      </w:r>
      <w:r>
        <w:rPr>
          <w:color w:val="000000" w:themeColor="text1"/>
        </w:rPr>
        <w:fldChar w:fldCharType="begin"/>
      </w:r>
      <w:r>
        <w:rPr>
          <w:color w:val="000000" w:themeColor="text1"/>
        </w:rPr>
        <w:instrText xml:space="preserve"> ADDIN EN.CITE &lt;EndNote&gt;&lt;Cite&gt;&lt;Author&gt;Wang&lt;/Author&gt;&lt;Year&gt;2006&lt;/Year&gt;&lt;RecNum&gt;90&lt;/RecNum&gt;&lt;DisplayText&gt;[179]&lt;/DisplayText&gt;&lt;record&gt;&lt;rec-number&gt;90&lt;/rec-number&gt;&lt;foreign-keys&gt;&lt;key app="EN" db-id="59dvwrfdof9dw8exf0kvp0atwazsazeeffsp" timestamp="1672698788"&gt;90&lt;/key&gt;&lt;/foreign-keys&gt;&lt;ref-type name="Journal Article"&gt;17&lt;/ref-type&gt;&lt;contributors&gt;&lt;authors&gt;&lt;author&gt;Hui Wang&lt;/author&gt;&lt;author&gt;Thomas J. Pinnavaia&lt;/author&gt;&lt;/authors&gt;&lt;/contributors&gt;&lt;titles&gt;&lt;title&gt;MFI Zeolite with Small and Uniform Intracrystal Mesopores&lt;/title&gt;&lt;secondary-title&gt;Angewandte Chemie&lt;/secondary-title&gt;&lt;/titles&gt;&lt;periodical&gt;&lt;full-title&gt;Angewandte Chemie&lt;/full-title&gt;&lt;/periodical&gt;&lt;pages&gt;7637-7805&lt;/pages&gt;&lt;volume&gt;118&lt;/volume&gt;&lt;number&gt;45&lt;/number&gt;&lt;dates&gt;&lt;year&gt;2006&lt;/year&gt;&lt;/dates&gt;&lt;urls&gt;&lt;/urls&gt;&lt;electronic-resource-num&gt;https://doi.org/10.1002/ange.200602595&lt;/electronic-resource-num&gt;&lt;/record&gt;&lt;/Cite&gt;&lt;/EndNote&gt;</w:instrText>
      </w:r>
      <w:r>
        <w:rPr>
          <w:color w:val="000000" w:themeColor="text1"/>
        </w:rPr>
        <w:fldChar w:fldCharType="separate"/>
      </w:r>
      <w:r>
        <w:rPr>
          <w:noProof/>
          <w:color w:val="000000" w:themeColor="text1"/>
        </w:rPr>
        <w:t>[</w:t>
      </w:r>
      <w:hyperlink w:anchor="_ENREF_179" w:tooltip="Wang, 2006 #90" w:history="1">
        <w:r w:rsidR="00D307FA">
          <w:rPr>
            <w:noProof/>
            <w:color w:val="000000" w:themeColor="text1"/>
          </w:rPr>
          <w:t>179</w:t>
        </w:r>
      </w:hyperlink>
      <w:r>
        <w:rPr>
          <w:noProof/>
          <w:color w:val="000000" w:themeColor="text1"/>
        </w:rPr>
        <w:t>]</w:t>
      </w:r>
      <w:r>
        <w:rPr>
          <w:color w:val="000000" w:themeColor="text1"/>
        </w:rPr>
        <w:fldChar w:fldCharType="end"/>
      </w:r>
      <w:r>
        <w:rPr>
          <w:color w:val="000000" w:themeColor="text1"/>
        </w:rPr>
        <w:t xml:space="preserve">.  </w:t>
      </w:r>
    </w:p>
    <w:p w14:paraId="64B6BAD4" w14:textId="05F6A640" w:rsidR="00153C10" w:rsidRDefault="00153C10" w:rsidP="00BA5F6A">
      <w:pPr>
        <w:shd w:val="clear" w:color="auto" w:fill="FFFFFF"/>
        <w:spacing w:line="480" w:lineRule="auto"/>
        <w:ind w:firstLine="360"/>
        <w:jc w:val="both"/>
        <w:rPr>
          <w:color w:val="000000" w:themeColor="text1"/>
        </w:rPr>
      </w:pPr>
      <w:r>
        <w:rPr>
          <w:color w:val="000000" w:themeColor="text1"/>
        </w:rPr>
        <w:tab/>
        <w:t xml:space="preserve">Due to the impact on catalyst stability, synthesis stands as the preferred route for fundamental studies on particle properties. </w:t>
      </w:r>
      <w:r w:rsidRPr="008F747D">
        <w:rPr>
          <w:color w:val="000000" w:themeColor="text1"/>
        </w:rPr>
        <w:t>Besides controlling operational parameters, a key element in synthesis is the molecule responsible for directing crystal growth, known as the structure directing agent (SDA)</w:t>
      </w:r>
      <w:r>
        <w:rPr>
          <w:color w:val="000000" w:themeColor="text1"/>
        </w:rPr>
        <w:t xml:space="preserve"> </w:t>
      </w:r>
      <w:r>
        <w:rPr>
          <w:color w:val="000000" w:themeColor="text1"/>
        </w:rPr>
        <w:fldChar w:fldCharType="begin"/>
      </w:r>
      <w:r>
        <w:rPr>
          <w:color w:val="000000" w:themeColor="text1"/>
        </w:rPr>
        <w:instrText xml:space="preserve"> ADDIN EN.CITE &lt;EndNote&gt;&lt;Cite&gt;&lt;Author&gt;Lobo&lt;/Author&gt;&lt;Year&gt;1995&lt;/Year&gt;&lt;RecNum&gt;122&lt;/RecNum&gt;&lt;DisplayText&gt;[180, 181]&lt;/DisplayText&gt;&lt;record&gt;&lt;rec-number&gt;122&lt;/rec-number&gt;&lt;foreign-keys&gt;&lt;key app="EN" db-id="59dvwrfdof9dw8exf0kvp0atwazsazeeffsp" timestamp="1673568189"&gt;122&lt;/key&gt;&lt;/foreign-keys&gt;&lt;ref-type name="Journal Article"&gt;17&lt;/ref-type&gt;&lt;contributors&gt;&lt;authors&gt;&lt;author&gt;Raul F. Lobo&lt;/author&gt;&lt;author&gt;Stacey I. Zones&lt;/author&gt;&lt;author&gt;Mark E. Davis&lt;/author&gt;&lt;/authors&gt;&lt;/contributors&gt;&lt;titles&gt;&lt;title&gt;Structure-direction in zeolite synthesis&lt;/title&gt;&lt;secondary-title&gt;Journal of inclusion phenomena and molecular recognition in chemistry volume&lt;/secondary-title&gt;&lt;/titles&gt;&lt;periodical&gt;&lt;full-title&gt;Journal of inclusion phenomena and molecular recognition in chemistry volume&lt;/full-title&gt;&lt;/periodical&gt;&lt;pages&gt;47-78&lt;/pages&gt;&lt;volume&gt;21&lt;/volume&gt;&lt;dates&gt;&lt;year&gt;1995&lt;/year&gt;&lt;/dates&gt;&lt;urls&gt;&lt;/urls&gt;&lt;electronic-resource-num&gt;https://doi.org/10.1007/BF00709411&lt;/electronic-resource-num&gt;&lt;/record&gt;&lt;/Cite&gt;&lt;Cite&gt;&lt;Author&gt;Moliner&lt;/Author&gt;&lt;Year&gt;2013&lt;/Year&gt;&lt;RecNum&gt;123&lt;/RecNum&gt;&lt;record&gt;&lt;rec-number&gt;123&lt;/rec-number&gt;&lt;foreign-keys&gt;&lt;key app="EN" db-id="59dvwrfdof9dw8exf0kvp0atwazsazeeffsp" timestamp="1673568345"&gt;123&lt;/key&gt;&lt;/foreign-keys&gt;&lt;ref-type name="Journal Article"&gt;17&lt;/ref-type&gt;&lt;contributors&gt;&lt;authors&gt;&lt;author&gt;Manuel Moliner&lt;/author&gt;&lt;author&gt;Fernando Rey&lt;/author&gt;&lt;author&gt;Avelino Corma&lt;/author&gt;&lt;/authors&gt;&lt;/contributors&gt;&lt;titles&gt;&lt;title&gt;Towards the Rational Design of Efficient Organic Structure-Directing Agents for Zeolite Synthesis&lt;/title&gt;&lt;secondary-title&gt;Angewandte Chemie International&lt;/secondary-title&gt;&lt;/titles&gt;&lt;periodical&gt;&lt;full-title&gt;Angewandte Chemie International&lt;/full-title&gt;&lt;/periodical&gt;&lt;pages&gt;13880-13889&lt;/pages&gt;&lt;volume&gt;52&lt;/volume&gt;&lt;number&gt;52&lt;/number&gt;&lt;dates&gt;&lt;year&gt;2013&lt;/year&gt;&lt;/dates&gt;&lt;urls&gt;&lt;/urls&gt;&lt;electronic-resource-num&gt;https://doi.org/10.1002/anie.201304713&lt;/electronic-resource-num&gt;&lt;/record&gt;&lt;/Cite&gt;&lt;/EndNote&gt;</w:instrText>
      </w:r>
      <w:r>
        <w:rPr>
          <w:color w:val="000000" w:themeColor="text1"/>
        </w:rPr>
        <w:fldChar w:fldCharType="separate"/>
      </w:r>
      <w:r>
        <w:rPr>
          <w:noProof/>
          <w:color w:val="000000" w:themeColor="text1"/>
        </w:rPr>
        <w:t>[</w:t>
      </w:r>
      <w:hyperlink w:anchor="_ENREF_180" w:tooltip="Lobo, 1995 #122" w:history="1">
        <w:r w:rsidR="00D307FA">
          <w:rPr>
            <w:noProof/>
            <w:color w:val="000000" w:themeColor="text1"/>
          </w:rPr>
          <w:t>180</w:t>
        </w:r>
      </w:hyperlink>
      <w:r>
        <w:rPr>
          <w:noProof/>
          <w:color w:val="000000" w:themeColor="text1"/>
        </w:rPr>
        <w:t xml:space="preserve">, </w:t>
      </w:r>
      <w:hyperlink w:anchor="_ENREF_181" w:tooltip="Moliner, 2013 #123" w:history="1">
        <w:r w:rsidR="00D307FA">
          <w:rPr>
            <w:noProof/>
            <w:color w:val="000000" w:themeColor="text1"/>
          </w:rPr>
          <w:t>181</w:t>
        </w:r>
      </w:hyperlink>
      <w:r>
        <w:rPr>
          <w:noProof/>
          <w:color w:val="000000" w:themeColor="text1"/>
        </w:rPr>
        <w:t>]</w:t>
      </w:r>
      <w:r>
        <w:rPr>
          <w:color w:val="000000" w:themeColor="text1"/>
        </w:rPr>
        <w:fldChar w:fldCharType="end"/>
      </w:r>
      <w:r>
        <w:rPr>
          <w:color w:val="000000" w:themeColor="text1"/>
        </w:rPr>
        <w:t xml:space="preserve">. </w:t>
      </w:r>
      <w:r w:rsidRPr="009B016A">
        <w:rPr>
          <w:color w:val="000000" w:themeColor="text1"/>
        </w:rPr>
        <w:t xml:space="preserve">Each individual zeolite requires a particular SDA in which the silicon-alumina bonds are formed around its spatial arrangement (or molecule volume), and in which the proton settles around the charge position within this agent molecule </w:t>
      </w:r>
      <w:r>
        <w:rPr>
          <w:color w:val="000000" w:themeColor="text1"/>
        </w:rPr>
        <w:fldChar w:fldCharType="begin"/>
      </w:r>
      <w:r>
        <w:rPr>
          <w:color w:val="000000" w:themeColor="text1"/>
        </w:rPr>
        <w:instrText xml:space="preserve"> ADDIN EN.CITE &lt;EndNote&gt;&lt;Cite&gt;&lt;Author&gt;Lobo&lt;/Author&gt;&lt;Year&gt;1995&lt;/Year&gt;&lt;RecNum&gt;122&lt;/RecNum&gt;&lt;DisplayText&gt;[180]&lt;/DisplayText&gt;&lt;record&gt;&lt;rec-number&gt;122&lt;/rec-number&gt;&lt;foreign-keys&gt;&lt;key app="EN" db-id="59dvwrfdof9dw8exf0kvp0atwazsazeeffsp" timestamp="1673568189"&gt;122&lt;/key&gt;&lt;/foreign-keys&gt;&lt;ref-type name="Journal Article"&gt;17&lt;/ref-type&gt;&lt;contributors&gt;&lt;authors&gt;&lt;author&gt;Raul F. Lobo&lt;/author&gt;&lt;author&gt;Stacey I. Zones&lt;/author&gt;&lt;author&gt;Mark E. Davis&lt;/author&gt;&lt;/authors&gt;&lt;/contributors&gt;&lt;titles&gt;&lt;title&gt;Structure-direction in zeolite synthesis&lt;/title&gt;&lt;secondary-title&gt;Journal of inclusion phenomena and molecular recognition in chemistry volume&lt;/secondary-title&gt;&lt;/titles&gt;&lt;periodical&gt;&lt;full-title&gt;Journal of inclusion phenomena and molecular recognition in chemistry volume&lt;/full-title&gt;&lt;/periodical&gt;&lt;pages&gt;47-78&lt;/pages&gt;&lt;volume&gt;21&lt;/volume&gt;&lt;dates&gt;&lt;year&gt;1995&lt;/year&gt;&lt;/dates&gt;&lt;urls&gt;&lt;/urls&gt;&lt;electronic-resource-num&gt;https://doi.org/10.1007/BF00709411&lt;/electronic-resource-num&gt;&lt;/record&gt;&lt;/Cite&gt;&lt;/EndNote&gt;</w:instrText>
      </w:r>
      <w:r>
        <w:rPr>
          <w:color w:val="000000" w:themeColor="text1"/>
        </w:rPr>
        <w:fldChar w:fldCharType="separate"/>
      </w:r>
      <w:r>
        <w:rPr>
          <w:noProof/>
          <w:color w:val="000000" w:themeColor="text1"/>
        </w:rPr>
        <w:t>[</w:t>
      </w:r>
      <w:hyperlink w:anchor="_ENREF_180" w:tooltip="Lobo, 1995 #122" w:history="1">
        <w:r w:rsidR="00D307FA">
          <w:rPr>
            <w:noProof/>
            <w:color w:val="000000" w:themeColor="text1"/>
          </w:rPr>
          <w:t>180</w:t>
        </w:r>
      </w:hyperlink>
      <w:r>
        <w:rPr>
          <w:noProof/>
          <w:color w:val="000000" w:themeColor="text1"/>
        </w:rPr>
        <w:t>]</w:t>
      </w:r>
      <w:r>
        <w:rPr>
          <w:color w:val="000000" w:themeColor="text1"/>
        </w:rPr>
        <w:fldChar w:fldCharType="end"/>
      </w:r>
      <w:r>
        <w:rPr>
          <w:color w:val="000000" w:themeColor="text1"/>
        </w:rPr>
        <w:t xml:space="preserve">. These primary building units are formed during the nucleation step, and with enough energy provided, </w:t>
      </w:r>
      <w:r w:rsidRPr="00464BAD">
        <w:rPr>
          <w:color w:val="000000" w:themeColor="text1"/>
        </w:rPr>
        <w:t>their growth occurs, resulting in a particle sufficiently stable to not rupture under thermal or mechanical treatments</w:t>
      </w:r>
      <w:r>
        <w:rPr>
          <w:color w:val="000000" w:themeColor="text1"/>
        </w:rPr>
        <w:t xml:space="preserve"> </w:t>
      </w:r>
      <w:r>
        <w:rPr>
          <w:color w:val="000000" w:themeColor="text1"/>
        </w:rPr>
        <w:fldChar w:fldCharType="begin"/>
      </w:r>
      <w:r>
        <w:rPr>
          <w:color w:val="000000" w:themeColor="text1"/>
        </w:rPr>
        <w:instrText xml:space="preserve"> ADDIN EN.CITE &lt;EndNote&gt;&lt;Cite&gt;&lt;Author&gt;Čejka&lt;/Author&gt;&lt;Year&gt;2010&lt;/Year&gt;&lt;RecNum&gt;124&lt;/RecNum&gt;&lt;DisplayText&gt;[182]&lt;/DisplayText&gt;&lt;record&gt;&lt;rec-number&gt;124&lt;/rec-number&gt;&lt;foreign-keys&gt;&lt;key app="EN" db-id="59dvwrfdof9dw8exf0kvp0atwazsazeeffsp" timestamp="1673569042"&gt;124&lt;/key&gt;&lt;/foreign-keys&gt;&lt;ref-type name="Book"&gt;6&lt;/ref-type&gt;&lt;contributors&gt;&lt;authors&gt;&lt;author&gt;&lt;style face="normal" font="default" size="100%"&gt;Ji&lt;/style&gt;&lt;style face="normal" font="default" charset="238" size="100%"&gt;ři Čejka&lt;/style&gt;&lt;/author&gt;&lt;author&gt;&lt;style face="normal" font="default" charset="238" size="100%"&gt;Avelino Corma&lt;/style&gt;&lt;/author&gt;&lt;author&gt;&lt;style face="normal" font="default" charset="238" size="100%"&gt;Stacey Zones&lt;/style&gt;&lt;/author&gt;&lt;/authors&gt;&lt;/contributors&gt;&lt;titles&gt;&lt;title&gt;Zeolites and Catalysis: Synthesis, Reactions and Applications&lt;/title&gt;&lt;/titles&gt;&lt;pages&gt;918&lt;/pages&gt;&lt;dates&gt;&lt;year&gt;2010&lt;/year&gt;&lt;/dates&gt;&lt;publisher&gt;John Wiley &amp;amp; Sons&lt;/publisher&gt;&lt;isbn&gt;9783527325146&lt;/isbn&gt;&lt;urls&gt;&lt;/urls&gt;&lt;/record&gt;&lt;/Cite&gt;&lt;/EndNote&gt;</w:instrText>
      </w:r>
      <w:r>
        <w:rPr>
          <w:color w:val="000000" w:themeColor="text1"/>
        </w:rPr>
        <w:fldChar w:fldCharType="separate"/>
      </w:r>
      <w:r>
        <w:rPr>
          <w:noProof/>
          <w:color w:val="000000" w:themeColor="text1"/>
        </w:rPr>
        <w:t>[</w:t>
      </w:r>
      <w:hyperlink w:anchor="_ENREF_182" w:tooltip="Čejka, 2010 #124" w:history="1">
        <w:r w:rsidR="00D307FA">
          <w:rPr>
            <w:noProof/>
            <w:color w:val="000000" w:themeColor="text1"/>
          </w:rPr>
          <w:t>182</w:t>
        </w:r>
      </w:hyperlink>
      <w:r>
        <w:rPr>
          <w:noProof/>
          <w:color w:val="000000" w:themeColor="text1"/>
        </w:rPr>
        <w:t>]</w:t>
      </w:r>
      <w:r>
        <w:rPr>
          <w:color w:val="000000" w:themeColor="text1"/>
        </w:rPr>
        <w:fldChar w:fldCharType="end"/>
      </w:r>
      <w:r>
        <w:rPr>
          <w:color w:val="000000" w:themeColor="text1"/>
        </w:rPr>
        <w:t xml:space="preserve">. Not last, the feeding amount and chemical conditions these molecules are exposed to are essential to the resulting crystal, with enhanced properties. </w:t>
      </w:r>
    </w:p>
    <w:p w14:paraId="512A3FFD" w14:textId="4B40B05B" w:rsidR="00153C10" w:rsidRPr="00C96A62" w:rsidRDefault="00153C10" w:rsidP="00BA5F6A">
      <w:pPr>
        <w:shd w:val="clear" w:color="auto" w:fill="FFFFFF"/>
        <w:spacing w:line="480" w:lineRule="auto"/>
        <w:ind w:firstLine="360"/>
        <w:jc w:val="both"/>
        <w:rPr>
          <w:color w:val="000000" w:themeColor="text1"/>
        </w:rPr>
      </w:pPr>
      <w:r w:rsidRPr="00330DB4">
        <w:rPr>
          <w:color w:val="000000" w:themeColor="text1"/>
        </w:rPr>
        <w:t>The synthesis of zeolite nanoparticles also ensures the minimal diffusion path possible for reactive species in a catalyst particle</w:t>
      </w:r>
      <w:r>
        <w:rPr>
          <w:color w:val="000000" w:themeColor="text1"/>
        </w:rPr>
        <w:t xml:space="preserve">. One way to obtain smaller size particles was found through controlling the SDAs amount and type during MFI synthesis </w:t>
      </w:r>
      <w:r>
        <w:rPr>
          <w:color w:val="000000" w:themeColor="text1"/>
        </w:rPr>
        <w:fldChar w:fldCharType="begin"/>
      </w:r>
      <w:r>
        <w:rPr>
          <w:color w:val="000000" w:themeColor="text1"/>
        </w:rPr>
        <w:instrText xml:space="preserve"> ADDIN EN.CITE &lt;EndNote&gt;&lt;Cite&gt;&lt;Author&gt;Soltanali&lt;/Author&gt;&lt;Year&gt;2014&lt;/Year&gt;&lt;RecNum&gt;93&lt;/RecNum&gt;&lt;DisplayText&gt;[183, 184]&lt;/DisplayText&gt;&lt;record&gt;&lt;rec-number&gt;93&lt;/rec-number&gt;&lt;foreign-keys&gt;&lt;key app="EN" db-id="59dvwrfdof9dw8exf0kvp0atwazsazeeffsp" timestamp="1672721741"&gt;93&lt;/key&gt;&lt;/foreign-keys&gt;&lt;ref-type name="Journal Article"&gt;17&lt;/ref-type&gt;&lt;contributors&gt;&lt;authors&gt;&lt;author&gt;Saeed Soltanali&lt;/author&gt;&lt;author&gt;Rouein Halladj&lt;/author&gt;&lt;author&gt;Alimorad Rashidi&lt;/author&gt;&lt;author&gt;Mansour Bazmi&lt;/author&gt;&lt;/authors&gt;&lt;/contributors&gt;&lt;titles&gt;&lt;title&gt;Mixed templates application in ZSM-5 nanoparticles synthesis: Effect on the size, crystallinity, and surface area&lt;/title&gt;&lt;secondary-title&gt;Advanced Power Technology&lt;/secondary-title&gt;&lt;/titles&gt;&lt;periodical&gt;&lt;full-title&gt;Advanced Power Technology&lt;/full-title&gt;&lt;/periodical&gt;&lt;pages&gt;1767-1771&lt;/pages&gt;&lt;volume&gt;25&lt;/volume&gt;&lt;number&gt;6&lt;/number&gt;&lt;dates&gt;&lt;year&gt;2014&lt;/year&gt;&lt;/dates&gt;&lt;urls&gt;&lt;/urls&gt;&lt;electronic-resource-num&gt;https://doi.org/10.1016/j.apt.2014.07.004&lt;/electronic-resource-num&gt;&lt;/record&gt;&lt;/Cite&gt;&lt;Cite&gt;&lt;Author&gt;Valtchev&lt;/Author&gt;&lt;Year&gt;2005&lt;/Year&gt;&lt;RecNum&gt;95&lt;/RecNum&gt;&lt;record&gt;&lt;rec-number&gt;95&lt;/rec-number&gt;&lt;foreign-keys&gt;&lt;key app="EN" db-id="59dvwrfdof9dw8exf0kvp0atwazsazeeffsp" timestamp="1672723799"&gt;95&lt;/key&gt;&lt;/foreign-keys&gt;&lt;ref-type name="Journal Article"&gt;17&lt;/ref-type&gt;&lt;contributors&gt;&lt;authors&gt;&lt;author&gt;Valentin P. Valtchev&lt;/author&gt;&lt;author&gt;Lubomira Tosheva&lt;/author&gt;&lt;author&gt;Krassimir N. Bozhilov&lt;/author&gt;&lt;/authors&gt;&lt;/contributors&gt;&lt;titles&gt;&lt;title&gt;Synthesis of Zeolite Nanocrystals at Room Temperature&lt;/title&gt;&lt;secondary-title&gt;Langmuir&lt;/secondary-title&gt;&lt;/titles&gt;&lt;periodical&gt;&lt;full-title&gt;Langmuir&lt;/full-title&gt;&lt;/periodical&gt;&lt;pages&gt;10724-10729&lt;/pages&gt;&lt;volume&gt;21&lt;/volume&gt;&lt;dates&gt;&lt;year&gt;2005&lt;/year&gt;&lt;/dates&gt;&lt;urls&gt;&lt;/urls&gt;&lt;electronic-resource-num&gt;https://doi.org/10.1021/la050323e&lt;/electronic-resource-num&gt;&lt;/record&gt;&lt;/Cite&gt;&lt;/EndNote&gt;</w:instrText>
      </w:r>
      <w:r>
        <w:rPr>
          <w:color w:val="000000" w:themeColor="text1"/>
        </w:rPr>
        <w:fldChar w:fldCharType="separate"/>
      </w:r>
      <w:r>
        <w:rPr>
          <w:noProof/>
          <w:color w:val="000000" w:themeColor="text1"/>
        </w:rPr>
        <w:t>[</w:t>
      </w:r>
      <w:hyperlink w:anchor="_ENREF_183" w:tooltip="Soltanali, 2014 #93" w:history="1">
        <w:r w:rsidR="00D307FA">
          <w:rPr>
            <w:noProof/>
            <w:color w:val="000000" w:themeColor="text1"/>
          </w:rPr>
          <w:t>183</w:t>
        </w:r>
      </w:hyperlink>
      <w:r>
        <w:rPr>
          <w:noProof/>
          <w:color w:val="000000" w:themeColor="text1"/>
        </w:rPr>
        <w:t xml:space="preserve">, </w:t>
      </w:r>
      <w:hyperlink w:anchor="_ENREF_184" w:tooltip="Valtchev, 2005 #95" w:history="1">
        <w:r w:rsidR="00D307FA">
          <w:rPr>
            <w:noProof/>
            <w:color w:val="000000" w:themeColor="text1"/>
          </w:rPr>
          <w:t>184</w:t>
        </w:r>
      </w:hyperlink>
      <w:r>
        <w:rPr>
          <w:noProof/>
          <w:color w:val="000000" w:themeColor="text1"/>
        </w:rPr>
        <w:t>]</w:t>
      </w:r>
      <w:r>
        <w:rPr>
          <w:color w:val="000000" w:themeColor="text1"/>
        </w:rPr>
        <w:fldChar w:fldCharType="end"/>
      </w:r>
      <w:r>
        <w:rPr>
          <w:color w:val="000000" w:themeColor="text1"/>
        </w:rPr>
        <w:t xml:space="preserve">. Soltanali et al. showed that the concomitant feed of tetra propylammonium bromide (TPABr) and hydroxide (TPAOH) resulted in different crystal sizes as the ratio between these templates changed. An amorphous solid was obtained when TPABr was fed alone, resulted from a decrease in synthesis gel alkalinity, an essential condition for crystal growth </w:t>
      </w:r>
      <w:r>
        <w:rPr>
          <w:color w:val="000000" w:themeColor="text1"/>
        </w:rPr>
        <w:fldChar w:fldCharType="begin"/>
      </w:r>
      <w:r>
        <w:rPr>
          <w:color w:val="000000" w:themeColor="text1"/>
        </w:rPr>
        <w:instrText xml:space="preserve"> ADDIN EN.CITE &lt;EndNote&gt;&lt;Cite&gt;&lt;Author&gt;Persson&lt;/Author&gt;&lt;Year&gt;1995&lt;/Year&gt;&lt;RecNum&gt;94&lt;/RecNum&gt;&lt;DisplayText&gt;[185]&lt;/DisplayText&gt;&lt;record&gt;&lt;rec-number&gt;94&lt;/rec-number&gt;&lt;foreign-keys&gt;&lt;key app="EN" db-id="59dvwrfdof9dw8exf0kvp0atwazsazeeffsp" timestamp="1672723427"&gt;94&lt;/key&gt;&lt;/foreign-keys&gt;&lt;ref-type name="Journal Article"&gt;17&lt;/ref-type&gt;&lt;contributors&gt;&lt;authors&gt;&lt;author&gt;A. E. Persson&lt;/author&gt;&lt;author&gt;B. J. Schoeman&lt;/author&gt;&lt;author&gt;J. Sterte&lt;/author&gt;&lt;author&gt;J.-E. Otterstedt&lt;/author&gt;&lt;/authors&gt;&lt;/contributors&gt;&lt;titles&gt;&lt;title&gt;Synthesis of stable suspensions of discrete colloidal zeolite (Na, TPA)ZSM-5 crystals&lt;/title&gt;&lt;secondary-title&gt;Zeolies&lt;/secondary-title&gt;&lt;/titles&gt;&lt;periodical&gt;&lt;full-title&gt;Zeolies&lt;/full-title&gt;&lt;/periodical&gt;&lt;pages&gt;611-619&lt;/pages&gt;&lt;volume&gt;15&lt;/volume&gt;&lt;number&gt;7&lt;/number&gt;&lt;dates&gt;&lt;year&gt;1995&lt;/year&gt;&lt;/dates&gt;&lt;urls&gt;&lt;/urls&gt;&lt;electronic-resource-num&gt;https://doi.org/10.1016/0144-2449(95)00070-M&lt;/electronic-resource-num&gt;&lt;/record&gt;&lt;/Cite&gt;&lt;/EndNote&gt;</w:instrText>
      </w:r>
      <w:r>
        <w:rPr>
          <w:color w:val="000000" w:themeColor="text1"/>
        </w:rPr>
        <w:fldChar w:fldCharType="separate"/>
      </w:r>
      <w:r>
        <w:rPr>
          <w:noProof/>
          <w:color w:val="000000" w:themeColor="text1"/>
        </w:rPr>
        <w:t>[</w:t>
      </w:r>
      <w:hyperlink w:anchor="_ENREF_185" w:tooltip="Persson, 1995 #94" w:history="1">
        <w:r w:rsidR="00D307FA">
          <w:rPr>
            <w:noProof/>
            <w:color w:val="000000" w:themeColor="text1"/>
          </w:rPr>
          <w:t>185</w:t>
        </w:r>
      </w:hyperlink>
      <w:r>
        <w:rPr>
          <w:noProof/>
          <w:color w:val="000000" w:themeColor="text1"/>
        </w:rPr>
        <w:t>]</w:t>
      </w:r>
      <w:r>
        <w:rPr>
          <w:color w:val="000000" w:themeColor="text1"/>
        </w:rPr>
        <w:fldChar w:fldCharType="end"/>
      </w:r>
      <w:r>
        <w:rPr>
          <w:color w:val="000000" w:themeColor="text1"/>
        </w:rPr>
        <w:t xml:space="preserve">. There, </w:t>
      </w:r>
      <w:r>
        <w:rPr>
          <w:color w:val="000000" w:themeColor="text1"/>
        </w:rPr>
        <w:lastRenderedPageBreak/>
        <w:t xml:space="preserve">transmission electron microscopy (TEM) images showed the formation of a single crystal rather than </w:t>
      </w:r>
      <w:r w:rsidRPr="0060294C">
        <w:rPr>
          <w:color w:val="000000" w:themeColor="text1"/>
        </w:rPr>
        <w:t>aggregates, as one might sugge</w:t>
      </w:r>
      <w:r w:rsidRPr="0060294C">
        <w:t>st based on images generated through scanning electron microscopy (SEM) (</w:t>
      </w:r>
      <w:r w:rsidRPr="0060294C">
        <w:rPr>
          <w:b/>
          <w:bCs/>
        </w:rPr>
        <w:t xml:space="preserve">Figure </w:t>
      </w:r>
      <w:r w:rsidR="00834135" w:rsidRPr="0060294C">
        <w:rPr>
          <w:b/>
          <w:bCs/>
        </w:rPr>
        <w:t>48</w:t>
      </w:r>
      <w:r w:rsidRPr="0060294C">
        <w:rPr>
          <w:b/>
          <w:bCs/>
        </w:rPr>
        <w:t xml:space="preserve"> </w:t>
      </w:r>
      <w:r w:rsidRPr="0060294C">
        <w:t>and</w:t>
      </w:r>
      <w:r w:rsidRPr="0060294C">
        <w:rPr>
          <w:b/>
          <w:bCs/>
        </w:rPr>
        <w:t xml:space="preserve"> </w:t>
      </w:r>
      <w:r w:rsidR="00834135" w:rsidRPr="0060294C">
        <w:rPr>
          <w:b/>
          <w:bCs/>
        </w:rPr>
        <w:t>Figure 49</w:t>
      </w:r>
      <w:r w:rsidRPr="0060294C">
        <w:t>). Th</w:t>
      </w:r>
      <w:r w:rsidRPr="0060294C">
        <w:rPr>
          <w:color w:val="000000" w:themeColor="text1"/>
        </w:rPr>
        <w:t>e drawback on the</w:t>
      </w:r>
      <w:r>
        <w:rPr>
          <w:color w:val="000000" w:themeColor="text1"/>
        </w:rPr>
        <w:t xml:space="preserve"> nanocrystal synthesis resides on the use of large amounts of organic templates, resulting in substantial economic and environmental impacts.</w:t>
      </w:r>
    </w:p>
    <w:p w14:paraId="5CE5B91B" w14:textId="77777777" w:rsidR="00153C10" w:rsidRDefault="00153C10" w:rsidP="00463612">
      <w:pPr>
        <w:keepNext/>
        <w:jc w:val="center"/>
      </w:pPr>
      <w:r w:rsidRPr="00C96A62">
        <w:rPr>
          <w:noProof/>
        </w:rPr>
        <w:drawing>
          <wp:inline distT="0" distB="0" distL="0" distR="0" wp14:anchorId="6216CA60" wp14:editId="64752407">
            <wp:extent cx="4281255" cy="2103120"/>
            <wp:effectExtent l="0" t="0" r="5080" b="0"/>
            <wp:docPr id="49" name="Picture 49" descr="A picture containing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white&#10;&#10;Description automatically generated"/>
                    <pic:cNvPicPr/>
                  </pic:nvPicPr>
                  <pic:blipFill>
                    <a:blip r:embed="rId62"/>
                    <a:stretch>
                      <a:fillRect/>
                    </a:stretch>
                  </pic:blipFill>
                  <pic:spPr>
                    <a:xfrm>
                      <a:off x="0" y="0"/>
                      <a:ext cx="4281255" cy="2103120"/>
                    </a:xfrm>
                    <a:prstGeom prst="rect">
                      <a:avLst/>
                    </a:prstGeom>
                  </pic:spPr>
                </pic:pic>
              </a:graphicData>
            </a:graphic>
          </wp:inline>
        </w:drawing>
      </w:r>
    </w:p>
    <w:p w14:paraId="73FB25BC" w14:textId="273A0B8A" w:rsidR="00153C10" w:rsidRPr="003A7491" w:rsidRDefault="00153C10" w:rsidP="00463612">
      <w:pPr>
        <w:pStyle w:val="Caption"/>
        <w:jc w:val="both"/>
        <w:rPr>
          <w:i w:val="0"/>
          <w:iCs w:val="0"/>
          <w:color w:val="auto"/>
          <w:sz w:val="24"/>
          <w:szCs w:val="24"/>
        </w:rPr>
      </w:pPr>
      <w:bookmarkStart w:id="88" w:name="_Toc131948712"/>
      <w:r w:rsidRPr="003A7491">
        <w:rPr>
          <w:b/>
          <w:bCs/>
          <w:i w:val="0"/>
          <w:iCs w:val="0"/>
          <w:color w:val="auto"/>
          <w:sz w:val="24"/>
          <w:szCs w:val="24"/>
        </w:rPr>
        <w:t xml:space="preserve">Figure </w:t>
      </w:r>
      <w:r w:rsidRPr="003A7491">
        <w:rPr>
          <w:b/>
          <w:bCs/>
          <w:i w:val="0"/>
          <w:iCs w:val="0"/>
          <w:color w:val="auto"/>
          <w:sz w:val="24"/>
          <w:szCs w:val="24"/>
        </w:rPr>
        <w:fldChar w:fldCharType="begin"/>
      </w:r>
      <w:r w:rsidRPr="003A7491">
        <w:rPr>
          <w:b/>
          <w:bCs/>
          <w:i w:val="0"/>
          <w:iCs w:val="0"/>
          <w:color w:val="auto"/>
          <w:sz w:val="24"/>
          <w:szCs w:val="24"/>
        </w:rPr>
        <w:instrText xml:space="preserve"> SEQ Figure \* ARABIC </w:instrText>
      </w:r>
      <w:r w:rsidRPr="003A7491">
        <w:rPr>
          <w:b/>
          <w:bCs/>
          <w:i w:val="0"/>
          <w:iCs w:val="0"/>
          <w:color w:val="auto"/>
          <w:sz w:val="24"/>
          <w:szCs w:val="24"/>
        </w:rPr>
        <w:fldChar w:fldCharType="separate"/>
      </w:r>
      <w:r w:rsidR="001F4741">
        <w:rPr>
          <w:b/>
          <w:bCs/>
          <w:i w:val="0"/>
          <w:iCs w:val="0"/>
          <w:noProof/>
          <w:color w:val="auto"/>
          <w:sz w:val="24"/>
          <w:szCs w:val="24"/>
        </w:rPr>
        <w:t>48</w:t>
      </w:r>
      <w:r w:rsidRPr="003A7491">
        <w:rPr>
          <w:b/>
          <w:bCs/>
          <w:i w:val="0"/>
          <w:iCs w:val="0"/>
          <w:color w:val="auto"/>
          <w:sz w:val="24"/>
          <w:szCs w:val="24"/>
        </w:rPr>
        <w:fldChar w:fldCharType="end"/>
      </w:r>
      <w:r w:rsidRPr="003A7491">
        <w:rPr>
          <w:b/>
          <w:bCs/>
          <w:i w:val="0"/>
          <w:iCs w:val="0"/>
          <w:color w:val="auto"/>
          <w:sz w:val="24"/>
          <w:szCs w:val="24"/>
        </w:rPr>
        <w:t>:</w:t>
      </w:r>
      <w:r w:rsidRPr="003A7491">
        <w:rPr>
          <w:i w:val="0"/>
          <w:iCs w:val="0"/>
          <w:color w:val="auto"/>
          <w:sz w:val="24"/>
          <w:szCs w:val="24"/>
        </w:rPr>
        <w:t xml:space="preserve"> Transmission electron microscopy images of nano ZSM-5 samples Z-2 and Z-3. Reproduced from Ref </w:t>
      </w:r>
      <w:r w:rsidRPr="003A7491">
        <w:rPr>
          <w:i w:val="0"/>
          <w:iCs w:val="0"/>
          <w:color w:val="auto"/>
          <w:sz w:val="24"/>
          <w:szCs w:val="24"/>
        </w:rPr>
        <w:fldChar w:fldCharType="begin"/>
      </w:r>
      <w:r>
        <w:rPr>
          <w:i w:val="0"/>
          <w:iCs w:val="0"/>
          <w:color w:val="auto"/>
          <w:sz w:val="24"/>
          <w:szCs w:val="24"/>
        </w:rPr>
        <w:instrText xml:space="preserve"> ADDIN EN.CITE &lt;EndNote&gt;&lt;Cite&gt;&lt;Author&gt;Soltanali&lt;/Author&gt;&lt;Year&gt;2014&lt;/Year&gt;&lt;RecNum&gt;93&lt;/RecNum&gt;&lt;DisplayText&gt;[183]&lt;/DisplayText&gt;&lt;record&gt;&lt;rec-number&gt;93&lt;/rec-number&gt;&lt;foreign-keys&gt;&lt;key app="EN" db-id="59dvwrfdof9dw8exf0kvp0atwazsazeeffsp" timestamp="1672721741"&gt;93&lt;/key&gt;&lt;/foreign-keys&gt;&lt;ref-type name="Journal Article"&gt;17&lt;/ref-type&gt;&lt;contributors&gt;&lt;authors&gt;&lt;author&gt;Saeed Soltanali&lt;/author&gt;&lt;author&gt;Rouein Halladj&lt;/author&gt;&lt;author&gt;Alimorad Rashidi&lt;/author&gt;&lt;author&gt;Mansour Bazmi&lt;/author&gt;&lt;/authors&gt;&lt;/contributors&gt;&lt;titles&gt;&lt;title&gt;Mixed templates application in ZSM-5 nanoparticles synthesis: Effect on the size, crystallinity, and surface area&lt;/title&gt;&lt;secondary-title&gt;Advanced Power Technology&lt;/secondary-title&gt;&lt;/titles&gt;&lt;periodical&gt;&lt;full-title&gt;Advanced Power Technology&lt;/full-title&gt;&lt;/periodical&gt;&lt;pages&gt;1767-1771&lt;/pages&gt;&lt;volume&gt;25&lt;/volume&gt;&lt;number&gt;6&lt;/number&gt;&lt;dates&gt;&lt;year&gt;2014&lt;/year&gt;&lt;/dates&gt;&lt;urls&gt;&lt;/urls&gt;&lt;electronic-resource-num&gt;https://doi.org/10.1016/j.apt.2014.07.004&lt;/electronic-resource-num&gt;&lt;/record&gt;&lt;/Cite&gt;&lt;/EndNote&gt;</w:instrText>
      </w:r>
      <w:r w:rsidRPr="003A7491">
        <w:rPr>
          <w:i w:val="0"/>
          <w:iCs w:val="0"/>
          <w:color w:val="auto"/>
          <w:sz w:val="24"/>
          <w:szCs w:val="24"/>
        </w:rPr>
        <w:fldChar w:fldCharType="separate"/>
      </w:r>
      <w:r>
        <w:rPr>
          <w:i w:val="0"/>
          <w:iCs w:val="0"/>
          <w:noProof/>
          <w:color w:val="auto"/>
          <w:sz w:val="24"/>
          <w:szCs w:val="24"/>
        </w:rPr>
        <w:t>[</w:t>
      </w:r>
      <w:hyperlink w:anchor="_ENREF_183" w:tooltip="Soltanali, 2014 #93" w:history="1">
        <w:r w:rsidR="00D307FA">
          <w:rPr>
            <w:i w:val="0"/>
            <w:iCs w:val="0"/>
            <w:noProof/>
            <w:color w:val="auto"/>
            <w:sz w:val="24"/>
            <w:szCs w:val="24"/>
          </w:rPr>
          <w:t>183</w:t>
        </w:r>
      </w:hyperlink>
      <w:r>
        <w:rPr>
          <w:i w:val="0"/>
          <w:iCs w:val="0"/>
          <w:noProof/>
          <w:color w:val="auto"/>
          <w:sz w:val="24"/>
          <w:szCs w:val="24"/>
        </w:rPr>
        <w:t>]</w:t>
      </w:r>
      <w:r w:rsidRPr="003A7491">
        <w:rPr>
          <w:i w:val="0"/>
          <w:iCs w:val="0"/>
          <w:color w:val="auto"/>
          <w:sz w:val="24"/>
          <w:szCs w:val="24"/>
        </w:rPr>
        <w:fldChar w:fldCharType="end"/>
      </w:r>
      <w:r w:rsidRPr="003A7491">
        <w:rPr>
          <w:i w:val="0"/>
          <w:iCs w:val="0"/>
          <w:color w:val="auto"/>
          <w:sz w:val="24"/>
          <w:szCs w:val="24"/>
        </w:rPr>
        <w:t>.</w:t>
      </w:r>
      <w:bookmarkEnd w:id="88"/>
    </w:p>
    <w:p w14:paraId="04E390D7" w14:textId="77777777" w:rsidR="00153C10" w:rsidRDefault="00153C10" w:rsidP="00463612">
      <w:pPr>
        <w:keepNext/>
        <w:jc w:val="center"/>
      </w:pPr>
      <w:r w:rsidRPr="006005BB">
        <w:rPr>
          <w:noProof/>
        </w:rPr>
        <w:lastRenderedPageBreak/>
        <w:drawing>
          <wp:inline distT="0" distB="0" distL="0" distR="0" wp14:anchorId="0E5FE89C" wp14:editId="106B6046">
            <wp:extent cx="5074879" cy="3657600"/>
            <wp:effectExtent l="0" t="0" r="0" b="0"/>
            <wp:docPr id="50" name="Picture 50" descr="A picture containing text, different,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ifferent, crowd&#10;&#10;Description automatically generated"/>
                    <pic:cNvPicPr/>
                  </pic:nvPicPr>
                  <pic:blipFill>
                    <a:blip r:embed="rId63"/>
                    <a:stretch>
                      <a:fillRect/>
                    </a:stretch>
                  </pic:blipFill>
                  <pic:spPr>
                    <a:xfrm>
                      <a:off x="0" y="0"/>
                      <a:ext cx="5074879" cy="3657600"/>
                    </a:xfrm>
                    <a:prstGeom prst="rect">
                      <a:avLst/>
                    </a:prstGeom>
                  </pic:spPr>
                </pic:pic>
              </a:graphicData>
            </a:graphic>
          </wp:inline>
        </w:drawing>
      </w:r>
    </w:p>
    <w:p w14:paraId="29383F2E" w14:textId="6746FDCA" w:rsidR="00153C10" w:rsidRPr="003A7491" w:rsidRDefault="00153C10" w:rsidP="00463612">
      <w:pPr>
        <w:pStyle w:val="Caption"/>
        <w:jc w:val="both"/>
        <w:rPr>
          <w:i w:val="0"/>
          <w:iCs w:val="0"/>
          <w:color w:val="auto"/>
          <w:sz w:val="24"/>
          <w:szCs w:val="24"/>
        </w:rPr>
      </w:pPr>
      <w:bookmarkStart w:id="89" w:name="_Toc131948713"/>
      <w:r w:rsidRPr="003A7491">
        <w:rPr>
          <w:b/>
          <w:bCs/>
          <w:i w:val="0"/>
          <w:iCs w:val="0"/>
          <w:color w:val="auto"/>
          <w:sz w:val="24"/>
          <w:szCs w:val="24"/>
        </w:rPr>
        <w:t xml:space="preserve">Figure </w:t>
      </w:r>
      <w:r w:rsidRPr="003A7491">
        <w:rPr>
          <w:b/>
          <w:bCs/>
          <w:i w:val="0"/>
          <w:iCs w:val="0"/>
          <w:color w:val="auto"/>
          <w:sz w:val="24"/>
          <w:szCs w:val="24"/>
        </w:rPr>
        <w:fldChar w:fldCharType="begin"/>
      </w:r>
      <w:r w:rsidRPr="003A7491">
        <w:rPr>
          <w:b/>
          <w:bCs/>
          <w:i w:val="0"/>
          <w:iCs w:val="0"/>
          <w:color w:val="auto"/>
          <w:sz w:val="24"/>
          <w:szCs w:val="24"/>
        </w:rPr>
        <w:instrText xml:space="preserve"> SEQ Figure \* ARABIC </w:instrText>
      </w:r>
      <w:r w:rsidRPr="003A7491">
        <w:rPr>
          <w:b/>
          <w:bCs/>
          <w:i w:val="0"/>
          <w:iCs w:val="0"/>
          <w:color w:val="auto"/>
          <w:sz w:val="24"/>
          <w:szCs w:val="24"/>
        </w:rPr>
        <w:fldChar w:fldCharType="separate"/>
      </w:r>
      <w:r w:rsidR="001F4741">
        <w:rPr>
          <w:b/>
          <w:bCs/>
          <w:i w:val="0"/>
          <w:iCs w:val="0"/>
          <w:noProof/>
          <w:color w:val="auto"/>
          <w:sz w:val="24"/>
          <w:szCs w:val="24"/>
        </w:rPr>
        <w:t>49</w:t>
      </w:r>
      <w:r w:rsidRPr="003A7491">
        <w:rPr>
          <w:b/>
          <w:bCs/>
          <w:i w:val="0"/>
          <w:iCs w:val="0"/>
          <w:color w:val="auto"/>
          <w:sz w:val="24"/>
          <w:szCs w:val="24"/>
        </w:rPr>
        <w:fldChar w:fldCharType="end"/>
      </w:r>
      <w:r w:rsidRPr="003A7491">
        <w:rPr>
          <w:b/>
          <w:bCs/>
          <w:i w:val="0"/>
          <w:iCs w:val="0"/>
          <w:color w:val="auto"/>
          <w:sz w:val="24"/>
          <w:szCs w:val="24"/>
        </w:rPr>
        <w:t>:</w:t>
      </w:r>
      <w:r w:rsidRPr="003A7491">
        <w:rPr>
          <w:i w:val="0"/>
          <w:iCs w:val="0"/>
          <w:color w:val="auto"/>
          <w:sz w:val="24"/>
          <w:szCs w:val="24"/>
        </w:rPr>
        <w:t xml:space="preserve"> Synthesized ZSM-5 zeolites FE-SEM images in various template ratios. Adapted from Ref </w:t>
      </w:r>
      <w:r w:rsidRPr="003A7491">
        <w:rPr>
          <w:i w:val="0"/>
          <w:iCs w:val="0"/>
          <w:color w:val="auto"/>
          <w:sz w:val="24"/>
          <w:szCs w:val="24"/>
        </w:rPr>
        <w:fldChar w:fldCharType="begin"/>
      </w:r>
      <w:r>
        <w:rPr>
          <w:i w:val="0"/>
          <w:iCs w:val="0"/>
          <w:color w:val="auto"/>
          <w:sz w:val="24"/>
          <w:szCs w:val="24"/>
        </w:rPr>
        <w:instrText xml:space="preserve"> ADDIN EN.CITE &lt;EndNote&gt;&lt;Cite&gt;&lt;Author&gt;Soltanali&lt;/Author&gt;&lt;Year&gt;2014&lt;/Year&gt;&lt;RecNum&gt;93&lt;/RecNum&gt;&lt;DisplayText&gt;[183]&lt;/DisplayText&gt;&lt;record&gt;&lt;rec-number&gt;93&lt;/rec-number&gt;&lt;foreign-keys&gt;&lt;key app="EN" db-id="59dvwrfdof9dw8exf0kvp0atwazsazeeffsp" timestamp="1672721741"&gt;93&lt;/key&gt;&lt;/foreign-keys&gt;&lt;ref-type name="Journal Article"&gt;17&lt;/ref-type&gt;&lt;contributors&gt;&lt;authors&gt;&lt;author&gt;Saeed Soltanali&lt;/author&gt;&lt;author&gt;Rouein Halladj&lt;/author&gt;&lt;author&gt;Alimorad Rashidi&lt;/author&gt;&lt;author&gt;Mansour Bazmi&lt;/author&gt;&lt;/authors&gt;&lt;/contributors&gt;&lt;titles&gt;&lt;title&gt;Mixed templates application in ZSM-5 nanoparticles synthesis: Effect on the size, crystallinity, and surface area&lt;/title&gt;&lt;secondary-title&gt;Advanced Power Technology&lt;/secondary-title&gt;&lt;/titles&gt;&lt;periodical&gt;&lt;full-title&gt;Advanced Power Technology&lt;/full-title&gt;&lt;/periodical&gt;&lt;pages&gt;1767-1771&lt;/pages&gt;&lt;volume&gt;25&lt;/volume&gt;&lt;number&gt;6&lt;/number&gt;&lt;dates&gt;&lt;year&gt;2014&lt;/year&gt;&lt;/dates&gt;&lt;urls&gt;&lt;/urls&gt;&lt;electronic-resource-num&gt;https://doi.org/10.1016/j.apt.2014.07.004&lt;/electronic-resource-num&gt;&lt;/record&gt;&lt;/Cite&gt;&lt;/EndNote&gt;</w:instrText>
      </w:r>
      <w:r w:rsidRPr="003A7491">
        <w:rPr>
          <w:i w:val="0"/>
          <w:iCs w:val="0"/>
          <w:color w:val="auto"/>
          <w:sz w:val="24"/>
          <w:szCs w:val="24"/>
        </w:rPr>
        <w:fldChar w:fldCharType="separate"/>
      </w:r>
      <w:r>
        <w:rPr>
          <w:i w:val="0"/>
          <w:iCs w:val="0"/>
          <w:noProof/>
          <w:color w:val="auto"/>
          <w:sz w:val="24"/>
          <w:szCs w:val="24"/>
        </w:rPr>
        <w:t>[</w:t>
      </w:r>
      <w:hyperlink w:anchor="_ENREF_183" w:tooltip="Soltanali, 2014 #93" w:history="1">
        <w:r w:rsidR="00D307FA">
          <w:rPr>
            <w:i w:val="0"/>
            <w:iCs w:val="0"/>
            <w:noProof/>
            <w:color w:val="auto"/>
            <w:sz w:val="24"/>
            <w:szCs w:val="24"/>
          </w:rPr>
          <w:t>183</w:t>
        </w:r>
      </w:hyperlink>
      <w:r>
        <w:rPr>
          <w:i w:val="0"/>
          <w:iCs w:val="0"/>
          <w:noProof/>
          <w:color w:val="auto"/>
          <w:sz w:val="24"/>
          <w:szCs w:val="24"/>
        </w:rPr>
        <w:t>]</w:t>
      </w:r>
      <w:r w:rsidRPr="003A7491">
        <w:rPr>
          <w:i w:val="0"/>
          <w:iCs w:val="0"/>
          <w:color w:val="auto"/>
          <w:sz w:val="24"/>
          <w:szCs w:val="24"/>
        </w:rPr>
        <w:fldChar w:fldCharType="end"/>
      </w:r>
      <w:r w:rsidRPr="003A7491">
        <w:rPr>
          <w:i w:val="0"/>
          <w:iCs w:val="0"/>
          <w:color w:val="auto"/>
          <w:sz w:val="24"/>
          <w:szCs w:val="24"/>
        </w:rPr>
        <w:t>.</w:t>
      </w:r>
      <w:bookmarkEnd w:id="89"/>
    </w:p>
    <w:p w14:paraId="6DDC8E97" w14:textId="38D44937" w:rsidR="00153C10" w:rsidRDefault="00153C10" w:rsidP="00BA5F6A">
      <w:pPr>
        <w:spacing w:line="480" w:lineRule="auto"/>
        <w:jc w:val="both"/>
      </w:pPr>
      <w:r w:rsidRPr="00C90805">
        <w:tab/>
      </w:r>
      <w:r>
        <w:t xml:space="preserve">Aluminum as well does play a key role in the crystal formation besides its incorporation on zeolite framework. It has been shown that higher aluminum contents cause the formation of multi-nuclei sites in the synthesis gel inducing several small particles growth whereas fewer single nuclei exists </w:t>
      </w:r>
      <w:r w:rsidRPr="0060294C">
        <w:t xml:space="preserve">where a small or no aluminum is present </w:t>
      </w:r>
      <w:r w:rsidRPr="0060294C">
        <w:fldChar w:fldCharType="begin">
          <w:fldData xml:space="preserve">PEVuZE5vdGU+PENpdGU+PEF1dGhvcj5MaTwvQXV0aG9yPjxZZWFyPjIwMDk8L1llYXI+PFJlY051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</w:fldData>
        </w:fldChar>
      </w:r>
      <w:r w:rsidRPr="0060294C">
        <w:instrText xml:space="preserve"> ADDIN EN.CITE </w:instrText>
      </w:r>
      <w:r w:rsidRPr="0060294C">
        <w:fldChar w:fldCharType="begin">
          <w:fldData xml:space="preserve">PEVuZE5vdGU+PENpdGU+PEF1dGhvcj5MaTwvQXV0aG9yPjxZZWFyPjIwMDk8L1llYXI+PFJlY051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</w:fldData>
        </w:fldChar>
      </w:r>
      <w:r w:rsidRPr="0060294C">
        <w:instrText xml:space="preserve"> ADDIN EN.CITE.DATA </w:instrText>
      </w:r>
      <w:r w:rsidRPr="0060294C">
        <w:fldChar w:fldCharType="end"/>
      </w:r>
      <w:r w:rsidRPr="0060294C">
        <w:fldChar w:fldCharType="separate"/>
      </w:r>
      <w:r w:rsidRPr="0060294C">
        <w:rPr>
          <w:noProof/>
        </w:rPr>
        <w:t>[</w:t>
      </w:r>
      <w:hyperlink w:anchor="_ENREF_186" w:tooltip="Li, 2009 #99" w:history="1">
        <w:r w:rsidR="00D307FA" w:rsidRPr="0060294C">
          <w:rPr>
            <w:noProof/>
          </w:rPr>
          <w:t>186-188</w:t>
        </w:r>
      </w:hyperlink>
      <w:r w:rsidRPr="0060294C">
        <w:rPr>
          <w:noProof/>
        </w:rPr>
        <w:t>]</w:t>
      </w:r>
      <w:r w:rsidRPr="0060294C">
        <w:fldChar w:fldCharType="end"/>
      </w:r>
      <w:r w:rsidRPr="0060294C">
        <w:t xml:space="preserve">. These numerous nuclei result in a rough surface, as shown in </w:t>
      </w:r>
      <w:r w:rsidRPr="0060294C">
        <w:rPr>
          <w:b/>
          <w:bCs/>
        </w:rPr>
        <w:t xml:space="preserve">Figure </w:t>
      </w:r>
      <w:r w:rsidR="00834135" w:rsidRPr="0060294C">
        <w:rPr>
          <w:b/>
          <w:bCs/>
        </w:rPr>
        <w:t>49</w:t>
      </w:r>
      <w:r w:rsidRPr="0060294C">
        <w:t>, and are avoided at lower Al content; this is an expected</w:t>
      </w:r>
      <w:r w:rsidRPr="002F3356">
        <w:t xml:space="preserve"> result, as a single nucleus growth occurs more homogeneously as the nutrients are slowly incorporated without the interference of a secondary nucleus nearby </w:t>
      </w:r>
      <w:r>
        <w:fldChar w:fldCharType="begin"/>
      </w:r>
      <w:r>
        <w:instrText xml:space="preserve"> ADDIN EN.CITE &lt;EndNote&gt;&lt;Cite&gt;&lt;Author&gt;Ahmed&lt;/Author&gt;&lt;Year&gt;1996&lt;/Year&gt;&lt;RecNum&gt;98&lt;/RecNum&gt;&lt;DisplayText&gt;[189, 190]&lt;/DisplayText&gt;&lt;record&gt;&lt;rec-number&gt;98&lt;/rec-number&gt;&lt;foreign-keys&gt;&lt;key app="EN" db-id="59dvwrfdof9dw8exf0kvp0atwazsazeeffsp" timestamp="1672774554"&gt;98&lt;/key&gt;&lt;/foreign-keys&gt;&lt;ref-type name="Journal Article"&gt;17&lt;/ref-type&gt;&lt;contributors&gt;&lt;authors&gt;&lt;author&gt;Shakeel Ahmed&lt;/author&gt;&lt;author&gt;Mohamed Z. El-Faer&lt;/author&gt;&lt;author&gt;Mohamed M. Abdillahi&lt;/author&gt;&lt;author&gt;Mohammed A. B. Siddiqui&lt;/author&gt;&lt;author&gt;Sami A. I. Barri&lt;/author&gt;&lt;/authors&gt;&lt;/contributors&gt;&lt;titles&gt;&lt;title&gt;Investigation of the rapid crystallization method for the synthesis of MFI-type zeolites and study of the physicochemical properties of the products&lt;/title&gt;&lt;secondary-title&gt;Zeolites&lt;/secondary-title&gt;&lt;/titles&gt;&lt;periodical&gt;&lt;full-title&gt;Zeolites&lt;/full-title&gt;&lt;/periodical&gt;&lt;pages&gt;373-380&lt;/pages&gt;&lt;volume&gt;17&lt;/volume&gt;&lt;number&gt;4&lt;/number&gt;&lt;dates&gt;&lt;year&gt;1996&lt;/year&gt;&lt;/dates&gt;&lt;urls&gt;&lt;/urls&gt;&lt;electronic-resource-num&gt;https://doi.org/10.1016/0144-2449(96)00072-3&lt;/electronic-resource-num&gt;&lt;/record&gt;&lt;/Cite&gt;&lt;Cite&gt;&lt;Author&gt;Shirazi&lt;/Author&gt;&lt;Year&gt;2008&lt;/Year&gt;&lt;RecNum&gt;101&lt;/RecNum&gt;&lt;record&gt;&lt;rec-number&gt;101&lt;/rec-number&gt;&lt;foreign-keys&gt;&lt;key app="EN" db-id="59dvwrfdof9dw8exf0kvp0atwazsazeeffsp" timestamp="1672793332"&gt;101&lt;/key&gt;&lt;/foreign-keys&gt;&lt;ref-type name="Journal Article"&gt;17&lt;/ref-type&gt;&lt;contributors&gt;&lt;authors&gt;&lt;author&gt;L. Shirazi&lt;/author&gt;&lt;author&gt;E. Jamshidi&lt;/author&gt;&lt;author&gt;M. R. Ghasemi&lt;/author&gt;&lt;/authors&gt;&lt;/contributors&gt;&lt;titles&gt;&lt;title&gt;The effect of Si/Al ratio of ZSM-5 zeolite on its morphology, acidity and crystal size&lt;/title&gt;&lt;secondary-title&gt;Crystal Research and Technology&lt;/secondary-title&gt;&lt;/titles&gt;&lt;periodical&gt;&lt;full-title&gt;Crystal Research and Technology&lt;/full-title&gt;&lt;/periodical&gt;&lt;pages&gt;1247-1344&lt;/pages&gt;&lt;volume&gt;43&lt;/volume&gt;&lt;number&gt;12&lt;/number&gt;&lt;dates&gt;&lt;year&gt;2008&lt;/year&gt;&lt;/dates&gt;&lt;urls&gt;&lt;/urls&gt;&lt;electronic-resource-num&gt;https://doi.org/10.1002/crat.200800149&lt;/electronic-resource-num&gt;&lt;/record&gt;&lt;/Cite&gt;&lt;/EndNote&gt;</w:instrText>
      </w:r>
      <w:r>
        <w:fldChar w:fldCharType="separate"/>
      </w:r>
      <w:r>
        <w:rPr>
          <w:noProof/>
        </w:rPr>
        <w:t>[</w:t>
      </w:r>
      <w:hyperlink w:anchor="_ENREF_189" w:tooltip="Ahmed, 1996 #98" w:history="1">
        <w:r w:rsidR="00D307FA">
          <w:rPr>
            <w:noProof/>
          </w:rPr>
          <w:t>189</w:t>
        </w:r>
      </w:hyperlink>
      <w:r>
        <w:rPr>
          <w:noProof/>
        </w:rPr>
        <w:t xml:space="preserve">, </w:t>
      </w:r>
      <w:hyperlink w:anchor="_ENREF_190" w:tooltip="Shirazi, 2008 #101" w:history="1">
        <w:r w:rsidR="00D307FA">
          <w:rPr>
            <w:noProof/>
          </w:rPr>
          <w:t>190</w:t>
        </w:r>
      </w:hyperlink>
      <w:r>
        <w:rPr>
          <w:noProof/>
        </w:rPr>
        <w:t>]</w:t>
      </w:r>
      <w:r>
        <w:fldChar w:fldCharType="end"/>
      </w:r>
      <w:r>
        <w:t xml:space="preserve">. Such aluminum control is also beneficial to the absence of extra-framework alumina, existed in early stages of zeolites formation, amorphous silica-alumina solids or at high loadings </w:t>
      </w:r>
      <w:r>
        <w:fldChar w:fldCharType="begin"/>
      </w:r>
      <w:r>
        <w:instrText xml:space="preserve"> ADDIN EN.CITE &lt;EndNote&gt;&lt;Cite&gt;&lt;Author&gt;Grieken&lt;/Author&gt;&lt;Year&gt;2000&lt;/Year&gt;&lt;RecNum&gt;102&lt;/RecNum&gt;&lt;DisplayText&gt;[191, 192]&lt;/DisplayText&gt;&lt;record&gt;&lt;rec-number&gt;102&lt;/rec-number&gt;&lt;foreign-keys&gt;&lt;key app="EN" db-id="59dvwrfdof9dw8exf0kvp0atwazsazeeffsp" timestamp="1672793700"&gt;102&lt;/key&gt;&lt;/foreign-keys&gt;&lt;ref-type name="Journal Article"&gt;17&lt;/ref-type&gt;&lt;contributors&gt;&lt;authors&gt;&lt;author&gt;R. Van Grieken&lt;/author&gt;&lt;author&gt;J. L. Sotelo&lt;/author&gt;&lt;author&gt;J. M. Menéndez&lt;/author&gt;&lt;author&gt;J. A. Melero&lt;/author&gt;&lt;/authors&gt;&lt;/contributors&gt;&lt;titles&gt;&lt;title&gt;Anomalous crystallization mechanism in the synthesis of nanocrystalline ZSM-5&lt;/title&gt;&lt;secondary-title&gt;Microporous and Mesoporous Materials&lt;/secondary-title&gt;&lt;/titles&gt;&lt;periodical&gt;&lt;full-title&gt;Microporous and Mesoporous Materials&lt;/full-title&gt;&lt;/periodical&gt;&lt;pages&gt;135-147&lt;/pages&gt;&lt;volume&gt;39&lt;/volume&gt;&lt;number&gt;1-2&lt;/number&gt;&lt;dates&gt;&lt;year&gt;2000&lt;/year&gt;&lt;/dates&gt;&lt;urls&gt;&lt;/urls&gt;&lt;electronic-resource-num&gt;https://doi.org/10.1016/S1387-1811(00)00190-6&lt;/electronic-resource-num&gt;&lt;/record&gt;&lt;/Cite&gt;&lt;Cite&gt;&lt;Author&gt;Fu&lt;/Author&gt;&lt;Year&gt;2019&lt;/Year&gt;&lt;RecNum&gt;103&lt;/RecNum&gt;&lt;record&gt;&lt;rec-number&gt;103&lt;/rec-number&gt;&lt;foreign-keys&gt;&lt;key app="EN" db-id="59dvwrfdof9dw8exf0kvp0atwazsazeeffsp" timestamp="1672794324"&gt;103&lt;/key&gt;&lt;/foreign-keys&gt;&lt;ref-type name="Journal Article"&gt;17&lt;/ref-type&gt;&lt;contributors&gt;&lt;authors&gt;&lt;author&gt;Tingjun Fu&lt;/author&gt;&lt;author&gt;Zhe Ma&lt;/author&gt;&lt;author&gt;Yujie Wang&lt;/author&gt;&lt;author&gt;Juan Shao&lt;/author&gt;&lt;author&gt;Qian Ma&lt;/author&gt;&lt;author&gt;Chunmei Zhang&lt;/author&gt;&lt;author&gt;Liping Cui&lt;/author&gt;&lt;author&gt;Zhong Li&lt;/author&gt;&lt;/authors&gt;&lt;/contributors&gt;&lt;titles&gt;&lt;title&gt;Si/Al ratio induced structure evolution during desilication-recrystallization of silicalite-1 to synthesize nano-ZSM-5 catalyst for MTH reaction&lt;/title&gt;&lt;secondary-title&gt;Fuel Processing Technology&lt;/secondary-title&gt;&lt;/titles&gt;&lt;periodical&gt;&lt;full-title&gt;Fuel Processing Technology&lt;/full-title&gt;&lt;/periodical&gt;&lt;pages&gt;106122&lt;/pages&gt;&lt;volume&gt;194&lt;/volume&gt;&lt;dates&gt;&lt;year&gt;2019&lt;/year&gt;&lt;/dates&gt;&lt;urls&gt;&lt;/urls&gt;&lt;electronic-resource-num&gt;https://doi.org/10.1016/j.fuproc.2019.106122&lt;/electronic-resource-num&gt;&lt;/record&gt;&lt;/Cite&gt;&lt;/EndNote&gt;</w:instrText>
      </w:r>
      <w:r>
        <w:fldChar w:fldCharType="separate"/>
      </w:r>
      <w:r>
        <w:rPr>
          <w:noProof/>
        </w:rPr>
        <w:t>[</w:t>
      </w:r>
      <w:hyperlink w:anchor="_ENREF_191" w:tooltip="Grieken, 2000 #102" w:history="1">
        <w:r w:rsidR="00D307FA">
          <w:rPr>
            <w:noProof/>
          </w:rPr>
          <w:t>191</w:t>
        </w:r>
      </w:hyperlink>
      <w:r>
        <w:rPr>
          <w:noProof/>
        </w:rPr>
        <w:t xml:space="preserve">, </w:t>
      </w:r>
      <w:hyperlink w:anchor="_ENREF_192" w:tooltip="Fu, 2019 #103" w:history="1">
        <w:r w:rsidR="00D307FA">
          <w:rPr>
            <w:noProof/>
          </w:rPr>
          <w:t>192</w:t>
        </w:r>
      </w:hyperlink>
      <w:r>
        <w:rPr>
          <w:noProof/>
        </w:rPr>
        <w:t>]</w:t>
      </w:r>
      <w:r>
        <w:fldChar w:fldCharType="end"/>
      </w:r>
      <w:r>
        <w:t>.</w:t>
      </w:r>
    </w:p>
    <w:p w14:paraId="4157309D" w14:textId="0BBA5E4A" w:rsidR="00153C10" w:rsidRDefault="00153C10" w:rsidP="00BA5F6A">
      <w:pPr>
        <w:spacing w:line="480" w:lineRule="auto"/>
        <w:jc w:val="both"/>
      </w:pPr>
      <w:r>
        <w:tab/>
      </w:r>
      <w:r w:rsidRPr="00EC4985">
        <w:t xml:space="preserve">Similar to nanoparticle studies, the work performed by Dai et al. involved the growth of rough protrusions (so-called "fins") over the exterior surface of a particle with </w:t>
      </w:r>
      <w:r w:rsidRPr="00EC4985">
        <w:lastRenderedPageBreak/>
        <w:t xml:space="preserve">identical </w:t>
      </w:r>
      <w:r w:rsidRPr="0060294C">
        <w:t xml:space="preserve">crystallography </w:t>
      </w:r>
      <w:r w:rsidRPr="0060294C">
        <w:fldChar w:fldCharType="begin"/>
      </w:r>
      <w:r w:rsidRPr="0060294C">
        <w:instrText xml:space="preserve"> ADDIN EN.CITE &lt;EndNote&gt;&lt;Cite&gt;&lt;Author&gt;Dai&lt;/Author&gt;&lt;Year&gt;2020&lt;/Year&gt;&lt;RecNum&gt;96&lt;/RecNum&gt;&lt;DisplayText&gt;[193]&lt;/DisplayText&gt;&lt;record&gt;&lt;rec-number&gt;96&lt;/rec-number&gt;&lt;foreign-keys&gt;&lt;key app="EN" db-id="59dvwrfdof9dw8exf0kvp0atwazsazeeffsp" timestamp="1672770515"&gt;96&lt;/key&gt;&lt;/foreign-keys&gt;&lt;ref-type name="Journal Article"&gt;17&lt;/ref-type&gt;&lt;contributors&gt;&lt;authors&gt;&lt;author&gt;Heng Dai&lt;/author&gt;&lt;author&gt;Yufeng Shen&lt;/author&gt;&lt;author&gt;Taimin Yang&lt;/author&gt;&lt;author&gt;Choongsze Lee&lt;/author&gt;&lt;author&gt;Donglong Fu&lt;/author&gt;&lt;author&gt;Ankur Agarwal&lt;/author&gt;&lt;author&gt;Thuy Thanh Le&lt;/author&gt;&lt;author&gt;Michael Tsapatsis&lt;/author&gt;&lt;author&gt;Jeremy C. Palmer&lt;/author&gt;&lt;author&gt;Bert M. Weckhuysen&lt;/author&gt;&lt;author&gt;Paul J. Dauenhauer&lt;/author&gt;&lt;author&gt;Xiaodong Zou&lt;/author&gt;&lt;author&gt;Jeffrey D. Rimer &lt;/author&gt;&lt;/authors&gt;&lt;/contributors&gt;&lt;titles&gt;&lt;title&gt;Finned zeolite catalysts&lt;/title&gt;&lt;secondary-title&gt;Nature Materials&lt;/secondary-title&gt;&lt;/titles&gt;&lt;periodical&gt;&lt;full-title&gt;Nature Materials&lt;/full-title&gt;&lt;/periodical&gt;&lt;pages&gt;1074-1080&lt;/pages&gt;&lt;volume&gt;19&lt;/volume&gt;&lt;dates&gt;&lt;year&gt;2020&lt;/year&gt;&lt;/dates&gt;&lt;urls&gt;&lt;/urls&gt;&lt;electronic-resource-num&gt;https://doi.org/10.1038/s41563-020-0753-1&lt;/electronic-resource-num&gt;&lt;/record&gt;&lt;/Cite&gt;&lt;/EndNote&gt;</w:instrText>
      </w:r>
      <w:r w:rsidRPr="0060294C">
        <w:fldChar w:fldCharType="separate"/>
      </w:r>
      <w:r w:rsidRPr="0060294C">
        <w:rPr>
          <w:noProof/>
        </w:rPr>
        <w:t>[</w:t>
      </w:r>
      <w:hyperlink w:anchor="_ENREF_193" w:tooltip="Dai, 2020 #96" w:history="1">
        <w:r w:rsidR="00D307FA" w:rsidRPr="0060294C">
          <w:rPr>
            <w:noProof/>
          </w:rPr>
          <w:t>193</w:t>
        </w:r>
      </w:hyperlink>
      <w:r w:rsidRPr="0060294C">
        <w:rPr>
          <w:noProof/>
        </w:rPr>
        <w:t>]</w:t>
      </w:r>
      <w:r w:rsidRPr="0060294C">
        <w:fldChar w:fldCharType="end"/>
      </w:r>
      <w:r w:rsidRPr="0060294C">
        <w:t xml:space="preserve">. </w:t>
      </w:r>
      <w:r w:rsidRPr="0060294C">
        <w:rPr>
          <w:b/>
          <w:bCs/>
        </w:rPr>
        <w:t xml:space="preserve">Figure </w:t>
      </w:r>
      <w:r w:rsidR="00834135" w:rsidRPr="0060294C">
        <w:rPr>
          <w:b/>
          <w:bCs/>
        </w:rPr>
        <w:t>50</w:t>
      </w:r>
      <w:r w:rsidRPr="0060294C">
        <w:t xml:space="preserve"> shows how</w:t>
      </w:r>
      <w:r>
        <w:t xml:space="preserve"> the fins are likely to be distributed along the seed particle. A 2.5-fold decrease in benzene residence time was observed as the fins were introduced, but as the distance between the protrusions increased a proportional increment in residence time occurred. </w:t>
      </w:r>
    </w:p>
    <w:p w14:paraId="48F0D751" w14:textId="77777777" w:rsidR="00153C10" w:rsidRPr="003A7491" w:rsidRDefault="00153C10" w:rsidP="00463612">
      <w:pPr>
        <w:keepNext/>
        <w:jc w:val="center"/>
      </w:pPr>
      <w:r>
        <w:rPr>
          <w:noProof/>
        </w:rPr>
        <w:drawing>
          <wp:inline distT="0" distB="0" distL="0" distR="0" wp14:anchorId="0259085E" wp14:editId="2CA2B4B3">
            <wp:extent cx="5029912" cy="1554480"/>
            <wp:effectExtent l="0" t="0" r="0" b="7620"/>
            <wp:docPr id="51" name="Picture 5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iagram&#10;&#10;Description automatically generated with low confidenc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029912" cy="1554480"/>
                    </a:xfrm>
                    <a:prstGeom prst="rect">
                      <a:avLst/>
                    </a:prstGeom>
                    <a:noFill/>
                  </pic:spPr>
                </pic:pic>
              </a:graphicData>
            </a:graphic>
          </wp:inline>
        </w:drawing>
      </w:r>
    </w:p>
    <w:p w14:paraId="5A8127EC" w14:textId="34A1916C" w:rsidR="00153C10" w:rsidRPr="003A7491" w:rsidRDefault="00153C10" w:rsidP="00463612">
      <w:pPr>
        <w:pStyle w:val="Caption"/>
        <w:jc w:val="both"/>
        <w:rPr>
          <w:i w:val="0"/>
          <w:iCs w:val="0"/>
          <w:color w:val="auto"/>
          <w:sz w:val="24"/>
          <w:szCs w:val="24"/>
        </w:rPr>
      </w:pPr>
      <w:bookmarkStart w:id="90" w:name="_Toc131948714"/>
      <w:r w:rsidRPr="003A7491">
        <w:rPr>
          <w:b/>
          <w:bCs/>
          <w:i w:val="0"/>
          <w:iCs w:val="0"/>
          <w:color w:val="auto"/>
          <w:sz w:val="24"/>
          <w:szCs w:val="24"/>
        </w:rPr>
        <w:t xml:space="preserve">Figure </w:t>
      </w:r>
      <w:r w:rsidRPr="003A7491">
        <w:rPr>
          <w:b/>
          <w:bCs/>
          <w:i w:val="0"/>
          <w:iCs w:val="0"/>
          <w:color w:val="auto"/>
          <w:sz w:val="24"/>
          <w:szCs w:val="24"/>
        </w:rPr>
        <w:fldChar w:fldCharType="begin"/>
      </w:r>
      <w:r w:rsidRPr="003A7491">
        <w:rPr>
          <w:b/>
          <w:bCs/>
          <w:i w:val="0"/>
          <w:iCs w:val="0"/>
          <w:color w:val="auto"/>
          <w:sz w:val="24"/>
          <w:szCs w:val="24"/>
        </w:rPr>
        <w:instrText xml:space="preserve"> SEQ Figure \* ARABIC </w:instrText>
      </w:r>
      <w:r w:rsidRPr="003A7491">
        <w:rPr>
          <w:b/>
          <w:bCs/>
          <w:i w:val="0"/>
          <w:iCs w:val="0"/>
          <w:color w:val="auto"/>
          <w:sz w:val="24"/>
          <w:szCs w:val="24"/>
        </w:rPr>
        <w:fldChar w:fldCharType="separate"/>
      </w:r>
      <w:r w:rsidR="001F4741">
        <w:rPr>
          <w:b/>
          <w:bCs/>
          <w:i w:val="0"/>
          <w:iCs w:val="0"/>
          <w:noProof/>
          <w:color w:val="auto"/>
          <w:sz w:val="24"/>
          <w:szCs w:val="24"/>
        </w:rPr>
        <w:t>50</w:t>
      </w:r>
      <w:r w:rsidRPr="003A7491">
        <w:rPr>
          <w:b/>
          <w:bCs/>
          <w:i w:val="0"/>
          <w:iCs w:val="0"/>
          <w:color w:val="auto"/>
          <w:sz w:val="24"/>
          <w:szCs w:val="24"/>
        </w:rPr>
        <w:fldChar w:fldCharType="end"/>
      </w:r>
      <w:r w:rsidRPr="003A7491">
        <w:rPr>
          <w:b/>
          <w:bCs/>
          <w:i w:val="0"/>
          <w:iCs w:val="0"/>
          <w:color w:val="auto"/>
          <w:sz w:val="24"/>
          <w:szCs w:val="24"/>
        </w:rPr>
        <w:t>:</w:t>
      </w:r>
      <w:r w:rsidRPr="003A7491">
        <w:rPr>
          <w:i w:val="0"/>
          <w:iCs w:val="0"/>
          <w:color w:val="auto"/>
          <w:sz w:val="24"/>
          <w:szCs w:val="24"/>
        </w:rPr>
        <w:t xml:space="preserve"> Idealized schematic of a finned zeolite in which the fins have the same crystallographic registry as the seed (left image). Illustration of a finned zeolite that comprises continuous channels throughout the seed (size β) and fins (size α) with characteristic fin dimensions of α×α×α. Adapted from Ref </w:t>
      </w:r>
      <w:r w:rsidRPr="003A7491">
        <w:rPr>
          <w:i w:val="0"/>
          <w:iCs w:val="0"/>
          <w:color w:val="auto"/>
          <w:sz w:val="24"/>
          <w:szCs w:val="24"/>
        </w:rPr>
        <w:fldChar w:fldCharType="begin"/>
      </w:r>
      <w:r>
        <w:rPr>
          <w:i w:val="0"/>
          <w:iCs w:val="0"/>
          <w:color w:val="auto"/>
          <w:sz w:val="24"/>
          <w:szCs w:val="24"/>
        </w:rPr>
        <w:instrText xml:space="preserve"> ADDIN EN.CITE &lt;EndNote&gt;&lt;Cite&gt;&lt;Author&gt;Dai&lt;/Author&gt;&lt;Year&gt;2020&lt;/Year&gt;&lt;RecNum&gt;96&lt;/RecNum&gt;&lt;DisplayText&gt;[193]&lt;/DisplayText&gt;&lt;record&gt;&lt;rec-number&gt;96&lt;/rec-number&gt;&lt;foreign-keys&gt;&lt;key app="EN" db-id="59dvwrfdof9dw8exf0kvp0atwazsazeeffsp" timestamp="1672770515"&gt;96&lt;/key&gt;&lt;/foreign-keys&gt;&lt;ref-type name="Journal Article"&gt;17&lt;/ref-type&gt;&lt;contributors&gt;&lt;authors&gt;&lt;author&gt;Heng Dai&lt;/author&gt;&lt;author&gt;Yufeng Shen&lt;/author&gt;&lt;author&gt;Taimin Yang&lt;/author&gt;&lt;author&gt;Choongsze Lee&lt;/author&gt;&lt;author&gt;Donglong Fu&lt;/author&gt;&lt;author&gt;Ankur Agarwal&lt;/author&gt;&lt;author&gt;Thuy Thanh Le&lt;/author&gt;&lt;author&gt;Michael Tsapatsis&lt;/author&gt;&lt;author&gt;Jeremy C. Palmer&lt;/author&gt;&lt;author&gt;Bert M. Weckhuysen&lt;/author&gt;&lt;author&gt;Paul J. Dauenhauer&lt;/author&gt;&lt;author&gt;Xiaodong Zou&lt;/author&gt;&lt;author&gt;Jeffrey D. Rimer &lt;/author&gt;&lt;/authors&gt;&lt;/contributors&gt;&lt;titles&gt;&lt;title&gt;Finned zeolite catalysts&lt;/title&gt;&lt;secondary-title&gt;Nature Materials&lt;/secondary-title&gt;&lt;/titles&gt;&lt;periodical&gt;&lt;full-title&gt;Nature Materials&lt;/full-title&gt;&lt;/periodical&gt;&lt;pages&gt;1074-1080&lt;/pages&gt;&lt;volume&gt;19&lt;/volume&gt;&lt;dates&gt;&lt;year&gt;2020&lt;/year&gt;&lt;/dates&gt;&lt;urls&gt;&lt;/urls&gt;&lt;electronic-resource-num&gt;https://doi.org/10.1038/s41563-020-0753-1&lt;/electronic-resource-num&gt;&lt;/record&gt;&lt;/Cite&gt;&lt;/EndNote&gt;</w:instrText>
      </w:r>
      <w:r w:rsidRPr="003A7491">
        <w:rPr>
          <w:i w:val="0"/>
          <w:iCs w:val="0"/>
          <w:color w:val="auto"/>
          <w:sz w:val="24"/>
          <w:szCs w:val="24"/>
        </w:rPr>
        <w:fldChar w:fldCharType="separate"/>
      </w:r>
      <w:r>
        <w:rPr>
          <w:i w:val="0"/>
          <w:iCs w:val="0"/>
          <w:noProof/>
          <w:color w:val="auto"/>
          <w:sz w:val="24"/>
          <w:szCs w:val="24"/>
        </w:rPr>
        <w:t>[</w:t>
      </w:r>
      <w:hyperlink w:anchor="_ENREF_193" w:tooltip="Dai, 2020 #96" w:history="1">
        <w:r w:rsidR="00D307FA">
          <w:rPr>
            <w:i w:val="0"/>
            <w:iCs w:val="0"/>
            <w:noProof/>
            <w:color w:val="auto"/>
            <w:sz w:val="24"/>
            <w:szCs w:val="24"/>
          </w:rPr>
          <w:t>193</w:t>
        </w:r>
      </w:hyperlink>
      <w:r>
        <w:rPr>
          <w:i w:val="0"/>
          <w:iCs w:val="0"/>
          <w:noProof/>
          <w:color w:val="auto"/>
          <w:sz w:val="24"/>
          <w:szCs w:val="24"/>
        </w:rPr>
        <w:t>]</w:t>
      </w:r>
      <w:r w:rsidRPr="003A7491">
        <w:rPr>
          <w:i w:val="0"/>
          <w:iCs w:val="0"/>
          <w:color w:val="auto"/>
          <w:sz w:val="24"/>
          <w:szCs w:val="24"/>
        </w:rPr>
        <w:fldChar w:fldCharType="end"/>
      </w:r>
      <w:r w:rsidRPr="003A7491">
        <w:rPr>
          <w:i w:val="0"/>
          <w:iCs w:val="0"/>
          <w:color w:val="auto"/>
          <w:sz w:val="24"/>
          <w:szCs w:val="24"/>
        </w:rPr>
        <w:t>.</w:t>
      </w:r>
      <w:bookmarkEnd w:id="90"/>
    </w:p>
    <w:p w14:paraId="27E57F59" w14:textId="77777777" w:rsidR="00153C10" w:rsidRDefault="00153C10" w:rsidP="00BA5F6A">
      <w:pPr>
        <w:spacing w:line="480" w:lineRule="auto"/>
        <w:jc w:val="both"/>
      </w:pPr>
      <w:r>
        <w:tab/>
        <w:t xml:space="preserve">All these results summarize diverse designed systems with enhanced diffusion. Different paths could be taken however synthesis seems to be the appropriate way to efficiently comprehend diffusion effects on ketone-condensation. </w:t>
      </w:r>
      <w:r w:rsidRPr="00A56543">
        <w:t xml:space="preserve">The goal </w:t>
      </w:r>
      <w:r>
        <w:t>here is to control the particle dimensions through zeolite synthesis maintaining constant other structural aspects to investigate their effects on diffusion limitations. The Na-titration approach will be used to quantify the MTL extent existed on each synthesized zeolite.</w:t>
      </w:r>
    </w:p>
    <w:p w14:paraId="2A53416A" w14:textId="77777777" w:rsidR="00153C10" w:rsidRDefault="00153C10" w:rsidP="00BA5F6A">
      <w:pPr>
        <w:shd w:val="clear" w:color="auto" w:fill="FFFFFF"/>
        <w:spacing w:line="480" w:lineRule="auto"/>
        <w:ind w:firstLine="360"/>
        <w:jc w:val="both"/>
        <w:rPr>
          <w:color w:val="000000" w:themeColor="text1"/>
        </w:rPr>
      </w:pPr>
    </w:p>
    <w:p w14:paraId="29AB220D" w14:textId="77777777" w:rsidR="00454844" w:rsidRDefault="00454844" w:rsidP="00BA5F6A">
      <w:pPr>
        <w:shd w:val="clear" w:color="auto" w:fill="FFFFFF"/>
        <w:spacing w:line="480" w:lineRule="auto"/>
        <w:ind w:firstLine="360"/>
        <w:jc w:val="both"/>
        <w:rPr>
          <w:color w:val="000000" w:themeColor="text1"/>
        </w:rPr>
      </w:pPr>
    </w:p>
    <w:p w14:paraId="0C4B5621" w14:textId="77777777" w:rsidR="00454844" w:rsidRDefault="00454844" w:rsidP="00BA5F6A">
      <w:pPr>
        <w:shd w:val="clear" w:color="auto" w:fill="FFFFFF"/>
        <w:spacing w:line="480" w:lineRule="auto"/>
        <w:ind w:firstLine="360"/>
        <w:jc w:val="both"/>
        <w:rPr>
          <w:color w:val="000000" w:themeColor="text1"/>
        </w:rPr>
      </w:pPr>
    </w:p>
    <w:p w14:paraId="57014F4E" w14:textId="77777777" w:rsidR="00153C10" w:rsidRPr="0080277E" w:rsidRDefault="00153C10" w:rsidP="0080277E">
      <w:pPr>
        <w:pStyle w:val="Heading2"/>
        <w:rPr>
          <w:i w:val="0"/>
          <w:iCs/>
          <w:sz w:val="28"/>
          <w:szCs w:val="28"/>
        </w:rPr>
      </w:pPr>
      <w:bookmarkStart w:id="91" w:name="_Toc132924203"/>
      <w:r w:rsidRPr="0080277E">
        <w:rPr>
          <w:i w:val="0"/>
          <w:iCs/>
          <w:sz w:val="28"/>
          <w:szCs w:val="28"/>
        </w:rPr>
        <w:lastRenderedPageBreak/>
        <w:t>3.2 Experimental Methods</w:t>
      </w:r>
      <w:bookmarkEnd w:id="91"/>
    </w:p>
    <w:p w14:paraId="684C4E55" w14:textId="77777777" w:rsidR="00153C10" w:rsidRPr="008968F0" w:rsidRDefault="00153C10" w:rsidP="0080277E">
      <w:pPr>
        <w:pStyle w:val="Heading3"/>
        <w:rPr>
          <w:i w:val="0"/>
          <w:iCs/>
          <w:u w:val="single"/>
        </w:rPr>
      </w:pPr>
      <w:bookmarkStart w:id="92" w:name="_Toc132924204"/>
      <w:r w:rsidRPr="008968F0">
        <w:rPr>
          <w:i w:val="0"/>
          <w:iCs/>
          <w:u w:val="single"/>
        </w:rPr>
        <w:t>3.2.1 Chemicals and Materials</w:t>
      </w:r>
      <w:bookmarkEnd w:id="92"/>
    </w:p>
    <w:p w14:paraId="5265FB67" w14:textId="77777777" w:rsidR="00153C10" w:rsidRDefault="00153C10" w:rsidP="00BA5F6A">
      <w:pPr>
        <w:spacing w:line="480" w:lineRule="auto"/>
        <w:ind w:firstLine="720"/>
        <w:jc w:val="both"/>
      </w:pPr>
      <w:r>
        <w:t>The</w:t>
      </w:r>
      <w:r w:rsidRPr="009566B6">
        <w:t xml:space="preserve"> chemicals were purchased from Sigma Aldrich and used as provided: acetone (HPLC grade, &gt;99%),</w:t>
      </w:r>
      <w:r>
        <w:t xml:space="preserve"> aluminum (III) hydroxide (reagent grade)</w:t>
      </w:r>
      <w:r w:rsidRPr="009566B6">
        <w:t>, cyclohexane (HPLC grade, 99.9%), cyclopentanone (&gt;99%)</w:t>
      </w:r>
      <w:r>
        <w:t>, phenol (&gt;99%), tetraethyl orthosilicate (TEOS, reagent grade 98%), and tetra propylammonium hydroxide (TPAOH, 1.0M in H</w:t>
      </w:r>
      <w:r w:rsidRPr="00AE06AC">
        <w:rPr>
          <w:vertAlign w:val="subscript"/>
        </w:rPr>
        <w:t>2</w:t>
      </w:r>
      <w:r>
        <w:t>O)</w:t>
      </w:r>
      <w:r w:rsidRPr="009566B6">
        <w:t>.</w:t>
      </w:r>
      <w:r>
        <w:t xml:space="preserve"> </w:t>
      </w:r>
      <w:r w:rsidRPr="009566B6">
        <w:t xml:space="preserve"> </w:t>
      </w:r>
    </w:p>
    <w:p w14:paraId="2D6A872B" w14:textId="77777777" w:rsidR="00153C10" w:rsidRPr="008968F0" w:rsidRDefault="00153C10" w:rsidP="0080277E">
      <w:pPr>
        <w:pStyle w:val="Heading3"/>
        <w:rPr>
          <w:i w:val="0"/>
          <w:iCs/>
          <w:u w:val="single"/>
        </w:rPr>
      </w:pPr>
      <w:bookmarkStart w:id="93" w:name="_Toc132924205"/>
      <w:r w:rsidRPr="008968F0">
        <w:rPr>
          <w:i w:val="0"/>
          <w:iCs/>
          <w:u w:val="single"/>
        </w:rPr>
        <w:t>3.2.2 MFI Synthesis</w:t>
      </w:r>
      <w:bookmarkEnd w:id="93"/>
    </w:p>
    <w:p w14:paraId="6AD053E9" w14:textId="69A6FDDC" w:rsidR="00153C10" w:rsidRDefault="00153C10" w:rsidP="00BA5F6A">
      <w:pPr>
        <w:spacing w:line="480" w:lineRule="auto"/>
        <w:ind w:firstLine="720"/>
        <w:jc w:val="both"/>
      </w:pPr>
      <w:r>
        <w:t xml:space="preserve">In order to obtain the desired particle size appropriate for the proposed study, the molar synthesis ratio was adopted: </w:t>
      </w:r>
      <w:r w:rsidRPr="006C7032">
        <w:t>1 SiO</w:t>
      </w:r>
      <w:r w:rsidRPr="002A7FE3">
        <w:rPr>
          <w:vertAlign w:val="subscript"/>
        </w:rPr>
        <w:t>2</w:t>
      </w:r>
      <w:r w:rsidRPr="006C7032">
        <w:t>: 0.025 Al</w:t>
      </w:r>
      <w:r w:rsidRPr="002A7FE3">
        <w:rPr>
          <w:vertAlign w:val="subscript"/>
        </w:rPr>
        <w:t>2</w:t>
      </w:r>
      <w:r w:rsidRPr="006C7032">
        <w:t>O</w:t>
      </w:r>
      <w:r w:rsidRPr="002A7FE3">
        <w:rPr>
          <w:vertAlign w:val="subscript"/>
        </w:rPr>
        <w:t>3</w:t>
      </w:r>
      <w:r w:rsidRPr="006C7032">
        <w:t>: 0.4 TPAOH: 10 H</w:t>
      </w:r>
      <w:r w:rsidRPr="002A7FE3">
        <w:rPr>
          <w:vertAlign w:val="subscript"/>
        </w:rPr>
        <w:t>2</w:t>
      </w:r>
      <w:r w:rsidRPr="006C7032">
        <w:t>O</w:t>
      </w:r>
      <w:r>
        <w:t>: x</w:t>
      </w:r>
      <w:r w:rsidRPr="002A7FE3">
        <w:t xml:space="preserve"> NaNO</w:t>
      </w:r>
      <w:r w:rsidRPr="002A7FE3">
        <w:rPr>
          <w:vertAlign w:val="subscript"/>
        </w:rPr>
        <w:t>3</w:t>
      </w:r>
      <w:r>
        <w:t xml:space="preserve"> where x stands for the Na molar ratio used during the course of the study. The synthesis was performed </w:t>
      </w:r>
      <w:r w:rsidR="00870FFA">
        <w:t>in absence of alkaline s</w:t>
      </w:r>
      <w:r w:rsidR="002B6272">
        <w:t xml:space="preserve">pecies </w:t>
      </w:r>
      <w:r w:rsidR="00C05F5A">
        <w:t>(Na</w:t>
      </w:r>
      <w:r w:rsidR="00C05F5A" w:rsidRPr="00C05F5A">
        <w:rPr>
          <w:vertAlign w:val="superscript"/>
        </w:rPr>
        <w:t>+</w:t>
      </w:r>
      <w:r w:rsidR="00C05F5A">
        <w:t>, K</w:t>
      </w:r>
      <w:r w:rsidR="00C05F5A" w:rsidRPr="00C05F5A">
        <w:rPr>
          <w:vertAlign w:val="superscript"/>
        </w:rPr>
        <w:t>+</w:t>
      </w:r>
      <w:r w:rsidR="00C05F5A">
        <w:t xml:space="preserve">, e.g.) </w:t>
      </w:r>
      <w:r w:rsidR="002B6272">
        <w:t>in the</w:t>
      </w:r>
      <w:r>
        <w:t xml:space="preserve"> mixture </w:t>
      </w:r>
      <w:r w:rsidR="003B138B">
        <w:t>composed mostly of</w:t>
      </w:r>
      <w:r>
        <w:t xml:space="preserve"> deionized water, aluminum hydroxide and TPAOH in a stirring polyethylene container. The stirring remained until a clear solution was obtained. TEOS was slowly added into the mixture and stirred overnight at room temperature to ascertain the complete hydrolysis of TEOS, and </w:t>
      </w:r>
      <w:r w:rsidRPr="00EE35C3">
        <w:t>more water was added to compensate for the loss</w:t>
      </w:r>
      <w:r>
        <w:t xml:space="preserve">. </w:t>
      </w:r>
      <w:r w:rsidRPr="00EE35C3">
        <w:t>The gel mixture was transferred to a 30 mL Teflon-lined autoclave and heated at the crystallization temperature for 24 hours</w:t>
      </w:r>
      <w:r>
        <w:t xml:space="preserve">. After cooling, the solid content was washed 4-5 times to remove solution impurities and dried overnight at 80 </w:t>
      </w:r>
      <w:r w:rsidRPr="00100B9F">
        <w:rPr>
          <w:vertAlign w:val="superscript"/>
        </w:rPr>
        <w:t>o</w:t>
      </w:r>
      <w:r>
        <w:t xml:space="preserve">C under vacuum environment. Calcination was further performed to obtain the H-form at 550 </w:t>
      </w:r>
      <w:r w:rsidRPr="002249CA">
        <w:rPr>
          <w:vertAlign w:val="superscript"/>
        </w:rPr>
        <w:t>o</w:t>
      </w:r>
      <w:r>
        <w:t>C for 8 hours to remove the carbon content within the SDA.</w:t>
      </w:r>
    </w:p>
    <w:p w14:paraId="553002EF" w14:textId="77777777" w:rsidR="00153C10" w:rsidRPr="008968F0" w:rsidRDefault="00153C10" w:rsidP="0080277E">
      <w:pPr>
        <w:pStyle w:val="Heading3"/>
        <w:rPr>
          <w:i w:val="0"/>
          <w:iCs/>
          <w:u w:val="single"/>
        </w:rPr>
      </w:pPr>
      <w:bookmarkStart w:id="94" w:name="_Toc132924206"/>
      <w:r w:rsidRPr="008968F0">
        <w:rPr>
          <w:i w:val="0"/>
          <w:iCs/>
          <w:u w:val="single"/>
        </w:rPr>
        <w:t>3.2.3 Zeolite Characterization and Catalytic Reaction Measurements</w:t>
      </w:r>
      <w:bookmarkEnd w:id="94"/>
    </w:p>
    <w:p w14:paraId="2DED7D3E" w14:textId="77777777" w:rsidR="00153C10" w:rsidRDefault="00153C10" w:rsidP="00BA5F6A">
      <w:pPr>
        <w:spacing w:line="480" w:lineRule="auto"/>
        <w:jc w:val="both"/>
      </w:pPr>
      <w:r>
        <w:rPr>
          <w:b/>
          <w:bCs/>
          <w:i/>
          <w:iCs/>
        </w:rPr>
        <w:tab/>
      </w:r>
      <w:r w:rsidRPr="007223C6">
        <w:t xml:space="preserve">Site density quantification was </w:t>
      </w:r>
      <w:r>
        <w:t xml:space="preserve">done using the isopropyl-amine temperature programed decomposition (IPA-TPD) and the procedure was detailed previously. To </w:t>
      </w:r>
      <w:r>
        <w:lastRenderedPageBreak/>
        <w:t>confirm the crystalline evolution for the synthesized zeolites X-ray diffraction was conducted on a</w:t>
      </w:r>
      <w:r w:rsidRPr="00F852D8">
        <w:t xml:space="preserve"> D8 Series </w:t>
      </w:r>
      <w:r w:rsidRPr="00F35481">
        <w:t>II X-ray diffractometer BRUKER AXS, in reflection geometry using CuKα radiation generated at 40 kV and 35 mA in the 2θ = 2-70° diffraction angle range.</w:t>
      </w:r>
      <w:r>
        <w:t xml:space="preserve"> A commercial MFI sample purchased from Zeolyst International (</w:t>
      </w:r>
      <w:r w:rsidRPr="009566B6">
        <w:t>CBV</w:t>
      </w:r>
      <w:r>
        <w:t xml:space="preserve"> </w:t>
      </w:r>
      <w:r w:rsidRPr="009566B6">
        <w:t>28014, Si/Al=140</w:t>
      </w:r>
      <w:r>
        <w:t xml:space="preserve">) was used as a standard for crystallography comparison. To evaluate particle size Scanning Electron Microscopy (SEM) images were taken in </w:t>
      </w:r>
      <w:r w:rsidRPr="009566B6">
        <w:t>a Zeiss NEON 40 EsB Field-Emission Scanning Electron Microscope at an accelerating voltage of 5 kV.</w:t>
      </w:r>
    </w:p>
    <w:p w14:paraId="0AEA7504" w14:textId="5B0B5EC8" w:rsidR="00153C10" w:rsidRPr="009566B6" w:rsidRDefault="00153C10" w:rsidP="005A54D2">
      <w:pPr>
        <w:spacing w:line="480" w:lineRule="auto"/>
        <w:jc w:val="both"/>
      </w:pPr>
      <w:r>
        <w:tab/>
        <w:t>Liquid phase batch reactions were performed in a Mini-Bench Top Parr high-pressure reactor (Model Parr 4565) similar to the one previously detailed. The reaction procedure consisted of adding the solvent (cyclohexane) and the synthesized catalyst in the reaction vessel and heated until reaction temperature. After temperature stabilization the reactant was added, and the reaction time recorded as the temperature was reestablished. Final mixture content and concentration was determined using a gas chromatography mass-spectrometry (GC-MS) and flame ionized detector (GC-FID).</w:t>
      </w:r>
      <w:r w:rsidR="005A54D2" w:rsidRPr="005A54D2">
        <w:t xml:space="preserve"> </w:t>
      </w:r>
      <w:r w:rsidR="005A54D2">
        <w:t>Both GC’s were equipped with a Zebron ZB-1701 column with dimensions of 60 m x 0.25 mm x 0.25 mm.</w:t>
      </w:r>
    </w:p>
    <w:p w14:paraId="5F97C47C" w14:textId="77777777" w:rsidR="00153C10" w:rsidRDefault="00153C10" w:rsidP="00BA5F6A">
      <w:pPr>
        <w:spacing w:line="480" w:lineRule="auto"/>
        <w:jc w:val="both"/>
        <w:rPr>
          <w:b/>
          <w:bCs/>
          <w:sz w:val="28"/>
          <w:szCs w:val="28"/>
        </w:rPr>
      </w:pPr>
    </w:p>
    <w:p w14:paraId="38324F38" w14:textId="77777777" w:rsidR="00BA5F6A" w:rsidRDefault="00BA5F6A" w:rsidP="00BA5F6A">
      <w:pPr>
        <w:spacing w:line="480" w:lineRule="auto"/>
        <w:jc w:val="both"/>
        <w:rPr>
          <w:b/>
          <w:bCs/>
          <w:sz w:val="28"/>
          <w:szCs w:val="28"/>
        </w:rPr>
      </w:pPr>
    </w:p>
    <w:p w14:paraId="4D3170FD" w14:textId="77777777" w:rsidR="00BA5F6A" w:rsidRDefault="00BA5F6A" w:rsidP="00BA5F6A">
      <w:pPr>
        <w:spacing w:line="480" w:lineRule="auto"/>
        <w:jc w:val="both"/>
        <w:rPr>
          <w:b/>
          <w:bCs/>
          <w:sz w:val="28"/>
          <w:szCs w:val="28"/>
        </w:rPr>
      </w:pPr>
    </w:p>
    <w:p w14:paraId="000A6906" w14:textId="77777777" w:rsidR="00454844" w:rsidRDefault="00454844" w:rsidP="00BA5F6A">
      <w:pPr>
        <w:spacing w:line="480" w:lineRule="auto"/>
        <w:jc w:val="both"/>
        <w:rPr>
          <w:b/>
          <w:bCs/>
          <w:sz w:val="28"/>
          <w:szCs w:val="28"/>
        </w:rPr>
      </w:pPr>
    </w:p>
    <w:p w14:paraId="0026AFAC" w14:textId="77777777" w:rsidR="00454844" w:rsidRDefault="00454844" w:rsidP="00BA5F6A">
      <w:pPr>
        <w:spacing w:line="480" w:lineRule="auto"/>
        <w:jc w:val="both"/>
        <w:rPr>
          <w:b/>
          <w:bCs/>
          <w:sz w:val="28"/>
          <w:szCs w:val="28"/>
        </w:rPr>
      </w:pPr>
    </w:p>
    <w:p w14:paraId="3118DDE8" w14:textId="77777777" w:rsidR="00BA5F6A" w:rsidRDefault="00BA5F6A" w:rsidP="00BA5F6A">
      <w:pPr>
        <w:spacing w:line="480" w:lineRule="auto"/>
        <w:jc w:val="both"/>
        <w:rPr>
          <w:b/>
          <w:bCs/>
          <w:sz w:val="28"/>
          <w:szCs w:val="28"/>
        </w:rPr>
      </w:pPr>
    </w:p>
    <w:p w14:paraId="5C59C56D" w14:textId="77777777" w:rsidR="00153C10" w:rsidRPr="0080277E" w:rsidRDefault="00153C10" w:rsidP="0080277E">
      <w:pPr>
        <w:pStyle w:val="Heading2"/>
        <w:rPr>
          <w:i w:val="0"/>
          <w:iCs/>
          <w:sz w:val="28"/>
          <w:szCs w:val="28"/>
        </w:rPr>
      </w:pPr>
      <w:bookmarkStart w:id="95" w:name="_Toc132924207"/>
      <w:r w:rsidRPr="0080277E">
        <w:rPr>
          <w:i w:val="0"/>
          <w:iCs/>
          <w:sz w:val="28"/>
          <w:szCs w:val="28"/>
        </w:rPr>
        <w:lastRenderedPageBreak/>
        <w:t>3.3 Results and Discussions</w:t>
      </w:r>
      <w:bookmarkEnd w:id="95"/>
    </w:p>
    <w:p w14:paraId="7AF7D484" w14:textId="77777777" w:rsidR="00153C10" w:rsidRPr="008968F0" w:rsidRDefault="00153C10" w:rsidP="0080277E">
      <w:pPr>
        <w:pStyle w:val="Heading3"/>
        <w:rPr>
          <w:i w:val="0"/>
          <w:iCs/>
          <w:u w:val="single"/>
        </w:rPr>
      </w:pPr>
      <w:bookmarkStart w:id="96" w:name="_Toc132924208"/>
      <w:r w:rsidRPr="008968F0">
        <w:rPr>
          <w:i w:val="0"/>
          <w:iCs/>
          <w:u w:val="single"/>
        </w:rPr>
        <w:t>3.3.1 Synthesized Zeolite Characterization</w:t>
      </w:r>
      <w:bookmarkEnd w:id="96"/>
      <w:r w:rsidRPr="008968F0">
        <w:rPr>
          <w:i w:val="0"/>
          <w:iCs/>
          <w:u w:val="single"/>
        </w:rPr>
        <w:t xml:space="preserve">  </w:t>
      </w:r>
    </w:p>
    <w:p w14:paraId="10A0B7B4" w14:textId="77777777" w:rsidR="00153C10" w:rsidRPr="0080277E" w:rsidRDefault="00153C10" w:rsidP="0080277E">
      <w:pPr>
        <w:spacing w:line="480" w:lineRule="auto"/>
        <w:jc w:val="both"/>
      </w:pPr>
      <w:r>
        <w:rPr>
          <w:i/>
          <w:iCs/>
        </w:rPr>
        <w:tab/>
      </w:r>
      <w:r>
        <w:t xml:space="preserve">A series of MFI zeolites were synthesized varying the temperature from 150 to 165 </w:t>
      </w:r>
      <w:r w:rsidRPr="00D74758">
        <w:rPr>
          <w:vertAlign w:val="superscript"/>
        </w:rPr>
        <w:t>o</w:t>
      </w:r>
      <w:r>
        <w:t xml:space="preserve">C during the crystallization step, maintaining constant the Si/Al ratio and other operational conditions. The characterization methods performed will be analyzed separately as the course of the work is discussed and needed. The S-ZSM5 notation will be used to refer to </w:t>
      </w:r>
      <w:r w:rsidRPr="0080277E">
        <w:t>synthesized zeolites.</w:t>
      </w:r>
    </w:p>
    <w:p w14:paraId="00B42FAA" w14:textId="6341788F" w:rsidR="00153C10" w:rsidRPr="008968F0" w:rsidRDefault="0080277E" w:rsidP="0080277E">
      <w:pPr>
        <w:pStyle w:val="Heading4"/>
        <w:spacing w:line="480" w:lineRule="auto"/>
        <w:rPr>
          <w:rFonts w:ascii="Times New Roman" w:hAnsi="Times New Roman" w:cs="Times New Roman"/>
          <w:color w:val="auto"/>
        </w:rPr>
      </w:pPr>
      <w:r w:rsidRPr="008968F0">
        <w:rPr>
          <w:rFonts w:ascii="Times New Roman" w:hAnsi="Times New Roman" w:cs="Times New Roman"/>
          <w:color w:val="auto"/>
        </w:rPr>
        <w:tab/>
      </w:r>
      <w:r w:rsidR="00153C10" w:rsidRPr="008968F0">
        <w:rPr>
          <w:rFonts w:ascii="Times New Roman" w:hAnsi="Times New Roman" w:cs="Times New Roman"/>
          <w:color w:val="auto"/>
        </w:rPr>
        <w:t>3.3.1.1 X-Ray Diffraction</w:t>
      </w:r>
    </w:p>
    <w:p w14:paraId="1B9533DF" w14:textId="59C73B08" w:rsidR="00153C10" w:rsidRDefault="00153C10" w:rsidP="0080277E">
      <w:pPr>
        <w:spacing w:line="480" w:lineRule="auto"/>
        <w:jc w:val="both"/>
      </w:pPr>
      <w:r w:rsidRPr="0080277E">
        <w:rPr>
          <w:i/>
          <w:iCs/>
        </w:rPr>
        <w:tab/>
      </w:r>
      <w:r w:rsidRPr="0080277E">
        <w:t xml:space="preserve">The X-ray </w:t>
      </w:r>
      <w:r w:rsidRPr="0060294C">
        <w:t xml:space="preserve">diffraction crystallography pattern of the four synthesized batches are shown in </w:t>
      </w:r>
      <w:r w:rsidRPr="0060294C">
        <w:rPr>
          <w:b/>
          <w:bCs/>
        </w:rPr>
        <w:t xml:space="preserve">Figure </w:t>
      </w:r>
      <w:r w:rsidR="00834135" w:rsidRPr="0060294C">
        <w:rPr>
          <w:b/>
          <w:bCs/>
        </w:rPr>
        <w:t>51</w:t>
      </w:r>
      <w:r w:rsidRPr="0060294C">
        <w:t>. The commercial</w:t>
      </w:r>
      <w:r>
        <w:t xml:space="preserve"> sample purchased from Zeolyst International of ZSM5 with Si/Al of 140 is used as a standard pattern for comparison matters. The characteristic peaks to MFI structure are in </w:t>
      </w:r>
      <w:r w:rsidR="00657A69">
        <w:t>good</w:t>
      </w:r>
      <w:r>
        <w:t xml:space="preserve"> agreement with the S-ZSM5s and the commercial sample. Based on this, it is fair to assume that at 24 hours of crystallization the catalyst particle is already stable and well crystallized. A successful synthesis is achieved using the proposed synthesis method.</w:t>
      </w:r>
    </w:p>
    <w:p w14:paraId="45F3C4CF" w14:textId="77777777" w:rsidR="00153C10" w:rsidRDefault="00153C10" w:rsidP="00463612">
      <w:pPr>
        <w:keepNext/>
        <w:jc w:val="center"/>
      </w:pPr>
      <w:r>
        <w:rPr>
          <w:noProof/>
        </w:rPr>
        <w:drawing>
          <wp:inline distT="0" distB="0" distL="0" distR="0" wp14:anchorId="78FAF37E" wp14:editId="71556A59">
            <wp:extent cx="3866062" cy="2468880"/>
            <wp:effectExtent l="0" t="0" r="1270" b="7620"/>
            <wp:docPr id="52" name="Picture 5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66062" cy="2468880"/>
                    </a:xfrm>
                    <a:prstGeom prst="rect">
                      <a:avLst/>
                    </a:prstGeom>
                    <a:noFill/>
                  </pic:spPr>
                </pic:pic>
              </a:graphicData>
            </a:graphic>
          </wp:inline>
        </w:drawing>
      </w:r>
    </w:p>
    <w:p w14:paraId="33D21387" w14:textId="6FCF49D3" w:rsidR="00153C10" w:rsidRPr="00632F1F" w:rsidRDefault="00153C10" w:rsidP="00463612">
      <w:pPr>
        <w:pStyle w:val="Caption"/>
        <w:jc w:val="both"/>
        <w:rPr>
          <w:i w:val="0"/>
          <w:iCs w:val="0"/>
          <w:color w:val="auto"/>
          <w:sz w:val="24"/>
          <w:szCs w:val="24"/>
        </w:rPr>
      </w:pPr>
      <w:bookmarkStart w:id="97" w:name="_Toc131948715"/>
      <w:r w:rsidRPr="00632F1F">
        <w:rPr>
          <w:b/>
          <w:bCs/>
          <w:i w:val="0"/>
          <w:iCs w:val="0"/>
          <w:color w:val="auto"/>
          <w:sz w:val="24"/>
          <w:szCs w:val="24"/>
        </w:rPr>
        <w:t xml:space="preserve">Figure </w:t>
      </w:r>
      <w:r w:rsidRPr="00632F1F">
        <w:rPr>
          <w:b/>
          <w:bCs/>
          <w:i w:val="0"/>
          <w:iCs w:val="0"/>
          <w:color w:val="auto"/>
          <w:sz w:val="24"/>
          <w:szCs w:val="24"/>
        </w:rPr>
        <w:fldChar w:fldCharType="begin"/>
      </w:r>
      <w:r w:rsidRPr="00632F1F">
        <w:rPr>
          <w:b/>
          <w:bCs/>
          <w:i w:val="0"/>
          <w:iCs w:val="0"/>
          <w:color w:val="auto"/>
          <w:sz w:val="24"/>
          <w:szCs w:val="24"/>
        </w:rPr>
        <w:instrText xml:space="preserve"> SEQ Figure \* ARABIC </w:instrText>
      </w:r>
      <w:r w:rsidRPr="00632F1F">
        <w:rPr>
          <w:b/>
          <w:bCs/>
          <w:i w:val="0"/>
          <w:iCs w:val="0"/>
          <w:color w:val="auto"/>
          <w:sz w:val="24"/>
          <w:szCs w:val="24"/>
        </w:rPr>
        <w:fldChar w:fldCharType="separate"/>
      </w:r>
      <w:r w:rsidR="001F4741">
        <w:rPr>
          <w:b/>
          <w:bCs/>
          <w:i w:val="0"/>
          <w:iCs w:val="0"/>
          <w:noProof/>
          <w:color w:val="auto"/>
          <w:sz w:val="24"/>
          <w:szCs w:val="24"/>
        </w:rPr>
        <w:t>51</w:t>
      </w:r>
      <w:r w:rsidRPr="00632F1F">
        <w:rPr>
          <w:b/>
          <w:bCs/>
          <w:i w:val="0"/>
          <w:iCs w:val="0"/>
          <w:color w:val="auto"/>
          <w:sz w:val="24"/>
          <w:szCs w:val="24"/>
        </w:rPr>
        <w:fldChar w:fldCharType="end"/>
      </w:r>
      <w:r w:rsidRPr="00632F1F">
        <w:rPr>
          <w:b/>
          <w:bCs/>
          <w:i w:val="0"/>
          <w:iCs w:val="0"/>
          <w:color w:val="auto"/>
          <w:sz w:val="24"/>
          <w:szCs w:val="24"/>
        </w:rPr>
        <w:t>:</w:t>
      </w:r>
      <w:r w:rsidRPr="00632F1F">
        <w:rPr>
          <w:i w:val="0"/>
          <w:iCs w:val="0"/>
          <w:color w:val="auto"/>
          <w:sz w:val="24"/>
          <w:szCs w:val="24"/>
        </w:rPr>
        <w:t xml:space="preserve"> X-ray diffraction spectrum of synthesized ZSM5 zeolites and commercial ZSM5 sample.</w:t>
      </w:r>
      <w:bookmarkEnd w:id="97"/>
    </w:p>
    <w:p w14:paraId="1D43E76E" w14:textId="21D3831E" w:rsidR="00153C10" w:rsidRPr="001D70F6" w:rsidRDefault="00153C10" w:rsidP="00BA5F6A">
      <w:pPr>
        <w:spacing w:line="480" w:lineRule="auto"/>
        <w:jc w:val="both"/>
      </w:pPr>
      <w:r>
        <w:lastRenderedPageBreak/>
        <w:tab/>
        <w:t xml:space="preserve">To understand the effect of aging time, longer crystallization periods were performed with </w:t>
      </w:r>
      <w:r w:rsidRPr="00632F1F">
        <w:t>72 and 120 h</w:t>
      </w:r>
      <w:r>
        <w:t>our</w:t>
      </w:r>
      <w:r w:rsidRPr="0060294C">
        <w:t xml:space="preserve">s at the temperature of 150 </w:t>
      </w:r>
      <w:r w:rsidRPr="0060294C">
        <w:rPr>
          <w:vertAlign w:val="superscript"/>
        </w:rPr>
        <w:t>o</w:t>
      </w:r>
      <w:r w:rsidRPr="0060294C">
        <w:t xml:space="preserve">C. The X-ray diffraction spectra in </w:t>
      </w:r>
      <w:r w:rsidRPr="0060294C">
        <w:rPr>
          <w:b/>
          <w:bCs/>
        </w:rPr>
        <w:t>Figure 5</w:t>
      </w:r>
      <w:r w:rsidR="00834135" w:rsidRPr="0060294C">
        <w:rPr>
          <w:b/>
          <w:bCs/>
        </w:rPr>
        <w:t>2</w:t>
      </w:r>
      <w:r w:rsidRPr="0060294C">
        <w:t xml:space="preserve"> confirms that in</w:t>
      </w:r>
      <w:r>
        <w:t xml:space="preserve"> at 24 hours the crystalline structure is detailed enough to confirm the crystallinity pattern for ZSM5 but not as much defined as in 72hrs of crystallization.</w:t>
      </w:r>
    </w:p>
    <w:p w14:paraId="51122214" w14:textId="77777777" w:rsidR="00153C10" w:rsidRDefault="00153C10" w:rsidP="00463612">
      <w:pPr>
        <w:keepNext/>
        <w:jc w:val="center"/>
      </w:pPr>
      <w:r>
        <w:rPr>
          <w:noProof/>
        </w:rPr>
        <w:drawing>
          <wp:inline distT="0" distB="0" distL="0" distR="0" wp14:anchorId="41AB0469" wp14:editId="47B970C3">
            <wp:extent cx="4156187" cy="2560320"/>
            <wp:effectExtent l="0" t="0" r="0" b="0"/>
            <wp:docPr id="53" name="Picture 5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histogram&#10;&#10;Description automatically generate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156187" cy="2560320"/>
                    </a:xfrm>
                    <a:prstGeom prst="rect">
                      <a:avLst/>
                    </a:prstGeom>
                    <a:noFill/>
                  </pic:spPr>
                </pic:pic>
              </a:graphicData>
            </a:graphic>
          </wp:inline>
        </w:drawing>
      </w:r>
    </w:p>
    <w:p w14:paraId="3FB23F2B" w14:textId="10448525" w:rsidR="00153C10" w:rsidRPr="00632F1F" w:rsidRDefault="00153C10" w:rsidP="00463612">
      <w:pPr>
        <w:pStyle w:val="Caption"/>
        <w:jc w:val="both"/>
        <w:rPr>
          <w:i w:val="0"/>
          <w:iCs w:val="0"/>
          <w:color w:val="auto"/>
          <w:sz w:val="24"/>
          <w:szCs w:val="24"/>
        </w:rPr>
      </w:pPr>
      <w:bookmarkStart w:id="98" w:name="_Toc131948716"/>
      <w:r w:rsidRPr="00632F1F">
        <w:rPr>
          <w:b/>
          <w:bCs/>
          <w:i w:val="0"/>
          <w:iCs w:val="0"/>
          <w:color w:val="auto"/>
          <w:sz w:val="24"/>
          <w:szCs w:val="24"/>
        </w:rPr>
        <w:t xml:space="preserve">Figure </w:t>
      </w:r>
      <w:r w:rsidRPr="00632F1F">
        <w:rPr>
          <w:b/>
          <w:bCs/>
          <w:i w:val="0"/>
          <w:iCs w:val="0"/>
          <w:color w:val="auto"/>
          <w:sz w:val="24"/>
          <w:szCs w:val="24"/>
        </w:rPr>
        <w:fldChar w:fldCharType="begin"/>
      </w:r>
      <w:r w:rsidRPr="00632F1F">
        <w:rPr>
          <w:b/>
          <w:bCs/>
          <w:i w:val="0"/>
          <w:iCs w:val="0"/>
          <w:color w:val="auto"/>
          <w:sz w:val="24"/>
          <w:szCs w:val="24"/>
        </w:rPr>
        <w:instrText xml:space="preserve"> SEQ Figure \* ARABIC </w:instrText>
      </w:r>
      <w:r w:rsidRPr="00632F1F">
        <w:rPr>
          <w:b/>
          <w:bCs/>
          <w:i w:val="0"/>
          <w:iCs w:val="0"/>
          <w:color w:val="auto"/>
          <w:sz w:val="24"/>
          <w:szCs w:val="24"/>
        </w:rPr>
        <w:fldChar w:fldCharType="separate"/>
      </w:r>
      <w:r w:rsidR="001F4741">
        <w:rPr>
          <w:b/>
          <w:bCs/>
          <w:i w:val="0"/>
          <w:iCs w:val="0"/>
          <w:noProof/>
          <w:color w:val="auto"/>
          <w:sz w:val="24"/>
          <w:szCs w:val="24"/>
        </w:rPr>
        <w:t>52</w:t>
      </w:r>
      <w:r w:rsidRPr="00632F1F">
        <w:rPr>
          <w:b/>
          <w:bCs/>
          <w:i w:val="0"/>
          <w:iCs w:val="0"/>
          <w:color w:val="auto"/>
          <w:sz w:val="24"/>
          <w:szCs w:val="24"/>
        </w:rPr>
        <w:fldChar w:fldCharType="end"/>
      </w:r>
      <w:r w:rsidRPr="00632F1F">
        <w:rPr>
          <w:b/>
          <w:bCs/>
          <w:i w:val="0"/>
          <w:iCs w:val="0"/>
          <w:color w:val="auto"/>
          <w:sz w:val="24"/>
          <w:szCs w:val="24"/>
        </w:rPr>
        <w:t>:</w:t>
      </w:r>
      <w:r w:rsidRPr="00632F1F">
        <w:rPr>
          <w:i w:val="0"/>
          <w:iCs w:val="0"/>
          <w:color w:val="auto"/>
          <w:sz w:val="24"/>
          <w:szCs w:val="24"/>
        </w:rPr>
        <w:t xml:space="preserve"> X-ray diffraction spectrum of synthesized ZSM5 zeolites at 150 </w:t>
      </w:r>
      <w:r w:rsidRPr="00632F1F">
        <w:rPr>
          <w:i w:val="0"/>
          <w:iCs w:val="0"/>
          <w:color w:val="auto"/>
          <w:sz w:val="24"/>
          <w:szCs w:val="24"/>
          <w:vertAlign w:val="superscript"/>
        </w:rPr>
        <w:t>o</w:t>
      </w:r>
      <w:r w:rsidRPr="00632F1F">
        <w:rPr>
          <w:i w:val="0"/>
          <w:iCs w:val="0"/>
          <w:color w:val="auto"/>
          <w:sz w:val="24"/>
          <w:szCs w:val="24"/>
        </w:rPr>
        <w:t>C with different crystallization periods.</w:t>
      </w:r>
      <w:bookmarkEnd w:id="98"/>
    </w:p>
    <w:p w14:paraId="371D50B4" w14:textId="77777777" w:rsidR="00463612" w:rsidRPr="0080277E" w:rsidRDefault="00463612" w:rsidP="0080277E">
      <w:pPr>
        <w:spacing w:line="480" w:lineRule="auto"/>
        <w:jc w:val="both"/>
      </w:pPr>
    </w:p>
    <w:p w14:paraId="342E2FA9" w14:textId="3CCDBFE8" w:rsidR="00153C10" w:rsidRPr="008968F0" w:rsidRDefault="0080277E" w:rsidP="0080277E">
      <w:pPr>
        <w:pStyle w:val="Heading4"/>
        <w:spacing w:line="480" w:lineRule="auto"/>
        <w:rPr>
          <w:rFonts w:ascii="Times New Roman" w:hAnsi="Times New Roman" w:cs="Times New Roman"/>
          <w:color w:val="auto"/>
        </w:rPr>
      </w:pPr>
      <w:r w:rsidRPr="008968F0">
        <w:rPr>
          <w:rFonts w:ascii="Times New Roman" w:hAnsi="Times New Roman" w:cs="Times New Roman"/>
          <w:color w:val="auto"/>
        </w:rPr>
        <w:tab/>
      </w:r>
      <w:r w:rsidR="00153C10" w:rsidRPr="008968F0">
        <w:rPr>
          <w:rFonts w:ascii="Times New Roman" w:hAnsi="Times New Roman" w:cs="Times New Roman"/>
          <w:color w:val="auto"/>
        </w:rPr>
        <w:t>3.3.1.2 Side Density Quantification</w:t>
      </w:r>
    </w:p>
    <w:p w14:paraId="6AE73478" w14:textId="0686A48E" w:rsidR="00153C10" w:rsidRDefault="00153C10" w:rsidP="0080277E">
      <w:pPr>
        <w:spacing w:line="480" w:lineRule="auto"/>
        <w:jc w:val="both"/>
      </w:pPr>
      <w:r w:rsidRPr="0080277E">
        <w:tab/>
        <w:t xml:space="preserve">Besides the crystallography pattern, Al incorporation is also important in this work. The synthesis method </w:t>
      </w:r>
      <w:r>
        <w:t>must be successful to integrate an unchanging Si/Al ratio as that fed to the mixture gel. With an initial Si/Al of 80 a theoretical Brønsted acid site (BAS) density of 0.206 mmol/g</w:t>
      </w:r>
      <w:r w:rsidRPr="008D7632">
        <w:rPr>
          <w:vertAlign w:val="subscript"/>
        </w:rPr>
        <w:t>cat</w:t>
      </w:r>
      <w:r>
        <w:t xml:space="preserve"> is obtained. Once the samples do not use any alkaline metal during synthesis, after calcination the catalysts will be in the H-form and ready for site density measurements. Calculating the site concentration after sample calibration using each respective propylene </w:t>
      </w:r>
      <w:r w:rsidRPr="0060294C">
        <w:t xml:space="preserve">MS signal (shown in </w:t>
      </w:r>
      <w:r w:rsidRPr="0060294C">
        <w:rPr>
          <w:b/>
          <w:bCs/>
        </w:rPr>
        <w:t>Figure</w:t>
      </w:r>
      <w:r w:rsidR="00834135" w:rsidRPr="0060294C">
        <w:rPr>
          <w:b/>
          <w:bCs/>
        </w:rPr>
        <w:t xml:space="preserve"> 53</w:t>
      </w:r>
      <w:r w:rsidRPr="0060294C">
        <w:t>), an average</w:t>
      </w:r>
      <w:r>
        <w:t xml:space="preserve"> of 0.20 mmol of protons </w:t>
      </w:r>
      <w:r>
        <w:lastRenderedPageBreak/>
        <w:t>per gram of catalyst is found with low deviations among the samples (± 0.01 mmol/g</w:t>
      </w:r>
      <w:r w:rsidRPr="00DA3475">
        <w:rPr>
          <w:vertAlign w:val="subscript"/>
        </w:rPr>
        <w:t>cat</w:t>
      </w:r>
      <w:r>
        <w:t>). With this, the present synthesis method is efficient in preserving the Al incorporation.</w:t>
      </w:r>
    </w:p>
    <w:p w14:paraId="42D4C3C6" w14:textId="77777777" w:rsidR="00153C10" w:rsidRDefault="00153C10" w:rsidP="00463612">
      <w:pPr>
        <w:keepNext/>
        <w:jc w:val="center"/>
      </w:pPr>
      <w:r>
        <w:rPr>
          <w:noProof/>
        </w:rPr>
        <w:drawing>
          <wp:inline distT="0" distB="0" distL="0" distR="0" wp14:anchorId="00573570" wp14:editId="2CA9BDB0">
            <wp:extent cx="3552277" cy="2286000"/>
            <wp:effectExtent l="0" t="0" r="0" b="0"/>
            <wp:docPr id="54" name="Picture 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552277" cy="2286000"/>
                    </a:xfrm>
                    <a:prstGeom prst="rect">
                      <a:avLst/>
                    </a:prstGeom>
                    <a:noFill/>
                  </pic:spPr>
                </pic:pic>
              </a:graphicData>
            </a:graphic>
          </wp:inline>
        </w:drawing>
      </w:r>
    </w:p>
    <w:p w14:paraId="77675739" w14:textId="36C85BA4" w:rsidR="00153C10" w:rsidRPr="00283CD1" w:rsidRDefault="00153C10" w:rsidP="00463612">
      <w:pPr>
        <w:pStyle w:val="Caption"/>
        <w:jc w:val="both"/>
        <w:rPr>
          <w:i w:val="0"/>
          <w:iCs w:val="0"/>
          <w:color w:val="auto"/>
          <w:sz w:val="24"/>
          <w:szCs w:val="24"/>
        </w:rPr>
      </w:pPr>
      <w:bookmarkStart w:id="99" w:name="_Toc131948717"/>
      <w:r w:rsidRPr="00632F1F">
        <w:rPr>
          <w:b/>
          <w:bCs/>
          <w:i w:val="0"/>
          <w:iCs w:val="0"/>
          <w:color w:val="auto"/>
          <w:sz w:val="24"/>
          <w:szCs w:val="24"/>
        </w:rPr>
        <w:t xml:space="preserve">Figure </w:t>
      </w:r>
      <w:r w:rsidRPr="00632F1F">
        <w:rPr>
          <w:b/>
          <w:bCs/>
          <w:i w:val="0"/>
          <w:iCs w:val="0"/>
          <w:color w:val="auto"/>
          <w:sz w:val="24"/>
          <w:szCs w:val="24"/>
        </w:rPr>
        <w:fldChar w:fldCharType="begin"/>
      </w:r>
      <w:r w:rsidRPr="00632F1F">
        <w:rPr>
          <w:b/>
          <w:bCs/>
          <w:i w:val="0"/>
          <w:iCs w:val="0"/>
          <w:color w:val="auto"/>
          <w:sz w:val="24"/>
          <w:szCs w:val="24"/>
        </w:rPr>
        <w:instrText xml:space="preserve"> SEQ Figure \* ARABIC </w:instrText>
      </w:r>
      <w:r w:rsidRPr="00632F1F">
        <w:rPr>
          <w:b/>
          <w:bCs/>
          <w:i w:val="0"/>
          <w:iCs w:val="0"/>
          <w:color w:val="auto"/>
          <w:sz w:val="24"/>
          <w:szCs w:val="24"/>
        </w:rPr>
        <w:fldChar w:fldCharType="separate"/>
      </w:r>
      <w:r w:rsidR="001F4741">
        <w:rPr>
          <w:b/>
          <w:bCs/>
          <w:i w:val="0"/>
          <w:iCs w:val="0"/>
          <w:noProof/>
          <w:color w:val="auto"/>
          <w:sz w:val="24"/>
          <w:szCs w:val="24"/>
        </w:rPr>
        <w:t>53</w:t>
      </w:r>
      <w:r w:rsidRPr="00632F1F">
        <w:rPr>
          <w:b/>
          <w:bCs/>
          <w:i w:val="0"/>
          <w:iCs w:val="0"/>
          <w:color w:val="auto"/>
          <w:sz w:val="24"/>
          <w:szCs w:val="24"/>
        </w:rPr>
        <w:fldChar w:fldCharType="end"/>
      </w:r>
      <w:r w:rsidRPr="00632F1F">
        <w:rPr>
          <w:b/>
          <w:bCs/>
          <w:i w:val="0"/>
          <w:iCs w:val="0"/>
          <w:color w:val="auto"/>
          <w:sz w:val="24"/>
          <w:szCs w:val="24"/>
        </w:rPr>
        <w:t>:</w:t>
      </w:r>
      <w:r w:rsidRPr="00632F1F">
        <w:rPr>
          <w:i w:val="0"/>
          <w:iCs w:val="0"/>
          <w:color w:val="auto"/>
          <w:sz w:val="24"/>
          <w:szCs w:val="24"/>
        </w:rPr>
        <w:t xml:space="preserve"> Temperature programmed decomposition of adsorbed isopropylamine (IPA-TPD) on four synthesized ZSM5 samples. Propylene evolution in a 10 K/min heating ramp from IPA-saturated sample</w:t>
      </w:r>
      <w:r w:rsidRPr="00DA1436">
        <w:rPr>
          <w:i w:val="0"/>
          <w:iCs w:val="0"/>
          <w:color w:val="auto"/>
          <w:sz w:val="24"/>
          <w:szCs w:val="24"/>
        </w:rPr>
        <w:t>s.</w:t>
      </w:r>
      <w:bookmarkEnd w:id="99"/>
    </w:p>
    <w:p w14:paraId="650ED29A" w14:textId="77777777" w:rsidR="00463612" w:rsidRPr="00AF40A9" w:rsidRDefault="00463612" w:rsidP="00AF40A9">
      <w:pPr>
        <w:spacing w:line="480" w:lineRule="auto"/>
        <w:jc w:val="both"/>
      </w:pPr>
    </w:p>
    <w:p w14:paraId="528A0CCF" w14:textId="08904FB7" w:rsidR="00153C10" w:rsidRPr="008968F0" w:rsidRDefault="00AF40A9" w:rsidP="00AF40A9">
      <w:pPr>
        <w:pStyle w:val="Heading4"/>
        <w:spacing w:line="480" w:lineRule="auto"/>
        <w:rPr>
          <w:rFonts w:ascii="Times New Roman" w:hAnsi="Times New Roman" w:cs="Times New Roman"/>
          <w:color w:val="auto"/>
        </w:rPr>
      </w:pPr>
      <w:r w:rsidRPr="008968F0">
        <w:rPr>
          <w:rFonts w:ascii="Times New Roman" w:hAnsi="Times New Roman" w:cs="Times New Roman"/>
          <w:color w:val="auto"/>
        </w:rPr>
        <w:tab/>
      </w:r>
      <w:r w:rsidR="00153C10" w:rsidRPr="008968F0">
        <w:rPr>
          <w:rFonts w:ascii="Times New Roman" w:hAnsi="Times New Roman" w:cs="Times New Roman"/>
          <w:color w:val="auto"/>
        </w:rPr>
        <w:t xml:space="preserve">3.3.1.3 Scanning Electron Microscopy </w:t>
      </w:r>
    </w:p>
    <w:p w14:paraId="151A38A5" w14:textId="655D970C" w:rsidR="00153C10" w:rsidRPr="0060294C" w:rsidRDefault="00153C10" w:rsidP="00AF40A9">
      <w:pPr>
        <w:pStyle w:val="ListParagraph"/>
        <w:spacing w:line="480" w:lineRule="auto"/>
        <w:ind w:left="0" w:firstLine="720"/>
        <w:jc w:val="both"/>
      </w:pPr>
      <w:r w:rsidRPr="00AF40A9">
        <w:t xml:space="preserve">It is expected that a difference in the particle size appears as crystallization </w:t>
      </w:r>
      <w:r>
        <w:t xml:space="preserve">temperature changes. For such, Scanning Electron Microscopy (SEM) images were taken to </w:t>
      </w:r>
      <w:r w:rsidRPr="0060294C">
        <w:t xml:space="preserve">observe dimensional and surface differences. Using two different magnifications </w:t>
      </w:r>
      <w:r w:rsidR="00E161D7" w:rsidRPr="00E161D7">
        <w:rPr>
          <w:b/>
          <w:bCs/>
        </w:rPr>
        <w:t>Figure</w:t>
      </w:r>
      <w:r w:rsidR="00E161D7">
        <w:rPr>
          <w:b/>
          <w:bCs/>
        </w:rPr>
        <w:t>s</w:t>
      </w:r>
      <w:r w:rsidRPr="0060294C">
        <w:rPr>
          <w:b/>
          <w:bCs/>
        </w:rPr>
        <w:t xml:space="preserve"> </w:t>
      </w:r>
      <w:r w:rsidR="00834135" w:rsidRPr="0060294C">
        <w:rPr>
          <w:b/>
          <w:bCs/>
        </w:rPr>
        <w:t>54</w:t>
      </w:r>
      <w:r w:rsidRPr="0060294C">
        <w:t xml:space="preserve"> and </w:t>
      </w:r>
      <w:r w:rsidR="0099214D" w:rsidRPr="0060294C">
        <w:rPr>
          <w:b/>
          <w:bCs/>
        </w:rPr>
        <w:t>55</w:t>
      </w:r>
      <w:r w:rsidRPr="0060294C">
        <w:t xml:space="preserve"> show structural features of the four batches of S-ZSM5. It is </w:t>
      </w:r>
      <w:r w:rsidR="00E161D7" w:rsidRPr="0060294C">
        <w:t>noted that</w:t>
      </w:r>
      <w:r w:rsidRPr="0060294C">
        <w:t xml:space="preserve"> a homogeneous distribution of particle size in each batch with an average size of 480 nm is all the samples (</w:t>
      </w:r>
      <w:r w:rsidRPr="0060294C">
        <w:rPr>
          <w:b/>
          <w:bCs/>
        </w:rPr>
        <w:t xml:space="preserve">Figure </w:t>
      </w:r>
      <w:r w:rsidR="0099214D" w:rsidRPr="0060294C">
        <w:rPr>
          <w:b/>
          <w:bCs/>
        </w:rPr>
        <w:t>54</w:t>
      </w:r>
      <w:r w:rsidRPr="0060294C">
        <w:t>). Similar to</w:t>
      </w:r>
      <w:r>
        <w:t xml:space="preserve"> what was observed in Dai</w:t>
      </w:r>
      <w:r w:rsidR="00362698">
        <w:t>’s</w:t>
      </w:r>
      <w:r>
        <w:t xml:space="preserve"> et al. work, small protrusions are deposited over the outer surface of the main particle and, here, their size changes as a function of temperature </w:t>
      </w:r>
      <w:r>
        <w:fldChar w:fldCharType="begin"/>
      </w:r>
      <w:r>
        <w:instrText xml:space="preserve"> ADDIN EN.CITE &lt;EndNote&gt;&lt;Cite&gt;&lt;Author&gt;Dai&lt;/Author&gt;&lt;Year&gt;2020&lt;/Year&gt;&lt;RecNum&gt;96&lt;/RecNum&gt;&lt;DisplayText&gt;[193]&lt;/DisplayText&gt;&lt;record&gt;&lt;rec-number&gt;96&lt;/rec-number&gt;&lt;foreign-keys&gt;&lt;key app="EN" db-id="59dvwrfdof9dw8exf0kvp0atwazsazeeffsp" timestamp="1672770515"&gt;96&lt;/key&gt;&lt;/foreign-keys&gt;&lt;ref-type name="Journal Article"&gt;17&lt;/ref-type&gt;&lt;contributors&gt;&lt;authors&gt;&lt;author&gt;Heng Dai&lt;/author&gt;&lt;author&gt;Yufeng Shen&lt;/author&gt;&lt;author&gt;Taimin Yang&lt;/author&gt;&lt;author&gt;Choongsze Lee&lt;/author&gt;&lt;author&gt;Donglong Fu&lt;/author&gt;&lt;author&gt;Ankur Agarwal&lt;/author&gt;&lt;author&gt;Thuy Thanh Le&lt;/author&gt;&lt;author&gt;Michael Tsapatsis&lt;/author&gt;&lt;author&gt;Jeremy C. Palmer&lt;/author&gt;&lt;author&gt;Bert M. Weckhuysen&lt;/author&gt;&lt;author&gt;Paul J. Dauenhauer&lt;/author&gt;&lt;author&gt;Xiaodong Zou&lt;/author&gt;&lt;author&gt;Jeffrey D. Rimer &lt;/author&gt;&lt;/authors&gt;&lt;/contributors&gt;&lt;titles&gt;&lt;title&gt;Finned zeolite catalysts&lt;/title&gt;&lt;secondary-title&gt;Nature Materials&lt;/secondary-title&gt;&lt;/titles&gt;&lt;periodical&gt;&lt;full-title&gt;Nature Materials&lt;/full-title&gt;&lt;/periodical&gt;&lt;pages&gt;1074-1080&lt;/pages&gt;&lt;volume&gt;19&lt;/volume&gt;&lt;dates&gt;&lt;year&gt;2020&lt;/year&gt;&lt;/dates&gt;&lt;urls&gt;&lt;/urls&gt;&lt;electronic-resource-num&gt;https://doi.org/10.1038/s41563-020-0753-1&lt;/electronic-resource-num&gt;&lt;/record&gt;&lt;/Cite&gt;&lt;/EndNote&gt;</w:instrText>
      </w:r>
      <w:r>
        <w:fldChar w:fldCharType="separate"/>
      </w:r>
      <w:r>
        <w:rPr>
          <w:noProof/>
        </w:rPr>
        <w:t>[</w:t>
      </w:r>
      <w:hyperlink w:anchor="_ENREF_193" w:tooltip="Dai, 2020 #96" w:history="1">
        <w:r w:rsidR="00D307FA">
          <w:rPr>
            <w:noProof/>
          </w:rPr>
          <w:t>193</w:t>
        </w:r>
      </w:hyperlink>
      <w:r>
        <w:rPr>
          <w:noProof/>
        </w:rPr>
        <w:t>]</w:t>
      </w:r>
      <w:r>
        <w:fldChar w:fldCharType="end"/>
      </w:r>
      <w:r>
        <w:t xml:space="preserve">. These particles are solely formed during the crystallization step, while after nucleation, before transferring to the Teflon-lined, a homogeneous, dense, and clear gel is obtained. Thus, no solid formation. The low temperature and slow mixing during nucleation assure only the homogeneous distribution </w:t>
      </w:r>
      <w:r>
        <w:lastRenderedPageBreak/>
        <w:t xml:space="preserve">of nutrients and formation of the primary units, with a lack in energy to overcome the crystallization </w:t>
      </w:r>
      <w:r w:rsidRPr="0060294C">
        <w:t xml:space="preserve">barrier and thus form small particles. </w:t>
      </w:r>
    </w:p>
    <w:p w14:paraId="29FBC472" w14:textId="486D595A" w:rsidR="00153C10" w:rsidRDefault="00153C10" w:rsidP="00BA5F6A">
      <w:pPr>
        <w:pStyle w:val="ListParagraph"/>
        <w:spacing w:line="480" w:lineRule="auto"/>
        <w:ind w:left="0" w:firstLine="720"/>
        <w:jc w:val="both"/>
      </w:pPr>
      <w:r w:rsidRPr="0060294C">
        <w:rPr>
          <w:b/>
          <w:bCs/>
        </w:rPr>
        <w:t xml:space="preserve">Table </w:t>
      </w:r>
      <w:r w:rsidR="0099214D" w:rsidRPr="0060294C">
        <w:rPr>
          <w:b/>
          <w:bCs/>
        </w:rPr>
        <w:t>9</w:t>
      </w:r>
      <w:r w:rsidRPr="0060294C">
        <w:t xml:space="preserve"> presents</w:t>
      </w:r>
      <w:r>
        <w:t xml:space="preserve"> the average size of the observed small aggregates as well as the respective BAS for each S-ZSM5 zeolite. </w:t>
      </w:r>
      <w:r w:rsidR="000C018B">
        <w:t xml:space="preserve">The uncertainty </w:t>
      </w:r>
      <w:r w:rsidR="00180477">
        <w:t>shown</w:t>
      </w:r>
      <w:r w:rsidR="000C018B">
        <w:t xml:space="preserve"> </w:t>
      </w:r>
      <w:r w:rsidR="00F952D3">
        <w:t xml:space="preserve">next to the particle size values represents the standard deviation of more than </w:t>
      </w:r>
      <w:r w:rsidR="00180477">
        <w:t xml:space="preserve">30 measurements for each sample within the SEM operational program. </w:t>
      </w:r>
      <w:r>
        <w:t>An increase in the average size is clear and reactivity will be further analyzed.</w:t>
      </w:r>
    </w:p>
    <w:p w14:paraId="3AAC0D3A" w14:textId="77777777" w:rsidR="00153C10" w:rsidRDefault="00153C10" w:rsidP="00153C10">
      <w:pPr>
        <w:keepNext/>
        <w:jc w:val="center"/>
      </w:pPr>
      <w:r>
        <w:rPr>
          <w:noProof/>
        </w:rPr>
        <w:drawing>
          <wp:inline distT="0" distB="0" distL="0" distR="0" wp14:anchorId="06DEE508" wp14:editId="42F88B60">
            <wp:extent cx="5479328" cy="3703320"/>
            <wp:effectExtent l="0" t="0" r="7620" b="0"/>
            <wp:docPr id="55" name="Picture 55" descr="A picture containing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rock&#10;&#10;Description automatically generated"/>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479328" cy="3703320"/>
                    </a:xfrm>
                    <a:prstGeom prst="rect">
                      <a:avLst/>
                    </a:prstGeom>
                    <a:noFill/>
                  </pic:spPr>
                </pic:pic>
              </a:graphicData>
            </a:graphic>
          </wp:inline>
        </w:drawing>
      </w:r>
    </w:p>
    <w:p w14:paraId="75842C4E" w14:textId="2C57A50D" w:rsidR="00153C10" w:rsidRPr="0018056C" w:rsidRDefault="00153C10" w:rsidP="00153C10">
      <w:pPr>
        <w:pStyle w:val="Caption"/>
        <w:jc w:val="both"/>
        <w:rPr>
          <w:i w:val="0"/>
          <w:iCs w:val="0"/>
          <w:color w:val="auto"/>
          <w:sz w:val="24"/>
          <w:szCs w:val="24"/>
        </w:rPr>
      </w:pPr>
      <w:bookmarkStart w:id="100" w:name="_Toc131948718"/>
      <w:r w:rsidRPr="00E608DF">
        <w:rPr>
          <w:b/>
          <w:bCs/>
          <w:i w:val="0"/>
          <w:iCs w:val="0"/>
          <w:color w:val="auto"/>
          <w:sz w:val="24"/>
          <w:szCs w:val="24"/>
        </w:rPr>
        <w:t xml:space="preserve">Figure </w:t>
      </w:r>
      <w:r w:rsidRPr="00E608DF">
        <w:rPr>
          <w:b/>
          <w:bCs/>
          <w:i w:val="0"/>
          <w:iCs w:val="0"/>
          <w:color w:val="auto"/>
          <w:sz w:val="24"/>
          <w:szCs w:val="24"/>
        </w:rPr>
        <w:fldChar w:fldCharType="begin"/>
      </w:r>
      <w:r w:rsidRPr="00E608DF">
        <w:rPr>
          <w:b/>
          <w:bCs/>
          <w:i w:val="0"/>
          <w:iCs w:val="0"/>
          <w:color w:val="auto"/>
          <w:sz w:val="24"/>
          <w:szCs w:val="24"/>
        </w:rPr>
        <w:instrText xml:space="preserve"> SEQ Figure \* ARABIC </w:instrText>
      </w:r>
      <w:r w:rsidRPr="00E608DF">
        <w:rPr>
          <w:b/>
          <w:bCs/>
          <w:i w:val="0"/>
          <w:iCs w:val="0"/>
          <w:color w:val="auto"/>
          <w:sz w:val="24"/>
          <w:szCs w:val="24"/>
        </w:rPr>
        <w:fldChar w:fldCharType="separate"/>
      </w:r>
      <w:r w:rsidR="001F4741">
        <w:rPr>
          <w:b/>
          <w:bCs/>
          <w:i w:val="0"/>
          <w:iCs w:val="0"/>
          <w:noProof/>
          <w:color w:val="auto"/>
          <w:sz w:val="24"/>
          <w:szCs w:val="24"/>
        </w:rPr>
        <w:t>54</w:t>
      </w:r>
      <w:r w:rsidRPr="00E608DF">
        <w:rPr>
          <w:b/>
          <w:bCs/>
          <w:i w:val="0"/>
          <w:iCs w:val="0"/>
          <w:color w:val="auto"/>
          <w:sz w:val="24"/>
          <w:szCs w:val="24"/>
        </w:rPr>
        <w:fldChar w:fldCharType="end"/>
      </w:r>
      <w:r w:rsidRPr="00E608DF">
        <w:rPr>
          <w:b/>
          <w:bCs/>
          <w:i w:val="0"/>
          <w:iCs w:val="0"/>
          <w:color w:val="auto"/>
          <w:sz w:val="24"/>
          <w:szCs w:val="24"/>
        </w:rPr>
        <w:t>:</w:t>
      </w:r>
      <w:r w:rsidRPr="00E608DF">
        <w:rPr>
          <w:i w:val="0"/>
          <w:iCs w:val="0"/>
          <w:color w:val="auto"/>
          <w:sz w:val="24"/>
          <w:szCs w:val="24"/>
        </w:rPr>
        <w:t xml:space="preserve"> S</w:t>
      </w:r>
      <w:r w:rsidRPr="00DA1436">
        <w:rPr>
          <w:i w:val="0"/>
          <w:iCs w:val="0"/>
          <w:color w:val="auto"/>
          <w:sz w:val="24"/>
          <w:szCs w:val="24"/>
        </w:rPr>
        <w:t xml:space="preserve">canning Electron Microscope pictures of </w:t>
      </w:r>
      <w:r>
        <w:rPr>
          <w:i w:val="0"/>
          <w:iCs w:val="0"/>
          <w:color w:val="auto"/>
          <w:sz w:val="24"/>
          <w:szCs w:val="24"/>
        </w:rPr>
        <w:t>four S-</w:t>
      </w:r>
      <w:r w:rsidRPr="00DA1436">
        <w:rPr>
          <w:i w:val="0"/>
          <w:iCs w:val="0"/>
          <w:color w:val="auto"/>
          <w:sz w:val="24"/>
          <w:szCs w:val="24"/>
        </w:rPr>
        <w:t xml:space="preserve">ZSM5 </w:t>
      </w:r>
      <w:r>
        <w:rPr>
          <w:i w:val="0"/>
          <w:iCs w:val="0"/>
          <w:color w:val="auto"/>
          <w:sz w:val="24"/>
          <w:szCs w:val="24"/>
        </w:rPr>
        <w:t>(Si/Al =80) at similar magnification (27 KX)</w:t>
      </w:r>
      <w:r w:rsidRPr="00DA1436">
        <w:rPr>
          <w:i w:val="0"/>
          <w:iCs w:val="0"/>
          <w:color w:val="auto"/>
          <w:sz w:val="24"/>
          <w:szCs w:val="24"/>
        </w:rPr>
        <w:t>.</w:t>
      </w:r>
      <w:bookmarkEnd w:id="100"/>
    </w:p>
    <w:p w14:paraId="6AA49C0D" w14:textId="77777777" w:rsidR="00153C10" w:rsidRDefault="00153C10" w:rsidP="00153C10">
      <w:pPr>
        <w:jc w:val="center"/>
      </w:pPr>
    </w:p>
    <w:p w14:paraId="48039855" w14:textId="77777777" w:rsidR="00153C10" w:rsidRDefault="00153C10" w:rsidP="00153C10">
      <w:pPr>
        <w:keepNext/>
        <w:jc w:val="center"/>
      </w:pPr>
      <w:r>
        <w:rPr>
          <w:noProof/>
        </w:rPr>
        <w:lastRenderedPageBreak/>
        <w:drawing>
          <wp:inline distT="0" distB="0" distL="0" distR="0" wp14:anchorId="4C22D602" wp14:editId="6033BA1E">
            <wp:extent cx="5479328" cy="3703320"/>
            <wp:effectExtent l="0" t="0" r="7620" b="0"/>
            <wp:docPr id="56" name="Picture 56" descr="A picture containing different,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ifferent, close&#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79328" cy="3703320"/>
                    </a:xfrm>
                    <a:prstGeom prst="rect">
                      <a:avLst/>
                    </a:prstGeom>
                    <a:noFill/>
                  </pic:spPr>
                </pic:pic>
              </a:graphicData>
            </a:graphic>
          </wp:inline>
        </w:drawing>
      </w:r>
    </w:p>
    <w:p w14:paraId="4CF7C726" w14:textId="79DFAEF5" w:rsidR="00153C10" w:rsidRDefault="00153C10" w:rsidP="00153C10">
      <w:pPr>
        <w:pStyle w:val="Caption"/>
        <w:jc w:val="both"/>
        <w:rPr>
          <w:i w:val="0"/>
          <w:iCs w:val="0"/>
          <w:color w:val="auto"/>
          <w:sz w:val="24"/>
          <w:szCs w:val="24"/>
        </w:rPr>
      </w:pPr>
      <w:bookmarkStart w:id="101" w:name="_Toc131948719"/>
      <w:r w:rsidRPr="00E608DF">
        <w:rPr>
          <w:b/>
          <w:bCs/>
          <w:i w:val="0"/>
          <w:iCs w:val="0"/>
          <w:color w:val="auto"/>
          <w:sz w:val="24"/>
          <w:szCs w:val="24"/>
        </w:rPr>
        <w:t xml:space="preserve">Figure </w:t>
      </w:r>
      <w:r w:rsidRPr="00E608DF">
        <w:rPr>
          <w:b/>
          <w:bCs/>
          <w:i w:val="0"/>
          <w:iCs w:val="0"/>
          <w:color w:val="auto"/>
          <w:sz w:val="24"/>
          <w:szCs w:val="24"/>
        </w:rPr>
        <w:fldChar w:fldCharType="begin"/>
      </w:r>
      <w:r w:rsidRPr="00E608DF">
        <w:rPr>
          <w:b/>
          <w:bCs/>
          <w:i w:val="0"/>
          <w:iCs w:val="0"/>
          <w:color w:val="auto"/>
          <w:sz w:val="24"/>
          <w:szCs w:val="24"/>
        </w:rPr>
        <w:instrText xml:space="preserve"> SEQ Figure \* ARABIC </w:instrText>
      </w:r>
      <w:r w:rsidRPr="00E608DF">
        <w:rPr>
          <w:b/>
          <w:bCs/>
          <w:i w:val="0"/>
          <w:iCs w:val="0"/>
          <w:color w:val="auto"/>
          <w:sz w:val="24"/>
          <w:szCs w:val="24"/>
        </w:rPr>
        <w:fldChar w:fldCharType="separate"/>
      </w:r>
      <w:r w:rsidR="001F4741">
        <w:rPr>
          <w:b/>
          <w:bCs/>
          <w:i w:val="0"/>
          <w:iCs w:val="0"/>
          <w:noProof/>
          <w:color w:val="auto"/>
          <w:sz w:val="24"/>
          <w:szCs w:val="24"/>
        </w:rPr>
        <w:t>55</w:t>
      </w:r>
      <w:r w:rsidRPr="00E608DF">
        <w:rPr>
          <w:b/>
          <w:bCs/>
          <w:i w:val="0"/>
          <w:iCs w:val="0"/>
          <w:color w:val="auto"/>
          <w:sz w:val="24"/>
          <w:szCs w:val="24"/>
        </w:rPr>
        <w:fldChar w:fldCharType="end"/>
      </w:r>
      <w:r w:rsidRPr="00E608DF">
        <w:rPr>
          <w:b/>
          <w:bCs/>
          <w:i w:val="0"/>
          <w:iCs w:val="0"/>
          <w:color w:val="auto"/>
          <w:sz w:val="24"/>
          <w:szCs w:val="24"/>
        </w:rPr>
        <w:t>:</w:t>
      </w:r>
      <w:r w:rsidRPr="00E608DF">
        <w:rPr>
          <w:i w:val="0"/>
          <w:iCs w:val="0"/>
          <w:color w:val="auto"/>
          <w:sz w:val="24"/>
          <w:szCs w:val="24"/>
        </w:rPr>
        <w:t xml:space="preserve"> Scanning Electron Microscope pictures of four S-ZSM5 (Si/Al =80) at similar </w:t>
      </w:r>
      <w:r>
        <w:rPr>
          <w:i w:val="0"/>
          <w:iCs w:val="0"/>
          <w:color w:val="auto"/>
          <w:sz w:val="24"/>
          <w:szCs w:val="24"/>
        </w:rPr>
        <w:t>magnification (120 KX)</w:t>
      </w:r>
      <w:r w:rsidRPr="00DA1436">
        <w:rPr>
          <w:i w:val="0"/>
          <w:iCs w:val="0"/>
          <w:color w:val="auto"/>
          <w:sz w:val="24"/>
          <w:szCs w:val="24"/>
        </w:rPr>
        <w:t>.</w:t>
      </w:r>
      <w:bookmarkEnd w:id="101"/>
    </w:p>
    <w:p w14:paraId="589FE794" w14:textId="77777777" w:rsidR="00153C10" w:rsidRDefault="00153C10" w:rsidP="00153C10"/>
    <w:p w14:paraId="0983EC64" w14:textId="5FB6FD30" w:rsidR="00153C10" w:rsidRDefault="00153C10" w:rsidP="00153C10">
      <w:bookmarkStart w:id="102" w:name="_Toc131948660"/>
      <w:r w:rsidRPr="00E608DF">
        <w:rPr>
          <w:b/>
          <w:bCs/>
        </w:rPr>
        <w:t xml:space="preserve">Table </w:t>
      </w:r>
      <w:r w:rsidRPr="00E608DF">
        <w:rPr>
          <w:b/>
          <w:bCs/>
          <w:i/>
          <w:iCs/>
        </w:rPr>
        <w:fldChar w:fldCharType="begin"/>
      </w:r>
      <w:r w:rsidRPr="00E608DF">
        <w:rPr>
          <w:b/>
          <w:bCs/>
        </w:rPr>
        <w:instrText xml:space="preserve"> SEQ Table \* ARABIC </w:instrText>
      </w:r>
      <w:r w:rsidRPr="00E608DF">
        <w:rPr>
          <w:b/>
          <w:bCs/>
          <w:i/>
          <w:iCs/>
        </w:rPr>
        <w:fldChar w:fldCharType="separate"/>
      </w:r>
      <w:r w:rsidR="001F4741">
        <w:rPr>
          <w:b/>
          <w:bCs/>
          <w:noProof/>
        </w:rPr>
        <w:t>9</w:t>
      </w:r>
      <w:r w:rsidRPr="00E608DF">
        <w:rPr>
          <w:b/>
          <w:bCs/>
          <w:i/>
          <w:iCs/>
        </w:rPr>
        <w:fldChar w:fldCharType="end"/>
      </w:r>
      <w:r w:rsidRPr="00E608DF">
        <w:t xml:space="preserve">: Site </w:t>
      </w:r>
      <w:r>
        <w:t>density and average particle size of the synthesized ZSM5 zeolites</w:t>
      </w:r>
      <w:r w:rsidRPr="00DA1436">
        <w:t>.</w:t>
      </w:r>
      <w:bookmarkEnd w:id="102"/>
    </w:p>
    <w:tbl>
      <w:tblPr>
        <w:tblW w:w="8670" w:type="dxa"/>
        <w:tblLook w:val="04A0" w:firstRow="1" w:lastRow="0" w:firstColumn="1" w:lastColumn="0" w:noHBand="0" w:noVBand="1"/>
      </w:tblPr>
      <w:tblGrid>
        <w:gridCol w:w="1890"/>
        <w:gridCol w:w="776"/>
        <w:gridCol w:w="1715"/>
        <w:gridCol w:w="2250"/>
        <w:gridCol w:w="2100"/>
      </w:tblGrid>
      <w:tr w:rsidR="00153C10" w:rsidRPr="00C2652C" w14:paraId="77C843CE" w14:textId="77777777" w:rsidTr="00605C4A">
        <w:trPr>
          <w:trHeight w:val="741"/>
        </w:trPr>
        <w:tc>
          <w:tcPr>
            <w:tcW w:w="1890" w:type="dxa"/>
            <w:tcBorders>
              <w:top w:val="single" w:sz="4" w:space="0" w:color="auto"/>
              <w:left w:val="nil"/>
              <w:bottom w:val="single" w:sz="4" w:space="0" w:color="auto"/>
              <w:right w:val="nil"/>
            </w:tcBorders>
            <w:shd w:val="clear" w:color="auto" w:fill="auto"/>
            <w:noWrap/>
            <w:vAlign w:val="center"/>
            <w:hideMark/>
          </w:tcPr>
          <w:p w14:paraId="251060B7" w14:textId="77777777" w:rsidR="00153C10" w:rsidRPr="00C2652C" w:rsidRDefault="00153C10" w:rsidP="00974715">
            <w:pPr>
              <w:rPr>
                <w:color w:val="000000"/>
              </w:rPr>
            </w:pPr>
            <w:r w:rsidRPr="00C2652C">
              <w:rPr>
                <w:color w:val="000000"/>
              </w:rPr>
              <w:t> </w:t>
            </w:r>
          </w:p>
        </w:tc>
        <w:tc>
          <w:tcPr>
            <w:tcW w:w="715" w:type="dxa"/>
            <w:tcBorders>
              <w:top w:val="single" w:sz="4" w:space="0" w:color="auto"/>
              <w:left w:val="nil"/>
              <w:bottom w:val="single" w:sz="4" w:space="0" w:color="auto"/>
              <w:right w:val="nil"/>
            </w:tcBorders>
            <w:shd w:val="clear" w:color="auto" w:fill="auto"/>
            <w:noWrap/>
            <w:vAlign w:val="center"/>
            <w:hideMark/>
          </w:tcPr>
          <w:p w14:paraId="005B22A7" w14:textId="77777777" w:rsidR="00153C10" w:rsidRPr="00C2652C" w:rsidRDefault="00153C10" w:rsidP="00974715">
            <w:pPr>
              <w:rPr>
                <w:color w:val="000000"/>
              </w:rPr>
            </w:pPr>
            <w:r w:rsidRPr="00C2652C">
              <w:rPr>
                <w:color w:val="000000"/>
              </w:rPr>
              <w:t>Batch</w:t>
            </w:r>
          </w:p>
        </w:tc>
        <w:tc>
          <w:tcPr>
            <w:tcW w:w="1715" w:type="dxa"/>
            <w:tcBorders>
              <w:top w:val="single" w:sz="4" w:space="0" w:color="auto"/>
              <w:left w:val="nil"/>
              <w:bottom w:val="single" w:sz="4" w:space="0" w:color="auto"/>
              <w:right w:val="nil"/>
            </w:tcBorders>
            <w:shd w:val="clear" w:color="auto" w:fill="auto"/>
            <w:vAlign w:val="center"/>
            <w:hideMark/>
          </w:tcPr>
          <w:p w14:paraId="434D0FCC" w14:textId="77777777" w:rsidR="00153C10" w:rsidRPr="00C2652C" w:rsidRDefault="00153C10" w:rsidP="00974715">
            <w:pPr>
              <w:jc w:val="center"/>
              <w:rPr>
                <w:color w:val="000000"/>
                <w:lang w:val="pt-BR"/>
              </w:rPr>
            </w:pPr>
            <w:r w:rsidRPr="00C2652C">
              <w:rPr>
                <w:color w:val="000000"/>
                <w:lang w:val="pt-BR"/>
              </w:rPr>
              <w:t>IPA-TPD BAS (mmol/g</w:t>
            </w:r>
            <w:r w:rsidRPr="00017C51">
              <w:rPr>
                <w:color w:val="000000"/>
                <w:vertAlign w:val="subscript"/>
                <w:lang w:val="pt-BR"/>
              </w:rPr>
              <w:t>cat</w:t>
            </w:r>
            <w:r w:rsidRPr="00C2652C">
              <w:rPr>
                <w:color w:val="000000"/>
                <w:lang w:val="pt-BR"/>
              </w:rPr>
              <w:t>)</w:t>
            </w:r>
          </w:p>
        </w:tc>
        <w:tc>
          <w:tcPr>
            <w:tcW w:w="2250" w:type="dxa"/>
            <w:tcBorders>
              <w:top w:val="single" w:sz="4" w:space="0" w:color="auto"/>
              <w:left w:val="nil"/>
              <w:bottom w:val="single" w:sz="4" w:space="0" w:color="auto"/>
              <w:right w:val="nil"/>
            </w:tcBorders>
            <w:shd w:val="clear" w:color="auto" w:fill="auto"/>
            <w:vAlign w:val="center"/>
            <w:hideMark/>
          </w:tcPr>
          <w:p w14:paraId="7E63E89D" w14:textId="77777777" w:rsidR="00153C10" w:rsidRPr="00C2652C" w:rsidRDefault="00153C10" w:rsidP="00974715">
            <w:pPr>
              <w:jc w:val="center"/>
              <w:rPr>
                <w:color w:val="000000"/>
              </w:rPr>
            </w:pPr>
            <w:r w:rsidRPr="00C2652C">
              <w:rPr>
                <w:color w:val="000000"/>
              </w:rPr>
              <w:t>Small Particle Size Average (nm)</w:t>
            </w:r>
          </w:p>
        </w:tc>
        <w:tc>
          <w:tcPr>
            <w:tcW w:w="2100" w:type="dxa"/>
            <w:tcBorders>
              <w:top w:val="single" w:sz="4" w:space="0" w:color="auto"/>
              <w:left w:val="nil"/>
              <w:bottom w:val="single" w:sz="4" w:space="0" w:color="auto"/>
              <w:right w:val="nil"/>
            </w:tcBorders>
            <w:shd w:val="clear" w:color="auto" w:fill="auto"/>
            <w:vAlign w:val="center"/>
            <w:hideMark/>
          </w:tcPr>
          <w:p w14:paraId="59DFBFA7" w14:textId="77777777" w:rsidR="00153C10" w:rsidRPr="00C2652C" w:rsidRDefault="00153C10" w:rsidP="00974715">
            <w:pPr>
              <w:jc w:val="center"/>
              <w:rPr>
                <w:color w:val="000000"/>
              </w:rPr>
            </w:pPr>
            <w:r w:rsidRPr="00C2652C">
              <w:rPr>
                <w:color w:val="000000"/>
              </w:rPr>
              <w:t>Main Particle Size Average (nm)</w:t>
            </w:r>
          </w:p>
        </w:tc>
      </w:tr>
      <w:tr w:rsidR="00153C10" w:rsidRPr="00C2652C" w14:paraId="395CCF2B" w14:textId="77777777" w:rsidTr="00605C4A">
        <w:trPr>
          <w:trHeight w:val="370"/>
        </w:trPr>
        <w:tc>
          <w:tcPr>
            <w:tcW w:w="1890" w:type="dxa"/>
            <w:vMerge w:val="restart"/>
            <w:tcBorders>
              <w:top w:val="nil"/>
              <w:left w:val="nil"/>
              <w:bottom w:val="nil"/>
              <w:right w:val="nil"/>
            </w:tcBorders>
            <w:shd w:val="clear" w:color="auto" w:fill="auto"/>
            <w:noWrap/>
            <w:vAlign w:val="center"/>
            <w:hideMark/>
          </w:tcPr>
          <w:p w14:paraId="58DE2361" w14:textId="77777777" w:rsidR="00153C10" w:rsidRPr="00C2652C" w:rsidRDefault="00153C10" w:rsidP="00974715">
            <w:pPr>
              <w:jc w:val="center"/>
              <w:rPr>
                <w:color w:val="000000"/>
              </w:rPr>
            </w:pPr>
            <w:r w:rsidRPr="00C2652C">
              <w:rPr>
                <w:color w:val="000000"/>
              </w:rPr>
              <w:t xml:space="preserve">S-ZSM5 150 </w:t>
            </w:r>
            <w:r w:rsidRPr="00C2652C">
              <w:rPr>
                <w:color w:val="000000"/>
                <w:vertAlign w:val="superscript"/>
              </w:rPr>
              <w:t>o</w:t>
            </w:r>
            <w:r w:rsidRPr="00C2652C">
              <w:rPr>
                <w:color w:val="000000"/>
              </w:rPr>
              <w:t>C</w:t>
            </w:r>
          </w:p>
        </w:tc>
        <w:tc>
          <w:tcPr>
            <w:tcW w:w="715" w:type="dxa"/>
            <w:tcBorders>
              <w:top w:val="nil"/>
              <w:left w:val="nil"/>
              <w:bottom w:val="nil"/>
              <w:right w:val="nil"/>
            </w:tcBorders>
            <w:shd w:val="clear" w:color="auto" w:fill="auto"/>
            <w:noWrap/>
            <w:vAlign w:val="center"/>
            <w:hideMark/>
          </w:tcPr>
          <w:p w14:paraId="5D002FA8" w14:textId="77777777" w:rsidR="00153C10" w:rsidRPr="00C2652C" w:rsidRDefault="00153C10" w:rsidP="00974715">
            <w:pPr>
              <w:jc w:val="center"/>
              <w:rPr>
                <w:color w:val="000000"/>
              </w:rPr>
            </w:pPr>
            <w:r w:rsidRPr="00C2652C">
              <w:rPr>
                <w:color w:val="000000"/>
              </w:rPr>
              <w:t>1st</w:t>
            </w:r>
          </w:p>
        </w:tc>
        <w:tc>
          <w:tcPr>
            <w:tcW w:w="1715" w:type="dxa"/>
            <w:tcBorders>
              <w:top w:val="nil"/>
              <w:left w:val="nil"/>
              <w:bottom w:val="nil"/>
              <w:right w:val="nil"/>
            </w:tcBorders>
            <w:shd w:val="clear" w:color="auto" w:fill="auto"/>
            <w:noWrap/>
            <w:vAlign w:val="center"/>
            <w:hideMark/>
          </w:tcPr>
          <w:p w14:paraId="6B311DB0" w14:textId="77777777" w:rsidR="00153C10" w:rsidRPr="00C2652C" w:rsidRDefault="00153C10" w:rsidP="00974715">
            <w:pPr>
              <w:jc w:val="center"/>
              <w:rPr>
                <w:color w:val="000000"/>
              </w:rPr>
            </w:pPr>
            <w:r w:rsidRPr="00C2652C">
              <w:rPr>
                <w:color w:val="000000"/>
              </w:rPr>
              <w:t>0.20</w:t>
            </w:r>
          </w:p>
        </w:tc>
        <w:tc>
          <w:tcPr>
            <w:tcW w:w="2250" w:type="dxa"/>
            <w:vMerge w:val="restart"/>
            <w:tcBorders>
              <w:top w:val="nil"/>
              <w:left w:val="nil"/>
              <w:bottom w:val="nil"/>
              <w:right w:val="nil"/>
            </w:tcBorders>
            <w:shd w:val="clear" w:color="auto" w:fill="auto"/>
            <w:noWrap/>
            <w:vAlign w:val="center"/>
            <w:hideMark/>
          </w:tcPr>
          <w:p w14:paraId="564CEB16" w14:textId="77777777" w:rsidR="00153C10" w:rsidRPr="00C2652C" w:rsidRDefault="00153C10" w:rsidP="00974715">
            <w:pPr>
              <w:jc w:val="center"/>
              <w:rPr>
                <w:color w:val="000000"/>
              </w:rPr>
            </w:pPr>
            <w:r w:rsidRPr="00C2652C">
              <w:rPr>
                <w:color w:val="000000"/>
              </w:rPr>
              <w:t>16 ± 2</w:t>
            </w:r>
          </w:p>
        </w:tc>
        <w:tc>
          <w:tcPr>
            <w:tcW w:w="2100" w:type="dxa"/>
            <w:vMerge w:val="restart"/>
            <w:tcBorders>
              <w:top w:val="nil"/>
              <w:left w:val="nil"/>
              <w:bottom w:val="nil"/>
              <w:right w:val="nil"/>
            </w:tcBorders>
            <w:shd w:val="clear" w:color="auto" w:fill="auto"/>
            <w:noWrap/>
            <w:vAlign w:val="center"/>
            <w:hideMark/>
          </w:tcPr>
          <w:p w14:paraId="5FE39876" w14:textId="77777777" w:rsidR="00153C10" w:rsidRPr="00C2652C" w:rsidRDefault="00153C10" w:rsidP="00974715">
            <w:pPr>
              <w:jc w:val="center"/>
              <w:rPr>
                <w:color w:val="000000"/>
              </w:rPr>
            </w:pPr>
            <w:r w:rsidRPr="00C2652C">
              <w:rPr>
                <w:color w:val="000000"/>
              </w:rPr>
              <w:t>479</w:t>
            </w:r>
          </w:p>
        </w:tc>
      </w:tr>
      <w:tr w:rsidR="00153C10" w:rsidRPr="00C2652C" w14:paraId="4722C7BB" w14:textId="77777777" w:rsidTr="00605C4A">
        <w:trPr>
          <w:trHeight w:val="370"/>
        </w:trPr>
        <w:tc>
          <w:tcPr>
            <w:tcW w:w="1890" w:type="dxa"/>
            <w:vMerge/>
            <w:tcBorders>
              <w:top w:val="nil"/>
              <w:left w:val="nil"/>
              <w:bottom w:val="nil"/>
              <w:right w:val="nil"/>
            </w:tcBorders>
            <w:vAlign w:val="center"/>
            <w:hideMark/>
          </w:tcPr>
          <w:p w14:paraId="38847877" w14:textId="77777777" w:rsidR="00153C10" w:rsidRPr="00C2652C" w:rsidRDefault="00153C10" w:rsidP="00974715">
            <w:pPr>
              <w:jc w:val="center"/>
              <w:rPr>
                <w:color w:val="000000"/>
              </w:rPr>
            </w:pPr>
          </w:p>
        </w:tc>
        <w:tc>
          <w:tcPr>
            <w:tcW w:w="715" w:type="dxa"/>
            <w:tcBorders>
              <w:top w:val="nil"/>
              <w:left w:val="nil"/>
              <w:bottom w:val="nil"/>
              <w:right w:val="nil"/>
            </w:tcBorders>
            <w:shd w:val="clear" w:color="auto" w:fill="auto"/>
            <w:noWrap/>
            <w:vAlign w:val="center"/>
            <w:hideMark/>
          </w:tcPr>
          <w:p w14:paraId="4D0E50E2" w14:textId="77777777" w:rsidR="00153C10" w:rsidRPr="00C2652C" w:rsidRDefault="00153C10" w:rsidP="00974715">
            <w:pPr>
              <w:jc w:val="center"/>
              <w:rPr>
                <w:color w:val="000000"/>
              </w:rPr>
            </w:pPr>
            <w:r w:rsidRPr="00C2652C">
              <w:rPr>
                <w:color w:val="000000"/>
              </w:rPr>
              <w:t>2nd</w:t>
            </w:r>
          </w:p>
        </w:tc>
        <w:tc>
          <w:tcPr>
            <w:tcW w:w="1715" w:type="dxa"/>
            <w:tcBorders>
              <w:top w:val="nil"/>
              <w:left w:val="nil"/>
              <w:bottom w:val="nil"/>
              <w:right w:val="nil"/>
            </w:tcBorders>
            <w:shd w:val="clear" w:color="auto" w:fill="auto"/>
            <w:noWrap/>
            <w:vAlign w:val="center"/>
            <w:hideMark/>
          </w:tcPr>
          <w:p w14:paraId="3941DE45" w14:textId="77777777" w:rsidR="00153C10" w:rsidRPr="00C2652C" w:rsidRDefault="00153C10" w:rsidP="00974715">
            <w:pPr>
              <w:jc w:val="center"/>
              <w:rPr>
                <w:color w:val="000000"/>
              </w:rPr>
            </w:pPr>
            <w:r w:rsidRPr="00C2652C">
              <w:rPr>
                <w:color w:val="000000"/>
              </w:rPr>
              <w:t>0.20</w:t>
            </w:r>
          </w:p>
        </w:tc>
        <w:tc>
          <w:tcPr>
            <w:tcW w:w="2250" w:type="dxa"/>
            <w:vMerge/>
            <w:tcBorders>
              <w:top w:val="nil"/>
              <w:left w:val="nil"/>
              <w:bottom w:val="nil"/>
              <w:right w:val="nil"/>
            </w:tcBorders>
            <w:vAlign w:val="center"/>
            <w:hideMark/>
          </w:tcPr>
          <w:p w14:paraId="2EF8D3AF" w14:textId="77777777" w:rsidR="00153C10" w:rsidRPr="00C2652C" w:rsidRDefault="00153C10" w:rsidP="00974715">
            <w:pPr>
              <w:jc w:val="center"/>
              <w:rPr>
                <w:color w:val="000000"/>
              </w:rPr>
            </w:pPr>
          </w:p>
        </w:tc>
        <w:tc>
          <w:tcPr>
            <w:tcW w:w="2100" w:type="dxa"/>
            <w:vMerge/>
            <w:tcBorders>
              <w:top w:val="nil"/>
              <w:left w:val="nil"/>
              <w:bottom w:val="nil"/>
              <w:right w:val="nil"/>
            </w:tcBorders>
            <w:vAlign w:val="center"/>
            <w:hideMark/>
          </w:tcPr>
          <w:p w14:paraId="1ADDB984" w14:textId="77777777" w:rsidR="00153C10" w:rsidRPr="00C2652C" w:rsidRDefault="00153C10" w:rsidP="00974715">
            <w:pPr>
              <w:jc w:val="center"/>
              <w:rPr>
                <w:color w:val="000000"/>
              </w:rPr>
            </w:pPr>
          </w:p>
        </w:tc>
      </w:tr>
      <w:tr w:rsidR="00153C10" w:rsidRPr="00C2652C" w14:paraId="24EB1307" w14:textId="77777777" w:rsidTr="00605C4A">
        <w:trPr>
          <w:trHeight w:val="370"/>
        </w:trPr>
        <w:tc>
          <w:tcPr>
            <w:tcW w:w="1890" w:type="dxa"/>
            <w:vMerge/>
            <w:tcBorders>
              <w:top w:val="nil"/>
              <w:left w:val="nil"/>
              <w:bottom w:val="nil"/>
              <w:right w:val="nil"/>
            </w:tcBorders>
            <w:vAlign w:val="center"/>
            <w:hideMark/>
          </w:tcPr>
          <w:p w14:paraId="1C55356A" w14:textId="77777777" w:rsidR="00153C10" w:rsidRPr="00C2652C" w:rsidRDefault="00153C10" w:rsidP="00974715">
            <w:pPr>
              <w:jc w:val="center"/>
              <w:rPr>
                <w:color w:val="000000"/>
              </w:rPr>
            </w:pPr>
          </w:p>
        </w:tc>
        <w:tc>
          <w:tcPr>
            <w:tcW w:w="715" w:type="dxa"/>
            <w:tcBorders>
              <w:top w:val="nil"/>
              <w:left w:val="nil"/>
              <w:bottom w:val="nil"/>
              <w:right w:val="nil"/>
            </w:tcBorders>
            <w:shd w:val="clear" w:color="auto" w:fill="auto"/>
            <w:noWrap/>
            <w:vAlign w:val="center"/>
            <w:hideMark/>
          </w:tcPr>
          <w:p w14:paraId="0BEEED3E" w14:textId="77777777" w:rsidR="00153C10" w:rsidRPr="00C2652C" w:rsidRDefault="00153C10" w:rsidP="00974715">
            <w:pPr>
              <w:jc w:val="center"/>
              <w:rPr>
                <w:color w:val="000000"/>
              </w:rPr>
            </w:pPr>
            <w:r w:rsidRPr="00C2652C">
              <w:rPr>
                <w:color w:val="000000"/>
              </w:rPr>
              <w:t>3rd</w:t>
            </w:r>
          </w:p>
        </w:tc>
        <w:tc>
          <w:tcPr>
            <w:tcW w:w="1715" w:type="dxa"/>
            <w:tcBorders>
              <w:top w:val="nil"/>
              <w:left w:val="nil"/>
              <w:bottom w:val="nil"/>
              <w:right w:val="nil"/>
            </w:tcBorders>
            <w:shd w:val="clear" w:color="auto" w:fill="auto"/>
            <w:noWrap/>
            <w:vAlign w:val="center"/>
            <w:hideMark/>
          </w:tcPr>
          <w:p w14:paraId="68100CCF" w14:textId="77777777" w:rsidR="00153C10" w:rsidRPr="00C2652C" w:rsidRDefault="00153C10" w:rsidP="00974715">
            <w:pPr>
              <w:jc w:val="center"/>
              <w:rPr>
                <w:color w:val="000000"/>
              </w:rPr>
            </w:pPr>
            <w:r w:rsidRPr="00C2652C">
              <w:rPr>
                <w:color w:val="000000"/>
              </w:rPr>
              <w:t>0.19</w:t>
            </w:r>
          </w:p>
        </w:tc>
        <w:tc>
          <w:tcPr>
            <w:tcW w:w="2250" w:type="dxa"/>
            <w:vMerge/>
            <w:tcBorders>
              <w:top w:val="nil"/>
              <w:left w:val="nil"/>
              <w:bottom w:val="nil"/>
              <w:right w:val="nil"/>
            </w:tcBorders>
            <w:vAlign w:val="center"/>
            <w:hideMark/>
          </w:tcPr>
          <w:p w14:paraId="4AC83E43" w14:textId="77777777" w:rsidR="00153C10" w:rsidRPr="00C2652C" w:rsidRDefault="00153C10" w:rsidP="00974715">
            <w:pPr>
              <w:jc w:val="center"/>
              <w:rPr>
                <w:color w:val="000000"/>
              </w:rPr>
            </w:pPr>
          </w:p>
        </w:tc>
        <w:tc>
          <w:tcPr>
            <w:tcW w:w="2100" w:type="dxa"/>
            <w:vMerge/>
            <w:tcBorders>
              <w:top w:val="nil"/>
              <w:left w:val="nil"/>
              <w:bottom w:val="nil"/>
              <w:right w:val="nil"/>
            </w:tcBorders>
            <w:vAlign w:val="center"/>
            <w:hideMark/>
          </w:tcPr>
          <w:p w14:paraId="7F095ABD" w14:textId="77777777" w:rsidR="00153C10" w:rsidRPr="00C2652C" w:rsidRDefault="00153C10" w:rsidP="00974715">
            <w:pPr>
              <w:jc w:val="center"/>
              <w:rPr>
                <w:color w:val="000000"/>
              </w:rPr>
            </w:pPr>
          </w:p>
        </w:tc>
      </w:tr>
      <w:tr w:rsidR="00153C10" w:rsidRPr="00C2652C" w14:paraId="3BDCEF18" w14:textId="77777777" w:rsidTr="00605C4A">
        <w:trPr>
          <w:trHeight w:val="370"/>
        </w:trPr>
        <w:tc>
          <w:tcPr>
            <w:tcW w:w="1890" w:type="dxa"/>
            <w:tcBorders>
              <w:top w:val="nil"/>
              <w:left w:val="nil"/>
              <w:bottom w:val="nil"/>
              <w:right w:val="nil"/>
            </w:tcBorders>
            <w:shd w:val="clear" w:color="auto" w:fill="auto"/>
            <w:noWrap/>
            <w:vAlign w:val="center"/>
            <w:hideMark/>
          </w:tcPr>
          <w:p w14:paraId="6945AB83" w14:textId="77777777" w:rsidR="00153C10" w:rsidRPr="00C2652C" w:rsidRDefault="00153C10" w:rsidP="00974715">
            <w:pPr>
              <w:jc w:val="center"/>
              <w:rPr>
                <w:color w:val="000000"/>
              </w:rPr>
            </w:pPr>
            <w:r w:rsidRPr="00C2652C">
              <w:rPr>
                <w:color w:val="000000"/>
              </w:rPr>
              <w:t>S-ZSM5 155</w:t>
            </w:r>
            <w:r w:rsidRPr="006770EF">
              <w:rPr>
                <w:color w:val="000000"/>
              </w:rPr>
              <w:t xml:space="preserve"> </w:t>
            </w:r>
            <w:r w:rsidRPr="006770EF">
              <w:rPr>
                <w:color w:val="000000"/>
                <w:vertAlign w:val="superscript"/>
              </w:rPr>
              <w:t>o</w:t>
            </w:r>
            <w:r w:rsidRPr="00C2652C">
              <w:rPr>
                <w:color w:val="000000"/>
              </w:rPr>
              <w:t>C</w:t>
            </w:r>
          </w:p>
        </w:tc>
        <w:tc>
          <w:tcPr>
            <w:tcW w:w="715" w:type="dxa"/>
            <w:tcBorders>
              <w:top w:val="nil"/>
              <w:left w:val="nil"/>
              <w:bottom w:val="nil"/>
              <w:right w:val="nil"/>
            </w:tcBorders>
            <w:shd w:val="clear" w:color="auto" w:fill="auto"/>
            <w:noWrap/>
            <w:vAlign w:val="center"/>
            <w:hideMark/>
          </w:tcPr>
          <w:p w14:paraId="30D1B4BB" w14:textId="77777777" w:rsidR="00153C10" w:rsidRPr="00C2652C" w:rsidRDefault="00153C10" w:rsidP="00974715">
            <w:pPr>
              <w:jc w:val="center"/>
              <w:rPr>
                <w:color w:val="000000"/>
              </w:rPr>
            </w:pPr>
            <w:r w:rsidRPr="00C2652C">
              <w:rPr>
                <w:color w:val="000000"/>
              </w:rPr>
              <w:t>-</w:t>
            </w:r>
          </w:p>
        </w:tc>
        <w:tc>
          <w:tcPr>
            <w:tcW w:w="1715" w:type="dxa"/>
            <w:tcBorders>
              <w:top w:val="nil"/>
              <w:left w:val="nil"/>
              <w:bottom w:val="nil"/>
              <w:right w:val="nil"/>
            </w:tcBorders>
            <w:shd w:val="clear" w:color="auto" w:fill="auto"/>
            <w:noWrap/>
            <w:vAlign w:val="center"/>
            <w:hideMark/>
          </w:tcPr>
          <w:p w14:paraId="780F323C" w14:textId="77777777" w:rsidR="00153C10" w:rsidRPr="00C2652C" w:rsidRDefault="00153C10" w:rsidP="00974715">
            <w:pPr>
              <w:jc w:val="center"/>
              <w:rPr>
                <w:color w:val="000000"/>
              </w:rPr>
            </w:pPr>
            <w:r w:rsidRPr="00C2652C">
              <w:rPr>
                <w:color w:val="000000"/>
              </w:rPr>
              <w:t>0.21</w:t>
            </w:r>
          </w:p>
        </w:tc>
        <w:tc>
          <w:tcPr>
            <w:tcW w:w="2250" w:type="dxa"/>
            <w:tcBorders>
              <w:top w:val="nil"/>
              <w:left w:val="nil"/>
              <w:bottom w:val="nil"/>
              <w:right w:val="nil"/>
            </w:tcBorders>
            <w:shd w:val="clear" w:color="auto" w:fill="auto"/>
            <w:noWrap/>
            <w:vAlign w:val="center"/>
            <w:hideMark/>
          </w:tcPr>
          <w:p w14:paraId="7A0732DC" w14:textId="77777777" w:rsidR="00153C10" w:rsidRPr="00C2652C" w:rsidRDefault="00153C10" w:rsidP="00974715">
            <w:pPr>
              <w:jc w:val="center"/>
              <w:rPr>
                <w:color w:val="000000"/>
              </w:rPr>
            </w:pPr>
            <w:r w:rsidRPr="00C2652C">
              <w:rPr>
                <w:color w:val="000000"/>
              </w:rPr>
              <w:t>21 ± 3</w:t>
            </w:r>
          </w:p>
        </w:tc>
        <w:tc>
          <w:tcPr>
            <w:tcW w:w="2100" w:type="dxa"/>
            <w:tcBorders>
              <w:top w:val="nil"/>
              <w:left w:val="nil"/>
              <w:bottom w:val="nil"/>
              <w:right w:val="nil"/>
            </w:tcBorders>
            <w:shd w:val="clear" w:color="auto" w:fill="auto"/>
            <w:noWrap/>
            <w:vAlign w:val="center"/>
            <w:hideMark/>
          </w:tcPr>
          <w:p w14:paraId="013726EC" w14:textId="77777777" w:rsidR="00153C10" w:rsidRPr="00C2652C" w:rsidRDefault="00153C10" w:rsidP="00974715">
            <w:pPr>
              <w:jc w:val="center"/>
              <w:rPr>
                <w:color w:val="000000"/>
              </w:rPr>
            </w:pPr>
            <w:r w:rsidRPr="00C2652C">
              <w:rPr>
                <w:color w:val="000000"/>
              </w:rPr>
              <w:t>492</w:t>
            </w:r>
          </w:p>
        </w:tc>
      </w:tr>
      <w:tr w:rsidR="00153C10" w:rsidRPr="00C2652C" w14:paraId="5C1E8CB8" w14:textId="77777777" w:rsidTr="00605C4A">
        <w:trPr>
          <w:trHeight w:val="370"/>
        </w:trPr>
        <w:tc>
          <w:tcPr>
            <w:tcW w:w="1890" w:type="dxa"/>
            <w:tcBorders>
              <w:top w:val="nil"/>
              <w:left w:val="nil"/>
              <w:bottom w:val="nil"/>
              <w:right w:val="nil"/>
            </w:tcBorders>
            <w:shd w:val="clear" w:color="auto" w:fill="auto"/>
            <w:noWrap/>
            <w:vAlign w:val="center"/>
            <w:hideMark/>
          </w:tcPr>
          <w:p w14:paraId="25CD50E0" w14:textId="77777777" w:rsidR="00153C10" w:rsidRPr="00C2652C" w:rsidRDefault="00153C10" w:rsidP="00974715">
            <w:pPr>
              <w:jc w:val="center"/>
              <w:rPr>
                <w:color w:val="000000"/>
              </w:rPr>
            </w:pPr>
            <w:r w:rsidRPr="00C2652C">
              <w:rPr>
                <w:color w:val="000000"/>
              </w:rPr>
              <w:t>S-ZSM5 160</w:t>
            </w:r>
            <w:r w:rsidRPr="006770EF">
              <w:rPr>
                <w:color w:val="000000"/>
              </w:rPr>
              <w:t xml:space="preserve"> </w:t>
            </w:r>
            <w:r w:rsidRPr="006770EF">
              <w:rPr>
                <w:color w:val="000000"/>
                <w:vertAlign w:val="superscript"/>
              </w:rPr>
              <w:t>o</w:t>
            </w:r>
            <w:r w:rsidRPr="00C2652C">
              <w:rPr>
                <w:color w:val="000000"/>
              </w:rPr>
              <w:t>C</w:t>
            </w:r>
          </w:p>
        </w:tc>
        <w:tc>
          <w:tcPr>
            <w:tcW w:w="715" w:type="dxa"/>
            <w:tcBorders>
              <w:top w:val="nil"/>
              <w:left w:val="nil"/>
              <w:bottom w:val="nil"/>
              <w:right w:val="nil"/>
            </w:tcBorders>
            <w:shd w:val="clear" w:color="auto" w:fill="auto"/>
            <w:noWrap/>
            <w:vAlign w:val="center"/>
            <w:hideMark/>
          </w:tcPr>
          <w:p w14:paraId="50A4688E" w14:textId="77777777" w:rsidR="00153C10" w:rsidRPr="00C2652C" w:rsidRDefault="00153C10" w:rsidP="00974715">
            <w:pPr>
              <w:jc w:val="center"/>
              <w:rPr>
                <w:color w:val="000000"/>
              </w:rPr>
            </w:pPr>
            <w:r w:rsidRPr="00C2652C">
              <w:rPr>
                <w:color w:val="000000"/>
              </w:rPr>
              <w:t>-</w:t>
            </w:r>
          </w:p>
        </w:tc>
        <w:tc>
          <w:tcPr>
            <w:tcW w:w="1715" w:type="dxa"/>
            <w:tcBorders>
              <w:top w:val="nil"/>
              <w:left w:val="nil"/>
              <w:bottom w:val="nil"/>
              <w:right w:val="nil"/>
            </w:tcBorders>
            <w:shd w:val="clear" w:color="auto" w:fill="auto"/>
            <w:noWrap/>
            <w:vAlign w:val="center"/>
            <w:hideMark/>
          </w:tcPr>
          <w:p w14:paraId="4E4BFEDB" w14:textId="77777777" w:rsidR="00153C10" w:rsidRPr="00C2652C" w:rsidRDefault="00153C10" w:rsidP="00974715">
            <w:pPr>
              <w:jc w:val="center"/>
              <w:rPr>
                <w:color w:val="000000"/>
              </w:rPr>
            </w:pPr>
            <w:r w:rsidRPr="00C2652C">
              <w:rPr>
                <w:color w:val="000000"/>
              </w:rPr>
              <w:t>0.20</w:t>
            </w:r>
          </w:p>
        </w:tc>
        <w:tc>
          <w:tcPr>
            <w:tcW w:w="2250" w:type="dxa"/>
            <w:tcBorders>
              <w:top w:val="nil"/>
              <w:left w:val="nil"/>
              <w:bottom w:val="nil"/>
              <w:right w:val="nil"/>
            </w:tcBorders>
            <w:shd w:val="clear" w:color="auto" w:fill="auto"/>
            <w:noWrap/>
            <w:vAlign w:val="center"/>
            <w:hideMark/>
          </w:tcPr>
          <w:p w14:paraId="547CE748" w14:textId="77777777" w:rsidR="00153C10" w:rsidRPr="00C2652C" w:rsidRDefault="00153C10" w:rsidP="00974715">
            <w:pPr>
              <w:jc w:val="center"/>
              <w:rPr>
                <w:color w:val="000000"/>
              </w:rPr>
            </w:pPr>
            <w:r w:rsidRPr="00C2652C">
              <w:rPr>
                <w:color w:val="000000"/>
              </w:rPr>
              <w:t>28 ± 3</w:t>
            </w:r>
          </w:p>
        </w:tc>
        <w:tc>
          <w:tcPr>
            <w:tcW w:w="2100" w:type="dxa"/>
            <w:tcBorders>
              <w:top w:val="nil"/>
              <w:left w:val="nil"/>
              <w:bottom w:val="nil"/>
              <w:right w:val="nil"/>
            </w:tcBorders>
            <w:shd w:val="clear" w:color="auto" w:fill="auto"/>
            <w:noWrap/>
            <w:vAlign w:val="center"/>
            <w:hideMark/>
          </w:tcPr>
          <w:p w14:paraId="56C1992F" w14:textId="77777777" w:rsidR="00153C10" w:rsidRPr="00C2652C" w:rsidRDefault="00153C10" w:rsidP="00974715">
            <w:pPr>
              <w:jc w:val="center"/>
              <w:rPr>
                <w:color w:val="000000"/>
              </w:rPr>
            </w:pPr>
            <w:r w:rsidRPr="00C2652C">
              <w:rPr>
                <w:color w:val="000000"/>
              </w:rPr>
              <w:t>473</w:t>
            </w:r>
          </w:p>
        </w:tc>
      </w:tr>
      <w:tr w:rsidR="00153C10" w:rsidRPr="00C2652C" w14:paraId="69C576DD" w14:textId="77777777" w:rsidTr="00605C4A">
        <w:trPr>
          <w:trHeight w:val="370"/>
        </w:trPr>
        <w:tc>
          <w:tcPr>
            <w:tcW w:w="1890" w:type="dxa"/>
            <w:tcBorders>
              <w:top w:val="nil"/>
              <w:left w:val="nil"/>
              <w:bottom w:val="single" w:sz="4" w:space="0" w:color="auto"/>
              <w:right w:val="nil"/>
            </w:tcBorders>
            <w:shd w:val="clear" w:color="auto" w:fill="auto"/>
            <w:noWrap/>
            <w:vAlign w:val="center"/>
            <w:hideMark/>
          </w:tcPr>
          <w:p w14:paraId="1B095739" w14:textId="77777777" w:rsidR="00153C10" w:rsidRPr="00C2652C" w:rsidRDefault="00153C10" w:rsidP="00974715">
            <w:pPr>
              <w:jc w:val="center"/>
              <w:rPr>
                <w:color w:val="000000"/>
              </w:rPr>
            </w:pPr>
            <w:r w:rsidRPr="00C2652C">
              <w:rPr>
                <w:color w:val="000000"/>
              </w:rPr>
              <w:t>S-ZSM5 165</w:t>
            </w:r>
            <w:r w:rsidRPr="006770EF">
              <w:rPr>
                <w:color w:val="000000"/>
              </w:rPr>
              <w:t xml:space="preserve"> </w:t>
            </w:r>
            <w:r w:rsidRPr="006770EF">
              <w:rPr>
                <w:color w:val="000000"/>
                <w:vertAlign w:val="superscript"/>
              </w:rPr>
              <w:t>o</w:t>
            </w:r>
            <w:r w:rsidRPr="00C2652C">
              <w:rPr>
                <w:color w:val="000000"/>
              </w:rPr>
              <w:t>C</w:t>
            </w:r>
          </w:p>
        </w:tc>
        <w:tc>
          <w:tcPr>
            <w:tcW w:w="715" w:type="dxa"/>
            <w:tcBorders>
              <w:top w:val="nil"/>
              <w:left w:val="nil"/>
              <w:bottom w:val="single" w:sz="4" w:space="0" w:color="auto"/>
              <w:right w:val="nil"/>
            </w:tcBorders>
            <w:shd w:val="clear" w:color="auto" w:fill="auto"/>
            <w:noWrap/>
            <w:vAlign w:val="center"/>
            <w:hideMark/>
          </w:tcPr>
          <w:p w14:paraId="5063DA28" w14:textId="77777777" w:rsidR="00153C10" w:rsidRPr="00C2652C" w:rsidRDefault="00153C10" w:rsidP="00974715">
            <w:pPr>
              <w:jc w:val="center"/>
              <w:rPr>
                <w:color w:val="000000"/>
              </w:rPr>
            </w:pPr>
            <w:r w:rsidRPr="00C2652C">
              <w:rPr>
                <w:color w:val="000000"/>
              </w:rPr>
              <w:t>-</w:t>
            </w:r>
          </w:p>
        </w:tc>
        <w:tc>
          <w:tcPr>
            <w:tcW w:w="1715" w:type="dxa"/>
            <w:tcBorders>
              <w:top w:val="nil"/>
              <w:left w:val="nil"/>
              <w:bottom w:val="single" w:sz="4" w:space="0" w:color="auto"/>
              <w:right w:val="nil"/>
            </w:tcBorders>
            <w:shd w:val="clear" w:color="auto" w:fill="auto"/>
            <w:noWrap/>
            <w:vAlign w:val="center"/>
            <w:hideMark/>
          </w:tcPr>
          <w:p w14:paraId="21B51011" w14:textId="77777777" w:rsidR="00153C10" w:rsidRPr="00C2652C" w:rsidRDefault="00153C10" w:rsidP="00974715">
            <w:pPr>
              <w:jc w:val="center"/>
              <w:rPr>
                <w:color w:val="000000"/>
              </w:rPr>
            </w:pPr>
            <w:r w:rsidRPr="00C2652C">
              <w:rPr>
                <w:color w:val="000000"/>
              </w:rPr>
              <w:t>0.20</w:t>
            </w:r>
          </w:p>
        </w:tc>
        <w:tc>
          <w:tcPr>
            <w:tcW w:w="2250" w:type="dxa"/>
            <w:tcBorders>
              <w:top w:val="nil"/>
              <w:left w:val="nil"/>
              <w:bottom w:val="single" w:sz="4" w:space="0" w:color="auto"/>
              <w:right w:val="nil"/>
            </w:tcBorders>
            <w:shd w:val="clear" w:color="auto" w:fill="auto"/>
            <w:noWrap/>
            <w:vAlign w:val="center"/>
            <w:hideMark/>
          </w:tcPr>
          <w:p w14:paraId="3A36265B" w14:textId="77777777" w:rsidR="00153C10" w:rsidRPr="00C2652C" w:rsidRDefault="00153C10" w:rsidP="00974715">
            <w:pPr>
              <w:jc w:val="center"/>
              <w:rPr>
                <w:color w:val="000000"/>
              </w:rPr>
            </w:pPr>
            <w:r w:rsidRPr="00C2652C">
              <w:rPr>
                <w:color w:val="000000"/>
              </w:rPr>
              <w:t>33 ± 5</w:t>
            </w:r>
          </w:p>
        </w:tc>
        <w:tc>
          <w:tcPr>
            <w:tcW w:w="2100" w:type="dxa"/>
            <w:tcBorders>
              <w:top w:val="nil"/>
              <w:left w:val="nil"/>
              <w:bottom w:val="single" w:sz="4" w:space="0" w:color="auto"/>
              <w:right w:val="nil"/>
            </w:tcBorders>
            <w:shd w:val="clear" w:color="auto" w:fill="auto"/>
            <w:noWrap/>
            <w:vAlign w:val="center"/>
            <w:hideMark/>
          </w:tcPr>
          <w:p w14:paraId="4A6A4427" w14:textId="77777777" w:rsidR="00153C10" w:rsidRPr="00C2652C" w:rsidRDefault="00153C10" w:rsidP="00974715">
            <w:pPr>
              <w:jc w:val="center"/>
              <w:rPr>
                <w:color w:val="000000"/>
              </w:rPr>
            </w:pPr>
            <w:r w:rsidRPr="00C2652C">
              <w:rPr>
                <w:color w:val="000000"/>
              </w:rPr>
              <w:t>488</w:t>
            </w:r>
          </w:p>
        </w:tc>
      </w:tr>
    </w:tbl>
    <w:p w14:paraId="576DEF4D" w14:textId="77777777" w:rsidR="00153C10" w:rsidRDefault="00153C10" w:rsidP="00153C10">
      <w:pPr>
        <w:jc w:val="both"/>
      </w:pPr>
    </w:p>
    <w:p w14:paraId="2F822FD8" w14:textId="05A3A602" w:rsidR="00153C10" w:rsidRDefault="00153C10" w:rsidP="00BA5F6A">
      <w:pPr>
        <w:spacing w:line="480" w:lineRule="auto"/>
        <w:jc w:val="both"/>
      </w:pPr>
      <w:r>
        <w:tab/>
        <w:t xml:space="preserve">While the crystallography patterns for the S-ZSM5 samples with 72 and 120 hours of crystallization time showed to be more characteristic than those compared to 24 hrs, the SEM pictures exhibit no major </w:t>
      </w:r>
      <w:r w:rsidRPr="0060294C">
        <w:t>differences (</w:t>
      </w:r>
      <w:r w:rsidRPr="0060294C">
        <w:rPr>
          <w:b/>
          <w:bCs/>
        </w:rPr>
        <w:t>Figure</w:t>
      </w:r>
      <w:r w:rsidR="0099214D" w:rsidRPr="0060294C">
        <w:rPr>
          <w:b/>
          <w:bCs/>
        </w:rPr>
        <w:t xml:space="preserve"> 56</w:t>
      </w:r>
      <w:r w:rsidRPr="0060294C">
        <w:t>). The</w:t>
      </w:r>
      <w:r>
        <w:t xml:space="preserve"> average particle size for 72 and 120 hrs are 473 and 468 nm considering the whole particle volume, and 27 (</w:t>
      </w:r>
      <w:r w:rsidRPr="00C2652C">
        <w:rPr>
          <w:color w:val="000000"/>
        </w:rPr>
        <w:t xml:space="preserve">± </w:t>
      </w:r>
      <w:r>
        <w:rPr>
          <w:color w:val="000000"/>
        </w:rPr>
        <w:t>2</w:t>
      </w:r>
      <w:r>
        <w:t>) and 31 (</w:t>
      </w:r>
      <w:r w:rsidRPr="00C2652C">
        <w:rPr>
          <w:color w:val="000000"/>
        </w:rPr>
        <w:t xml:space="preserve">± </w:t>
      </w:r>
      <w:r>
        <w:rPr>
          <w:color w:val="000000"/>
        </w:rPr>
        <w:t>3</w:t>
      </w:r>
      <w:r>
        <w:t xml:space="preserve">) nm for the small aggregates on the outer surface. The well-developed XRD spectra </w:t>
      </w:r>
      <w:r>
        <w:lastRenderedPageBreak/>
        <w:t>and a very similar morphology and structural dimensions confirm that at 72 hours of crystallization most of the nutrients responsible for the crystal growth are consumed. Once the goal is to analyze the effect of particle size in reactivity, the crystallization period of 24 hours is considered enough to have a well-developed crystallography to be characterized as MFI.</w:t>
      </w:r>
      <w:r>
        <w:tab/>
      </w:r>
    </w:p>
    <w:p w14:paraId="30724743" w14:textId="77777777" w:rsidR="00153C10" w:rsidRDefault="00153C10" w:rsidP="00463612">
      <w:pPr>
        <w:keepNext/>
        <w:jc w:val="center"/>
      </w:pPr>
      <w:r>
        <w:rPr>
          <w:noProof/>
        </w:rPr>
        <w:drawing>
          <wp:inline distT="0" distB="0" distL="0" distR="0" wp14:anchorId="0DFEE82B" wp14:editId="2BDB668F">
            <wp:extent cx="5405370" cy="3703320"/>
            <wp:effectExtent l="0" t="0" r="508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05370" cy="3703320"/>
                    </a:xfrm>
                    <a:prstGeom prst="rect">
                      <a:avLst/>
                    </a:prstGeom>
                    <a:noFill/>
                  </pic:spPr>
                </pic:pic>
              </a:graphicData>
            </a:graphic>
          </wp:inline>
        </w:drawing>
      </w:r>
    </w:p>
    <w:p w14:paraId="3941AACE" w14:textId="125065E5" w:rsidR="00153C10" w:rsidRPr="00BA5F6A" w:rsidRDefault="00153C10" w:rsidP="00463612">
      <w:pPr>
        <w:pStyle w:val="Caption"/>
        <w:jc w:val="both"/>
        <w:rPr>
          <w:i w:val="0"/>
          <w:iCs w:val="0"/>
          <w:color w:val="auto"/>
          <w:sz w:val="24"/>
          <w:szCs w:val="24"/>
        </w:rPr>
      </w:pPr>
      <w:bookmarkStart w:id="103" w:name="_Toc131948720"/>
      <w:r w:rsidRPr="00AE6F92">
        <w:rPr>
          <w:b/>
          <w:bCs/>
          <w:i w:val="0"/>
          <w:iCs w:val="0"/>
          <w:color w:val="auto"/>
          <w:sz w:val="24"/>
          <w:szCs w:val="24"/>
        </w:rPr>
        <w:t xml:space="preserve">Figure </w:t>
      </w:r>
      <w:r w:rsidRPr="00AE6F92">
        <w:rPr>
          <w:b/>
          <w:bCs/>
          <w:i w:val="0"/>
          <w:iCs w:val="0"/>
          <w:color w:val="auto"/>
          <w:sz w:val="24"/>
          <w:szCs w:val="24"/>
        </w:rPr>
        <w:fldChar w:fldCharType="begin"/>
      </w:r>
      <w:r w:rsidRPr="00AE6F92">
        <w:rPr>
          <w:b/>
          <w:bCs/>
          <w:i w:val="0"/>
          <w:iCs w:val="0"/>
          <w:color w:val="auto"/>
          <w:sz w:val="24"/>
          <w:szCs w:val="24"/>
        </w:rPr>
        <w:instrText xml:space="preserve"> SEQ Figure \* ARABIC </w:instrText>
      </w:r>
      <w:r w:rsidRPr="00AE6F92">
        <w:rPr>
          <w:b/>
          <w:bCs/>
          <w:i w:val="0"/>
          <w:iCs w:val="0"/>
          <w:color w:val="auto"/>
          <w:sz w:val="24"/>
          <w:szCs w:val="24"/>
        </w:rPr>
        <w:fldChar w:fldCharType="separate"/>
      </w:r>
      <w:r w:rsidR="001F4741">
        <w:rPr>
          <w:b/>
          <w:bCs/>
          <w:i w:val="0"/>
          <w:iCs w:val="0"/>
          <w:noProof/>
          <w:color w:val="auto"/>
          <w:sz w:val="24"/>
          <w:szCs w:val="24"/>
        </w:rPr>
        <w:t>56</w:t>
      </w:r>
      <w:r w:rsidRPr="00AE6F92">
        <w:rPr>
          <w:b/>
          <w:bCs/>
          <w:i w:val="0"/>
          <w:iCs w:val="0"/>
          <w:color w:val="auto"/>
          <w:sz w:val="24"/>
          <w:szCs w:val="24"/>
        </w:rPr>
        <w:fldChar w:fldCharType="end"/>
      </w:r>
      <w:r w:rsidRPr="00AE6F92">
        <w:rPr>
          <w:b/>
          <w:bCs/>
          <w:i w:val="0"/>
          <w:iCs w:val="0"/>
          <w:color w:val="auto"/>
          <w:sz w:val="24"/>
          <w:szCs w:val="24"/>
        </w:rPr>
        <w:t>:</w:t>
      </w:r>
      <w:r w:rsidRPr="00AE6F92">
        <w:rPr>
          <w:i w:val="0"/>
          <w:iCs w:val="0"/>
          <w:color w:val="auto"/>
          <w:sz w:val="24"/>
          <w:szCs w:val="24"/>
        </w:rPr>
        <w:t xml:space="preserve"> S</w:t>
      </w:r>
      <w:r w:rsidRPr="00DA1436">
        <w:rPr>
          <w:i w:val="0"/>
          <w:iCs w:val="0"/>
          <w:color w:val="auto"/>
          <w:sz w:val="24"/>
          <w:szCs w:val="24"/>
        </w:rPr>
        <w:t xml:space="preserve">canning Electron Microscope pictures of </w:t>
      </w:r>
      <w:r>
        <w:rPr>
          <w:i w:val="0"/>
          <w:iCs w:val="0"/>
          <w:color w:val="auto"/>
          <w:sz w:val="24"/>
          <w:szCs w:val="24"/>
        </w:rPr>
        <w:t>S-</w:t>
      </w:r>
      <w:r w:rsidRPr="00DA1436">
        <w:rPr>
          <w:i w:val="0"/>
          <w:iCs w:val="0"/>
          <w:color w:val="auto"/>
          <w:sz w:val="24"/>
          <w:szCs w:val="24"/>
        </w:rPr>
        <w:t xml:space="preserve">ZSM5 </w:t>
      </w:r>
      <w:r>
        <w:rPr>
          <w:i w:val="0"/>
          <w:iCs w:val="0"/>
          <w:color w:val="auto"/>
          <w:sz w:val="24"/>
          <w:szCs w:val="24"/>
        </w:rPr>
        <w:t xml:space="preserve">150 </w:t>
      </w:r>
      <w:r w:rsidRPr="00075E5C">
        <w:rPr>
          <w:i w:val="0"/>
          <w:iCs w:val="0"/>
          <w:color w:val="auto"/>
          <w:sz w:val="24"/>
          <w:szCs w:val="24"/>
          <w:vertAlign w:val="superscript"/>
        </w:rPr>
        <w:t>o</w:t>
      </w:r>
      <w:r>
        <w:rPr>
          <w:i w:val="0"/>
          <w:iCs w:val="0"/>
          <w:color w:val="auto"/>
          <w:sz w:val="24"/>
          <w:szCs w:val="24"/>
        </w:rPr>
        <w:t>C (Si/Al =80) at different crystallization periods (72 and 120hrs)</w:t>
      </w:r>
      <w:r w:rsidRPr="00DA1436">
        <w:rPr>
          <w:i w:val="0"/>
          <w:iCs w:val="0"/>
          <w:color w:val="auto"/>
          <w:sz w:val="24"/>
          <w:szCs w:val="24"/>
        </w:rPr>
        <w:t>.</w:t>
      </w:r>
      <w:bookmarkEnd w:id="103"/>
    </w:p>
    <w:p w14:paraId="55B945AC" w14:textId="77777777" w:rsidR="00463612" w:rsidRDefault="00463612" w:rsidP="00BA5F6A">
      <w:pPr>
        <w:spacing w:line="480" w:lineRule="auto"/>
        <w:jc w:val="both"/>
        <w:rPr>
          <w:b/>
          <w:bCs/>
          <w:i/>
          <w:iCs/>
        </w:rPr>
      </w:pPr>
    </w:p>
    <w:p w14:paraId="27428132" w14:textId="26A9A8B1" w:rsidR="00153C10" w:rsidRPr="008968F0" w:rsidRDefault="00153C10" w:rsidP="00AF40A9">
      <w:pPr>
        <w:pStyle w:val="Heading3"/>
        <w:rPr>
          <w:i w:val="0"/>
          <w:iCs/>
          <w:u w:val="single"/>
        </w:rPr>
      </w:pPr>
      <w:bookmarkStart w:id="104" w:name="_Toc132924209"/>
      <w:r w:rsidRPr="008968F0">
        <w:rPr>
          <w:i w:val="0"/>
          <w:iCs/>
          <w:u w:val="single"/>
        </w:rPr>
        <w:t>3.3.2 Catalytic Activity and Diffusion Discussions</w:t>
      </w:r>
      <w:bookmarkEnd w:id="104"/>
    </w:p>
    <w:p w14:paraId="3D632545" w14:textId="7F0C0C43" w:rsidR="00153C10" w:rsidRPr="00A068A2" w:rsidRDefault="00153C10" w:rsidP="00BA5F6A">
      <w:pPr>
        <w:spacing w:line="480" w:lineRule="auto"/>
        <w:jc w:val="both"/>
      </w:pPr>
      <w:r>
        <w:tab/>
      </w:r>
      <w:r w:rsidRPr="005A1FB4">
        <w:t xml:space="preserve">In the previous chapter, the self-aldol condensation of acetone and cyclopentanone </w:t>
      </w:r>
      <w:r>
        <w:t xml:space="preserve">were used </w:t>
      </w:r>
      <w:r w:rsidRPr="005A1FB4">
        <w:t>as model reactions to quantify the extent of MTL in different catalysts.</w:t>
      </w:r>
      <w:r>
        <w:t xml:space="preserve"> In those experiments, </w:t>
      </w:r>
      <w:r w:rsidRPr="005A1FB4">
        <w:t xml:space="preserve">low conversion levels </w:t>
      </w:r>
      <w:r>
        <w:t xml:space="preserve">were maintained </w:t>
      </w:r>
      <w:r w:rsidRPr="005A1FB4">
        <w:t xml:space="preserve">to avoid catalyst deactivation and equilibrium effects, using conversion as a fingerprint to identify possible diffusion limitations in catalyst activity. If MTL is absent in a particular range of particle size, no </w:t>
      </w:r>
      <w:r w:rsidRPr="005A1FB4">
        <w:lastRenderedPageBreak/>
        <w:t xml:space="preserve">effect on rate or conversion exists due to a non-variant internal diffusion rate in the studied catalyst. However, if a drop in rate is observed, an existing concentration gradient drives the course of reaction and as particle size increases, a resulting decrease in catalytic activity occurs. This was noticed in the four S-ZSM5 series, as </w:t>
      </w:r>
      <w:r w:rsidRPr="0060294C">
        <w:t xml:space="preserve">shown in </w:t>
      </w:r>
      <w:r w:rsidRPr="0060294C">
        <w:rPr>
          <w:b/>
          <w:bCs/>
        </w:rPr>
        <w:t xml:space="preserve">Figure </w:t>
      </w:r>
      <w:r w:rsidR="0099214D" w:rsidRPr="0060294C">
        <w:rPr>
          <w:b/>
          <w:bCs/>
        </w:rPr>
        <w:t>57</w:t>
      </w:r>
      <w:r w:rsidRPr="0060294C">
        <w:t>.</w:t>
      </w:r>
    </w:p>
    <w:p w14:paraId="1F999432" w14:textId="77777777" w:rsidR="00153C10" w:rsidRPr="00AE6F92" w:rsidRDefault="00153C10" w:rsidP="00463612">
      <w:pPr>
        <w:keepNext/>
        <w:jc w:val="center"/>
      </w:pPr>
      <w:r w:rsidRPr="00A068A2">
        <w:rPr>
          <w:noProof/>
        </w:rPr>
        <w:drawing>
          <wp:inline distT="0" distB="0" distL="0" distR="0" wp14:anchorId="0E5F7039" wp14:editId="7E60FBF7">
            <wp:extent cx="3505587" cy="2286000"/>
            <wp:effectExtent l="0" t="0" r="0" b="0"/>
            <wp:docPr id="58" name="Picture 5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scatter chart&#10;&#10;Description automatically generated"/>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505587" cy="2286000"/>
                    </a:xfrm>
                    <a:prstGeom prst="rect">
                      <a:avLst/>
                    </a:prstGeom>
                    <a:noFill/>
                  </pic:spPr>
                </pic:pic>
              </a:graphicData>
            </a:graphic>
          </wp:inline>
        </w:drawing>
      </w:r>
    </w:p>
    <w:p w14:paraId="61D70A9E" w14:textId="6E38B438" w:rsidR="00153C10" w:rsidRPr="00AE6F92" w:rsidRDefault="00153C10" w:rsidP="00463612">
      <w:pPr>
        <w:pStyle w:val="Caption"/>
        <w:jc w:val="both"/>
        <w:rPr>
          <w:i w:val="0"/>
          <w:iCs w:val="0"/>
          <w:color w:val="auto"/>
          <w:sz w:val="24"/>
          <w:szCs w:val="24"/>
        </w:rPr>
      </w:pPr>
      <w:bookmarkStart w:id="105" w:name="_Toc131948721"/>
      <w:r w:rsidRPr="00AE6F92">
        <w:rPr>
          <w:b/>
          <w:bCs/>
          <w:i w:val="0"/>
          <w:iCs w:val="0"/>
          <w:color w:val="auto"/>
          <w:sz w:val="24"/>
          <w:szCs w:val="24"/>
        </w:rPr>
        <w:t xml:space="preserve">Figure </w:t>
      </w:r>
      <w:r w:rsidRPr="00AE6F92">
        <w:rPr>
          <w:b/>
          <w:bCs/>
          <w:i w:val="0"/>
          <w:iCs w:val="0"/>
          <w:color w:val="auto"/>
          <w:sz w:val="24"/>
          <w:szCs w:val="24"/>
        </w:rPr>
        <w:fldChar w:fldCharType="begin"/>
      </w:r>
      <w:r w:rsidRPr="00AE6F92">
        <w:rPr>
          <w:b/>
          <w:bCs/>
          <w:i w:val="0"/>
          <w:iCs w:val="0"/>
          <w:color w:val="auto"/>
          <w:sz w:val="24"/>
          <w:szCs w:val="24"/>
        </w:rPr>
        <w:instrText xml:space="preserve"> SEQ Figure \* ARABIC </w:instrText>
      </w:r>
      <w:r w:rsidRPr="00AE6F92">
        <w:rPr>
          <w:b/>
          <w:bCs/>
          <w:i w:val="0"/>
          <w:iCs w:val="0"/>
          <w:color w:val="auto"/>
          <w:sz w:val="24"/>
          <w:szCs w:val="24"/>
        </w:rPr>
        <w:fldChar w:fldCharType="separate"/>
      </w:r>
      <w:r w:rsidR="001F4741">
        <w:rPr>
          <w:b/>
          <w:bCs/>
          <w:i w:val="0"/>
          <w:iCs w:val="0"/>
          <w:noProof/>
          <w:color w:val="auto"/>
          <w:sz w:val="24"/>
          <w:szCs w:val="24"/>
        </w:rPr>
        <w:t>57</w:t>
      </w:r>
      <w:r w:rsidRPr="00AE6F92">
        <w:rPr>
          <w:b/>
          <w:bCs/>
          <w:i w:val="0"/>
          <w:iCs w:val="0"/>
          <w:color w:val="auto"/>
          <w:sz w:val="24"/>
          <w:szCs w:val="24"/>
        </w:rPr>
        <w:fldChar w:fldCharType="end"/>
      </w:r>
      <w:r w:rsidRPr="00AE6F92">
        <w:rPr>
          <w:b/>
          <w:bCs/>
          <w:i w:val="0"/>
          <w:iCs w:val="0"/>
          <w:color w:val="auto"/>
          <w:sz w:val="24"/>
          <w:szCs w:val="24"/>
        </w:rPr>
        <w:t>:</w:t>
      </w:r>
      <w:r w:rsidRPr="00AE6F92">
        <w:rPr>
          <w:i w:val="0"/>
          <w:iCs w:val="0"/>
          <w:color w:val="auto"/>
          <w:sz w:val="24"/>
          <w:szCs w:val="24"/>
        </w:rPr>
        <w:t xml:space="preserve"> Self-aldol condensation rates of acetone and cyclopentanone over S-ZSM5s. Reaction conditions: 250 </w:t>
      </w:r>
      <w:r w:rsidRPr="00AE6F92">
        <w:rPr>
          <w:i w:val="0"/>
          <w:iCs w:val="0"/>
          <w:color w:val="auto"/>
          <w:sz w:val="24"/>
          <w:szCs w:val="24"/>
          <w:vertAlign w:val="superscript"/>
        </w:rPr>
        <w:t>o</w:t>
      </w:r>
      <w:r w:rsidRPr="00AE6F92">
        <w:rPr>
          <w:i w:val="0"/>
          <w:iCs w:val="0"/>
          <w:color w:val="auto"/>
          <w:sz w:val="24"/>
          <w:szCs w:val="24"/>
        </w:rPr>
        <w:t>C, 1 mol/L feeding reactant, 1 hour of reaction time. 250 mg of catalyst.</w:t>
      </w:r>
      <w:bookmarkEnd w:id="105"/>
    </w:p>
    <w:p w14:paraId="11BF420B" w14:textId="59EC9C76" w:rsidR="00153C10" w:rsidRDefault="00153C10" w:rsidP="00BA5F6A">
      <w:pPr>
        <w:spacing w:line="480" w:lineRule="auto"/>
        <w:jc w:val="both"/>
      </w:pPr>
      <w:r w:rsidRPr="00A068A2">
        <w:tab/>
        <w:t xml:space="preserve">From the observed results </w:t>
      </w:r>
      <w:r>
        <w:t xml:space="preserve">and catalysts characterization </w:t>
      </w:r>
      <w:r w:rsidRPr="00A068A2">
        <w:t>it can be inferred a major contribution coming from the small aggregates on activity</w:t>
      </w:r>
      <w:r>
        <w:t>,</w:t>
      </w:r>
      <w:r w:rsidRPr="00A068A2">
        <w:t xml:space="preserve"> </w:t>
      </w:r>
      <w:r>
        <w:t>o</w:t>
      </w:r>
      <w:r w:rsidRPr="00A068A2">
        <w:t xml:space="preserve">nce </w:t>
      </w:r>
      <w:r>
        <w:t>no change in the</w:t>
      </w:r>
      <w:r w:rsidRPr="00A068A2">
        <w:t xml:space="preserve"> overall particle size </w:t>
      </w:r>
      <w:r>
        <w:t>is seen and active site density is constant</w:t>
      </w:r>
      <w:r w:rsidRPr="00A068A2">
        <w:t>.</w:t>
      </w:r>
      <w:r>
        <w:t xml:space="preserve"> This assumption is also supported by the catalytic condensation reactions with the S-ZSM5 150 </w:t>
      </w:r>
      <w:r w:rsidRPr="00736096">
        <w:rPr>
          <w:vertAlign w:val="superscript"/>
        </w:rPr>
        <w:t>o</w:t>
      </w:r>
      <w:r>
        <w:t xml:space="preserve">C samples with 72 and 120 </w:t>
      </w:r>
      <w:r w:rsidRPr="0060294C">
        <w:t>hours (</w:t>
      </w:r>
      <w:r w:rsidRPr="0060294C">
        <w:rPr>
          <w:b/>
          <w:bCs/>
        </w:rPr>
        <w:t xml:space="preserve">Figure </w:t>
      </w:r>
      <w:r w:rsidR="0099214D" w:rsidRPr="0060294C">
        <w:rPr>
          <w:b/>
          <w:bCs/>
        </w:rPr>
        <w:t>58</w:t>
      </w:r>
      <w:r w:rsidRPr="0060294C">
        <w:t>). A constant</w:t>
      </w:r>
      <w:r>
        <w:t xml:space="preserve"> conversion with similar particle sizes and in the same range as the S-ZSM5 at 160 and 165 </w:t>
      </w:r>
      <w:r w:rsidRPr="004B28FF">
        <w:rPr>
          <w:vertAlign w:val="superscript"/>
        </w:rPr>
        <w:t>o</w:t>
      </w:r>
      <w:r>
        <w:t>C implies that, in the present synthesis procedure and feeding amounts, the nutrients are fully consumed and no particle growth exists,</w:t>
      </w:r>
      <w:r w:rsidRPr="00A175F0">
        <w:t xml:space="preserve"> </w:t>
      </w:r>
      <w:r w:rsidRPr="007E5C3A">
        <w:t>resulting in constant conversion.</w:t>
      </w:r>
    </w:p>
    <w:p w14:paraId="71555006" w14:textId="77777777" w:rsidR="00153C10" w:rsidRPr="00AE6F92" w:rsidRDefault="00153C10" w:rsidP="00463612">
      <w:pPr>
        <w:keepNext/>
        <w:jc w:val="center"/>
      </w:pPr>
      <w:r w:rsidRPr="00AE6F92">
        <w:rPr>
          <w:noProof/>
        </w:rPr>
        <w:lastRenderedPageBreak/>
        <w:drawing>
          <wp:inline distT="0" distB="0" distL="0" distR="0" wp14:anchorId="69AF3AF3" wp14:editId="02755ED0">
            <wp:extent cx="2857897" cy="2286000"/>
            <wp:effectExtent l="0" t="0" r="0" b="0"/>
            <wp:docPr id="59" name="Picture 59" descr="Chart, scatter 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scatter chart, bubble chart&#10;&#10;Description automatically generated"/>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57897" cy="2286000"/>
                    </a:xfrm>
                    <a:prstGeom prst="rect">
                      <a:avLst/>
                    </a:prstGeom>
                    <a:noFill/>
                  </pic:spPr>
                </pic:pic>
              </a:graphicData>
            </a:graphic>
          </wp:inline>
        </w:drawing>
      </w:r>
    </w:p>
    <w:p w14:paraId="70EBE093" w14:textId="684406C7" w:rsidR="00153C10" w:rsidRPr="00AE6F92" w:rsidRDefault="00153C10" w:rsidP="00463612">
      <w:pPr>
        <w:pStyle w:val="Caption"/>
        <w:jc w:val="both"/>
        <w:rPr>
          <w:i w:val="0"/>
          <w:iCs w:val="0"/>
          <w:color w:val="auto"/>
          <w:sz w:val="24"/>
          <w:szCs w:val="24"/>
        </w:rPr>
      </w:pPr>
      <w:bookmarkStart w:id="106" w:name="_Toc131948722"/>
      <w:r w:rsidRPr="00AE6F92">
        <w:rPr>
          <w:b/>
          <w:bCs/>
          <w:i w:val="0"/>
          <w:iCs w:val="0"/>
          <w:color w:val="auto"/>
          <w:sz w:val="24"/>
          <w:szCs w:val="24"/>
        </w:rPr>
        <w:t xml:space="preserve">Figure </w:t>
      </w:r>
      <w:r w:rsidRPr="00AE6F92">
        <w:rPr>
          <w:b/>
          <w:bCs/>
          <w:i w:val="0"/>
          <w:iCs w:val="0"/>
          <w:color w:val="auto"/>
          <w:sz w:val="24"/>
          <w:szCs w:val="24"/>
        </w:rPr>
        <w:fldChar w:fldCharType="begin"/>
      </w:r>
      <w:r w:rsidRPr="00AE6F92">
        <w:rPr>
          <w:b/>
          <w:bCs/>
          <w:i w:val="0"/>
          <w:iCs w:val="0"/>
          <w:color w:val="auto"/>
          <w:sz w:val="24"/>
          <w:szCs w:val="24"/>
        </w:rPr>
        <w:instrText xml:space="preserve"> SEQ Figure \* ARABIC </w:instrText>
      </w:r>
      <w:r w:rsidRPr="00AE6F92">
        <w:rPr>
          <w:b/>
          <w:bCs/>
          <w:i w:val="0"/>
          <w:iCs w:val="0"/>
          <w:color w:val="auto"/>
          <w:sz w:val="24"/>
          <w:szCs w:val="24"/>
        </w:rPr>
        <w:fldChar w:fldCharType="separate"/>
      </w:r>
      <w:r w:rsidR="001F4741">
        <w:rPr>
          <w:b/>
          <w:bCs/>
          <w:i w:val="0"/>
          <w:iCs w:val="0"/>
          <w:noProof/>
          <w:color w:val="auto"/>
          <w:sz w:val="24"/>
          <w:szCs w:val="24"/>
        </w:rPr>
        <w:t>58</w:t>
      </w:r>
      <w:r w:rsidRPr="00AE6F92">
        <w:rPr>
          <w:b/>
          <w:bCs/>
          <w:i w:val="0"/>
          <w:iCs w:val="0"/>
          <w:color w:val="auto"/>
          <w:sz w:val="24"/>
          <w:szCs w:val="24"/>
        </w:rPr>
        <w:fldChar w:fldCharType="end"/>
      </w:r>
      <w:r w:rsidRPr="00AE6F92">
        <w:rPr>
          <w:b/>
          <w:bCs/>
          <w:i w:val="0"/>
          <w:iCs w:val="0"/>
          <w:color w:val="auto"/>
          <w:sz w:val="24"/>
          <w:szCs w:val="24"/>
        </w:rPr>
        <w:t>:</w:t>
      </w:r>
      <w:r w:rsidRPr="00AE6F92">
        <w:rPr>
          <w:i w:val="0"/>
          <w:iCs w:val="0"/>
          <w:color w:val="auto"/>
          <w:sz w:val="24"/>
          <w:szCs w:val="24"/>
        </w:rPr>
        <w:t xml:space="preserve"> Self-aldol condensation rates of acetone and cyclopentanone over S-ZSM5s with different crystallization periods. Reaction conditions: 250 </w:t>
      </w:r>
      <w:r w:rsidRPr="00AE6F92">
        <w:rPr>
          <w:i w:val="0"/>
          <w:iCs w:val="0"/>
          <w:color w:val="auto"/>
          <w:sz w:val="24"/>
          <w:szCs w:val="24"/>
          <w:vertAlign w:val="superscript"/>
        </w:rPr>
        <w:t>o</w:t>
      </w:r>
      <w:r w:rsidRPr="00AE6F92">
        <w:rPr>
          <w:i w:val="0"/>
          <w:iCs w:val="0"/>
          <w:color w:val="auto"/>
          <w:sz w:val="24"/>
          <w:szCs w:val="24"/>
        </w:rPr>
        <w:t>C, 1 mol/L feeding reactant, 1 hour of reaction time. 250 mg of catalyst.</w:t>
      </w:r>
      <w:bookmarkEnd w:id="106"/>
    </w:p>
    <w:p w14:paraId="581022FB" w14:textId="77777777" w:rsidR="00463612" w:rsidRPr="00AF40A9" w:rsidRDefault="00463612" w:rsidP="00AF40A9">
      <w:pPr>
        <w:spacing w:line="480" w:lineRule="auto"/>
        <w:jc w:val="both"/>
      </w:pPr>
    </w:p>
    <w:p w14:paraId="1712FBB7" w14:textId="058F9D8E" w:rsidR="00153C10" w:rsidRPr="008968F0" w:rsidRDefault="00AF40A9" w:rsidP="00AF40A9">
      <w:pPr>
        <w:pStyle w:val="Heading4"/>
        <w:spacing w:line="480" w:lineRule="auto"/>
        <w:rPr>
          <w:rFonts w:ascii="Times New Roman" w:hAnsi="Times New Roman" w:cs="Times New Roman"/>
          <w:color w:val="auto"/>
        </w:rPr>
      </w:pPr>
      <w:r w:rsidRPr="008968F0">
        <w:rPr>
          <w:rFonts w:ascii="Times New Roman" w:hAnsi="Times New Roman" w:cs="Times New Roman"/>
          <w:color w:val="auto"/>
        </w:rPr>
        <w:tab/>
      </w:r>
      <w:r w:rsidR="00153C10" w:rsidRPr="008968F0">
        <w:rPr>
          <w:rFonts w:ascii="Times New Roman" w:hAnsi="Times New Roman" w:cs="Times New Roman"/>
          <w:color w:val="auto"/>
        </w:rPr>
        <w:t>3.3.2.1 MTL Assessment on S-ZSM5 Zeolites</w:t>
      </w:r>
    </w:p>
    <w:p w14:paraId="4E4F5061" w14:textId="4FF3A729" w:rsidR="00153C10" w:rsidRDefault="00153C10" w:rsidP="00AF40A9">
      <w:pPr>
        <w:spacing w:line="480" w:lineRule="auto"/>
        <w:jc w:val="both"/>
      </w:pPr>
      <w:r w:rsidRPr="00AF40A9">
        <w:tab/>
        <w:t>The presence of MTL is investigated by generating a Na-titrated series on the S-</w:t>
      </w:r>
      <w:r w:rsidRPr="00EA2902">
        <w:t xml:space="preserve">ZSM5 at a constant crystallization temperature of 150 </w:t>
      </w:r>
      <w:r w:rsidRPr="00EA2902">
        <w:rPr>
          <w:vertAlign w:val="superscript"/>
        </w:rPr>
        <w:t>o</w:t>
      </w:r>
      <w:r w:rsidRPr="00EA2902">
        <w:t>C. The procedure consists of a usual synthesis method, followed by calcination and the application of NaNO</w:t>
      </w:r>
      <w:r w:rsidRPr="00EA2902">
        <w:rPr>
          <w:vertAlign w:val="subscript"/>
        </w:rPr>
        <w:t>3</w:t>
      </w:r>
      <w:r w:rsidRPr="00EA2902">
        <w:t xml:space="preserve"> with different salt concentrations. This procedure was previously studied and proved to be efficient in determining the amount of MTL that exists in a zeolitic </w:t>
      </w:r>
      <w:r w:rsidRPr="0060294C">
        <w:t xml:space="preserve">system. </w:t>
      </w:r>
      <w:r w:rsidRPr="0060294C">
        <w:rPr>
          <w:b/>
          <w:bCs/>
        </w:rPr>
        <w:t xml:space="preserve">Table </w:t>
      </w:r>
      <w:r w:rsidR="0099214D" w:rsidRPr="0060294C">
        <w:rPr>
          <w:b/>
          <w:bCs/>
        </w:rPr>
        <w:t>10</w:t>
      </w:r>
      <w:r w:rsidRPr="0060294C">
        <w:t xml:space="preserve"> shows the active site density and respective consumption rates of acetone (ACE) and cyclopentanone (CPO) of each synthesized and Na-exchanged sample, and </w:t>
      </w:r>
      <w:r w:rsidRPr="0060294C">
        <w:rPr>
          <w:b/>
          <w:bCs/>
        </w:rPr>
        <w:t xml:space="preserve">Figure </w:t>
      </w:r>
      <w:r w:rsidR="0099214D" w:rsidRPr="0060294C">
        <w:rPr>
          <w:b/>
          <w:bCs/>
        </w:rPr>
        <w:t>59</w:t>
      </w:r>
      <w:r w:rsidRPr="0060294C">
        <w:t xml:space="preserve"> plots the</w:t>
      </w:r>
      <w:r w:rsidRPr="00EA2902">
        <w:t xml:space="preserve"> consumption rate versus concentration of titrated acid sites.</w:t>
      </w:r>
    </w:p>
    <w:p w14:paraId="03C7D4E0" w14:textId="4E39FB48" w:rsidR="00BA5F6A" w:rsidRDefault="00BA5F6A" w:rsidP="00BA5F6A">
      <w:pPr>
        <w:spacing w:line="480" w:lineRule="auto"/>
        <w:jc w:val="both"/>
      </w:pPr>
    </w:p>
    <w:p w14:paraId="2169DBC4" w14:textId="77777777" w:rsidR="008C0925" w:rsidRDefault="008C0925" w:rsidP="00BA5F6A">
      <w:pPr>
        <w:spacing w:line="480" w:lineRule="auto"/>
        <w:jc w:val="both"/>
      </w:pPr>
    </w:p>
    <w:p w14:paraId="02D9F7C1" w14:textId="77777777" w:rsidR="00BA5F6A" w:rsidRDefault="00BA5F6A" w:rsidP="00BA5F6A">
      <w:pPr>
        <w:spacing w:line="480" w:lineRule="auto"/>
        <w:jc w:val="both"/>
      </w:pPr>
    </w:p>
    <w:p w14:paraId="3FD4AEA7" w14:textId="77777777" w:rsidR="00BA5F6A" w:rsidRDefault="00BA5F6A" w:rsidP="00BA5F6A">
      <w:pPr>
        <w:spacing w:line="480" w:lineRule="auto"/>
        <w:jc w:val="both"/>
      </w:pPr>
    </w:p>
    <w:p w14:paraId="525538E5" w14:textId="77777777" w:rsidR="00BA5F6A" w:rsidRDefault="00BA5F6A" w:rsidP="00BA5F6A">
      <w:pPr>
        <w:spacing w:line="480" w:lineRule="auto"/>
        <w:jc w:val="both"/>
      </w:pPr>
    </w:p>
    <w:p w14:paraId="53CB7C38" w14:textId="51E35D7E" w:rsidR="00153C10" w:rsidRPr="00950566" w:rsidRDefault="00153C10" w:rsidP="00153C10">
      <w:bookmarkStart w:id="107" w:name="_Toc131948661"/>
      <w:r w:rsidRPr="00AE6F92">
        <w:rPr>
          <w:b/>
          <w:bCs/>
        </w:rPr>
        <w:lastRenderedPageBreak/>
        <w:t xml:space="preserve">Table </w:t>
      </w:r>
      <w:r w:rsidRPr="00AE6F92">
        <w:rPr>
          <w:b/>
          <w:bCs/>
          <w:i/>
          <w:iCs/>
        </w:rPr>
        <w:fldChar w:fldCharType="begin"/>
      </w:r>
      <w:r w:rsidRPr="00AE6F92">
        <w:rPr>
          <w:b/>
          <w:bCs/>
        </w:rPr>
        <w:instrText xml:space="preserve"> SEQ Table \* ARABIC </w:instrText>
      </w:r>
      <w:r w:rsidRPr="00AE6F92">
        <w:rPr>
          <w:b/>
          <w:bCs/>
          <w:i/>
          <w:iCs/>
        </w:rPr>
        <w:fldChar w:fldCharType="separate"/>
      </w:r>
      <w:r w:rsidR="001F4741">
        <w:rPr>
          <w:b/>
          <w:bCs/>
          <w:noProof/>
        </w:rPr>
        <w:t>10</w:t>
      </w:r>
      <w:r w:rsidRPr="00AE6F92">
        <w:rPr>
          <w:b/>
          <w:bCs/>
          <w:i/>
          <w:iCs/>
        </w:rPr>
        <w:fldChar w:fldCharType="end"/>
      </w:r>
      <w:r w:rsidRPr="00AE6F92">
        <w:t>:</w:t>
      </w:r>
      <w:r w:rsidRPr="00DA1436">
        <w:t xml:space="preserve"> </w:t>
      </w:r>
      <w:r>
        <w:t xml:space="preserve">Site density and consumption rates of Na-titrated S-ZSM5 150 </w:t>
      </w:r>
      <w:r w:rsidRPr="00E329E6">
        <w:rPr>
          <w:vertAlign w:val="superscript"/>
        </w:rPr>
        <w:t>o</w:t>
      </w:r>
      <w:r>
        <w:t>C</w:t>
      </w:r>
      <w:r w:rsidRPr="00DA1436">
        <w:t>.</w:t>
      </w:r>
      <w:bookmarkEnd w:id="107"/>
    </w:p>
    <w:tbl>
      <w:tblPr>
        <w:tblW w:w="8293" w:type="dxa"/>
        <w:tblLook w:val="04A0" w:firstRow="1" w:lastRow="0" w:firstColumn="1" w:lastColumn="0" w:noHBand="0" w:noVBand="1"/>
      </w:tblPr>
      <w:tblGrid>
        <w:gridCol w:w="736"/>
        <w:gridCol w:w="1606"/>
        <w:gridCol w:w="1302"/>
        <w:gridCol w:w="1225"/>
        <w:gridCol w:w="1658"/>
        <w:gridCol w:w="1796"/>
      </w:tblGrid>
      <w:tr w:rsidR="00153C10" w:rsidRPr="00211F87" w14:paraId="059C32AB" w14:textId="77777777" w:rsidTr="00303B24">
        <w:trPr>
          <w:trHeight w:val="1097"/>
        </w:trPr>
        <w:tc>
          <w:tcPr>
            <w:tcW w:w="706" w:type="dxa"/>
            <w:tcBorders>
              <w:top w:val="single" w:sz="4" w:space="0" w:color="auto"/>
              <w:left w:val="nil"/>
              <w:bottom w:val="single" w:sz="4" w:space="0" w:color="auto"/>
              <w:right w:val="nil"/>
            </w:tcBorders>
            <w:shd w:val="clear" w:color="auto" w:fill="auto"/>
            <w:vAlign w:val="center"/>
            <w:hideMark/>
          </w:tcPr>
          <w:p w14:paraId="40694829" w14:textId="77777777" w:rsidR="00153C10" w:rsidRPr="00211F87" w:rsidRDefault="00153C10" w:rsidP="00974715">
            <w:pPr>
              <w:jc w:val="center"/>
              <w:rPr>
                <w:color w:val="000000"/>
              </w:rPr>
            </w:pPr>
            <w:r w:rsidRPr="00211F87">
              <w:rPr>
                <w:color w:val="000000"/>
              </w:rPr>
              <w:t>Na/H</w:t>
            </w:r>
          </w:p>
        </w:tc>
        <w:tc>
          <w:tcPr>
            <w:tcW w:w="1606" w:type="dxa"/>
            <w:tcBorders>
              <w:top w:val="single" w:sz="4" w:space="0" w:color="auto"/>
              <w:left w:val="nil"/>
              <w:bottom w:val="single" w:sz="4" w:space="0" w:color="auto"/>
              <w:right w:val="nil"/>
            </w:tcBorders>
            <w:shd w:val="clear" w:color="auto" w:fill="auto"/>
            <w:vAlign w:val="center"/>
            <w:hideMark/>
          </w:tcPr>
          <w:p w14:paraId="2202223D" w14:textId="77777777" w:rsidR="00153C10" w:rsidRPr="00211F87" w:rsidRDefault="00153C10" w:rsidP="00974715">
            <w:pPr>
              <w:jc w:val="center"/>
              <w:rPr>
                <w:color w:val="000000"/>
                <w:lang w:val="pt-BR"/>
              </w:rPr>
            </w:pPr>
            <w:r w:rsidRPr="00211F87">
              <w:rPr>
                <w:color w:val="000000"/>
                <w:lang w:val="pt-BR"/>
              </w:rPr>
              <w:t>BAS IPA-TPD   (</w:t>
            </w:r>
            <w:r w:rsidRPr="00303B24">
              <w:rPr>
                <w:color w:val="000000"/>
                <w:sz w:val="22"/>
                <w:szCs w:val="22"/>
                <w:lang w:val="pt-BR"/>
              </w:rPr>
              <w:t>mmol/g</w:t>
            </w:r>
            <w:r w:rsidRPr="00303B24">
              <w:rPr>
                <w:color w:val="000000"/>
                <w:sz w:val="22"/>
                <w:szCs w:val="22"/>
                <w:vertAlign w:val="subscript"/>
                <w:lang w:val="pt-BR"/>
              </w:rPr>
              <w:t>cat</w:t>
            </w:r>
            <w:r w:rsidRPr="00211F87">
              <w:rPr>
                <w:color w:val="000000"/>
                <w:lang w:val="pt-BR"/>
              </w:rPr>
              <w:t>)</w:t>
            </w:r>
          </w:p>
        </w:tc>
        <w:tc>
          <w:tcPr>
            <w:tcW w:w="1302" w:type="dxa"/>
            <w:tcBorders>
              <w:top w:val="single" w:sz="4" w:space="0" w:color="auto"/>
              <w:left w:val="nil"/>
              <w:bottom w:val="single" w:sz="4" w:space="0" w:color="auto"/>
              <w:right w:val="nil"/>
            </w:tcBorders>
            <w:shd w:val="clear" w:color="auto" w:fill="auto"/>
            <w:vAlign w:val="center"/>
            <w:hideMark/>
          </w:tcPr>
          <w:p w14:paraId="46E853BA" w14:textId="77777777" w:rsidR="00153C10" w:rsidRPr="00211F87" w:rsidRDefault="00153C10" w:rsidP="00974715">
            <w:pPr>
              <w:jc w:val="center"/>
              <w:rPr>
                <w:color w:val="000000"/>
              </w:rPr>
            </w:pPr>
            <w:r w:rsidRPr="00211F87">
              <w:rPr>
                <w:color w:val="000000"/>
              </w:rPr>
              <w:t>Titrated sites (</w:t>
            </w:r>
            <w:r w:rsidRPr="00303B24">
              <w:rPr>
                <w:color w:val="000000"/>
                <w:sz w:val="22"/>
                <w:szCs w:val="22"/>
              </w:rPr>
              <w:t>mmol/g</w:t>
            </w:r>
            <w:r w:rsidRPr="00303B24">
              <w:rPr>
                <w:color w:val="000000"/>
                <w:sz w:val="22"/>
                <w:szCs w:val="22"/>
                <w:vertAlign w:val="subscript"/>
              </w:rPr>
              <w:t>cat</w:t>
            </w:r>
            <w:r w:rsidRPr="00211F87">
              <w:rPr>
                <w:color w:val="000000"/>
              </w:rPr>
              <w:t>)</w:t>
            </w:r>
          </w:p>
        </w:tc>
        <w:tc>
          <w:tcPr>
            <w:tcW w:w="1225" w:type="dxa"/>
            <w:tcBorders>
              <w:top w:val="single" w:sz="4" w:space="0" w:color="auto"/>
              <w:left w:val="nil"/>
              <w:bottom w:val="single" w:sz="4" w:space="0" w:color="auto"/>
              <w:right w:val="nil"/>
            </w:tcBorders>
            <w:shd w:val="clear" w:color="auto" w:fill="auto"/>
            <w:noWrap/>
            <w:vAlign w:val="center"/>
            <w:hideMark/>
          </w:tcPr>
          <w:p w14:paraId="59E0F10B" w14:textId="77777777" w:rsidR="00153C10" w:rsidRPr="00211F87" w:rsidRDefault="00153C10" w:rsidP="00974715">
            <w:pPr>
              <w:jc w:val="center"/>
              <w:rPr>
                <w:color w:val="000000"/>
              </w:rPr>
            </w:pPr>
            <w:r w:rsidRPr="00211F87">
              <w:rPr>
                <w:color w:val="000000"/>
              </w:rPr>
              <w:t>%Titrated Sites</w:t>
            </w:r>
          </w:p>
        </w:tc>
        <w:tc>
          <w:tcPr>
            <w:tcW w:w="1658" w:type="dxa"/>
            <w:tcBorders>
              <w:top w:val="single" w:sz="4" w:space="0" w:color="auto"/>
              <w:left w:val="nil"/>
              <w:bottom w:val="single" w:sz="4" w:space="0" w:color="auto"/>
              <w:right w:val="nil"/>
            </w:tcBorders>
            <w:shd w:val="clear" w:color="auto" w:fill="auto"/>
            <w:vAlign w:val="center"/>
            <w:hideMark/>
          </w:tcPr>
          <w:p w14:paraId="258C111C" w14:textId="77777777" w:rsidR="00153C10" w:rsidRPr="00211F87" w:rsidRDefault="00153C10" w:rsidP="00974715">
            <w:pPr>
              <w:jc w:val="center"/>
              <w:rPr>
                <w:color w:val="000000"/>
              </w:rPr>
            </w:pPr>
            <w:r>
              <w:rPr>
                <w:color w:val="000000"/>
              </w:rPr>
              <w:t xml:space="preserve">ACE Consumption </w:t>
            </w:r>
            <w:r w:rsidRPr="00211F87">
              <w:rPr>
                <w:color w:val="000000"/>
              </w:rPr>
              <w:t>Rate (</w:t>
            </w:r>
            <w:r w:rsidRPr="00303B24">
              <w:rPr>
                <w:color w:val="000000"/>
                <w:sz w:val="22"/>
                <w:szCs w:val="22"/>
              </w:rPr>
              <w:t>μmol/g</w:t>
            </w:r>
            <w:r w:rsidRPr="00303B24">
              <w:rPr>
                <w:color w:val="000000"/>
                <w:sz w:val="22"/>
                <w:szCs w:val="22"/>
                <w:vertAlign w:val="subscript"/>
              </w:rPr>
              <w:t>cat</w:t>
            </w:r>
            <w:r w:rsidRPr="00303B24">
              <w:rPr>
                <w:color w:val="000000"/>
                <w:sz w:val="22"/>
                <w:szCs w:val="22"/>
              </w:rPr>
              <w:t>.s</w:t>
            </w:r>
            <w:r w:rsidRPr="00211F87">
              <w:rPr>
                <w:color w:val="000000"/>
              </w:rPr>
              <w:t>)</w:t>
            </w:r>
          </w:p>
        </w:tc>
        <w:tc>
          <w:tcPr>
            <w:tcW w:w="1796" w:type="dxa"/>
            <w:tcBorders>
              <w:top w:val="single" w:sz="4" w:space="0" w:color="auto"/>
              <w:left w:val="nil"/>
              <w:bottom w:val="single" w:sz="4" w:space="0" w:color="auto"/>
              <w:right w:val="nil"/>
            </w:tcBorders>
            <w:shd w:val="clear" w:color="auto" w:fill="auto"/>
            <w:vAlign w:val="center"/>
            <w:hideMark/>
          </w:tcPr>
          <w:p w14:paraId="0979180C" w14:textId="77777777" w:rsidR="00153C10" w:rsidRPr="00211F87" w:rsidRDefault="00153C10" w:rsidP="00974715">
            <w:pPr>
              <w:jc w:val="center"/>
              <w:rPr>
                <w:color w:val="000000"/>
              </w:rPr>
            </w:pPr>
            <w:r>
              <w:rPr>
                <w:color w:val="000000"/>
              </w:rPr>
              <w:t xml:space="preserve">CPO Consumption </w:t>
            </w:r>
            <w:r w:rsidRPr="00211F87">
              <w:rPr>
                <w:color w:val="000000"/>
              </w:rPr>
              <w:t>Rate (</w:t>
            </w:r>
            <w:r w:rsidRPr="00303B24">
              <w:rPr>
                <w:color w:val="000000"/>
                <w:sz w:val="22"/>
                <w:szCs w:val="22"/>
              </w:rPr>
              <w:t>μmol/g</w:t>
            </w:r>
            <w:r w:rsidRPr="00303B24">
              <w:rPr>
                <w:color w:val="000000"/>
                <w:sz w:val="22"/>
                <w:szCs w:val="22"/>
                <w:vertAlign w:val="subscript"/>
              </w:rPr>
              <w:t>cat</w:t>
            </w:r>
            <w:r w:rsidRPr="00303B24">
              <w:rPr>
                <w:color w:val="000000"/>
                <w:sz w:val="22"/>
                <w:szCs w:val="22"/>
              </w:rPr>
              <w:t>.s</w:t>
            </w:r>
            <w:r w:rsidRPr="00211F87">
              <w:rPr>
                <w:color w:val="000000"/>
              </w:rPr>
              <w:t>)</w:t>
            </w:r>
          </w:p>
        </w:tc>
      </w:tr>
      <w:tr w:rsidR="00153C10" w:rsidRPr="00211F87" w14:paraId="7AC23043" w14:textId="77777777" w:rsidTr="00303B24">
        <w:trPr>
          <w:trHeight w:val="286"/>
        </w:trPr>
        <w:tc>
          <w:tcPr>
            <w:tcW w:w="706" w:type="dxa"/>
            <w:tcBorders>
              <w:top w:val="nil"/>
              <w:left w:val="nil"/>
              <w:bottom w:val="nil"/>
              <w:right w:val="nil"/>
            </w:tcBorders>
            <w:shd w:val="clear" w:color="auto" w:fill="auto"/>
            <w:noWrap/>
            <w:vAlign w:val="center"/>
            <w:hideMark/>
          </w:tcPr>
          <w:p w14:paraId="54508756" w14:textId="77777777" w:rsidR="00153C10" w:rsidRPr="00211F87" w:rsidRDefault="00153C10" w:rsidP="00974715">
            <w:pPr>
              <w:jc w:val="center"/>
              <w:rPr>
                <w:color w:val="000000"/>
              </w:rPr>
            </w:pPr>
            <w:r w:rsidRPr="00211F87">
              <w:rPr>
                <w:color w:val="000000"/>
              </w:rPr>
              <w:t>-</w:t>
            </w:r>
          </w:p>
        </w:tc>
        <w:tc>
          <w:tcPr>
            <w:tcW w:w="1606" w:type="dxa"/>
            <w:tcBorders>
              <w:top w:val="nil"/>
              <w:left w:val="nil"/>
              <w:bottom w:val="nil"/>
              <w:right w:val="nil"/>
            </w:tcBorders>
            <w:shd w:val="clear" w:color="auto" w:fill="auto"/>
            <w:noWrap/>
            <w:vAlign w:val="center"/>
            <w:hideMark/>
          </w:tcPr>
          <w:p w14:paraId="3064D771" w14:textId="77777777" w:rsidR="00153C10" w:rsidRPr="00211F87" w:rsidRDefault="00153C10" w:rsidP="00974715">
            <w:pPr>
              <w:jc w:val="center"/>
              <w:rPr>
                <w:color w:val="000000"/>
              </w:rPr>
            </w:pPr>
            <w:r w:rsidRPr="00211F87">
              <w:rPr>
                <w:color w:val="000000"/>
              </w:rPr>
              <w:t>0.20</w:t>
            </w:r>
          </w:p>
        </w:tc>
        <w:tc>
          <w:tcPr>
            <w:tcW w:w="1302" w:type="dxa"/>
            <w:tcBorders>
              <w:top w:val="nil"/>
              <w:left w:val="nil"/>
              <w:bottom w:val="nil"/>
              <w:right w:val="nil"/>
            </w:tcBorders>
            <w:shd w:val="clear" w:color="auto" w:fill="auto"/>
            <w:noWrap/>
            <w:vAlign w:val="center"/>
            <w:hideMark/>
          </w:tcPr>
          <w:p w14:paraId="27A9E4CA" w14:textId="77777777" w:rsidR="00153C10" w:rsidRPr="00211F87" w:rsidRDefault="00153C10" w:rsidP="00974715">
            <w:pPr>
              <w:jc w:val="center"/>
              <w:rPr>
                <w:color w:val="000000"/>
              </w:rPr>
            </w:pPr>
            <w:r w:rsidRPr="00211F87">
              <w:rPr>
                <w:color w:val="000000"/>
              </w:rPr>
              <w:t>0.00</w:t>
            </w:r>
          </w:p>
        </w:tc>
        <w:tc>
          <w:tcPr>
            <w:tcW w:w="1225" w:type="dxa"/>
            <w:tcBorders>
              <w:top w:val="nil"/>
              <w:left w:val="nil"/>
              <w:bottom w:val="nil"/>
              <w:right w:val="nil"/>
            </w:tcBorders>
            <w:shd w:val="clear" w:color="auto" w:fill="auto"/>
            <w:noWrap/>
            <w:vAlign w:val="center"/>
            <w:hideMark/>
          </w:tcPr>
          <w:p w14:paraId="3BBAF1F3" w14:textId="77777777" w:rsidR="00153C10" w:rsidRPr="00211F87" w:rsidRDefault="00153C10" w:rsidP="00974715">
            <w:pPr>
              <w:jc w:val="center"/>
              <w:rPr>
                <w:color w:val="000000"/>
              </w:rPr>
            </w:pPr>
            <w:r w:rsidRPr="00211F87">
              <w:rPr>
                <w:color w:val="000000"/>
              </w:rPr>
              <w:t>0%</w:t>
            </w:r>
          </w:p>
        </w:tc>
        <w:tc>
          <w:tcPr>
            <w:tcW w:w="1658" w:type="dxa"/>
            <w:tcBorders>
              <w:top w:val="nil"/>
              <w:left w:val="nil"/>
              <w:bottom w:val="nil"/>
              <w:right w:val="nil"/>
            </w:tcBorders>
            <w:shd w:val="clear" w:color="auto" w:fill="auto"/>
            <w:noWrap/>
            <w:vAlign w:val="center"/>
            <w:hideMark/>
          </w:tcPr>
          <w:p w14:paraId="0DE0C595" w14:textId="77777777" w:rsidR="00153C10" w:rsidRPr="00211F87" w:rsidRDefault="00153C10" w:rsidP="00974715">
            <w:pPr>
              <w:jc w:val="center"/>
              <w:rPr>
                <w:color w:val="000000"/>
              </w:rPr>
            </w:pPr>
            <w:r>
              <w:rPr>
                <w:color w:val="000000"/>
              </w:rPr>
              <w:t>8.2</w:t>
            </w:r>
          </w:p>
        </w:tc>
        <w:tc>
          <w:tcPr>
            <w:tcW w:w="1796" w:type="dxa"/>
            <w:tcBorders>
              <w:top w:val="nil"/>
              <w:left w:val="nil"/>
              <w:bottom w:val="nil"/>
              <w:right w:val="nil"/>
            </w:tcBorders>
            <w:shd w:val="clear" w:color="auto" w:fill="auto"/>
            <w:noWrap/>
            <w:vAlign w:val="center"/>
            <w:hideMark/>
          </w:tcPr>
          <w:p w14:paraId="0308917E" w14:textId="77777777" w:rsidR="00153C10" w:rsidRPr="00211F87" w:rsidRDefault="00153C10" w:rsidP="00974715">
            <w:pPr>
              <w:jc w:val="center"/>
              <w:rPr>
                <w:color w:val="000000"/>
              </w:rPr>
            </w:pPr>
            <w:r>
              <w:rPr>
                <w:color w:val="000000"/>
              </w:rPr>
              <w:t>21.9</w:t>
            </w:r>
          </w:p>
        </w:tc>
      </w:tr>
      <w:tr w:rsidR="00153C10" w:rsidRPr="00211F87" w14:paraId="7AA7BE4B" w14:textId="77777777" w:rsidTr="00303B24">
        <w:trPr>
          <w:trHeight w:val="286"/>
        </w:trPr>
        <w:tc>
          <w:tcPr>
            <w:tcW w:w="706" w:type="dxa"/>
            <w:tcBorders>
              <w:top w:val="nil"/>
              <w:left w:val="nil"/>
              <w:bottom w:val="nil"/>
              <w:right w:val="nil"/>
            </w:tcBorders>
            <w:shd w:val="clear" w:color="auto" w:fill="auto"/>
            <w:noWrap/>
            <w:vAlign w:val="center"/>
            <w:hideMark/>
          </w:tcPr>
          <w:p w14:paraId="06C281F7" w14:textId="77777777" w:rsidR="00153C10" w:rsidRPr="00211F87" w:rsidRDefault="00153C10" w:rsidP="00974715">
            <w:pPr>
              <w:jc w:val="center"/>
              <w:rPr>
                <w:color w:val="000000"/>
              </w:rPr>
            </w:pPr>
            <w:r w:rsidRPr="00211F87">
              <w:rPr>
                <w:color w:val="000000"/>
              </w:rPr>
              <w:t>1</w:t>
            </w:r>
          </w:p>
        </w:tc>
        <w:tc>
          <w:tcPr>
            <w:tcW w:w="1606" w:type="dxa"/>
            <w:tcBorders>
              <w:top w:val="nil"/>
              <w:left w:val="nil"/>
              <w:bottom w:val="nil"/>
              <w:right w:val="nil"/>
            </w:tcBorders>
            <w:shd w:val="clear" w:color="auto" w:fill="auto"/>
            <w:noWrap/>
            <w:vAlign w:val="center"/>
            <w:hideMark/>
          </w:tcPr>
          <w:p w14:paraId="6F00A271" w14:textId="77777777" w:rsidR="00153C10" w:rsidRPr="00211F87" w:rsidRDefault="00153C10" w:rsidP="00974715">
            <w:pPr>
              <w:jc w:val="center"/>
              <w:rPr>
                <w:color w:val="000000"/>
              </w:rPr>
            </w:pPr>
            <w:r w:rsidRPr="00211F87">
              <w:rPr>
                <w:color w:val="000000"/>
              </w:rPr>
              <w:t>0.14</w:t>
            </w:r>
          </w:p>
        </w:tc>
        <w:tc>
          <w:tcPr>
            <w:tcW w:w="1302" w:type="dxa"/>
            <w:tcBorders>
              <w:top w:val="nil"/>
              <w:left w:val="nil"/>
              <w:bottom w:val="nil"/>
              <w:right w:val="nil"/>
            </w:tcBorders>
            <w:shd w:val="clear" w:color="auto" w:fill="auto"/>
            <w:noWrap/>
            <w:vAlign w:val="center"/>
            <w:hideMark/>
          </w:tcPr>
          <w:p w14:paraId="0664AE5C" w14:textId="77777777" w:rsidR="00153C10" w:rsidRPr="00211F87" w:rsidRDefault="00153C10" w:rsidP="00974715">
            <w:pPr>
              <w:jc w:val="center"/>
              <w:rPr>
                <w:color w:val="000000"/>
              </w:rPr>
            </w:pPr>
            <w:r w:rsidRPr="00211F87">
              <w:rPr>
                <w:color w:val="000000"/>
              </w:rPr>
              <w:t>0.06</w:t>
            </w:r>
          </w:p>
        </w:tc>
        <w:tc>
          <w:tcPr>
            <w:tcW w:w="1225" w:type="dxa"/>
            <w:tcBorders>
              <w:top w:val="nil"/>
              <w:left w:val="nil"/>
              <w:bottom w:val="nil"/>
              <w:right w:val="nil"/>
            </w:tcBorders>
            <w:shd w:val="clear" w:color="auto" w:fill="auto"/>
            <w:noWrap/>
            <w:vAlign w:val="center"/>
            <w:hideMark/>
          </w:tcPr>
          <w:p w14:paraId="5F81A2B6" w14:textId="77777777" w:rsidR="00153C10" w:rsidRPr="00211F87" w:rsidRDefault="00153C10" w:rsidP="00974715">
            <w:pPr>
              <w:jc w:val="center"/>
              <w:rPr>
                <w:color w:val="000000"/>
              </w:rPr>
            </w:pPr>
            <w:r w:rsidRPr="00211F87">
              <w:rPr>
                <w:color w:val="000000"/>
              </w:rPr>
              <w:t>31%</w:t>
            </w:r>
          </w:p>
        </w:tc>
        <w:tc>
          <w:tcPr>
            <w:tcW w:w="1658" w:type="dxa"/>
            <w:tcBorders>
              <w:top w:val="nil"/>
              <w:left w:val="nil"/>
              <w:bottom w:val="nil"/>
              <w:right w:val="nil"/>
            </w:tcBorders>
            <w:shd w:val="clear" w:color="auto" w:fill="auto"/>
            <w:noWrap/>
            <w:vAlign w:val="center"/>
            <w:hideMark/>
          </w:tcPr>
          <w:p w14:paraId="0B4C0F2A" w14:textId="77777777" w:rsidR="00153C10" w:rsidRPr="00211F87" w:rsidRDefault="00153C10" w:rsidP="00974715">
            <w:pPr>
              <w:jc w:val="center"/>
              <w:rPr>
                <w:color w:val="000000"/>
              </w:rPr>
            </w:pPr>
            <w:r>
              <w:rPr>
                <w:color w:val="000000"/>
              </w:rPr>
              <w:t>6.0</w:t>
            </w:r>
          </w:p>
        </w:tc>
        <w:tc>
          <w:tcPr>
            <w:tcW w:w="1796" w:type="dxa"/>
            <w:tcBorders>
              <w:top w:val="nil"/>
              <w:left w:val="nil"/>
              <w:bottom w:val="nil"/>
              <w:right w:val="nil"/>
            </w:tcBorders>
            <w:shd w:val="clear" w:color="auto" w:fill="auto"/>
            <w:noWrap/>
            <w:vAlign w:val="center"/>
            <w:hideMark/>
          </w:tcPr>
          <w:p w14:paraId="7FEE7913" w14:textId="77777777" w:rsidR="00153C10" w:rsidRPr="00211F87" w:rsidRDefault="00153C10" w:rsidP="00974715">
            <w:pPr>
              <w:jc w:val="center"/>
              <w:rPr>
                <w:color w:val="000000"/>
              </w:rPr>
            </w:pPr>
            <w:r>
              <w:rPr>
                <w:color w:val="000000"/>
              </w:rPr>
              <w:t>15.8</w:t>
            </w:r>
          </w:p>
        </w:tc>
      </w:tr>
      <w:tr w:rsidR="00153C10" w:rsidRPr="00211F87" w14:paraId="03E1C73D" w14:textId="77777777" w:rsidTr="00303B24">
        <w:trPr>
          <w:trHeight w:val="286"/>
        </w:trPr>
        <w:tc>
          <w:tcPr>
            <w:tcW w:w="706" w:type="dxa"/>
            <w:tcBorders>
              <w:top w:val="nil"/>
              <w:left w:val="nil"/>
              <w:bottom w:val="nil"/>
              <w:right w:val="nil"/>
            </w:tcBorders>
            <w:shd w:val="clear" w:color="auto" w:fill="auto"/>
            <w:noWrap/>
            <w:vAlign w:val="center"/>
            <w:hideMark/>
          </w:tcPr>
          <w:p w14:paraId="103C2EC5" w14:textId="77777777" w:rsidR="00153C10" w:rsidRPr="00211F87" w:rsidRDefault="00153C10" w:rsidP="00974715">
            <w:pPr>
              <w:jc w:val="center"/>
              <w:rPr>
                <w:color w:val="000000"/>
              </w:rPr>
            </w:pPr>
            <w:r w:rsidRPr="00211F87">
              <w:rPr>
                <w:color w:val="000000"/>
              </w:rPr>
              <w:t>2</w:t>
            </w:r>
          </w:p>
        </w:tc>
        <w:tc>
          <w:tcPr>
            <w:tcW w:w="1606" w:type="dxa"/>
            <w:tcBorders>
              <w:top w:val="nil"/>
              <w:left w:val="nil"/>
              <w:bottom w:val="nil"/>
              <w:right w:val="nil"/>
            </w:tcBorders>
            <w:shd w:val="clear" w:color="auto" w:fill="auto"/>
            <w:noWrap/>
            <w:vAlign w:val="center"/>
            <w:hideMark/>
          </w:tcPr>
          <w:p w14:paraId="6FDB0837" w14:textId="77777777" w:rsidR="00153C10" w:rsidRPr="00211F87" w:rsidRDefault="00153C10" w:rsidP="00974715">
            <w:pPr>
              <w:jc w:val="center"/>
              <w:rPr>
                <w:color w:val="000000"/>
              </w:rPr>
            </w:pPr>
            <w:r w:rsidRPr="00211F87">
              <w:rPr>
                <w:color w:val="000000"/>
              </w:rPr>
              <w:t>0.12</w:t>
            </w:r>
          </w:p>
        </w:tc>
        <w:tc>
          <w:tcPr>
            <w:tcW w:w="1302" w:type="dxa"/>
            <w:tcBorders>
              <w:top w:val="nil"/>
              <w:left w:val="nil"/>
              <w:bottom w:val="nil"/>
              <w:right w:val="nil"/>
            </w:tcBorders>
            <w:shd w:val="clear" w:color="auto" w:fill="auto"/>
            <w:noWrap/>
            <w:vAlign w:val="center"/>
            <w:hideMark/>
          </w:tcPr>
          <w:p w14:paraId="40D71F37" w14:textId="77777777" w:rsidR="00153C10" w:rsidRPr="00211F87" w:rsidRDefault="00153C10" w:rsidP="00974715">
            <w:pPr>
              <w:jc w:val="center"/>
              <w:rPr>
                <w:color w:val="000000"/>
              </w:rPr>
            </w:pPr>
            <w:r w:rsidRPr="00211F87">
              <w:rPr>
                <w:color w:val="000000"/>
              </w:rPr>
              <w:t>0.08</w:t>
            </w:r>
          </w:p>
        </w:tc>
        <w:tc>
          <w:tcPr>
            <w:tcW w:w="1225" w:type="dxa"/>
            <w:tcBorders>
              <w:top w:val="nil"/>
              <w:left w:val="nil"/>
              <w:bottom w:val="nil"/>
              <w:right w:val="nil"/>
            </w:tcBorders>
            <w:shd w:val="clear" w:color="auto" w:fill="auto"/>
            <w:noWrap/>
            <w:vAlign w:val="center"/>
            <w:hideMark/>
          </w:tcPr>
          <w:p w14:paraId="17D556ED" w14:textId="77777777" w:rsidR="00153C10" w:rsidRPr="00211F87" w:rsidRDefault="00153C10" w:rsidP="00974715">
            <w:pPr>
              <w:jc w:val="center"/>
              <w:rPr>
                <w:color w:val="000000"/>
              </w:rPr>
            </w:pPr>
            <w:r w:rsidRPr="00211F87">
              <w:rPr>
                <w:color w:val="000000"/>
              </w:rPr>
              <w:t>39%</w:t>
            </w:r>
          </w:p>
        </w:tc>
        <w:tc>
          <w:tcPr>
            <w:tcW w:w="1658" w:type="dxa"/>
            <w:tcBorders>
              <w:top w:val="nil"/>
              <w:left w:val="nil"/>
              <w:bottom w:val="nil"/>
              <w:right w:val="nil"/>
            </w:tcBorders>
            <w:shd w:val="clear" w:color="auto" w:fill="auto"/>
            <w:noWrap/>
            <w:vAlign w:val="center"/>
            <w:hideMark/>
          </w:tcPr>
          <w:p w14:paraId="6E7482AF" w14:textId="77777777" w:rsidR="00153C10" w:rsidRPr="00211F87" w:rsidRDefault="00153C10" w:rsidP="00974715">
            <w:pPr>
              <w:jc w:val="center"/>
              <w:rPr>
                <w:color w:val="000000"/>
              </w:rPr>
            </w:pPr>
            <w:r>
              <w:rPr>
                <w:color w:val="000000"/>
              </w:rPr>
              <w:t>5.8</w:t>
            </w:r>
          </w:p>
        </w:tc>
        <w:tc>
          <w:tcPr>
            <w:tcW w:w="1796" w:type="dxa"/>
            <w:tcBorders>
              <w:top w:val="nil"/>
              <w:left w:val="nil"/>
              <w:bottom w:val="nil"/>
              <w:right w:val="nil"/>
            </w:tcBorders>
            <w:shd w:val="clear" w:color="auto" w:fill="auto"/>
            <w:noWrap/>
            <w:vAlign w:val="center"/>
            <w:hideMark/>
          </w:tcPr>
          <w:p w14:paraId="06C66372" w14:textId="77777777" w:rsidR="00153C10" w:rsidRPr="00211F87" w:rsidRDefault="00153C10" w:rsidP="00974715">
            <w:pPr>
              <w:jc w:val="center"/>
              <w:rPr>
                <w:color w:val="000000"/>
              </w:rPr>
            </w:pPr>
            <w:r>
              <w:rPr>
                <w:color w:val="000000"/>
              </w:rPr>
              <w:t>19.0</w:t>
            </w:r>
          </w:p>
        </w:tc>
      </w:tr>
      <w:tr w:rsidR="00153C10" w:rsidRPr="00211F87" w14:paraId="07AC7994" w14:textId="77777777" w:rsidTr="00303B24">
        <w:trPr>
          <w:trHeight w:val="286"/>
        </w:trPr>
        <w:tc>
          <w:tcPr>
            <w:tcW w:w="706" w:type="dxa"/>
            <w:tcBorders>
              <w:top w:val="nil"/>
              <w:left w:val="nil"/>
              <w:bottom w:val="nil"/>
              <w:right w:val="nil"/>
            </w:tcBorders>
            <w:shd w:val="clear" w:color="auto" w:fill="auto"/>
            <w:noWrap/>
            <w:vAlign w:val="center"/>
            <w:hideMark/>
          </w:tcPr>
          <w:p w14:paraId="07A512D4" w14:textId="77777777" w:rsidR="00153C10" w:rsidRPr="00211F87" w:rsidRDefault="00153C10" w:rsidP="00974715">
            <w:pPr>
              <w:jc w:val="center"/>
              <w:rPr>
                <w:color w:val="000000"/>
              </w:rPr>
            </w:pPr>
            <w:r w:rsidRPr="00211F87">
              <w:rPr>
                <w:color w:val="000000"/>
              </w:rPr>
              <w:t>4</w:t>
            </w:r>
          </w:p>
        </w:tc>
        <w:tc>
          <w:tcPr>
            <w:tcW w:w="1606" w:type="dxa"/>
            <w:tcBorders>
              <w:top w:val="nil"/>
              <w:left w:val="nil"/>
              <w:bottom w:val="nil"/>
              <w:right w:val="nil"/>
            </w:tcBorders>
            <w:shd w:val="clear" w:color="auto" w:fill="auto"/>
            <w:noWrap/>
            <w:vAlign w:val="center"/>
            <w:hideMark/>
          </w:tcPr>
          <w:p w14:paraId="62D0142C" w14:textId="77777777" w:rsidR="00153C10" w:rsidRPr="00211F87" w:rsidRDefault="00153C10" w:rsidP="00974715">
            <w:pPr>
              <w:jc w:val="center"/>
              <w:rPr>
                <w:color w:val="000000"/>
              </w:rPr>
            </w:pPr>
            <w:r w:rsidRPr="00211F87">
              <w:rPr>
                <w:color w:val="000000"/>
              </w:rPr>
              <w:t>0.11</w:t>
            </w:r>
          </w:p>
        </w:tc>
        <w:tc>
          <w:tcPr>
            <w:tcW w:w="1302" w:type="dxa"/>
            <w:tcBorders>
              <w:top w:val="nil"/>
              <w:left w:val="nil"/>
              <w:bottom w:val="nil"/>
              <w:right w:val="nil"/>
            </w:tcBorders>
            <w:shd w:val="clear" w:color="auto" w:fill="auto"/>
            <w:noWrap/>
            <w:vAlign w:val="center"/>
            <w:hideMark/>
          </w:tcPr>
          <w:p w14:paraId="63A2CEEC" w14:textId="77777777" w:rsidR="00153C10" w:rsidRPr="00211F87" w:rsidRDefault="00153C10" w:rsidP="00974715">
            <w:pPr>
              <w:jc w:val="center"/>
              <w:rPr>
                <w:color w:val="000000"/>
              </w:rPr>
            </w:pPr>
            <w:r w:rsidRPr="00211F87">
              <w:rPr>
                <w:color w:val="000000"/>
              </w:rPr>
              <w:t>0.08</w:t>
            </w:r>
          </w:p>
        </w:tc>
        <w:tc>
          <w:tcPr>
            <w:tcW w:w="1225" w:type="dxa"/>
            <w:tcBorders>
              <w:top w:val="nil"/>
              <w:left w:val="nil"/>
              <w:bottom w:val="nil"/>
              <w:right w:val="nil"/>
            </w:tcBorders>
            <w:shd w:val="clear" w:color="auto" w:fill="auto"/>
            <w:noWrap/>
            <w:vAlign w:val="center"/>
            <w:hideMark/>
          </w:tcPr>
          <w:p w14:paraId="77E925FF" w14:textId="77777777" w:rsidR="00153C10" w:rsidRPr="00211F87" w:rsidRDefault="00153C10" w:rsidP="00974715">
            <w:pPr>
              <w:jc w:val="center"/>
              <w:rPr>
                <w:color w:val="000000"/>
              </w:rPr>
            </w:pPr>
            <w:r w:rsidRPr="00211F87">
              <w:rPr>
                <w:color w:val="000000"/>
              </w:rPr>
              <w:t>43%</w:t>
            </w:r>
          </w:p>
        </w:tc>
        <w:tc>
          <w:tcPr>
            <w:tcW w:w="1658" w:type="dxa"/>
            <w:tcBorders>
              <w:top w:val="nil"/>
              <w:left w:val="nil"/>
              <w:bottom w:val="nil"/>
              <w:right w:val="nil"/>
            </w:tcBorders>
            <w:shd w:val="clear" w:color="auto" w:fill="auto"/>
            <w:noWrap/>
            <w:vAlign w:val="center"/>
            <w:hideMark/>
          </w:tcPr>
          <w:p w14:paraId="4663A7EA" w14:textId="77777777" w:rsidR="00153C10" w:rsidRPr="00211F87" w:rsidRDefault="00153C10" w:rsidP="00974715">
            <w:pPr>
              <w:jc w:val="center"/>
              <w:rPr>
                <w:color w:val="000000"/>
              </w:rPr>
            </w:pPr>
            <w:r>
              <w:rPr>
                <w:color w:val="000000"/>
              </w:rPr>
              <w:t>5.0</w:t>
            </w:r>
          </w:p>
        </w:tc>
        <w:tc>
          <w:tcPr>
            <w:tcW w:w="1796" w:type="dxa"/>
            <w:tcBorders>
              <w:top w:val="nil"/>
              <w:left w:val="nil"/>
              <w:bottom w:val="nil"/>
              <w:right w:val="nil"/>
            </w:tcBorders>
            <w:shd w:val="clear" w:color="auto" w:fill="auto"/>
            <w:noWrap/>
            <w:vAlign w:val="center"/>
            <w:hideMark/>
          </w:tcPr>
          <w:p w14:paraId="782D94A5" w14:textId="77777777" w:rsidR="00153C10" w:rsidRPr="00211F87" w:rsidRDefault="00153C10" w:rsidP="00974715">
            <w:pPr>
              <w:jc w:val="center"/>
              <w:rPr>
                <w:color w:val="000000"/>
              </w:rPr>
            </w:pPr>
            <w:r>
              <w:rPr>
                <w:color w:val="000000"/>
              </w:rPr>
              <w:t>18.1</w:t>
            </w:r>
          </w:p>
        </w:tc>
      </w:tr>
      <w:tr w:rsidR="00153C10" w:rsidRPr="00211F87" w14:paraId="5632EC2D" w14:textId="77777777" w:rsidTr="00303B24">
        <w:trPr>
          <w:trHeight w:val="286"/>
        </w:trPr>
        <w:tc>
          <w:tcPr>
            <w:tcW w:w="706" w:type="dxa"/>
            <w:tcBorders>
              <w:top w:val="nil"/>
              <w:left w:val="nil"/>
              <w:right w:val="nil"/>
            </w:tcBorders>
            <w:shd w:val="clear" w:color="auto" w:fill="auto"/>
            <w:noWrap/>
            <w:vAlign w:val="center"/>
            <w:hideMark/>
          </w:tcPr>
          <w:p w14:paraId="7EC0CB26" w14:textId="77777777" w:rsidR="00153C10" w:rsidRPr="00211F87" w:rsidRDefault="00153C10" w:rsidP="00974715">
            <w:pPr>
              <w:jc w:val="center"/>
              <w:rPr>
                <w:color w:val="000000"/>
              </w:rPr>
            </w:pPr>
            <w:r w:rsidRPr="00211F87">
              <w:rPr>
                <w:color w:val="000000"/>
              </w:rPr>
              <w:t>10</w:t>
            </w:r>
          </w:p>
        </w:tc>
        <w:tc>
          <w:tcPr>
            <w:tcW w:w="1606" w:type="dxa"/>
            <w:tcBorders>
              <w:top w:val="nil"/>
              <w:left w:val="nil"/>
              <w:right w:val="nil"/>
            </w:tcBorders>
            <w:shd w:val="clear" w:color="auto" w:fill="auto"/>
            <w:noWrap/>
            <w:vAlign w:val="center"/>
            <w:hideMark/>
          </w:tcPr>
          <w:p w14:paraId="453E6D56" w14:textId="77777777" w:rsidR="00153C10" w:rsidRPr="00211F87" w:rsidRDefault="00153C10" w:rsidP="00974715">
            <w:pPr>
              <w:jc w:val="center"/>
              <w:rPr>
                <w:color w:val="000000"/>
              </w:rPr>
            </w:pPr>
            <w:r w:rsidRPr="00211F87">
              <w:rPr>
                <w:color w:val="000000"/>
              </w:rPr>
              <w:t>0.08</w:t>
            </w:r>
          </w:p>
        </w:tc>
        <w:tc>
          <w:tcPr>
            <w:tcW w:w="1302" w:type="dxa"/>
            <w:tcBorders>
              <w:top w:val="nil"/>
              <w:left w:val="nil"/>
              <w:right w:val="nil"/>
            </w:tcBorders>
            <w:shd w:val="clear" w:color="auto" w:fill="auto"/>
            <w:noWrap/>
            <w:vAlign w:val="center"/>
            <w:hideMark/>
          </w:tcPr>
          <w:p w14:paraId="06F551E4" w14:textId="77777777" w:rsidR="00153C10" w:rsidRPr="00211F87" w:rsidRDefault="00153C10" w:rsidP="00974715">
            <w:pPr>
              <w:jc w:val="center"/>
              <w:rPr>
                <w:color w:val="000000"/>
              </w:rPr>
            </w:pPr>
            <w:r w:rsidRPr="00211F87">
              <w:rPr>
                <w:color w:val="000000"/>
              </w:rPr>
              <w:t>0.12</w:t>
            </w:r>
          </w:p>
        </w:tc>
        <w:tc>
          <w:tcPr>
            <w:tcW w:w="1225" w:type="dxa"/>
            <w:tcBorders>
              <w:top w:val="nil"/>
              <w:left w:val="nil"/>
              <w:right w:val="nil"/>
            </w:tcBorders>
            <w:shd w:val="clear" w:color="auto" w:fill="auto"/>
            <w:noWrap/>
            <w:vAlign w:val="center"/>
            <w:hideMark/>
          </w:tcPr>
          <w:p w14:paraId="0C533C8C" w14:textId="77777777" w:rsidR="00153C10" w:rsidRPr="00211F87" w:rsidRDefault="00153C10" w:rsidP="00974715">
            <w:pPr>
              <w:jc w:val="center"/>
              <w:rPr>
                <w:color w:val="000000"/>
              </w:rPr>
            </w:pPr>
            <w:r w:rsidRPr="00211F87">
              <w:rPr>
                <w:color w:val="000000"/>
              </w:rPr>
              <w:t>59%</w:t>
            </w:r>
          </w:p>
        </w:tc>
        <w:tc>
          <w:tcPr>
            <w:tcW w:w="1658" w:type="dxa"/>
            <w:tcBorders>
              <w:top w:val="nil"/>
              <w:left w:val="nil"/>
              <w:bottom w:val="nil"/>
              <w:right w:val="nil"/>
            </w:tcBorders>
            <w:shd w:val="clear" w:color="auto" w:fill="auto"/>
            <w:noWrap/>
            <w:vAlign w:val="center"/>
            <w:hideMark/>
          </w:tcPr>
          <w:p w14:paraId="70467A7B" w14:textId="77777777" w:rsidR="00153C10" w:rsidRPr="00211F87" w:rsidRDefault="00153C10" w:rsidP="00974715">
            <w:pPr>
              <w:jc w:val="center"/>
              <w:rPr>
                <w:color w:val="000000"/>
              </w:rPr>
            </w:pPr>
            <w:r>
              <w:rPr>
                <w:color w:val="000000"/>
              </w:rPr>
              <w:t>4.1</w:t>
            </w:r>
          </w:p>
        </w:tc>
        <w:tc>
          <w:tcPr>
            <w:tcW w:w="1796" w:type="dxa"/>
            <w:tcBorders>
              <w:top w:val="nil"/>
              <w:left w:val="nil"/>
              <w:bottom w:val="nil"/>
              <w:right w:val="nil"/>
            </w:tcBorders>
            <w:shd w:val="clear" w:color="auto" w:fill="auto"/>
            <w:noWrap/>
            <w:vAlign w:val="center"/>
            <w:hideMark/>
          </w:tcPr>
          <w:p w14:paraId="5AD5C6A7" w14:textId="77777777" w:rsidR="00153C10" w:rsidRPr="00211F87" w:rsidRDefault="00153C10" w:rsidP="00974715">
            <w:pPr>
              <w:jc w:val="center"/>
              <w:rPr>
                <w:color w:val="000000"/>
              </w:rPr>
            </w:pPr>
            <w:r>
              <w:rPr>
                <w:color w:val="000000"/>
              </w:rPr>
              <w:t>13.2</w:t>
            </w:r>
          </w:p>
        </w:tc>
      </w:tr>
      <w:tr w:rsidR="00153C10" w:rsidRPr="00211F87" w14:paraId="4FB870DC" w14:textId="77777777" w:rsidTr="00303B24">
        <w:trPr>
          <w:trHeight w:val="286"/>
        </w:trPr>
        <w:tc>
          <w:tcPr>
            <w:tcW w:w="706" w:type="dxa"/>
            <w:tcBorders>
              <w:top w:val="nil"/>
              <w:left w:val="nil"/>
              <w:bottom w:val="single" w:sz="4" w:space="0" w:color="auto"/>
              <w:right w:val="nil"/>
            </w:tcBorders>
            <w:shd w:val="clear" w:color="auto" w:fill="auto"/>
            <w:noWrap/>
            <w:vAlign w:val="center"/>
            <w:hideMark/>
          </w:tcPr>
          <w:p w14:paraId="7A9B6FAF" w14:textId="77777777" w:rsidR="00153C10" w:rsidRPr="00211F87" w:rsidRDefault="00153C10" w:rsidP="00974715">
            <w:pPr>
              <w:jc w:val="center"/>
              <w:rPr>
                <w:color w:val="000000"/>
              </w:rPr>
            </w:pPr>
            <w:r w:rsidRPr="00211F87">
              <w:rPr>
                <w:color w:val="000000"/>
              </w:rPr>
              <w:t>19</w:t>
            </w:r>
          </w:p>
        </w:tc>
        <w:tc>
          <w:tcPr>
            <w:tcW w:w="1606" w:type="dxa"/>
            <w:tcBorders>
              <w:top w:val="nil"/>
              <w:left w:val="nil"/>
              <w:bottom w:val="single" w:sz="4" w:space="0" w:color="auto"/>
              <w:right w:val="nil"/>
            </w:tcBorders>
            <w:shd w:val="clear" w:color="auto" w:fill="auto"/>
            <w:noWrap/>
            <w:vAlign w:val="center"/>
            <w:hideMark/>
          </w:tcPr>
          <w:p w14:paraId="381877A6" w14:textId="77777777" w:rsidR="00153C10" w:rsidRPr="00211F87" w:rsidRDefault="00153C10" w:rsidP="00974715">
            <w:pPr>
              <w:jc w:val="center"/>
              <w:rPr>
                <w:color w:val="000000"/>
              </w:rPr>
            </w:pPr>
            <w:r w:rsidRPr="00211F87">
              <w:rPr>
                <w:color w:val="000000"/>
              </w:rPr>
              <w:t>0.08</w:t>
            </w:r>
          </w:p>
        </w:tc>
        <w:tc>
          <w:tcPr>
            <w:tcW w:w="1302" w:type="dxa"/>
            <w:tcBorders>
              <w:top w:val="nil"/>
              <w:left w:val="nil"/>
              <w:bottom w:val="single" w:sz="4" w:space="0" w:color="auto"/>
              <w:right w:val="nil"/>
            </w:tcBorders>
            <w:shd w:val="clear" w:color="auto" w:fill="auto"/>
            <w:noWrap/>
            <w:vAlign w:val="center"/>
            <w:hideMark/>
          </w:tcPr>
          <w:p w14:paraId="1DB2E483" w14:textId="77777777" w:rsidR="00153C10" w:rsidRPr="00211F87" w:rsidRDefault="00153C10" w:rsidP="00974715">
            <w:pPr>
              <w:jc w:val="center"/>
              <w:rPr>
                <w:color w:val="000000"/>
              </w:rPr>
            </w:pPr>
            <w:r w:rsidRPr="00211F87">
              <w:rPr>
                <w:color w:val="000000"/>
              </w:rPr>
              <w:t>0.12</w:t>
            </w:r>
          </w:p>
        </w:tc>
        <w:tc>
          <w:tcPr>
            <w:tcW w:w="1225" w:type="dxa"/>
            <w:tcBorders>
              <w:top w:val="nil"/>
              <w:left w:val="nil"/>
              <w:bottom w:val="single" w:sz="4" w:space="0" w:color="auto"/>
              <w:right w:val="nil"/>
            </w:tcBorders>
            <w:shd w:val="clear" w:color="auto" w:fill="auto"/>
            <w:noWrap/>
            <w:vAlign w:val="center"/>
            <w:hideMark/>
          </w:tcPr>
          <w:p w14:paraId="72F53AD2" w14:textId="77777777" w:rsidR="00153C10" w:rsidRPr="00211F87" w:rsidRDefault="00153C10" w:rsidP="00974715">
            <w:pPr>
              <w:jc w:val="center"/>
              <w:rPr>
                <w:color w:val="000000"/>
              </w:rPr>
            </w:pPr>
            <w:r w:rsidRPr="00211F87">
              <w:rPr>
                <w:color w:val="000000"/>
              </w:rPr>
              <w:t>62%</w:t>
            </w:r>
          </w:p>
        </w:tc>
        <w:tc>
          <w:tcPr>
            <w:tcW w:w="1658" w:type="dxa"/>
            <w:tcBorders>
              <w:top w:val="nil"/>
              <w:left w:val="nil"/>
              <w:bottom w:val="single" w:sz="4" w:space="0" w:color="auto"/>
              <w:right w:val="nil"/>
            </w:tcBorders>
            <w:shd w:val="clear" w:color="auto" w:fill="auto"/>
            <w:noWrap/>
            <w:vAlign w:val="center"/>
            <w:hideMark/>
          </w:tcPr>
          <w:p w14:paraId="44DE8433" w14:textId="77777777" w:rsidR="00153C10" w:rsidRPr="00211F87" w:rsidRDefault="00153C10" w:rsidP="00974715">
            <w:pPr>
              <w:jc w:val="center"/>
              <w:rPr>
                <w:color w:val="000000"/>
              </w:rPr>
            </w:pPr>
            <w:r>
              <w:rPr>
                <w:color w:val="000000"/>
              </w:rPr>
              <w:t>4.2</w:t>
            </w:r>
          </w:p>
        </w:tc>
        <w:tc>
          <w:tcPr>
            <w:tcW w:w="1796" w:type="dxa"/>
            <w:tcBorders>
              <w:top w:val="nil"/>
              <w:left w:val="nil"/>
              <w:bottom w:val="single" w:sz="4" w:space="0" w:color="auto"/>
              <w:right w:val="nil"/>
            </w:tcBorders>
            <w:shd w:val="clear" w:color="auto" w:fill="auto"/>
            <w:noWrap/>
            <w:vAlign w:val="center"/>
            <w:hideMark/>
          </w:tcPr>
          <w:p w14:paraId="27826063" w14:textId="77777777" w:rsidR="00153C10" w:rsidRPr="00211F87" w:rsidRDefault="00153C10" w:rsidP="00974715">
            <w:pPr>
              <w:jc w:val="center"/>
              <w:rPr>
                <w:color w:val="000000"/>
              </w:rPr>
            </w:pPr>
            <w:r>
              <w:rPr>
                <w:color w:val="000000"/>
              </w:rPr>
              <w:t>11.5</w:t>
            </w:r>
          </w:p>
        </w:tc>
      </w:tr>
    </w:tbl>
    <w:p w14:paraId="71CE78EB" w14:textId="77777777" w:rsidR="00153C10" w:rsidRDefault="00153C10" w:rsidP="00153C10">
      <w:pPr>
        <w:jc w:val="both"/>
      </w:pPr>
    </w:p>
    <w:p w14:paraId="1901B6C6" w14:textId="77777777" w:rsidR="00153C10" w:rsidRPr="00AC611C" w:rsidRDefault="00153C10" w:rsidP="008C0925">
      <w:pPr>
        <w:keepNext/>
        <w:jc w:val="center"/>
      </w:pPr>
      <w:r>
        <w:rPr>
          <w:noProof/>
        </w:rPr>
        <w:drawing>
          <wp:inline distT="0" distB="0" distL="0" distR="0" wp14:anchorId="6BC2FF91" wp14:editId="32D34BC0">
            <wp:extent cx="3751451" cy="2286000"/>
            <wp:effectExtent l="0" t="0" r="1905" b="0"/>
            <wp:docPr id="60" name="Picture 6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scatter chart&#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51451" cy="2286000"/>
                    </a:xfrm>
                    <a:prstGeom prst="rect">
                      <a:avLst/>
                    </a:prstGeom>
                    <a:noFill/>
                  </pic:spPr>
                </pic:pic>
              </a:graphicData>
            </a:graphic>
          </wp:inline>
        </w:drawing>
      </w:r>
    </w:p>
    <w:p w14:paraId="71CD96E1" w14:textId="2D803631" w:rsidR="00153C10" w:rsidRPr="00AC611C" w:rsidRDefault="00153C10" w:rsidP="008C0925">
      <w:pPr>
        <w:pStyle w:val="Caption"/>
        <w:jc w:val="both"/>
        <w:rPr>
          <w:i w:val="0"/>
          <w:iCs w:val="0"/>
          <w:color w:val="auto"/>
          <w:sz w:val="24"/>
          <w:szCs w:val="24"/>
        </w:rPr>
      </w:pPr>
      <w:bookmarkStart w:id="108" w:name="_Toc131948723"/>
      <w:r w:rsidRPr="00AC611C">
        <w:rPr>
          <w:b/>
          <w:bCs/>
          <w:i w:val="0"/>
          <w:iCs w:val="0"/>
          <w:color w:val="auto"/>
          <w:sz w:val="24"/>
          <w:szCs w:val="24"/>
        </w:rPr>
        <w:t xml:space="preserve">Figure </w:t>
      </w:r>
      <w:r w:rsidRPr="00AC611C">
        <w:rPr>
          <w:b/>
          <w:bCs/>
          <w:i w:val="0"/>
          <w:iCs w:val="0"/>
          <w:color w:val="auto"/>
          <w:sz w:val="24"/>
          <w:szCs w:val="24"/>
        </w:rPr>
        <w:fldChar w:fldCharType="begin"/>
      </w:r>
      <w:r w:rsidRPr="00AC611C">
        <w:rPr>
          <w:b/>
          <w:bCs/>
          <w:i w:val="0"/>
          <w:iCs w:val="0"/>
          <w:color w:val="auto"/>
          <w:sz w:val="24"/>
          <w:szCs w:val="24"/>
        </w:rPr>
        <w:instrText xml:space="preserve"> SEQ Figure \* ARABIC </w:instrText>
      </w:r>
      <w:r w:rsidRPr="00AC611C">
        <w:rPr>
          <w:b/>
          <w:bCs/>
          <w:i w:val="0"/>
          <w:iCs w:val="0"/>
          <w:color w:val="auto"/>
          <w:sz w:val="24"/>
          <w:szCs w:val="24"/>
        </w:rPr>
        <w:fldChar w:fldCharType="separate"/>
      </w:r>
      <w:r w:rsidR="001F4741">
        <w:rPr>
          <w:b/>
          <w:bCs/>
          <w:i w:val="0"/>
          <w:iCs w:val="0"/>
          <w:noProof/>
          <w:color w:val="auto"/>
          <w:sz w:val="24"/>
          <w:szCs w:val="24"/>
        </w:rPr>
        <w:t>59</w:t>
      </w:r>
      <w:r w:rsidRPr="00AC611C">
        <w:rPr>
          <w:b/>
          <w:bCs/>
          <w:i w:val="0"/>
          <w:iCs w:val="0"/>
          <w:color w:val="auto"/>
          <w:sz w:val="24"/>
          <w:szCs w:val="24"/>
        </w:rPr>
        <w:fldChar w:fldCharType="end"/>
      </w:r>
      <w:r w:rsidRPr="00AC611C">
        <w:rPr>
          <w:b/>
          <w:bCs/>
          <w:i w:val="0"/>
          <w:iCs w:val="0"/>
          <w:color w:val="auto"/>
          <w:sz w:val="24"/>
          <w:szCs w:val="24"/>
        </w:rPr>
        <w:t>:</w:t>
      </w:r>
      <w:r w:rsidRPr="00AC611C">
        <w:rPr>
          <w:i w:val="0"/>
          <w:iCs w:val="0"/>
          <w:color w:val="auto"/>
          <w:sz w:val="24"/>
          <w:szCs w:val="24"/>
        </w:rPr>
        <w:t xml:space="preserve"> Self-aldol condensation rates of acetone and cyclopentanone over Na-titrated S-ZSM5 150 </w:t>
      </w:r>
      <w:r w:rsidRPr="00AC611C">
        <w:rPr>
          <w:i w:val="0"/>
          <w:iCs w:val="0"/>
          <w:color w:val="auto"/>
          <w:sz w:val="24"/>
          <w:szCs w:val="24"/>
          <w:vertAlign w:val="superscript"/>
        </w:rPr>
        <w:t>o</w:t>
      </w:r>
      <w:r w:rsidRPr="00AC611C">
        <w:rPr>
          <w:i w:val="0"/>
          <w:iCs w:val="0"/>
          <w:color w:val="auto"/>
          <w:sz w:val="24"/>
          <w:szCs w:val="24"/>
        </w:rPr>
        <w:t xml:space="preserve">C samples as a function of titrated acid sites. Reaction conditions: 250 </w:t>
      </w:r>
      <w:r w:rsidRPr="00AC611C">
        <w:rPr>
          <w:i w:val="0"/>
          <w:iCs w:val="0"/>
          <w:color w:val="auto"/>
          <w:sz w:val="24"/>
          <w:szCs w:val="24"/>
          <w:vertAlign w:val="superscript"/>
        </w:rPr>
        <w:t>o</w:t>
      </w:r>
      <w:r w:rsidRPr="00AC611C">
        <w:rPr>
          <w:i w:val="0"/>
          <w:iCs w:val="0"/>
          <w:color w:val="auto"/>
          <w:sz w:val="24"/>
          <w:szCs w:val="24"/>
        </w:rPr>
        <w:t>C, 1 mol/L feeding reactant, 1 hour of reaction time. 250 mg of catalyst.</w:t>
      </w:r>
      <w:bookmarkEnd w:id="108"/>
    </w:p>
    <w:p w14:paraId="7722247B" w14:textId="77777777" w:rsidR="00153C10" w:rsidRDefault="00153C10" w:rsidP="00BA5F6A">
      <w:pPr>
        <w:spacing w:line="480" w:lineRule="auto"/>
        <w:jc w:val="both"/>
      </w:pPr>
      <w:r>
        <w:tab/>
      </w:r>
      <w:r w:rsidRPr="004E6751">
        <w:t xml:space="preserve">Due to the variation in conversion as the aggregate size changed, MTL is </w:t>
      </w:r>
      <w:r>
        <w:t xml:space="preserve">found to be </w:t>
      </w:r>
      <w:r w:rsidRPr="004E6751">
        <w:t>present in both ketone systems. The Thiele modulus found for ACE and CPO are 0.9 and 2.2, respectively, which are considered low and very close to an MTL-free regime mainly in acetone. However, due to the observed drop in reactant consumption, an increase in diffusion limitations is inferred. Theoretically, we can observe the increase in this extent using the Thiele modulus equation and its proportional correlation with particle radius</w:t>
      </w:r>
      <w:r>
        <w:t xml:space="preserve"> (</w:t>
      </w:r>
      <m:oMath>
        <m:sSub>
          <m:sSubPr>
            <m:ctrlPr>
              <w:rPr>
                <w:rFonts w:ascii="Cambria Math" w:hAnsi="Cambria Math"/>
                <w:i/>
              </w:rPr>
            </m:ctrlPr>
          </m:sSubPr>
          <m:e>
            <m:r>
              <w:rPr>
                <w:rFonts w:ascii="Cambria Math" w:eastAsiaTheme="minorEastAsia" w:hAnsi="Cambria Math"/>
                <w:color w:val="000000" w:themeColor="text1"/>
              </w:rPr>
              <m:t>ϕ</m:t>
            </m:r>
          </m:e>
          <m:sub>
            <m:sSub>
              <m:sSubPr>
                <m:ctrlPr>
                  <w:rPr>
                    <w:rFonts w:ascii="Cambria Math" w:hAnsi="Cambria Math"/>
                    <w:i/>
                  </w:rPr>
                </m:ctrlPr>
              </m:sSubPr>
              <m:e>
                <m:r>
                  <w:rPr>
                    <w:rFonts w:ascii="Cambria Math" w:hAnsi="Cambria Math"/>
                  </w:rPr>
                  <m:t>d</m:t>
                </m:r>
              </m:e>
              <m:sub>
                <m:r>
                  <w:rPr>
                    <w:rFonts w:ascii="Cambria Math" w:hAnsi="Cambria Math"/>
                  </w:rPr>
                  <m:t>p2</m:t>
                </m:r>
              </m:sub>
            </m:sSub>
          </m:sub>
        </m:sSub>
        <m:r>
          <w:rPr>
            <w:rFonts w:ascii="Cambria Math" w:hAnsi="Cambria Math"/>
          </w:rPr>
          <m:t>=</m:t>
        </m:r>
        <m:sSub>
          <m:sSubPr>
            <m:ctrlPr>
              <w:rPr>
                <w:rFonts w:ascii="Cambria Math" w:hAnsi="Cambria Math"/>
                <w:i/>
              </w:rPr>
            </m:ctrlPr>
          </m:sSubPr>
          <m:e>
            <m:r>
              <w:rPr>
                <w:rFonts w:ascii="Cambria Math" w:eastAsiaTheme="minorEastAsia" w:hAnsi="Cambria Math"/>
                <w:color w:val="000000" w:themeColor="text1"/>
              </w:rPr>
              <m:t>ϕ</m:t>
            </m:r>
          </m:e>
          <m:sub>
            <m:sSub>
              <m:sSubPr>
                <m:ctrlPr>
                  <w:rPr>
                    <w:rFonts w:ascii="Cambria Math" w:hAnsi="Cambria Math"/>
                    <w:i/>
                  </w:rPr>
                </m:ctrlPr>
              </m:sSubPr>
              <m:e>
                <m:r>
                  <w:rPr>
                    <w:rFonts w:ascii="Cambria Math" w:hAnsi="Cambria Math"/>
                  </w:rPr>
                  <m:t>d</m:t>
                </m:r>
              </m:e>
              <m:sub>
                <m:r>
                  <w:rPr>
                    <w:rFonts w:ascii="Cambria Math" w:hAnsi="Cambria Math"/>
                  </w:rPr>
                  <m:t>p1</m:t>
                </m:r>
              </m:sub>
            </m:sSub>
          </m:sub>
        </m:sSub>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2</m:t>
                </m:r>
              </m:sub>
            </m:sSub>
          </m:num>
          <m:den>
            <m:sSub>
              <m:sSubPr>
                <m:ctrlPr>
                  <w:rPr>
                    <w:rFonts w:ascii="Cambria Math" w:hAnsi="Cambria Math"/>
                    <w:i/>
                  </w:rPr>
                </m:ctrlPr>
              </m:sSubPr>
              <m:e>
                <m:r>
                  <w:rPr>
                    <w:rFonts w:ascii="Cambria Math" w:hAnsi="Cambria Math"/>
                  </w:rPr>
                  <m:t>R</m:t>
                </m:r>
              </m:e>
              <m:sub>
                <m:r>
                  <w:rPr>
                    <w:rFonts w:ascii="Cambria Math" w:hAnsi="Cambria Math"/>
                  </w:rPr>
                  <m:t>1</m:t>
                </m:r>
              </m:sub>
            </m:sSub>
          </m:den>
        </m:f>
      </m:oMath>
      <w:r>
        <w:rPr>
          <w:rFonts w:eastAsiaTheme="minorEastAsia"/>
        </w:rPr>
        <w:t>).</w:t>
      </w:r>
    </w:p>
    <w:p w14:paraId="73DE6E81" w14:textId="40979AA3" w:rsidR="00153C10" w:rsidRDefault="00153C10" w:rsidP="00BA5F6A">
      <w:pPr>
        <w:spacing w:line="480" w:lineRule="auto"/>
        <w:jc w:val="both"/>
      </w:pPr>
      <w:r>
        <w:lastRenderedPageBreak/>
        <w:tab/>
      </w:r>
      <w:r w:rsidRPr="004E6751">
        <w:t xml:space="preserve">For a higher Thiele Modulus, a lower effectiveness </w:t>
      </w:r>
      <w:r>
        <w:t>factor (</w:t>
      </w:r>
      <m:oMath>
        <m:r>
          <w:rPr>
            <w:rFonts w:ascii="Cambria Math" w:hAnsi="Cambria Math"/>
          </w:rPr>
          <m:t>η=</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obs</m:t>
                </m:r>
              </m:sub>
            </m:sSub>
          </m:num>
          <m:den>
            <m:sSub>
              <m:sSubPr>
                <m:ctrlPr>
                  <w:rPr>
                    <w:rFonts w:ascii="Cambria Math" w:hAnsi="Cambria Math"/>
                    <w:i/>
                  </w:rPr>
                </m:ctrlPr>
              </m:sSubPr>
              <m:e>
                <m:r>
                  <w:rPr>
                    <w:rFonts w:ascii="Cambria Math" w:hAnsi="Cambria Math"/>
                  </w:rPr>
                  <m:t>r</m:t>
                </m:r>
              </m:e>
              <m:sub>
                <m:r>
                  <w:rPr>
                    <w:rFonts w:ascii="Cambria Math" w:hAnsi="Cambria Math"/>
                  </w:rPr>
                  <m:t>max</m:t>
                </m:r>
              </m:sub>
            </m:sSub>
          </m:den>
        </m:f>
      </m:oMath>
      <w:r>
        <w:t xml:space="preserve">) </w:t>
      </w:r>
      <w:r w:rsidRPr="004E6751">
        <w:t>is followed. Since these zeolitic systems are intrinsically identical, r</w:t>
      </w:r>
      <w:r w:rsidRPr="00F9017C">
        <w:rPr>
          <w:vertAlign w:val="subscript"/>
        </w:rPr>
        <w:t>max</w:t>
      </w:r>
      <w:r w:rsidRPr="004E6751">
        <w:t xml:space="preserve"> is fixed, and a decrease in η is resulted from a drop in r</w:t>
      </w:r>
      <w:r w:rsidRPr="00F9017C">
        <w:rPr>
          <w:vertAlign w:val="subscript"/>
        </w:rPr>
        <w:t>obs</w:t>
      </w:r>
      <w:r w:rsidRPr="004E6751">
        <w:t xml:space="preserve">. Using these assumptions and correlating the equation with the experimental values, </w:t>
      </w:r>
      <w:r w:rsidRPr="0060294C">
        <w:t xml:space="preserve">theoretical values for Thiele modulus and effectiveness factor are found, presented in </w:t>
      </w:r>
      <w:r w:rsidRPr="0060294C">
        <w:rPr>
          <w:b/>
          <w:bCs/>
        </w:rPr>
        <w:t xml:space="preserve">Table </w:t>
      </w:r>
      <w:r w:rsidR="0099214D" w:rsidRPr="0060294C">
        <w:rPr>
          <w:b/>
          <w:bCs/>
        </w:rPr>
        <w:t>11</w:t>
      </w:r>
      <w:r w:rsidRPr="0060294C">
        <w:t xml:space="preserve"> and graphically in </w:t>
      </w:r>
      <w:r w:rsidRPr="0060294C">
        <w:rPr>
          <w:b/>
          <w:bCs/>
        </w:rPr>
        <w:t xml:space="preserve">Figure </w:t>
      </w:r>
      <w:r w:rsidR="0099214D" w:rsidRPr="0060294C">
        <w:rPr>
          <w:b/>
          <w:bCs/>
        </w:rPr>
        <w:t>60</w:t>
      </w:r>
      <w:r w:rsidRPr="0060294C">
        <w:t>.</w:t>
      </w:r>
    </w:p>
    <w:p w14:paraId="37423364" w14:textId="2EF664EE" w:rsidR="00153C10" w:rsidRPr="00C91551" w:rsidRDefault="00153C10" w:rsidP="00153C10">
      <w:pPr>
        <w:pStyle w:val="Caption"/>
        <w:keepNext/>
        <w:rPr>
          <w:i w:val="0"/>
          <w:iCs w:val="0"/>
          <w:color w:val="auto"/>
          <w:sz w:val="24"/>
          <w:szCs w:val="24"/>
        </w:rPr>
      </w:pPr>
      <w:bookmarkStart w:id="109" w:name="_Toc131948662"/>
      <w:r w:rsidRPr="00C91551">
        <w:rPr>
          <w:b/>
          <w:bCs/>
          <w:i w:val="0"/>
          <w:iCs w:val="0"/>
          <w:color w:val="auto"/>
          <w:sz w:val="24"/>
          <w:szCs w:val="24"/>
        </w:rPr>
        <w:t xml:space="preserve">Table </w:t>
      </w:r>
      <w:r w:rsidRPr="00C91551">
        <w:rPr>
          <w:b/>
          <w:bCs/>
          <w:i w:val="0"/>
          <w:iCs w:val="0"/>
          <w:color w:val="auto"/>
          <w:sz w:val="24"/>
          <w:szCs w:val="24"/>
        </w:rPr>
        <w:fldChar w:fldCharType="begin"/>
      </w:r>
      <w:r w:rsidRPr="00C91551">
        <w:rPr>
          <w:b/>
          <w:bCs/>
          <w:i w:val="0"/>
          <w:iCs w:val="0"/>
          <w:color w:val="auto"/>
          <w:sz w:val="24"/>
          <w:szCs w:val="24"/>
        </w:rPr>
        <w:instrText xml:space="preserve"> SEQ Table \* ARABIC </w:instrText>
      </w:r>
      <w:r w:rsidRPr="00C91551">
        <w:rPr>
          <w:b/>
          <w:bCs/>
          <w:i w:val="0"/>
          <w:iCs w:val="0"/>
          <w:color w:val="auto"/>
          <w:sz w:val="24"/>
          <w:szCs w:val="24"/>
        </w:rPr>
        <w:fldChar w:fldCharType="separate"/>
      </w:r>
      <w:r w:rsidR="001F4741">
        <w:rPr>
          <w:b/>
          <w:bCs/>
          <w:i w:val="0"/>
          <w:iCs w:val="0"/>
          <w:noProof/>
          <w:color w:val="auto"/>
          <w:sz w:val="24"/>
          <w:szCs w:val="24"/>
        </w:rPr>
        <w:t>11</w:t>
      </w:r>
      <w:r w:rsidRPr="00C91551">
        <w:rPr>
          <w:b/>
          <w:bCs/>
          <w:i w:val="0"/>
          <w:iCs w:val="0"/>
          <w:color w:val="auto"/>
          <w:sz w:val="24"/>
          <w:szCs w:val="24"/>
        </w:rPr>
        <w:fldChar w:fldCharType="end"/>
      </w:r>
      <w:r w:rsidRPr="00C91551">
        <w:rPr>
          <w:b/>
          <w:bCs/>
          <w:i w:val="0"/>
          <w:iCs w:val="0"/>
          <w:color w:val="auto"/>
          <w:sz w:val="24"/>
          <w:szCs w:val="24"/>
        </w:rPr>
        <w:t>:</w:t>
      </w:r>
      <w:r w:rsidRPr="00C91551">
        <w:rPr>
          <w:i w:val="0"/>
          <w:iCs w:val="0"/>
          <w:color w:val="auto"/>
          <w:sz w:val="24"/>
          <w:szCs w:val="24"/>
        </w:rPr>
        <w:t xml:space="preserve"> Calculated Thiele moduli and effectiveness factors for the S-ZSM5 series.</w:t>
      </w:r>
      <w:bookmarkEnd w:id="109"/>
    </w:p>
    <w:tbl>
      <w:tblPr>
        <w:tblW w:w="8519" w:type="dxa"/>
        <w:tblLook w:val="04A0" w:firstRow="1" w:lastRow="0" w:firstColumn="1" w:lastColumn="0" w:noHBand="0" w:noVBand="1"/>
      </w:tblPr>
      <w:tblGrid>
        <w:gridCol w:w="994"/>
        <w:gridCol w:w="1926"/>
        <w:gridCol w:w="917"/>
        <w:gridCol w:w="904"/>
        <w:gridCol w:w="1935"/>
        <w:gridCol w:w="917"/>
        <w:gridCol w:w="926"/>
      </w:tblGrid>
      <w:tr w:rsidR="00153C10" w:rsidRPr="00574F24" w14:paraId="4109FD2E" w14:textId="77777777" w:rsidTr="00EE5C94">
        <w:trPr>
          <w:trHeight w:val="350"/>
        </w:trPr>
        <w:tc>
          <w:tcPr>
            <w:tcW w:w="994" w:type="dxa"/>
            <w:vMerge w:val="restart"/>
            <w:tcBorders>
              <w:top w:val="single" w:sz="4" w:space="0" w:color="auto"/>
              <w:left w:val="nil"/>
              <w:bottom w:val="single" w:sz="4" w:space="0" w:color="000000"/>
              <w:right w:val="nil"/>
            </w:tcBorders>
            <w:shd w:val="clear" w:color="auto" w:fill="auto"/>
            <w:vAlign w:val="center"/>
            <w:hideMark/>
          </w:tcPr>
          <w:p w14:paraId="01BA45CB" w14:textId="77777777" w:rsidR="00153C10" w:rsidRPr="00574F24" w:rsidRDefault="00153C10" w:rsidP="00974715">
            <w:pPr>
              <w:jc w:val="center"/>
              <w:rPr>
                <w:color w:val="000000"/>
              </w:rPr>
            </w:pPr>
            <w:r w:rsidRPr="00574F24">
              <w:rPr>
                <w:color w:val="000000"/>
              </w:rPr>
              <w:t>S-ZSM5 Sample</w:t>
            </w:r>
          </w:p>
        </w:tc>
        <w:tc>
          <w:tcPr>
            <w:tcW w:w="374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21434A4" w14:textId="77777777" w:rsidR="00153C10" w:rsidRPr="00574F24" w:rsidRDefault="00153C10" w:rsidP="00974715">
            <w:pPr>
              <w:jc w:val="center"/>
              <w:rPr>
                <w:b/>
                <w:bCs/>
                <w:color w:val="000000"/>
              </w:rPr>
            </w:pPr>
            <w:r w:rsidRPr="00574F24">
              <w:rPr>
                <w:b/>
                <w:bCs/>
                <w:color w:val="000000"/>
              </w:rPr>
              <w:t xml:space="preserve">Acetone </w:t>
            </w:r>
          </w:p>
        </w:tc>
        <w:tc>
          <w:tcPr>
            <w:tcW w:w="3778" w:type="dxa"/>
            <w:gridSpan w:val="3"/>
            <w:tcBorders>
              <w:top w:val="single" w:sz="4" w:space="0" w:color="auto"/>
              <w:left w:val="nil"/>
              <w:bottom w:val="single" w:sz="4" w:space="0" w:color="auto"/>
              <w:right w:val="nil"/>
            </w:tcBorders>
            <w:shd w:val="clear" w:color="auto" w:fill="auto"/>
            <w:noWrap/>
            <w:vAlign w:val="center"/>
            <w:hideMark/>
          </w:tcPr>
          <w:p w14:paraId="3C3464C0" w14:textId="77777777" w:rsidR="00153C10" w:rsidRPr="00574F24" w:rsidRDefault="00153C10" w:rsidP="00974715">
            <w:pPr>
              <w:jc w:val="center"/>
              <w:rPr>
                <w:b/>
                <w:bCs/>
                <w:color w:val="000000"/>
              </w:rPr>
            </w:pPr>
            <w:r w:rsidRPr="00574F24">
              <w:rPr>
                <w:b/>
                <w:bCs/>
                <w:color w:val="000000"/>
              </w:rPr>
              <w:t>Cyclopentanone</w:t>
            </w:r>
          </w:p>
        </w:tc>
      </w:tr>
      <w:tr w:rsidR="00153C10" w:rsidRPr="00574F24" w14:paraId="3E55F82A" w14:textId="77777777" w:rsidTr="00EE5C94">
        <w:trPr>
          <w:trHeight w:val="702"/>
        </w:trPr>
        <w:tc>
          <w:tcPr>
            <w:tcW w:w="994" w:type="dxa"/>
            <w:vMerge/>
            <w:tcBorders>
              <w:top w:val="single" w:sz="4" w:space="0" w:color="auto"/>
              <w:left w:val="nil"/>
              <w:bottom w:val="single" w:sz="4" w:space="0" w:color="000000"/>
              <w:right w:val="nil"/>
            </w:tcBorders>
            <w:vAlign w:val="center"/>
            <w:hideMark/>
          </w:tcPr>
          <w:p w14:paraId="3742A8F9" w14:textId="77777777" w:rsidR="00153C10" w:rsidRPr="00574F24" w:rsidRDefault="00153C10" w:rsidP="00974715">
            <w:pPr>
              <w:rPr>
                <w:color w:val="000000"/>
              </w:rPr>
            </w:pPr>
          </w:p>
        </w:tc>
        <w:tc>
          <w:tcPr>
            <w:tcW w:w="1926" w:type="dxa"/>
            <w:tcBorders>
              <w:top w:val="nil"/>
              <w:left w:val="nil"/>
              <w:bottom w:val="single" w:sz="4" w:space="0" w:color="auto"/>
              <w:right w:val="nil"/>
            </w:tcBorders>
            <w:shd w:val="clear" w:color="auto" w:fill="auto"/>
            <w:vAlign w:val="center"/>
            <w:hideMark/>
          </w:tcPr>
          <w:p w14:paraId="13593B71" w14:textId="77777777" w:rsidR="00153C10" w:rsidRPr="00574F24" w:rsidRDefault="00153C10" w:rsidP="00974715">
            <w:pPr>
              <w:jc w:val="center"/>
              <w:rPr>
                <w:color w:val="000000"/>
              </w:rPr>
            </w:pPr>
            <w:r>
              <w:rPr>
                <w:color w:val="000000"/>
              </w:rPr>
              <w:t>Consumption</w:t>
            </w:r>
            <w:r w:rsidRPr="00574F24">
              <w:rPr>
                <w:color w:val="000000"/>
              </w:rPr>
              <w:t xml:space="preserve"> Rate (μmol/g</w:t>
            </w:r>
            <w:r w:rsidRPr="00574F24">
              <w:rPr>
                <w:color w:val="000000"/>
                <w:vertAlign w:val="subscript"/>
              </w:rPr>
              <w:t>cat</w:t>
            </w:r>
            <w:r w:rsidRPr="00574F24">
              <w:rPr>
                <w:color w:val="000000"/>
              </w:rPr>
              <w:t>.s)</w:t>
            </w:r>
          </w:p>
        </w:tc>
        <w:tc>
          <w:tcPr>
            <w:tcW w:w="917" w:type="dxa"/>
            <w:tcBorders>
              <w:top w:val="nil"/>
              <w:left w:val="nil"/>
              <w:bottom w:val="single" w:sz="4" w:space="0" w:color="auto"/>
              <w:right w:val="nil"/>
            </w:tcBorders>
            <w:shd w:val="clear" w:color="auto" w:fill="auto"/>
            <w:noWrap/>
            <w:vAlign w:val="center"/>
            <w:hideMark/>
          </w:tcPr>
          <w:p w14:paraId="614A0F80" w14:textId="77777777" w:rsidR="00153C10" w:rsidRPr="00574F24" w:rsidRDefault="00153C10" w:rsidP="00974715">
            <w:pPr>
              <w:jc w:val="center"/>
              <w:rPr>
                <w:color w:val="000000"/>
                <w:sz w:val="28"/>
                <w:szCs w:val="28"/>
              </w:rPr>
            </w:pPr>
            <w:r w:rsidRPr="00574F24">
              <w:rPr>
                <w:color w:val="000000"/>
                <w:sz w:val="28"/>
                <w:szCs w:val="28"/>
              </w:rPr>
              <w:t>ϕ</w:t>
            </w:r>
          </w:p>
        </w:tc>
        <w:tc>
          <w:tcPr>
            <w:tcW w:w="902" w:type="dxa"/>
            <w:tcBorders>
              <w:top w:val="nil"/>
              <w:left w:val="nil"/>
              <w:bottom w:val="single" w:sz="4" w:space="0" w:color="auto"/>
              <w:right w:val="single" w:sz="4" w:space="0" w:color="auto"/>
            </w:tcBorders>
            <w:shd w:val="clear" w:color="auto" w:fill="auto"/>
            <w:noWrap/>
            <w:vAlign w:val="center"/>
            <w:hideMark/>
          </w:tcPr>
          <w:p w14:paraId="71419D34" w14:textId="77777777" w:rsidR="00153C10" w:rsidRPr="00574F24" w:rsidRDefault="00153C10" w:rsidP="00974715">
            <w:pPr>
              <w:jc w:val="center"/>
              <w:rPr>
                <w:color w:val="000000"/>
                <w:sz w:val="28"/>
                <w:szCs w:val="28"/>
              </w:rPr>
            </w:pPr>
            <w:r w:rsidRPr="00574F24">
              <w:rPr>
                <w:color w:val="000000"/>
                <w:sz w:val="28"/>
                <w:szCs w:val="28"/>
              </w:rPr>
              <w:t>η</w:t>
            </w:r>
          </w:p>
        </w:tc>
        <w:tc>
          <w:tcPr>
            <w:tcW w:w="1935" w:type="dxa"/>
            <w:tcBorders>
              <w:top w:val="nil"/>
              <w:left w:val="nil"/>
              <w:bottom w:val="single" w:sz="4" w:space="0" w:color="auto"/>
              <w:right w:val="nil"/>
            </w:tcBorders>
            <w:shd w:val="clear" w:color="auto" w:fill="auto"/>
            <w:vAlign w:val="center"/>
            <w:hideMark/>
          </w:tcPr>
          <w:p w14:paraId="7D38CFD2" w14:textId="77777777" w:rsidR="00153C10" w:rsidRPr="00574F24" w:rsidRDefault="00153C10" w:rsidP="00974715">
            <w:pPr>
              <w:jc w:val="center"/>
              <w:rPr>
                <w:color w:val="000000"/>
              </w:rPr>
            </w:pPr>
            <w:r>
              <w:rPr>
                <w:color w:val="000000"/>
              </w:rPr>
              <w:t>Consumption</w:t>
            </w:r>
            <w:r w:rsidRPr="00574F24">
              <w:rPr>
                <w:color w:val="000000"/>
              </w:rPr>
              <w:t xml:space="preserve"> Rate (μmol/g</w:t>
            </w:r>
            <w:r w:rsidRPr="00574F24">
              <w:rPr>
                <w:color w:val="000000"/>
                <w:vertAlign w:val="subscript"/>
              </w:rPr>
              <w:t>cat</w:t>
            </w:r>
            <w:r w:rsidRPr="00574F24">
              <w:rPr>
                <w:color w:val="000000"/>
              </w:rPr>
              <w:t>.s)</w:t>
            </w:r>
          </w:p>
        </w:tc>
        <w:tc>
          <w:tcPr>
            <w:tcW w:w="917" w:type="dxa"/>
            <w:tcBorders>
              <w:top w:val="nil"/>
              <w:left w:val="nil"/>
              <w:bottom w:val="single" w:sz="4" w:space="0" w:color="auto"/>
              <w:right w:val="nil"/>
            </w:tcBorders>
            <w:shd w:val="clear" w:color="auto" w:fill="auto"/>
            <w:noWrap/>
            <w:vAlign w:val="center"/>
            <w:hideMark/>
          </w:tcPr>
          <w:p w14:paraId="078995EA" w14:textId="77777777" w:rsidR="00153C10" w:rsidRPr="00574F24" w:rsidRDefault="00153C10" w:rsidP="00974715">
            <w:pPr>
              <w:jc w:val="center"/>
              <w:rPr>
                <w:color w:val="000000"/>
                <w:sz w:val="28"/>
                <w:szCs w:val="28"/>
              </w:rPr>
            </w:pPr>
            <w:r w:rsidRPr="00574F24">
              <w:rPr>
                <w:color w:val="000000"/>
                <w:sz w:val="28"/>
                <w:szCs w:val="28"/>
              </w:rPr>
              <w:t>ϕ</w:t>
            </w:r>
          </w:p>
        </w:tc>
        <w:tc>
          <w:tcPr>
            <w:tcW w:w="925" w:type="dxa"/>
            <w:tcBorders>
              <w:top w:val="nil"/>
              <w:left w:val="nil"/>
              <w:bottom w:val="single" w:sz="4" w:space="0" w:color="auto"/>
              <w:right w:val="nil"/>
            </w:tcBorders>
            <w:shd w:val="clear" w:color="auto" w:fill="auto"/>
            <w:noWrap/>
            <w:vAlign w:val="center"/>
            <w:hideMark/>
          </w:tcPr>
          <w:p w14:paraId="4448F7C4" w14:textId="77777777" w:rsidR="00153C10" w:rsidRPr="00574F24" w:rsidRDefault="00153C10" w:rsidP="00974715">
            <w:pPr>
              <w:jc w:val="center"/>
              <w:rPr>
                <w:color w:val="000000"/>
                <w:sz w:val="28"/>
                <w:szCs w:val="28"/>
              </w:rPr>
            </w:pPr>
            <w:r w:rsidRPr="00574F24">
              <w:rPr>
                <w:color w:val="000000"/>
                <w:sz w:val="28"/>
                <w:szCs w:val="28"/>
              </w:rPr>
              <w:t>η</w:t>
            </w:r>
          </w:p>
        </w:tc>
      </w:tr>
      <w:tr w:rsidR="00153C10" w:rsidRPr="00574F24" w14:paraId="03B00C61" w14:textId="77777777" w:rsidTr="00EE5C94">
        <w:trPr>
          <w:trHeight w:val="350"/>
        </w:trPr>
        <w:tc>
          <w:tcPr>
            <w:tcW w:w="994" w:type="dxa"/>
            <w:tcBorders>
              <w:top w:val="nil"/>
              <w:left w:val="nil"/>
              <w:bottom w:val="nil"/>
              <w:right w:val="nil"/>
            </w:tcBorders>
            <w:shd w:val="clear" w:color="auto" w:fill="auto"/>
            <w:noWrap/>
            <w:vAlign w:val="center"/>
            <w:hideMark/>
          </w:tcPr>
          <w:p w14:paraId="031E348F" w14:textId="77777777" w:rsidR="00153C10" w:rsidRPr="00574F24" w:rsidRDefault="00153C10" w:rsidP="00974715">
            <w:pPr>
              <w:rPr>
                <w:color w:val="000000"/>
              </w:rPr>
            </w:pPr>
            <w:r w:rsidRPr="00574F24">
              <w:rPr>
                <w:color w:val="000000"/>
              </w:rPr>
              <w:t>150</w:t>
            </w:r>
            <w:r>
              <w:rPr>
                <w:color w:val="000000"/>
              </w:rPr>
              <w:t xml:space="preserve"> </w:t>
            </w:r>
            <w:r w:rsidRPr="00574F24">
              <w:rPr>
                <w:color w:val="000000"/>
                <w:vertAlign w:val="superscript"/>
              </w:rPr>
              <w:t>o</w:t>
            </w:r>
            <w:r w:rsidRPr="00574F24">
              <w:rPr>
                <w:color w:val="000000"/>
              </w:rPr>
              <w:t>C</w:t>
            </w:r>
          </w:p>
        </w:tc>
        <w:tc>
          <w:tcPr>
            <w:tcW w:w="1926" w:type="dxa"/>
            <w:tcBorders>
              <w:top w:val="nil"/>
              <w:left w:val="nil"/>
              <w:bottom w:val="nil"/>
              <w:right w:val="nil"/>
            </w:tcBorders>
            <w:shd w:val="clear" w:color="auto" w:fill="auto"/>
            <w:noWrap/>
            <w:vAlign w:val="center"/>
            <w:hideMark/>
          </w:tcPr>
          <w:p w14:paraId="38D3087F" w14:textId="77777777" w:rsidR="00153C10" w:rsidRPr="00574F24" w:rsidRDefault="00153C10" w:rsidP="00974715">
            <w:pPr>
              <w:jc w:val="center"/>
              <w:rPr>
                <w:color w:val="000000"/>
              </w:rPr>
            </w:pPr>
            <w:r w:rsidRPr="00574F24">
              <w:rPr>
                <w:color w:val="000000"/>
              </w:rPr>
              <w:t>8.2</w:t>
            </w:r>
          </w:p>
        </w:tc>
        <w:tc>
          <w:tcPr>
            <w:tcW w:w="917" w:type="dxa"/>
            <w:tcBorders>
              <w:top w:val="nil"/>
              <w:left w:val="nil"/>
              <w:bottom w:val="nil"/>
              <w:right w:val="nil"/>
            </w:tcBorders>
            <w:shd w:val="clear" w:color="auto" w:fill="auto"/>
            <w:noWrap/>
            <w:vAlign w:val="center"/>
            <w:hideMark/>
          </w:tcPr>
          <w:p w14:paraId="12F9D2F9" w14:textId="77777777" w:rsidR="00153C10" w:rsidRPr="00574F24" w:rsidRDefault="00153C10" w:rsidP="00974715">
            <w:pPr>
              <w:jc w:val="center"/>
              <w:rPr>
                <w:color w:val="000000"/>
              </w:rPr>
            </w:pPr>
            <w:r w:rsidRPr="00574F24">
              <w:rPr>
                <w:color w:val="000000"/>
              </w:rPr>
              <w:t>0.87</w:t>
            </w:r>
          </w:p>
        </w:tc>
        <w:tc>
          <w:tcPr>
            <w:tcW w:w="902" w:type="dxa"/>
            <w:tcBorders>
              <w:top w:val="nil"/>
              <w:left w:val="nil"/>
              <w:bottom w:val="nil"/>
              <w:right w:val="single" w:sz="4" w:space="0" w:color="auto"/>
            </w:tcBorders>
            <w:shd w:val="clear" w:color="auto" w:fill="auto"/>
            <w:noWrap/>
            <w:vAlign w:val="center"/>
            <w:hideMark/>
          </w:tcPr>
          <w:p w14:paraId="151F54FB" w14:textId="77777777" w:rsidR="00153C10" w:rsidRPr="00574F24" w:rsidRDefault="00153C10" w:rsidP="00974715">
            <w:pPr>
              <w:jc w:val="center"/>
              <w:rPr>
                <w:color w:val="000000"/>
              </w:rPr>
            </w:pPr>
            <w:r w:rsidRPr="00574F24">
              <w:rPr>
                <w:color w:val="000000"/>
              </w:rPr>
              <w:t>0.95</w:t>
            </w:r>
          </w:p>
        </w:tc>
        <w:tc>
          <w:tcPr>
            <w:tcW w:w="1935" w:type="dxa"/>
            <w:tcBorders>
              <w:top w:val="nil"/>
              <w:left w:val="nil"/>
              <w:bottom w:val="nil"/>
              <w:right w:val="nil"/>
            </w:tcBorders>
            <w:shd w:val="clear" w:color="auto" w:fill="auto"/>
            <w:noWrap/>
            <w:vAlign w:val="center"/>
            <w:hideMark/>
          </w:tcPr>
          <w:p w14:paraId="6E0BCF56" w14:textId="77777777" w:rsidR="00153C10" w:rsidRPr="00574F24" w:rsidRDefault="00153C10" w:rsidP="00974715">
            <w:pPr>
              <w:jc w:val="center"/>
              <w:rPr>
                <w:color w:val="000000"/>
              </w:rPr>
            </w:pPr>
            <w:r w:rsidRPr="00574F24">
              <w:rPr>
                <w:color w:val="000000"/>
              </w:rPr>
              <w:t>21.9</w:t>
            </w:r>
          </w:p>
        </w:tc>
        <w:tc>
          <w:tcPr>
            <w:tcW w:w="917" w:type="dxa"/>
            <w:tcBorders>
              <w:top w:val="nil"/>
              <w:left w:val="nil"/>
              <w:bottom w:val="nil"/>
              <w:right w:val="nil"/>
            </w:tcBorders>
            <w:shd w:val="clear" w:color="auto" w:fill="auto"/>
            <w:noWrap/>
            <w:vAlign w:val="center"/>
            <w:hideMark/>
          </w:tcPr>
          <w:p w14:paraId="561E123F" w14:textId="77777777" w:rsidR="00153C10" w:rsidRPr="00574F24" w:rsidRDefault="00153C10" w:rsidP="00974715">
            <w:pPr>
              <w:jc w:val="center"/>
              <w:rPr>
                <w:color w:val="000000"/>
              </w:rPr>
            </w:pPr>
            <w:r w:rsidRPr="00574F24">
              <w:rPr>
                <w:color w:val="000000"/>
              </w:rPr>
              <w:t>2.20</w:t>
            </w:r>
          </w:p>
        </w:tc>
        <w:tc>
          <w:tcPr>
            <w:tcW w:w="925" w:type="dxa"/>
            <w:tcBorders>
              <w:top w:val="nil"/>
              <w:left w:val="nil"/>
              <w:bottom w:val="nil"/>
              <w:right w:val="nil"/>
            </w:tcBorders>
            <w:shd w:val="clear" w:color="auto" w:fill="auto"/>
            <w:noWrap/>
            <w:vAlign w:val="center"/>
            <w:hideMark/>
          </w:tcPr>
          <w:p w14:paraId="5AAEEC67" w14:textId="77777777" w:rsidR="00153C10" w:rsidRPr="00574F24" w:rsidRDefault="00153C10" w:rsidP="00974715">
            <w:pPr>
              <w:jc w:val="center"/>
              <w:rPr>
                <w:color w:val="000000"/>
              </w:rPr>
            </w:pPr>
            <w:r w:rsidRPr="00574F24">
              <w:rPr>
                <w:color w:val="000000"/>
              </w:rPr>
              <w:t>0.78</w:t>
            </w:r>
          </w:p>
        </w:tc>
      </w:tr>
      <w:tr w:rsidR="00153C10" w:rsidRPr="00574F24" w14:paraId="209909BA" w14:textId="77777777" w:rsidTr="00EE5C94">
        <w:trPr>
          <w:trHeight w:val="350"/>
        </w:trPr>
        <w:tc>
          <w:tcPr>
            <w:tcW w:w="994" w:type="dxa"/>
            <w:tcBorders>
              <w:top w:val="nil"/>
              <w:left w:val="nil"/>
              <w:bottom w:val="nil"/>
              <w:right w:val="nil"/>
            </w:tcBorders>
            <w:shd w:val="clear" w:color="auto" w:fill="auto"/>
            <w:noWrap/>
            <w:vAlign w:val="center"/>
            <w:hideMark/>
          </w:tcPr>
          <w:p w14:paraId="13D79A5E" w14:textId="77777777" w:rsidR="00153C10" w:rsidRPr="00574F24" w:rsidRDefault="00153C10" w:rsidP="00974715">
            <w:pPr>
              <w:rPr>
                <w:color w:val="000000"/>
              </w:rPr>
            </w:pPr>
            <w:r w:rsidRPr="00574F24">
              <w:rPr>
                <w:color w:val="000000"/>
              </w:rPr>
              <w:t>155</w:t>
            </w:r>
            <w:r>
              <w:rPr>
                <w:color w:val="000000"/>
              </w:rPr>
              <w:t xml:space="preserve"> </w:t>
            </w:r>
            <w:r w:rsidRPr="00574F24">
              <w:rPr>
                <w:color w:val="000000"/>
                <w:vertAlign w:val="superscript"/>
              </w:rPr>
              <w:t>o</w:t>
            </w:r>
            <w:r w:rsidRPr="00574F24">
              <w:rPr>
                <w:color w:val="000000"/>
              </w:rPr>
              <w:t>C</w:t>
            </w:r>
          </w:p>
        </w:tc>
        <w:tc>
          <w:tcPr>
            <w:tcW w:w="1926" w:type="dxa"/>
            <w:tcBorders>
              <w:top w:val="nil"/>
              <w:left w:val="nil"/>
              <w:bottom w:val="nil"/>
              <w:right w:val="nil"/>
            </w:tcBorders>
            <w:shd w:val="clear" w:color="auto" w:fill="auto"/>
            <w:noWrap/>
            <w:vAlign w:val="center"/>
            <w:hideMark/>
          </w:tcPr>
          <w:p w14:paraId="5149B34E" w14:textId="77777777" w:rsidR="00153C10" w:rsidRPr="00574F24" w:rsidRDefault="00153C10" w:rsidP="00974715">
            <w:pPr>
              <w:jc w:val="center"/>
              <w:rPr>
                <w:color w:val="000000"/>
              </w:rPr>
            </w:pPr>
            <w:r w:rsidRPr="00574F24">
              <w:rPr>
                <w:color w:val="000000"/>
              </w:rPr>
              <w:t>6.8</w:t>
            </w:r>
          </w:p>
        </w:tc>
        <w:tc>
          <w:tcPr>
            <w:tcW w:w="917" w:type="dxa"/>
            <w:tcBorders>
              <w:top w:val="nil"/>
              <w:left w:val="nil"/>
              <w:bottom w:val="nil"/>
              <w:right w:val="nil"/>
            </w:tcBorders>
            <w:shd w:val="clear" w:color="auto" w:fill="auto"/>
            <w:noWrap/>
            <w:vAlign w:val="center"/>
            <w:hideMark/>
          </w:tcPr>
          <w:p w14:paraId="1370A928" w14:textId="77777777" w:rsidR="00153C10" w:rsidRPr="00574F24" w:rsidRDefault="00153C10" w:rsidP="00974715">
            <w:pPr>
              <w:jc w:val="center"/>
              <w:rPr>
                <w:color w:val="000000"/>
              </w:rPr>
            </w:pPr>
            <w:r w:rsidRPr="00574F24">
              <w:rPr>
                <w:color w:val="000000"/>
              </w:rPr>
              <w:t>2.13</w:t>
            </w:r>
          </w:p>
        </w:tc>
        <w:tc>
          <w:tcPr>
            <w:tcW w:w="902" w:type="dxa"/>
            <w:tcBorders>
              <w:top w:val="nil"/>
              <w:left w:val="nil"/>
              <w:bottom w:val="nil"/>
              <w:right w:val="single" w:sz="4" w:space="0" w:color="auto"/>
            </w:tcBorders>
            <w:shd w:val="clear" w:color="auto" w:fill="auto"/>
            <w:noWrap/>
            <w:vAlign w:val="center"/>
            <w:hideMark/>
          </w:tcPr>
          <w:p w14:paraId="641613A2" w14:textId="77777777" w:rsidR="00153C10" w:rsidRPr="00574F24" w:rsidRDefault="00153C10" w:rsidP="00974715">
            <w:pPr>
              <w:jc w:val="center"/>
              <w:rPr>
                <w:color w:val="000000"/>
              </w:rPr>
            </w:pPr>
            <w:r w:rsidRPr="00574F24">
              <w:rPr>
                <w:color w:val="000000"/>
              </w:rPr>
              <w:t>0.79</w:t>
            </w:r>
          </w:p>
        </w:tc>
        <w:tc>
          <w:tcPr>
            <w:tcW w:w="1935" w:type="dxa"/>
            <w:tcBorders>
              <w:top w:val="nil"/>
              <w:left w:val="nil"/>
              <w:bottom w:val="nil"/>
              <w:right w:val="nil"/>
            </w:tcBorders>
            <w:shd w:val="clear" w:color="auto" w:fill="auto"/>
            <w:noWrap/>
            <w:vAlign w:val="center"/>
            <w:hideMark/>
          </w:tcPr>
          <w:p w14:paraId="3DFC1F38" w14:textId="77777777" w:rsidR="00153C10" w:rsidRPr="00574F24" w:rsidRDefault="00153C10" w:rsidP="00974715">
            <w:pPr>
              <w:jc w:val="center"/>
              <w:rPr>
                <w:color w:val="000000"/>
              </w:rPr>
            </w:pPr>
            <w:r w:rsidRPr="00574F24">
              <w:rPr>
                <w:color w:val="000000"/>
              </w:rPr>
              <w:t>14.5</w:t>
            </w:r>
          </w:p>
        </w:tc>
        <w:tc>
          <w:tcPr>
            <w:tcW w:w="917" w:type="dxa"/>
            <w:tcBorders>
              <w:top w:val="nil"/>
              <w:left w:val="nil"/>
              <w:bottom w:val="nil"/>
              <w:right w:val="nil"/>
            </w:tcBorders>
            <w:shd w:val="clear" w:color="auto" w:fill="auto"/>
            <w:noWrap/>
            <w:vAlign w:val="center"/>
            <w:hideMark/>
          </w:tcPr>
          <w:p w14:paraId="0C467A5E" w14:textId="77777777" w:rsidR="00153C10" w:rsidRPr="00574F24" w:rsidRDefault="00153C10" w:rsidP="00974715">
            <w:pPr>
              <w:jc w:val="center"/>
              <w:rPr>
                <w:color w:val="000000"/>
              </w:rPr>
            </w:pPr>
            <w:r w:rsidRPr="00574F24">
              <w:rPr>
                <w:color w:val="000000"/>
              </w:rPr>
              <w:t>4.56</w:t>
            </w:r>
          </w:p>
        </w:tc>
        <w:tc>
          <w:tcPr>
            <w:tcW w:w="925" w:type="dxa"/>
            <w:tcBorders>
              <w:top w:val="nil"/>
              <w:left w:val="nil"/>
              <w:bottom w:val="nil"/>
              <w:right w:val="nil"/>
            </w:tcBorders>
            <w:shd w:val="clear" w:color="auto" w:fill="auto"/>
            <w:noWrap/>
            <w:vAlign w:val="center"/>
            <w:hideMark/>
          </w:tcPr>
          <w:p w14:paraId="06D12585" w14:textId="77777777" w:rsidR="00153C10" w:rsidRPr="00574F24" w:rsidRDefault="00153C10" w:rsidP="00974715">
            <w:pPr>
              <w:jc w:val="center"/>
              <w:rPr>
                <w:color w:val="000000"/>
              </w:rPr>
            </w:pPr>
            <w:r w:rsidRPr="00574F24">
              <w:rPr>
                <w:color w:val="000000"/>
              </w:rPr>
              <w:t>0.51</w:t>
            </w:r>
          </w:p>
        </w:tc>
      </w:tr>
      <w:tr w:rsidR="00153C10" w:rsidRPr="00574F24" w14:paraId="6E463CFC" w14:textId="77777777" w:rsidTr="00EE5C94">
        <w:trPr>
          <w:trHeight w:val="350"/>
        </w:trPr>
        <w:tc>
          <w:tcPr>
            <w:tcW w:w="994" w:type="dxa"/>
            <w:tcBorders>
              <w:top w:val="nil"/>
              <w:left w:val="nil"/>
              <w:bottom w:val="nil"/>
              <w:right w:val="nil"/>
            </w:tcBorders>
            <w:shd w:val="clear" w:color="auto" w:fill="auto"/>
            <w:noWrap/>
            <w:vAlign w:val="center"/>
            <w:hideMark/>
          </w:tcPr>
          <w:p w14:paraId="2A16F711" w14:textId="77777777" w:rsidR="00153C10" w:rsidRPr="00574F24" w:rsidRDefault="00153C10" w:rsidP="00974715">
            <w:pPr>
              <w:rPr>
                <w:color w:val="000000"/>
              </w:rPr>
            </w:pPr>
            <w:r w:rsidRPr="00574F24">
              <w:rPr>
                <w:color w:val="000000"/>
              </w:rPr>
              <w:t>160</w:t>
            </w:r>
            <w:r>
              <w:rPr>
                <w:color w:val="000000"/>
              </w:rPr>
              <w:t xml:space="preserve"> </w:t>
            </w:r>
            <w:r w:rsidRPr="00574F24">
              <w:rPr>
                <w:color w:val="000000"/>
                <w:vertAlign w:val="superscript"/>
              </w:rPr>
              <w:t>o</w:t>
            </w:r>
            <w:r w:rsidRPr="00574F24">
              <w:rPr>
                <w:color w:val="000000"/>
              </w:rPr>
              <w:t>C</w:t>
            </w:r>
          </w:p>
        </w:tc>
        <w:tc>
          <w:tcPr>
            <w:tcW w:w="1926" w:type="dxa"/>
            <w:tcBorders>
              <w:top w:val="nil"/>
              <w:left w:val="nil"/>
              <w:bottom w:val="nil"/>
              <w:right w:val="nil"/>
            </w:tcBorders>
            <w:shd w:val="clear" w:color="auto" w:fill="auto"/>
            <w:noWrap/>
            <w:vAlign w:val="center"/>
            <w:hideMark/>
          </w:tcPr>
          <w:p w14:paraId="4E11207D" w14:textId="77777777" w:rsidR="00153C10" w:rsidRPr="00574F24" w:rsidRDefault="00153C10" w:rsidP="00974715">
            <w:pPr>
              <w:jc w:val="center"/>
              <w:rPr>
                <w:color w:val="000000"/>
              </w:rPr>
            </w:pPr>
            <w:r w:rsidRPr="00574F24">
              <w:rPr>
                <w:color w:val="000000"/>
              </w:rPr>
              <w:t>3.9</w:t>
            </w:r>
          </w:p>
        </w:tc>
        <w:tc>
          <w:tcPr>
            <w:tcW w:w="917" w:type="dxa"/>
            <w:tcBorders>
              <w:top w:val="nil"/>
              <w:left w:val="nil"/>
              <w:bottom w:val="nil"/>
              <w:right w:val="nil"/>
            </w:tcBorders>
            <w:shd w:val="clear" w:color="auto" w:fill="auto"/>
            <w:noWrap/>
            <w:vAlign w:val="center"/>
            <w:hideMark/>
          </w:tcPr>
          <w:p w14:paraId="02184909" w14:textId="77777777" w:rsidR="00153C10" w:rsidRPr="00574F24" w:rsidRDefault="00153C10" w:rsidP="00974715">
            <w:pPr>
              <w:jc w:val="center"/>
              <w:rPr>
                <w:color w:val="000000"/>
              </w:rPr>
            </w:pPr>
            <w:r w:rsidRPr="00574F24">
              <w:rPr>
                <w:color w:val="000000"/>
              </w:rPr>
              <w:t>5.33</w:t>
            </w:r>
          </w:p>
        </w:tc>
        <w:tc>
          <w:tcPr>
            <w:tcW w:w="902" w:type="dxa"/>
            <w:tcBorders>
              <w:top w:val="nil"/>
              <w:left w:val="nil"/>
              <w:bottom w:val="nil"/>
              <w:right w:val="single" w:sz="4" w:space="0" w:color="auto"/>
            </w:tcBorders>
            <w:shd w:val="clear" w:color="auto" w:fill="auto"/>
            <w:noWrap/>
            <w:vAlign w:val="center"/>
            <w:hideMark/>
          </w:tcPr>
          <w:p w14:paraId="78B687C7" w14:textId="77777777" w:rsidR="00153C10" w:rsidRPr="00574F24" w:rsidRDefault="00153C10" w:rsidP="00974715">
            <w:pPr>
              <w:jc w:val="center"/>
              <w:rPr>
                <w:color w:val="000000"/>
              </w:rPr>
            </w:pPr>
            <w:r w:rsidRPr="00574F24">
              <w:rPr>
                <w:color w:val="000000"/>
              </w:rPr>
              <w:t>0.46</w:t>
            </w:r>
          </w:p>
        </w:tc>
        <w:tc>
          <w:tcPr>
            <w:tcW w:w="1935" w:type="dxa"/>
            <w:tcBorders>
              <w:top w:val="nil"/>
              <w:left w:val="nil"/>
              <w:bottom w:val="nil"/>
              <w:right w:val="nil"/>
            </w:tcBorders>
            <w:shd w:val="clear" w:color="auto" w:fill="auto"/>
            <w:noWrap/>
            <w:vAlign w:val="center"/>
            <w:hideMark/>
          </w:tcPr>
          <w:p w14:paraId="0D83CF44" w14:textId="77777777" w:rsidR="00153C10" w:rsidRPr="00574F24" w:rsidRDefault="00153C10" w:rsidP="00974715">
            <w:pPr>
              <w:jc w:val="center"/>
              <w:rPr>
                <w:color w:val="000000"/>
              </w:rPr>
            </w:pPr>
            <w:r w:rsidRPr="00574F24">
              <w:rPr>
                <w:color w:val="000000"/>
              </w:rPr>
              <w:t>11.2</w:t>
            </w:r>
          </w:p>
        </w:tc>
        <w:tc>
          <w:tcPr>
            <w:tcW w:w="917" w:type="dxa"/>
            <w:tcBorders>
              <w:top w:val="nil"/>
              <w:left w:val="nil"/>
              <w:bottom w:val="nil"/>
              <w:right w:val="nil"/>
            </w:tcBorders>
            <w:shd w:val="clear" w:color="auto" w:fill="auto"/>
            <w:noWrap/>
            <w:vAlign w:val="center"/>
            <w:hideMark/>
          </w:tcPr>
          <w:p w14:paraId="14B31263" w14:textId="77777777" w:rsidR="00153C10" w:rsidRPr="00574F24" w:rsidRDefault="00153C10" w:rsidP="00974715">
            <w:pPr>
              <w:jc w:val="center"/>
              <w:rPr>
                <w:color w:val="000000"/>
              </w:rPr>
            </w:pPr>
            <w:r w:rsidRPr="00574F24">
              <w:rPr>
                <w:color w:val="000000"/>
              </w:rPr>
              <w:t>6.36</w:t>
            </w:r>
          </w:p>
        </w:tc>
        <w:tc>
          <w:tcPr>
            <w:tcW w:w="925" w:type="dxa"/>
            <w:tcBorders>
              <w:top w:val="nil"/>
              <w:left w:val="nil"/>
              <w:bottom w:val="nil"/>
              <w:right w:val="nil"/>
            </w:tcBorders>
            <w:shd w:val="clear" w:color="auto" w:fill="auto"/>
            <w:noWrap/>
            <w:vAlign w:val="center"/>
            <w:hideMark/>
          </w:tcPr>
          <w:p w14:paraId="34D519A9" w14:textId="77777777" w:rsidR="00153C10" w:rsidRPr="00574F24" w:rsidRDefault="00153C10" w:rsidP="00974715">
            <w:pPr>
              <w:jc w:val="center"/>
              <w:rPr>
                <w:color w:val="000000"/>
              </w:rPr>
            </w:pPr>
            <w:r w:rsidRPr="00574F24">
              <w:rPr>
                <w:color w:val="000000"/>
              </w:rPr>
              <w:t>0.40</w:t>
            </w:r>
          </w:p>
        </w:tc>
      </w:tr>
      <w:tr w:rsidR="00153C10" w:rsidRPr="00574F24" w14:paraId="31924D51" w14:textId="77777777" w:rsidTr="00EE5C94">
        <w:trPr>
          <w:trHeight w:val="350"/>
        </w:trPr>
        <w:tc>
          <w:tcPr>
            <w:tcW w:w="994" w:type="dxa"/>
            <w:tcBorders>
              <w:top w:val="nil"/>
              <w:left w:val="nil"/>
              <w:bottom w:val="single" w:sz="4" w:space="0" w:color="auto"/>
              <w:right w:val="nil"/>
            </w:tcBorders>
            <w:shd w:val="clear" w:color="auto" w:fill="auto"/>
            <w:noWrap/>
            <w:vAlign w:val="center"/>
            <w:hideMark/>
          </w:tcPr>
          <w:p w14:paraId="179E9286" w14:textId="77777777" w:rsidR="00153C10" w:rsidRPr="00574F24" w:rsidRDefault="00153C10" w:rsidP="00974715">
            <w:pPr>
              <w:rPr>
                <w:color w:val="000000"/>
              </w:rPr>
            </w:pPr>
            <w:r w:rsidRPr="00574F24">
              <w:rPr>
                <w:color w:val="000000"/>
              </w:rPr>
              <w:t>165</w:t>
            </w:r>
            <w:r>
              <w:rPr>
                <w:color w:val="000000"/>
              </w:rPr>
              <w:t xml:space="preserve"> </w:t>
            </w:r>
            <w:r w:rsidRPr="00574F24">
              <w:rPr>
                <w:color w:val="000000"/>
                <w:vertAlign w:val="superscript"/>
              </w:rPr>
              <w:t>o</w:t>
            </w:r>
            <w:r w:rsidRPr="00574F24">
              <w:rPr>
                <w:color w:val="000000"/>
              </w:rPr>
              <w:t>C</w:t>
            </w:r>
          </w:p>
        </w:tc>
        <w:tc>
          <w:tcPr>
            <w:tcW w:w="1926" w:type="dxa"/>
            <w:tcBorders>
              <w:top w:val="nil"/>
              <w:left w:val="nil"/>
              <w:bottom w:val="single" w:sz="4" w:space="0" w:color="auto"/>
              <w:right w:val="nil"/>
            </w:tcBorders>
            <w:shd w:val="clear" w:color="auto" w:fill="auto"/>
            <w:noWrap/>
            <w:vAlign w:val="center"/>
            <w:hideMark/>
          </w:tcPr>
          <w:p w14:paraId="3967E5A3" w14:textId="77777777" w:rsidR="00153C10" w:rsidRPr="00574F24" w:rsidRDefault="00153C10" w:rsidP="00974715">
            <w:pPr>
              <w:jc w:val="center"/>
              <w:rPr>
                <w:color w:val="000000"/>
              </w:rPr>
            </w:pPr>
            <w:r w:rsidRPr="00574F24">
              <w:rPr>
                <w:color w:val="000000"/>
              </w:rPr>
              <w:t>3.1</w:t>
            </w:r>
          </w:p>
        </w:tc>
        <w:tc>
          <w:tcPr>
            <w:tcW w:w="917" w:type="dxa"/>
            <w:tcBorders>
              <w:top w:val="nil"/>
              <w:left w:val="nil"/>
              <w:bottom w:val="single" w:sz="4" w:space="0" w:color="auto"/>
              <w:right w:val="nil"/>
            </w:tcBorders>
            <w:shd w:val="clear" w:color="auto" w:fill="auto"/>
            <w:noWrap/>
            <w:vAlign w:val="center"/>
            <w:hideMark/>
          </w:tcPr>
          <w:p w14:paraId="61E17894" w14:textId="77777777" w:rsidR="00153C10" w:rsidRPr="00574F24" w:rsidRDefault="00153C10" w:rsidP="00974715">
            <w:pPr>
              <w:jc w:val="center"/>
              <w:rPr>
                <w:color w:val="000000"/>
              </w:rPr>
            </w:pPr>
            <w:r w:rsidRPr="00574F24">
              <w:rPr>
                <w:color w:val="000000"/>
              </w:rPr>
              <w:t>7.16</w:t>
            </w:r>
          </w:p>
        </w:tc>
        <w:tc>
          <w:tcPr>
            <w:tcW w:w="902" w:type="dxa"/>
            <w:tcBorders>
              <w:top w:val="nil"/>
              <w:left w:val="nil"/>
              <w:bottom w:val="single" w:sz="4" w:space="0" w:color="auto"/>
              <w:right w:val="single" w:sz="4" w:space="0" w:color="auto"/>
            </w:tcBorders>
            <w:shd w:val="clear" w:color="auto" w:fill="auto"/>
            <w:noWrap/>
            <w:vAlign w:val="center"/>
            <w:hideMark/>
          </w:tcPr>
          <w:p w14:paraId="21DBA1DB" w14:textId="77777777" w:rsidR="00153C10" w:rsidRPr="00574F24" w:rsidRDefault="00153C10" w:rsidP="00974715">
            <w:pPr>
              <w:jc w:val="center"/>
              <w:rPr>
                <w:color w:val="000000"/>
              </w:rPr>
            </w:pPr>
            <w:r w:rsidRPr="00574F24">
              <w:rPr>
                <w:color w:val="000000"/>
              </w:rPr>
              <w:t>0.36</w:t>
            </w:r>
          </w:p>
        </w:tc>
        <w:tc>
          <w:tcPr>
            <w:tcW w:w="1935" w:type="dxa"/>
            <w:tcBorders>
              <w:top w:val="nil"/>
              <w:left w:val="nil"/>
              <w:bottom w:val="single" w:sz="4" w:space="0" w:color="auto"/>
              <w:right w:val="nil"/>
            </w:tcBorders>
            <w:shd w:val="clear" w:color="auto" w:fill="auto"/>
            <w:noWrap/>
            <w:vAlign w:val="center"/>
            <w:hideMark/>
          </w:tcPr>
          <w:p w14:paraId="01DD0B1B" w14:textId="77777777" w:rsidR="00153C10" w:rsidRPr="00574F24" w:rsidRDefault="00153C10" w:rsidP="00974715">
            <w:pPr>
              <w:jc w:val="center"/>
              <w:rPr>
                <w:color w:val="000000"/>
              </w:rPr>
            </w:pPr>
            <w:r w:rsidRPr="00574F24">
              <w:rPr>
                <w:color w:val="000000"/>
              </w:rPr>
              <w:t>5.3</w:t>
            </w:r>
          </w:p>
        </w:tc>
        <w:tc>
          <w:tcPr>
            <w:tcW w:w="917" w:type="dxa"/>
            <w:tcBorders>
              <w:top w:val="nil"/>
              <w:left w:val="nil"/>
              <w:bottom w:val="single" w:sz="4" w:space="0" w:color="auto"/>
              <w:right w:val="nil"/>
            </w:tcBorders>
            <w:shd w:val="clear" w:color="auto" w:fill="auto"/>
            <w:noWrap/>
            <w:vAlign w:val="center"/>
            <w:hideMark/>
          </w:tcPr>
          <w:p w14:paraId="17FFB54C" w14:textId="77777777" w:rsidR="00153C10" w:rsidRPr="00574F24" w:rsidRDefault="00153C10" w:rsidP="00974715">
            <w:pPr>
              <w:jc w:val="center"/>
              <w:rPr>
                <w:color w:val="000000"/>
              </w:rPr>
            </w:pPr>
            <w:r w:rsidRPr="00574F24">
              <w:rPr>
                <w:color w:val="000000"/>
              </w:rPr>
              <w:t>14.99</w:t>
            </w:r>
          </w:p>
        </w:tc>
        <w:tc>
          <w:tcPr>
            <w:tcW w:w="925" w:type="dxa"/>
            <w:tcBorders>
              <w:top w:val="nil"/>
              <w:left w:val="nil"/>
              <w:bottom w:val="single" w:sz="4" w:space="0" w:color="auto"/>
              <w:right w:val="nil"/>
            </w:tcBorders>
            <w:shd w:val="clear" w:color="auto" w:fill="auto"/>
            <w:noWrap/>
            <w:vAlign w:val="center"/>
            <w:hideMark/>
          </w:tcPr>
          <w:p w14:paraId="47DAD7B6" w14:textId="77777777" w:rsidR="00153C10" w:rsidRPr="00574F24" w:rsidRDefault="00153C10" w:rsidP="00974715">
            <w:pPr>
              <w:jc w:val="center"/>
              <w:rPr>
                <w:color w:val="000000"/>
              </w:rPr>
            </w:pPr>
            <w:r w:rsidRPr="00574F24">
              <w:rPr>
                <w:color w:val="000000"/>
              </w:rPr>
              <w:t>0.19</w:t>
            </w:r>
          </w:p>
        </w:tc>
      </w:tr>
    </w:tbl>
    <w:p w14:paraId="54ACDAFD" w14:textId="77777777" w:rsidR="00153C10" w:rsidRDefault="00153C10" w:rsidP="00153C10">
      <w:pPr>
        <w:jc w:val="both"/>
      </w:pPr>
    </w:p>
    <w:p w14:paraId="065A0F74" w14:textId="32F7287D" w:rsidR="00153C10" w:rsidRDefault="00BD2DC3" w:rsidP="008C0925">
      <w:pPr>
        <w:keepNext/>
        <w:jc w:val="center"/>
      </w:pPr>
      <w:r>
        <w:rPr>
          <w:noProof/>
        </w:rPr>
        <w:drawing>
          <wp:inline distT="0" distB="0" distL="0" distR="0" wp14:anchorId="71369FC3" wp14:editId="4ED92232">
            <wp:extent cx="3810529" cy="2286000"/>
            <wp:effectExtent l="0" t="0" r="0" b="0"/>
            <wp:docPr id="279989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810529" cy="2286000"/>
                    </a:xfrm>
                    <a:prstGeom prst="rect">
                      <a:avLst/>
                    </a:prstGeom>
                    <a:noFill/>
                  </pic:spPr>
                </pic:pic>
              </a:graphicData>
            </a:graphic>
          </wp:inline>
        </w:drawing>
      </w:r>
    </w:p>
    <w:p w14:paraId="480F8C10" w14:textId="40EF1CB5" w:rsidR="00153C10" w:rsidRPr="00B825EB" w:rsidRDefault="00153C10" w:rsidP="008C0925">
      <w:pPr>
        <w:pStyle w:val="Caption"/>
        <w:jc w:val="both"/>
        <w:rPr>
          <w:i w:val="0"/>
          <w:iCs w:val="0"/>
          <w:color w:val="auto"/>
          <w:sz w:val="24"/>
          <w:szCs w:val="24"/>
        </w:rPr>
      </w:pPr>
      <w:bookmarkStart w:id="110" w:name="_Toc131948724"/>
      <w:r w:rsidRPr="00B825EB">
        <w:rPr>
          <w:b/>
          <w:bCs/>
          <w:i w:val="0"/>
          <w:iCs w:val="0"/>
          <w:color w:val="auto"/>
          <w:sz w:val="24"/>
          <w:szCs w:val="24"/>
        </w:rPr>
        <w:t xml:space="preserve">Figure </w:t>
      </w:r>
      <w:r w:rsidRPr="00B825EB">
        <w:rPr>
          <w:b/>
          <w:bCs/>
          <w:i w:val="0"/>
          <w:iCs w:val="0"/>
          <w:color w:val="auto"/>
          <w:sz w:val="24"/>
          <w:szCs w:val="24"/>
        </w:rPr>
        <w:fldChar w:fldCharType="begin"/>
      </w:r>
      <w:r w:rsidRPr="00B825EB">
        <w:rPr>
          <w:b/>
          <w:bCs/>
          <w:i w:val="0"/>
          <w:iCs w:val="0"/>
          <w:color w:val="auto"/>
          <w:sz w:val="24"/>
          <w:szCs w:val="24"/>
        </w:rPr>
        <w:instrText xml:space="preserve"> SEQ Figure \* ARABIC </w:instrText>
      </w:r>
      <w:r w:rsidRPr="00B825EB">
        <w:rPr>
          <w:b/>
          <w:bCs/>
          <w:i w:val="0"/>
          <w:iCs w:val="0"/>
          <w:color w:val="auto"/>
          <w:sz w:val="24"/>
          <w:szCs w:val="24"/>
        </w:rPr>
        <w:fldChar w:fldCharType="separate"/>
      </w:r>
      <w:r w:rsidR="001F4741">
        <w:rPr>
          <w:b/>
          <w:bCs/>
          <w:i w:val="0"/>
          <w:iCs w:val="0"/>
          <w:noProof/>
          <w:color w:val="auto"/>
          <w:sz w:val="24"/>
          <w:szCs w:val="24"/>
        </w:rPr>
        <w:t>60</w:t>
      </w:r>
      <w:r w:rsidRPr="00B825EB">
        <w:rPr>
          <w:b/>
          <w:bCs/>
          <w:i w:val="0"/>
          <w:iCs w:val="0"/>
          <w:color w:val="auto"/>
          <w:sz w:val="24"/>
          <w:szCs w:val="24"/>
        </w:rPr>
        <w:fldChar w:fldCharType="end"/>
      </w:r>
      <w:r w:rsidRPr="00B825EB">
        <w:rPr>
          <w:b/>
          <w:bCs/>
          <w:i w:val="0"/>
          <w:iCs w:val="0"/>
          <w:color w:val="auto"/>
          <w:sz w:val="24"/>
          <w:szCs w:val="24"/>
        </w:rPr>
        <w:t>:</w:t>
      </w:r>
      <w:r w:rsidRPr="00B825EB">
        <w:rPr>
          <w:i w:val="0"/>
          <w:iCs w:val="0"/>
          <w:color w:val="auto"/>
          <w:sz w:val="24"/>
          <w:szCs w:val="24"/>
        </w:rPr>
        <w:t xml:space="preserve"> Theoretical Thiele modulus and correspondent effectiveness factor calculated based on consumption catalytic rates of acetone and cyclopentanone.</w:t>
      </w:r>
      <w:bookmarkEnd w:id="110"/>
    </w:p>
    <w:p w14:paraId="177D2120" w14:textId="77777777" w:rsidR="00153C10" w:rsidRDefault="00153C10" w:rsidP="00BA5F6A">
      <w:pPr>
        <w:spacing w:line="480" w:lineRule="auto"/>
        <w:jc w:val="both"/>
      </w:pPr>
      <w:r w:rsidRPr="00B825EB">
        <w:tab/>
        <w:t xml:space="preserve">Therefore, the observed decrease in the 150-165 </w:t>
      </w:r>
      <w:r w:rsidRPr="00B825EB">
        <w:rPr>
          <w:vertAlign w:val="superscript"/>
        </w:rPr>
        <w:t>o</w:t>
      </w:r>
      <w:r w:rsidRPr="00B825EB">
        <w:t>C S-ZSM5 samples points to a decrease in</w:t>
      </w:r>
      <w:r>
        <w:t xml:space="preserve"> the effectiveness factor and an increase in Thiele modulus, theoretically proving the structural influences over zeolite catalytic activity. </w:t>
      </w:r>
    </w:p>
    <w:p w14:paraId="366C7DE6" w14:textId="7109C3BE" w:rsidR="00153C10" w:rsidRPr="00625F43" w:rsidRDefault="00153C10" w:rsidP="00BA5F6A">
      <w:pPr>
        <w:spacing w:line="480" w:lineRule="auto"/>
        <w:jc w:val="both"/>
      </w:pPr>
      <w:r w:rsidRPr="00625F43">
        <w:lastRenderedPageBreak/>
        <w:tab/>
        <w:t>To confirm</w:t>
      </w:r>
      <w:r>
        <w:t xml:space="preserve"> the theoretical </w:t>
      </w:r>
      <w:r w:rsidRPr="00625F43">
        <w:t xml:space="preserve">higher Thiele modulus with a larger aggregate </w:t>
      </w:r>
      <w:r>
        <w:t xml:space="preserve">size, </w:t>
      </w:r>
      <w:r w:rsidRPr="00625F43">
        <w:t xml:space="preserve">a following Na-titration is performed in synthesized </w:t>
      </w:r>
      <w:r>
        <w:t xml:space="preserve">zeolites </w:t>
      </w:r>
      <w:r w:rsidRPr="00625F43">
        <w:t xml:space="preserve">at the temperature of 160 </w:t>
      </w:r>
      <w:r w:rsidRPr="00625F43">
        <w:rPr>
          <w:vertAlign w:val="superscript"/>
        </w:rPr>
        <w:t>o</w:t>
      </w:r>
      <w:r w:rsidRPr="00625F43">
        <w:t xml:space="preserve">C. Unexpectedly, the behavior is different from what it has been observed for the commercial zeolite series and the S-ZSM5 150 </w:t>
      </w:r>
      <w:r w:rsidRPr="00625F43">
        <w:rPr>
          <w:vertAlign w:val="superscript"/>
        </w:rPr>
        <w:t>o</w:t>
      </w:r>
      <w:r w:rsidRPr="00625F43">
        <w:t xml:space="preserve">C trends, where the drop is sharp and with a lower calculated BAS densities than the value found through IPA-TPD </w:t>
      </w:r>
      <w:r w:rsidR="006C0379">
        <w:t xml:space="preserve">as reaction rate zeros </w:t>
      </w:r>
      <w:r w:rsidRPr="00625F43">
        <w:t>(0.10-0.12 mmol/g</w:t>
      </w:r>
      <w:r w:rsidRPr="00625F43">
        <w:rPr>
          <w:vertAlign w:val="subscript"/>
        </w:rPr>
        <w:t>cat</w:t>
      </w:r>
      <w:r w:rsidRPr="00625F43">
        <w:t xml:space="preserve"> vs. 0.20 mmol/</w:t>
      </w:r>
      <w:r w:rsidRPr="0060294C">
        <w:t>g</w:t>
      </w:r>
      <w:r w:rsidRPr="0060294C">
        <w:rPr>
          <w:vertAlign w:val="subscript"/>
        </w:rPr>
        <w:t>cat</w:t>
      </w:r>
      <w:r w:rsidRPr="0060294C">
        <w:t xml:space="preserve">, </w:t>
      </w:r>
      <w:r w:rsidRPr="0060294C">
        <w:rPr>
          <w:b/>
          <w:bCs/>
        </w:rPr>
        <w:t xml:space="preserve">Figure </w:t>
      </w:r>
      <w:r w:rsidR="0099214D" w:rsidRPr="0060294C">
        <w:rPr>
          <w:b/>
          <w:bCs/>
        </w:rPr>
        <w:t>61</w:t>
      </w:r>
      <w:r w:rsidRPr="0060294C">
        <w:t>). Cyclopentanone consumption</w:t>
      </w:r>
      <w:r w:rsidRPr="00625F43">
        <w:t xml:space="preserve"> decreases more pronounced</w:t>
      </w:r>
      <w:r>
        <w:t>ly</w:t>
      </w:r>
      <w:r w:rsidRPr="00625F43">
        <w:t xml:space="preserve"> than acetone</w:t>
      </w:r>
      <w:r>
        <w:t xml:space="preserve"> (36% drop relative to the Na-free rate versus 24%)</w:t>
      </w:r>
      <w:r w:rsidR="002C3279">
        <w:t xml:space="preserve"> relative to the first Na-titrated sample</w:t>
      </w:r>
      <w:r w:rsidRPr="00625F43">
        <w:t xml:space="preserve">, </w:t>
      </w:r>
      <w:r>
        <w:t>evidence of its higher dependence</w:t>
      </w:r>
      <w:r w:rsidRPr="00625F43">
        <w:t xml:space="preserve"> on diffusion</w:t>
      </w:r>
      <w:r>
        <w:t xml:space="preserve"> through the aggregates</w:t>
      </w:r>
      <w:r w:rsidRPr="00625F43">
        <w:t>.</w:t>
      </w:r>
    </w:p>
    <w:p w14:paraId="7B26C003" w14:textId="77777777" w:rsidR="00153C10" w:rsidRPr="007C59F5" w:rsidRDefault="00153C10" w:rsidP="008C0925">
      <w:pPr>
        <w:keepNext/>
        <w:jc w:val="center"/>
      </w:pPr>
      <w:r w:rsidRPr="007C59F5">
        <w:rPr>
          <w:noProof/>
        </w:rPr>
        <w:drawing>
          <wp:inline distT="0" distB="0" distL="0" distR="0" wp14:anchorId="02660483" wp14:editId="1EC7D129">
            <wp:extent cx="3751451" cy="2286000"/>
            <wp:effectExtent l="0" t="0" r="1905" b="0"/>
            <wp:docPr id="62" name="Picture 6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line chart&#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751451" cy="2286000"/>
                    </a:xfrm>
                    <a:prstGeom prst="rect">
                      <a:avLst/>
                    </a:prstGeom>
                    <a:noFill/>
                  </pic:spPr>
                </pic:pic>
              </a:graphicData>
            </a:graphic>
          </wp:inline>
        </w:drawing>
      </w:r>
    </w:p>
    <w:p w14:paraId="18A11CAB" w14:textId="20FEF750" w:rsidR="00153C10" w:rsidRPr="007C59F5" w:rsidRDefault="00153C10" w:rsidP="008C0925">
      <w:pPr>
        <w:pStyle w:val="Caption"/>
        <w:jc w:val="both"/>
        <w:rPr>
          <w:i w:val="0"/>
          <w:iCs w:val="0"/>
          <w:color w:val="auto"/>
          <w:sz w:val="24"/>
          <w:szCs w:val="24"/>
        </w:rPr>
      </w:pPr>
      <w:bookmarkStart w:id="111" w:name="_Toc131948725"/>
      <w:r w:rsidRPr="007C59F5">
        <w:rPr>
          <w:b/>
          <w:bCs/>
          <w:i w:val="0"/>
          <w:iCs w:val="0"/>
          <w:color w:val="auto"/>
          <w:sz w:val="24"/>
          <w:szCs w:val="24"/>
        </w:rPr>
        <w:t xml:space="preserve">Figure </w:t>
      </w:r>
      <w:r w:rsidRPr="007C59F5">
        <w:rPr>
          <w:b/>
          <w:bCs/>
          <w:i w:val="0"/>
          <w:iCs w:val="0"/>
          <w:color w:val="auto"/>
          <w:sz w:val="24"/>
          <w:szCs w:val="24"/>
        </w:rPr>
        <w:fldChar w:fldCharType="begin"/>
      </w:r>
      <w:r w:rsidRPr="007C59F5">
        <w:rPr>
          <w:b/>
          <w:bCs/>
          <w:i w:val="0"/>
          <w:iCs w:val="0"/>
          <w:color w:val="auto"/>
          <w:sz w:val="24"/>
          <w:szCs w:val="24"/>
        </w:rPr>
        <w:instrText xml:space="preserve"> SEQ Figure \* ARABIC </w:instrText>
      </w:r>
      <w:r w:rsidRPr="007C59F5">
        <w:rPr>
          <w:b/>
          <w:bCs/>
          <w:i w:val="0"/>
          <w:iCs w:val="0"/>
          <w:color w:val="auto"/>
          <w:sz w:val="24"/>
          <w:szCs w:val="24"/>
        </w:rPr>
        <w:fldChar w:fldCharType="separate"/>
      </w:r>
      <w:r w:rsidR="001F4741">
        <w:rPr>
          <w:b/>
          <w:bCs/>
          <w:i w:val="0"/>
          <w:iCs w:val="0"/>
          <w:noProof/>
          <w:color w:val="auto"/>
          <w:sz w:val="24"/>
          <w:szCs w:val="24"/>
        </w:rPr>
        <w:t>61</w:t>
      </w:r>
      <w:r w:rsidRPr="007C59F5">
        <w:rPr>
          <w:b/>
          <w:bCs/>
          <w:i w:val="0"/>
          <w:iCs w:val="0"/>
          <w:color w:val="auto"/>
          <w:sz w:val="24"/>
          <w:szCs w:val="24"/>
        </w:rPr>
        <w:fldChar w:fldCharType="end"/>
      </w:r>
      <w:r w:rsidRPr="007C59F5">
        <w:rPr>
          <w:b/>
          <w:bCs/>
          <w:i w:val="0"/>
          <w:iCs w:val="0"/>
          <w:color w:val="auto"/>
          <w:sz w:val="24"/>
          <w:szCs w:val="24"/>
        </w:rPr>
        <w:t>:</w:t>
      </w:r>
      <w:r w:rsidRPr="007C59F5">
        <w:rPr>
          <w:i w:val="0"/>
          <w:iCs w:val="0"/>
          <w:color w:val="auto"/>
          <w:sz w:val="24"/>
          <w:szCs w:val="24"/>
        </w:rPr>
        <w:t xml:space="preserve"> Self-aldol condensation rates of acetone and cyclopentanone over Na-titrated S-ZSM5 160 </w:t>
      </w:r>
      <w:r w:rsidRPr="007C59F5">
        <w:rPr>
          <w:i w:val="0"/>
          <w:iCs w:val="0"/>
          <w:color w:val="auto"/>
          <w:sz w:val="24"/>
          <w:szCs w:val="24"/>
          <w:vertAlign w:val="superscript"/>
        </w:rPr>
        <w:t>o</w:t>
      </w:r>
      <w:r w:rsidRPr="007C59F5">
        <w:rPr>
          <w:i w:val="0"/>
          <w:iCs w:val="0"/>
          <w:color w:val="auto"/>
          <w:sz w:val="24"/>
          <w:szCs w:val="24"/>
        </w:rPr>
        <w:t xml:space="preserve">C samples as a function of titrated acid sites. Reaction conditions: 250 </w:t>
      </w:r>
      <w:r w:rsidRPr="007C59F5">
        <w:rPr>
          <w:i w:val="0"/>
          <w:iCs w:val="0"/>
          <w:color w:val="auto"/>
          <w:sz w:val="24"/>
          <w:szCs w:val="24"/>
          <w:vertAlign w:val="superscript"/>
        </w:rPr>
        <w:t>o</w:t>
      </w:r>
      <w:r w:rsidRPr="007C59F5">
        <w:rPr>
          <w:i w:val="0"/>
          <w:iCs w:val="0"/>
          <w:color w:val="auto"/>
          <w:sz w:val="24"/>
          <w:szCs w:val="24"/>
        </w:rPr>
        <w:t>C, 1 mol/L feeding reactant, 1 hour of reaction time</w:t>
      </w:r>
      <w:r w:rsidR="00BB1F71">
        <w:rPr>
          <w:i w:val="0"/>
          <w:iCs w:val="0"/>
          <w:color w:val="auto"/>
          <w:sz w:val="24"/>
          <w:szCs w:val="24"/>
        </w:rPr>
        <w:t>,</w:t>
      </w:r>
      <w:r w:rsidRPr="007C59F5">
        <w:rPr>
          <w:i w:val="0"/>
          <w:iCs w:val="0"/>
          <w:color w:val="auto"/>
          <w:sz w:val="24"/>
          <w:szCs w:val="24"/>
        </w:rPr>
        <w:t xml:space="preserve"> 250 mg of catalyst.</w:t>
      </w:r>
      <w:bookmarkEnd w:id="111"/>
    </w:p>
    <w:p w14:paraId="77D57D0C" w14:textId="55A431A5" w:rsidR="00153C10" w:rsidRPr="00625F43" w:rsidRDefault="00153C10" w:rsidP="00383510">
      <w:pPr>
        <w:spacing w:line="480" w:lineRule="auto"/>
        <w:jc w:val="both"/>
      </w:pPr>
      <w:r w:rsidRPr="00625F43">
        <w:tab/>
        <w:t xml:space="preserve">It </w:t>
      </w:r>
      <w:r>
        <w:t>is</w:t>
      </w:r>
      <w:r w:rsidRPr="00625F43">
        <w:t xml:space="preserve"> inferred</w:t>
      </w:r>
      <w:r>
        <w:t xml:space="preserve"> here</w:t>
      </w:r>
      <w:r w:rsidRPr="00625F43">
        <w:t xml:space="preserve"> that a considerable contribution in activity is derived from those small zeolites over the particle surface and as their size increases the activity drops consistently.</w:t>
      </w:r>
      <w:r w:rsidR="00383510">
        <w:t xml:space="preserve"> </w:t>
      </w:r>
      <w:r w:rsidRPr="00625F43">
        <w:t xml:space="preserve">The assumption is that the titration firstly occurs on the nano-zeolites formed over the catalyst surface rather than through the whole particle as expected. The behavior observed in the Na-series in S-ZSM5 150 </w:t>
      </w:r>
      <w:r w:rsidRPr="00625F43">
        <w:rPr>
          <w:vertAlign w:val="superscript"/>
        </w:rPr>
        <w:t>o</w:t>
      </w:r>
      <w:r w:rsidRPr="00625F43">
        <w:t xml:space="preserve">C </w:t>
      </w:r>
      <w:r>
        <w:t>is very similar to what was observed with the commercial samples of ZSM5 (Si/Al = 40 &amp; 140)</w:t>
      </w:r>
      <w:r w:rsidRPr="00625F43">
        <w:t xml:space="preserve"> because such contribution in activity </w:t>
      </w:r>
      <w:r w:rsidRPr="00625F43">
        <w:lastRenderedPageBreak/>
        <w:t xml:space="preserve">coming from the nanoaggregates is </w:t>
      </w:r>
      <w:r>
        <w:t>large</w:t>
      </w:r>
      <w:r w:rsidRPr="00625F43">
        <w:t xml:space="preserve"> </w:t>
      </w:r>
      <w:r w:rsidR="003E54DD">
        <w:t xml:space="preserve">compared to </w:t>
      </w:r>
      <w:r w:rsidR="0072372D">
        <w:t xml:space="preserve">the big particle, </w:t>
      </w:r>
      <w:r w:rsidRPr="00625F43">
        <w:t xml:space="preserve">and the titration levels achieved were not </w:t>
      </w:r>
      <w:r>
        <w:t>sufficient</w:t>
      </w:r>
      <w:r w:rsidRPr="00625F43">
        <w:t xml:space="preserve"> enough to observe the consistent drop.</w:t>
      </w:r>
      <w:r>
        <w:t xml:space="preserve"> Once in the S-ZSM5 at 160 </w:t>
      </w:r>
      <w:r w:rsidRPr="00D74CF2">
        <w:rPr>
          <w:vertAlign w:val="superscript"/>
        </w:rPr>
        <w:t>o</w:t>
      </w:r>
      <w:r>
        <w:t xml:space="preserve">C zeolites the concentration of aggregates are smaller compared to those at 150 </w:t>
      </w:r>
      <w:r w:rsidRPr="009933AC">
        <w:rPr>
          <w:vertAlign w:val="superscript"/>
        </w:rPr>
        <w:t>o</w:t>
      </w:r>
      <w:r>
        <w:t>C any small extent in titration results in a considerable decrease in rate.</w:t>
      </w:r>
    </w:p>
    <w:p w14:paraId="555DA33F" w14:textId="6524BD51" w:rsidR="0099214D" w:rsidRPr="00B45CA3" w:rsidRDefault="00153C10" w:rsidP="00BA5F6A">
      <w:pPr>
        <w:spacing w:line="480" w:lineRule="auto"/>
        <w:jc w:val="both"/>
      </w:pPr>
      <w:r w:rsidRPr="00625F43">
        <w:tab/>
        <w:t xml:space="preserve">Even though the catalytic results did not follow the expectations from the Thiele Modulus equation relation as particle size increases, the greater extent of MTL is interpreted differently and hypothesized to be higher at the S-ZSM5 160 </w:t>
      </w:r>
      <w:r w:rsidRPr="00625F43">
        <w:rPr>
          <w:vertAlign w:val="superscript"/>
        </w:rPr>
        <w:t>o</w:t>
      </w:r>
      <w:r w:rsidRPr="00625F43">
        <w:t>C Na-titrated series samples.</w:t>
      </w:r>
    </w:p>
    <w:p w14:paraId="294E7793" w14:textId="77777777" w:rsidR="00135FF1" w:rsidRPr="00AF40A9" w:rsidRDefault="00135FF1" w:rsidP="00AF40A9">
      <w:pPr>
        <w:spacing w:line="480" w:lineRule="auto"/>
        <w:jc w:val="both"/>
        <w:rPr>
          <w:i/>
          <w:iCs/>
        </w:rPr>
      </w:pPr>
    </w:p>
    <w:p w14:paraId="1676A0B9" w14:textId="6A5287F6" w:rsidR="00153C10" w:rsidRPr="008968F0" w:rsidRDefault="00AF40A9" w:rsidP="00AF40A9">
      <w:pPr>
        <w:pStyle w:val="Heading4"/>
        <w:spacing w:line="480" w:lineRule="auto"/>
        <w:rPr>
          <w:rFonts w:ascii="Times New Roman" w:hAnsi="Times New Roman" w:cs="Times New Roman"/>
          <w:color w:val="auto"/>
        </w:rPr>
      </w:pPr>
      <w:r w:rsidRPr="008968F0">
        <w:rPr>
          <w:rFonts w:ascii="Times New Roman" w:hAnsi="Times New Roman" w:cs="Times New Roman"/>
          <w:color w:val="auto"/>
        </w:rPr>
        <w:tab/>
      </w:r>
      <w:r w:rsidR="00153C10" w:rsidRPr="008968F0">
        <w:rPr>
          <w:rFonts w:ascii="Times New Roman" w:hAnsi="Times New Roman" w:cs="Times New Roman"/>
          <w:color w:val="auto"/>
        </w:rPr>
        <w:t>3.3.2.2 Na-Effect over Zeolite Synthesis</w:t>
      </w:r>
    </w:p>
    <w:p w14:paraId="60009AB1" w14:textId="4F70840A" w:rsidR="00153C10" w:rsidRDefault="00153C10" w:rsidP="00AF40A9">
      <w:pPr>
        <w:spacing w:line="480" w:lineRule="auto"/>
        <w:jc w:val="both"/>
      </w:pPr>
      <w:r w:rsidRPr="00AF40A9">
        <w:tab/>
        <w:t xml:space="preserve">A second approach is also investigated to understand the effects Na may have </w:t>
      </w:r>
      <w:r>
        <w:t>during synthesis. At this point Na is assumed to work as a titrant agent and replace the proton, inactivate that specific site location. This occurs</w:t>
      </w:r>
      <w:r w:rsidRPr="000E7D09">
        <w:t xml:space="preserve"> </w:t>
      </w:r>
      <w:r>
        <w:t xml:space="preserve">mainly in a post-catalyst treatment, after zeolite formation and no extreme condition is applied to force any structural change in the framework. However, due to positive charge in the Na cation it may not operate as a titrant only. The hypothesis stands once TPAOH (MFI structure directing agent) has a positive charge in its center, position in which the Al is said to be located at once TPAOH is preferentially placed at the framework intersections </w:t>
      </w:r>
      <w:r w:rsidRPr="00C97725">
        <w:fldChar w:fldCharType="begin">
          <w:fldData xml:space="preserve">PEVuZE5vdGU+PENpdGU+PEF1dGhvcj5SYXZpc2hhbmthcjwvQXV0aG9yPjxZZWFyPjE5OTk8L1ll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</w:fldData>
        </w:fldChar>
      </w:r>
      <w:r>
        <w:instrText xml:space="preserve"> ADDIN EN.CITE </w:instrText>
      </w:r>
      <w:r>
        <w:fldChar w:fldCharType="begin">
          <w:fldData xml:space="preserve">PEVuZE5vdGU+PENpdGU+PEF1dGhvcj5SYXZpc2hhbmthcjwvQXV0aG9yPjxZZWFyPjE5OTk8L1ll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</w:fldData>
        </w:fldChar>
      </w:r>
      <w:r>
        <w:instrText xml:space="preserve"> ADDIN EN.CITE.DATA </w:instrText>
      </w:r>
      <w:r>
        <w:fldChar w:fldCharType="end"/>
      </w:r>
      <w:r w:rsidRPr="00C97725">
        <w:fldChar w:fldCharType="separate"/>
      </w:r>
      <w:r>
        <w:rPr>
          <w:noProof/>
        </w:rPr>
        <w:t>[</w:t>
      </w:r>
      <w:hyperlink w:anchor="_ENREF_194" w:tooltip="Ravishankar, 1999 #104" w:history="1">
        <w:r w:rsidR="00D307FA">
          <w:rPr>
            <w:noProof/>
          </w:rPr>
          <w:t>194-196</w:t>
        </w:r>
      </w:hyperlink>
      <w:r>
        <w:rPr>
          <w:noProof/>
        </w:rPr>
        <w:t>]</w:t>
      </w:r>
      <w:r w:rsidRPr="00C97725">
        <w:fldChar w:fldCharType="end"/>
      </w:r>
      <w:r>
        <w:t>. By using Na during synthesis in a water-solution, the existence of Na</w:t>
      </w:r>
      <w:r w:rsidRPr="00E45E62">
        <w:rPr>
          <w:vertAlign w:val="superscript"/>
        </w:rPr>
        <w:t>+</w:t>
      </w:r>
      <w:r>
        <w:t xml:space="preserve"> may direct the Al sitting in different locations rather than those expected using TPAOH, generating sites in different environments and with possible different catalytic activities </w:t>
      </w:r>
      <w:r w:rsidRPr="00C97725">
        <w:fldChar w:fldCharType="begin"/>
      </w:r>
      <w:r>
        <w:instrText xml:space="preserve"> ADDIN EN.CITE &lt;EndNote&gt;&lt;Cite&gt;&lt;Author&gt;Opalka&lt;/Author&gt;&lt;Year&gt;2016&lt;/Year&gt;&lt;RecNum&gt;107&lt;/RecNum&gt;&lt;DisplayText&gt;[197]&lt;/DisplayText&gt;&lt;record&gt;&lt;rec-number&gt;107&lt;/rec-number&gt;&lt;foreign-keys&gt;&lt;key app="EN" db-id="59dvwrfdof9dw8exf0kvp0atwazsazeeffsp" timestamp="1673559606"&gt;107&lt;/key&gt;&lt;/foreign-keys&gt;&lt;ref-type name="Journal Article"&gt;17&lt;/ref-type&gt;&lt;contributors&gt;&lt;authors&gt;&lt;author&gt;Susanne M. Opalka&lt;/author&gt;&lt;author&gt;Tianli Zhu&lt;/author&gt;&lt;/authors&gt;&lt;/contributors&gt;&lt;titles&gt;&lt;title&gt;Influence of the Si/Al ratio and Al distribution on the H-ZSM-5 lattice and Brønsted acid site characteristics&lt;/title&gt;&lt;secondary-title&gt;Microporous and Mesoporous Materials&lt;/secondary-title&gt;&lt;/titles&gt;&lt;periodical&gt;&lt;full-title&gt;Microporous and Mesoporous Materials&lt;/full-title&gt;&lt;/periodical&gt;&lt;pages&gt;256-270&lt;/pages&gt;&lt;volume&gt;222&lt;/volume&gt;&lt;dates&gt;&lt;year&gt;2016&lt;/year&gt;&lt;/dates&gt;&lt;urls&gt;&lt;/urls&gt;&lt;electronic-resource-num&gt;https://doi.org/10.1016/j.micromeso.2015.10.030&lt;/electronic-resource-num&gt;&lt;/record&gt;&lt;/Cite&gt;&lt;/EndNote&gt;</w:instrText>
      </w:r>
      <w:r w:rsidRPr="00C97725">
        <w:fldChar w:fldCharType="separate"/>
      </w:r>
      <w:r>
        <w:rPr>
          <w:noProof/>
        </w:rPr>
        <w:t>[</w:t>
      </w:r>
      <w:hyperlink w:anchor="_ENREF_197" w:tooltip="Opalka, 2016 #107" w:history="1">
        <w:r w:rsidR="00D307FA">
          <w:rPr>
            <w:noProof/>
          </w:rPr>
          <w:t>197</w:t>
        </w:r>
      </w:hyperlink>
      <w:r>
        <w:rPr>
          <w:noProof/>
        </w:rPr>
        <w:t>]</w:t>
      </w:r>
      <w:r w:rsidRPr="00C97725">
        <w:fldChar w:fldCharType="end"/>
      </w:r>
      <w:r>
        <w:t xml:space="preserve">. </w:t>
      </w:r>
    </w:p>
    <w:p w14:paraId="3847E4B5" w14:textId="5CB2D47D" w:rsidR="0099214D" w:rsidRDefault="00153C10" w:rsidP="00BA5F6A">
      <w:pPr>
        <w:spacing w:line="480" w:lineRule="auto"/>
        <w:jc w:val="both"/>
      </w:pPr>
      <w:r>
        <w:tab/>
        <w:t xml:space="preserve">Two S-ZSM5 samples were prepared maintaining the standard synthesis procedure at 150 </w:t>
      </w:r>
      <w:r w:rsidRPr="007F60DD">
        <w:rPr>
          <w:vertAlign w:val="superscript"/>
        </w:rPr>
        <w:t>o</w:t>
      </w:r>
      <w:r>
        <w:t xml:space="preserve">C with added Na loadings calculated based on TPAOH molar amount, being: </w:t>
      </w:r>
      <w:r>
        <w:lastRenderedPageBreak/>
        <w:t>Na0.0625 and Na0.25, in which 0.0625 and 0.25 are the mols of NaNO</w:t>
      </w:r>
      <w:r w:rsidRPr="00F0389E">
        <w:rPr>
          <w:vertAlign w:val="subscript"/>
        </w:rPr>
        <w:t>3</w:t>
      </w:r>
      <w:r>
        <w:t xml:space="preserve"> added for each mol of TPAOH.</w:t>
      </w:r>
      <w:r w:rsidRPr="00D91D0F">
        <w:t xml:space="preserve"> </w:t>
      </w:r>
      <w:r>
        <w:t>No NH</w:t>
      </w:r>
      <w:r w:rsidRPr="00577CB6">
        <w:rPr>
          <w:vertAlign w:val="subscript"/>
        </w:rPr>
        <w:t>4</w:t>
      </w:r>
      <w:r>
        <w:t>NO</w:t>
      </w:r>
      <w:r w:rsidRPr="00577CB6">
        <w:rPr>
          <w:vertAlign w:val="subscript"/>
        </w:rPr>
        <w:t>3</w:t>
      </w:r>
      <w:r>
        <w:t xml:space="preserve"> exchange is performed after calcination to restore the protons titrated </w:t>
      </w:r>
      <w:r w:rsidRPr="0060294C">
        <w:t xml:space="preserve">by Na. In </w:t>
      </w:r>
      <w:r w:rsidRPr="0060294C">
        <w:rPr>
          <w:b/>
          <w:bCs/>
        </w:rPr>
        <w:t xml:space="preserve">Figure </w:t>
      </w:r>
      <w:r w:rsidR="0099214D" w:rsidRPr="0060294C">
        <w:rPr>
          <w:b/>
          <w:bCs/>
        </w:rPr>
        <w:t>62</w:t>
      </w:r>
      <w:r w:rsidRPr="0060294C">
        <w:t xml:space="preserve"> no structural changes is observed compared to those taken for the S-ZSM5 150 </w:t>
      </w:r>
      <w:r w:rsidRPr="0060294C">
        <w:rPr>
          <w:vertAlign w:val="superscript"/>
        </w:rPr>
        <w:t>o</w:t>
      </w:r>
      <w:r w:rsidRPr="0060294C">
        <w:t>C Na-free zeolite (</w:t>
      </w:r>
      <w:r w:rsidRPr="0060294C">
        <w:rPr>
          <w:b/>
          <w:bCs/>
        </w:rPr>
        <w:t>Figure</w:t>
      </w:r>
      <w:r w:rsidR="0099214D" w:rsidRPr="0060294C">
        <w:rPr>
          <w:b/>
          <w:bCs/>
        </w:rPr>
        <w:t xml:space="preserve"> 55</w:t>
      </w:r>
      <w:r w:rsidRPr="0060294C">
        <w:t>, upper</w:t>
      </w:r>
      <w:r>
        <w:t xml:space="preserve"> left image). The concentration of acid active sites measured by IPA-TPD are 0.065 and 0.099 mmol/g</w:t>
      </w:r>
      <w:r w:rsidRPr="00436739">
        <w:rPr>
          <w:vertAlign w:val="subscript"/>
        </w:rPr>
        <w:t>cat</w:t>
      </w:r>
      <w:r>
        <w:t xml:space="preserve"> for each Na-sample, and the </w:t>
      </w:r>
      <w:r w:rsidRPr="0060294C">
        <w:t xml:space="preserve">catalytic measurements compared to those formerly shown in </w:t>
      </w:r>
      <w:r w:rsidRPr="0060294C">
        <w:rPr>
          <w:b/>
          <w:bCs/>
        </w:rPr>
        <w:t xml:space="preserve">Figure </w:t>
      </w:r>
      <w:r w:rsidR="0099214D" w:rsidRPr="0060294C">
        <w:rPr>
          <w:b/>
          <w:bCs/>
        </w:rPr>
        <w:t>59</w:t>
      </w:r>
      <w:r w:rsidRPr="0060294C">
        <w:rPr>
          <w:b/>
          <w:bCs/>
        </w:rPr>
        <w:t xml:space="preserve"> </w:t>
      </w:r>
      <w:r w:rsidRPr="0060294C">
        <w:t>(</w:t>
      </w:r>
      <w:r w:rsidRPr="0060294C">
        <w:rPr>
          <w:b/>
          <w:bCs/>
        </w:rPr>
        <w:t xml:space="preserve">Figure </w:t>
      </w:r>
      <w:r w:rsidR="0099214D" w:rsidRPr="0060294C">
        <w:rPr>
          <w:b/>
          <w:bCs/>
        </w:rPr>
        <w:t>63</w:t>
      </w:r>
      <w:r w:rsidRPr="0060294C">
        <w:t>).</w:t>
      </w:r>
      <w:r>
        <w:t xml:space="preserve"> </w:t>
      </w:r>
    </w:p>
    <w:p w14:paraId="0D208ED5" w14:textId="77777777" w:rsidR="00153C10" w:rsidRPr="00795FC6" w:rsidRDefault="00153C10" w:rsidP="008C0925">
      <w:pPr>
        <w:keepNext/>
        <w:jc w:val="center"/>
      </w:pPr>
      <w:r w:rsidRPr="00795FC6">
        <w:rPr>
          <w:noProof/>
        </w:rPr>
        <w:drawing>
          <wp:inline distT="0" distB="0" distL="0" distR="0" wp14:anchorId="72AFD4E1" wp14:editId="365494DA">
            <wp:extent cx="5405370" cy="3703320"/>
            <wp:effectExtent l="0" t="0" r="5080" b="0"/>
            <wp:docPr id="63" name="Picture 63" descr="A picture containing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close&#10;&#10;Description automatically generated"/>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405370" cy="3703320"/>
                    </a:xfrm>
                    <a:prstGeom prst="rect">
                      <a:avLst/>
                    </a:prstGeom>
                    <a:noFill/>
                  </pic:spPr>
                </pic:pic>
              </a:graphicData>
            </a:graphic>
          </wp:inline>
        </w:drawing>
      </w:r>
    </w:p>
    <w:p w14:paraId="351448F0" w14:textId="618D9EC1" w:rsidR="00153C10" w:rsidRPr="0018056C" w:rsidRDefault="00153C10" w:rsidP="008C0925">
      <w:pPr>
        <w:pStyle w:val="Caption"/>
        <w:jc w:val="both"/>
        <w:rPr>
          <w:i w:val="0"/>
          <w:iCs w:val="0"/>
          <w:color w:val="auto"/>
          <w:sz w:val="24"/>
          <w:szCs w:val="24"/>
        </w:rPr>
      </w:pPr>
      <w:bookmarkStart w:id="112" w:name="_Toc131948726"/>
      <w:r w:rsidRPr="00795FC6">
        <w:rPr>
          <w:b/>
          <w:bCs/>
          <w:i w:val="0"/>
          <w:iCs w:val="0"/>
          <w:color w:val="auto"/>
          <w:sz w:val="24"/>
          <w:szCs w:val="24"/>
        </w:rPr>
        <w:t xml:space="preserve">Figure </w:t>
      </w:r>
      <w:r w:rsidRPr="00795FC6">
        <w:rPr>
          <w:b/>
          <w:bCs/>
          <w:i w:val="0"/>
          <w:iCs w:val="0"/>
          <w:color w:val="auto"/>
          <w:sz w:val="24"/>
          <w:szCs w:val="24"/>
        </w:rPr>
        <w:fldChar w:fldCharType="begin"/>
      </w:r>
      <w:r w:rsidRPr="00795FC6">
        <w:rPr>
          <w:b/>
          <w:bCs/>
          <w:i w:val="0"/>
          <w:iCs w:val="0"/>
          <w:color w:val="auto"/>
          <w:sz w:val="24"/>
          <w:szCs w:val="24"/>
        </w:rPr>
        <w:instrText xml:space="preserve"> SEQ Figure \* ARABIC </w:instrText>
      </w:r>
      <w:r w:rsidRPr="00795FC6">
        <w:rPr>
          <w:b/>
          <w:bCs/>
          <w:i w:val="0"/>
          <w:iCs w:val="0"/>
          <w:color w:val="auto"/>
          <w:sz w:val="24"/>
          <w:szCs w:val="24"/>
        </w:rPr>
        <w:fldChar w:fldCharType="separate"/>
      </w:r>
      <w:r w:rsidR="001F4741">
        <w:rPr>
          <w:b/>
          <w:bCs/>
          <w:i w:val="0"/>
          <w:iCs w:val="0"/>
          <w:noProof/>
          <w:color w:val="auto"/>
          <w:sz w:val="24"/>
          <w:szCs w:val="24"/>
        </w:rPr>
        <w:t>62</w:t>
      </w:r>
      <w:r w:rsidRPr="00795FC6">
        <w:rPr>
          <w:b/>
          <w:bCs/>
          <w:i w:val="0"/>
          <w:iCs w:val="0"/>
          <w:color w:val="auto"/>
          <w:sz w:val="24"/>
          <w:szCs w:val="24"/>
        </w:rPr>
        <w:fldChar w:fldCharType="end"/>
      </w:r>
      <w:r w:rsidRPr="00795FC6">
        <w:rPr>
          <w:b/>
          <w:bCs/>
          <w:i w:val="0"/>
          <w:iCs w:val="0"/>
          <w:color w:val="auto"/>
          <w:sz w:val="24"/>
          <w:szCs w:val="24"/>
        </w:rPr>
        <w:t>:</w:t>
      </w:r>
      <w:r w:rsidRPr="00795FC6">
        <w:rPr>
          <w:i w:val="0"/>
          <w:iCs w:val="0"/>
          <w:color w:val="auto"/>
          <w:sz w:val="24"/>
          <w:szCs w:val="24"/>
        </w:rPr>
        <w:t xml:space="preserve"> Scanning Electron Microscope pictures of S-ZSM5 150 </w:t>
      </w:r>
      <w:r w:rsidRPr="00795FC6">
        <w:rPr>
          <w:i w:val="0"/>
          <w:iCs w:val="0"/>
          <w:color w:val="auto"/>
          <w:sz w:val="24"/>
          <w:szCs w:val="24"/>
          <w:vertAlign w:val="superscript"/>
        </w:rPr>
        <w:t>o</w:t>
      </w:r>
      <w:r w:rsidRPr="00795FC6">
        <w:rPr>
          <w:i w:val="0"/>
          <w:iCs w:val="0"/>
          <w:color w:val="auto"/>
          <w:sz w:val="24"/>
          <w:szCs w:val="24"/>
        </w:rPr>
        <w:t>C (Si/Al =80) with different Na loading</w:t>
      </w:r>
      <w:r>
        <w:rPr>
          <w:i w:val="0"/>
          <w:iCs w:val="0"/>
          <w:color w:val="auto"/>
          <w:sz w:val="24"/>
          <w:szCs w:val="24"/>
        </w:rPr>
        <w:t>s (Na0.0625 and Na0.25) calculated based on a TPAOH molar amount</w:t>
      </w:r>
      <w:r w:rsidRPr="00DA1436">
        <w:rPr>
          <w:i w:val="0"/>
          <w:iCs w:val="0"/>
          <w:color w:val="auto"/>
          <w:sz w:val="24"/>
          <w:szCs w:val="24"/>
        </w:rPr>
        <w:t>.</w:t>
      </w:r>
      <w:bookmarkEnd w:id="112"/>
    </w:p>
    <w:p w14:paraId="39717357" w14:textId="77777777" w:rsidR="008C0925" w:rsidRDefault="008C0925" w:rsidP="008C0925">
      <w:pPr>
        <w:keepNext/>
        <w:jc w:val="center"/>
      </w:pPr>
    </w:p>
    <w:p w14:paraId="15D39686" w14:textId="2E13675F" w:rsidR="00153C10" w:rsidRDefault="00153C10" w:rsidP="008C0925">
      <w:pPr>
        <w:keepNext/>
        <w:jc w:val="center"/>
      </w:pPr>
      <w:r>
        <w:rPr>
          <w:noProof/>
        </w:rPr>
        <w:drawing>
          <wp:inline distT="0" distB="0" distL="0" distR="0" wp14:anchorId="71D0BF20" wp14:editId="704124DC">
            <wp:extent cx="3747548" cy="2286000"/>
            <wp:effectExtent l="0" t="0" r="5715" b="0"/>
            <wp:docPr id="64" name="Picture 6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scatter chart&#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747548" cy="2286000"/>
                    </a:xfrm>
                    <a:prstGeom prst="rect">
                      <a:avLst/>
                    </a:prstGeom>
                    <a:noFill/>
                  </pic:spPr>
                </pic:pic>
              </a:graphicData>
            </a:graphic>
          </wp:inline>
        </w:drawing>
      </w:r>
    </w:p>
    <w:p w14:paraId="71425237" w14:textId="0B1ED45E" w:rsidR="00153C10" w:rsidRPr="00A175F0" w:rsidRDefault="00153C10" w:rsidP="008C0925">
      <w:pPr>
        <w:pStyle w:val="Caption"/>
        <w:jc w:val="both"/>
        <w:rPr>
          <w:i w:val="0"/>
          <w:iCs w:val="0"/>
          <w:color w:val="auto"/>
          <w:sz w:val="24"/>
          <w:szCs w:val="24"/>
        </w:rPr>
      </w:pPr>
      <w:bookmarkStart w:id="113" w:name="_Toc131948727"/>
      <w:r w:rsidRPr="00A175F0">
        <w:rPr>
          <w:b/>
          <w:bCs/>
          <w:i w:val="0"/>
          <w:iCs w:val="0"/>
          <w:color w:val="auto"/>
          <w:sz w:val="24"/>
          <w:szCs w:val="24"/>
        </w:rPr>
        <w:t xml:space="preserve">Figure </w:t>
      </w:r>
      <w:r w:rsidRPr="00A175F0">
        <w:rPr>
          <w:b/>
          <w:bCs/>
          <w:i w:val="0"/>
          <w:iCs w:val="0"/>
          <w:color w:val="auto"/>
          <w:sz w:val="24"/>
          <w:szCs w:val="24"/>
        </w:rPr>
        <w:fldChar w:fldCharType="begin"/>
      </w:r>
      <w:r w:rsidRPr="00A175F0">
        <w:rPr>
          <w:b/>
          <w:bCs/>
          <w:i w:val="0"/>
          <w:iCs w:val="0"/>
          <w:color w:val="auto"/>
          <w:sz w:val="24"/>
          <w:szCs w:val="24"/>
        </w:rPr>
        <w:instrText xml:space="preserve"> SEQ Figure \* ARABIC </w:instrText>
      </w:r>
      <w:r w:rsidRPr="00A175F0">
        <w:rPr>
          <w:b/>
          <w:bCs/>
          <w:i w:val="0"/>
          <w:iCs w:val="0"/>
          <w:color w:val="auto"/>
          <w:sz w:val="24"/>
          <w:szCs w:val="24"/>
        </w:rPr>
        <w:fldChar w:fldCharType="separate"/>
      </w:r>
      <w:r w:rsidR="001F4741">
        <w:rPr>
          <w:b/>
          <w:bCs/>
          <w:i w:val="0"/>
          <w:iCs w:val="0"/>
          <w:noProof/>
          <w:color w:val="auto"/>
          <w:sz w:val="24"/>
          <w:szCs w:val="24"/>
        </w:rPr>
        <w:t>63</w:t>
      </w:r>
      <w:r w:rsidRPr="00A175F0">
        <w:rPr>
          <w:b/>
          <w:bCs/>
          <w:i w:val="0"/>
          <w:iCs w:val="0"/>
          <w:color w:val="auto"/>
          <w:sz w:val="24"/>
          <w:szCs w:val="24"/>
        </w:rPr>
        <w:fldChar w:fldCharType="end"/>
      </w:r>
      <w:r w:rsidRPr="00A175F0">
        <w:rPr>
          <w:b/>
          <w:bCs/>
          <w:i w:val="0"/>
          <w:iCs w:val="0"/>
          <w:color w:val="auto"/>
          <w:sz w:val="24"/>
          <w:szCs w:val="24"/>
        </w:rPr>
        <w:t>:</w:t>
      </w:r>
      <w:r w:rsidRPr="00A175F0">
        <w:rPr>
          <w:i w:val="0"/>
          <w:iCs w:val="0"/>
          <w:color w:val="auto"/>
          <w:sz w:val="24"/>
          <w:szCs w:val="24"/>
        </w:rPr>
        <w:t xml:space="preserve"> Catalytic measurements of the self-aldol condensation rates of acetone and cyclopentanone with Na-added during synthesis compared to Na-titrated S-ZSM5 150 </w:t>
      </w:r>
      <w:r w:rsidRPr="00A175F0">
        <w:rPr>
          <w:i w:val="0"/>
          <w:iCs w:val="0"/>
          <w:color w:val="auto"/>
          <w:sz w:val="24"/>
          <w:szCs w:val="24"/>
          <w:vertAlign w:val="superscript"/>
        </w:rPr>
        <w:t>o</w:t>
      </w:r>
      <w:r w:rsidRPr="00A175F0">
        <w:rPr>
          <w:i w:val="0"/>
          <w:iCs w:val="0"/>
          <w:color w:val="auto"/>
          <w:sz w:val="24"/>
          <w:szCs w:val="24"/>
        </w:rPr>
        <w:t xml:space="preserve">C samples as a function of titrated acid sites. Reaction conditions: 250 </w:t>
      </w:r>
      <w:r w:rsidRPr="00A175F0">
        <w:rPr>
          <w:i w:val="0"/>
          <w:iCs w:val="0"/>
          <w:color w:val="auto"/>
          <w:sz w:val="24"/>
          <w:szCs w:val="24"/>
          <w:vertAlign w:val="superscript"/>
        </w:rPr>
        <w:t>o</w:t>
      </w:r>
      <w:r w:rsidRPr="00A175F0">
        <w:rPr>
          <w:i w:val="0"/>
          <w:iCs w:val="0"/>
          <w:color w:val="auto"/>
          <w:sz w:val="24"/>
          <w:szCs w:val="24"/>
        </w:rPr>
        <w:t>C, 1 mol/L feeding reactant, 1 hour of reaction time. 250 mg of catalyst.</w:t>
      </w:r>
      <w:bookmarkEnd w:id="113"/>
    </w:p>
    <w:p w14:paraId="18590962" w14:textId="6B4CC040" w:rsidR="00153C10" w:rsidRDefault="00153C10" w:rsidP="00BA5F6A">
      <w:pPr>
        <w:spacing w:line="480" w:lineRule="auto"/>
        <w:jc w:val="both"/>
      </w:pPr>
      <w:r>
        <w:tab/>
        <w:t xml:space="preserve">As observed in the graph, the Na0.0625 catalytic runs for acetone and cyclopentanone condensation are consistent with the S-ZSM5 150 </w:t>
      </w:r>
      <w:r w:rsidRPr="006D0B7F">
        <w:rPr>
          <w:vertAlign w:val="superscript"/>
        </w:rPr>
        <w:t>o</w:t>
      </w:r>
      <w:r>
        <w:t xml:space="preserve">C Na-titrated modeled trends, a lower activity is found for Na0.25 assigning a possible pore plugging due to the high loading of Na which impedes molecules diffusion through the pores. Still, the hypothesis of different proton-location inside the channels due to presence of Na is also valid. Higher the Na loadings in the synthesis mixture, higher the probability of an Al sitting in a different location. In the Na0.25 sample for each Al atom in the gel mixture, 8 atom of Na are present, compared to 2 atoms in Na0.0625. Thus, </w:t>
      </w:r>
      <w:r w:rsidR="006936A1">
        <w:t xml:space="preserve">it is </w:t>
      </w:r>
      <w:r>
        <w:t xml:space="preserve">possible </w:t>
      </w:r>
      <w:r w:rsidR="006936A1">
        <w:t xml:space="preserve">that Al </w:t>
      </w:r>
      <w:r w:rsidR="00634947">
        <w:t xml:space="preserve">could be located at </w:t>
      </w:r>
      <w:r>
        <w:t xml:space="preserve">different </w:t>
      </w:r>
      <w:r w:rsidR="00634947">
        <w:t xml:space="preserve">positions in the </w:t>
      </w:r>
      <w:r>
        <w:t xml:space="preserve">MFI </w:t>
      </w:r>
      <w:r w:rsidR="00634947">
        <w:t xml:space="preserve">structure rather than those formerly known </w:t>
      </w:r>
      <w:r w:rsidR="00C578B3">
        <w:t>due to TPA</w:t>
      </w:r>
      <w:r w:rsidR="00C578B3" w:rsidRPr="00C578B3">
        <w:rPr>
          <w:vertAlign w:val="superscript"/>
        </w:rPr>
        <w:t>-</w:t>
      </w:r>
      <w:r>
        <w:t>. Th</w:t>
      </w:r>
      <w:r w:rsidR="00123810">
        <w:t>ese</w:t>
      </w:r>
      <w:r>
        <w:t xml:space="preserve"> sites </w:t>
      </w:r>
      <w:r w:rsidR="00E44B99">
        <w:t xml:space="preserve">seem to </w:t>
      </w:r>
      <w:r>
        <w:t xml:space="preserve">have an apparent lower activity and differently contribute to activity. In regards of their influence of MTL, a lower extent of diffusion limitations </w:t>
      </w:r>
      <w:r w:rsidR="0067560E">
        <w:t xml:space="preserve">is expected </w:t>
      </w:r>
      <w:r>
        <w:t xml:space="preserve">based on </w:t>
      </w:r>
      <w:r w:rsidR="0067560E">
        <w:t>the</w:t>
      </w:r>
      <w:r>
        <w:t xml:space="preserve"> lower catalytic activity. Further studies are needed to support this concept in where relative comparable amounts of Na and TPAOH are fed simultaneously, and catalytic measurements compared to those with post-synthesis Na-exchanged zeolites.</w:t>
      </w:r>
    </w:p>
    <w:p w14:paraId="2AC9C2C1" w14:textId="3B200F39" w:rsidR="00153C10" w:rsidRPr="00850167" w:rsidRDefault="00153C10" w:rsidP="00BA5F6A">
      <w:pPr>
        <w:spacing w:line="480" w:lineRule="auto"/>
        <w:jc w:val="both"/>
      </w:pPr>
      <w:r>
        <w:lastRenderedPageBreak/>
        <w:tab/>
        <w:t xml:space="preserve">A third </w:t>
      </w:r>
      <w:r w:rsidRPr="00625F43">
        <w:t xml:space="preserve">possibility in regards of the lower activity in the Na0.25 sample is the sharp drop in rate as observed in the Na-titrated S-ZSM5 160 </w:t>
      </w:r>
      <w:r w:rsidRPr="00625F43">
        <w:rPr>
          <w:vertAlign w:val="superscript"/>
        </w:rPr>
        <w:t>o</w:t>
      </w:r>
      <w:r w:rsidRPr="00625F43">
        <w:t xml:space="preserve">C series. At a certain limit the activity contribution from the small aggregates are minimal and the </w:t>
      </w:r>
      <w:r>
        <w:t xml:space="preserve">catalytic rate </w:t>
      </w:r>
      <w:r w:rsidRPr="00625F43">
        <w:t xml:space="preserve">decays drastically to exhibit the rate relative to the main </w:t>
      </w:r>
      <w:r w:rsidR="003D4978">
        <w:t xml:space="preserve">big </w:t>
      </w:r>
      <w:r w:rsidRPr="00625F43">
        <w:t xml:space="preserve">particle, </w:t>
      </w:r>
      <w:r>
        <w:t xml:space="preserve">assuming a preferential titration </w:t>
      </w:r>
      <w:r w:rsidRPr="00625F43">
        <w:t>occurr</w:t>
      </w:r>
      <w:r>
        <w:t>ing first</w:t>
      </w:r>
      <w:r w:rsidRPr="00625F43">
        <w:t xml:space="preserve"> in the </w:t>
      </w:r>
      <w:r>
        <w:t>nano</w:t>
      </w:r>
      <w:r w:rsidRPr="00850167">
        <w:t xml:space="preserve">aggregates. One way to separate the aggregation contribution over activity is to synthesize a </w:t>
      </w:r>
      <w:r w:rsidR="00557602">
        <w:t xml:space="preserve">zeolite with a </w:t>
      </w:r>
      <w:r w:rsidRPr="00850167">
        <w:t xml:space="preserve">“smooth” surface particle so the activity </w:t>
      </w:r>
      <w:r w:rsidR="00557602">
        <w:t xml:space="preserve">can be considered </w:t>
      </w:r>
      <w:r w:rsidRPr="00850167">
        <w:t xml:space="preserve">homogenous along the catalyst volume, then, </w:t>
      </w:r>
      <w:r w:rsidR="00557602">
        <w:t>a Na-titration technique to observe</w:t>
      </w:r>
      <w:r w:rsidR="00E74ED0">
        <w:t xml:space="preserve"> the rate decay profile</w:t>
      </w:r>
      <w:r w:rsidRPr="00850167">
        <w:t>. Here, the explanations seem feasible to the presented results, but further studies are required to fully comprehend each hypothesis.</w:t>
      </w:r>
    </w:p>
    <w:p w14:paraId="19412AE6" w14:textId="77777777" w:rsidR="00153C10" w:rsidRPr="00AF40A9" w:rsidRDefault="00153C10" w:rsidP="00AF40A9">
      <w:pPr>
        <w:spacing w:line="480" w:lineRule="auto"/>
        <w:jc w:val="both"/>
      </w:pPr>
    </w:p>
    <w:p w14:paraId="741789A6" w14:textId="46854394" w:rsidR="00153C10" w:rsidRPr="008968F0" w:rsidRDefault="00AF40A9" w:rsidP="00AF40A9">
      <w:pPr>
        <w:pStyle w:val="Heading4"/>
        <w:spacing w:line="480" w:lineRule="auto"/>
        <w:rPr>
          <w:rFonts w:ascii="Times New Roman" w:hAnsi="Times New Roman" w:cs="Times New Roman"/>
          <w:color w:val="auto"/>
        </w:rPr>
      </w:pPr>
      <w:r w:rsidRPr="008968F0">
        <w:rPr>
          <w:rFonts w:ascii="Times New Roman" w:hAnsi="Times New Roman" w:cs="Times New Roman"/>
          <w:color w:val="auto"/>
        </w:rPr>
        <w:tab/>
      </w:r>
      <w:r w:rsidR="00153C10" w:rsidRPr="008968F0">
        <w:rPr>
          <w:rFonts w:ascii="Times New Roman" w:hAnsi="Times New Roman" w:cs="Times New Roman"/>
          <w:color w:val="auto"/>
        </w:rPr>
        <w:t>3.3.2.3 Structure Directing Agent Effect on Zeolite Morphology</w:t>
      </w:r>
    </w:p>
    <w:p w14:paraId="4608AC2D" w14:textId="66B5D12D" w:rsidR="00153C10" w:rsidRDefault="00153C10" w:rsidP="00AF40A9">
      <w:pPr>
        <w:spacing w:line="480" w:lineRule="auto"/>
        <w:jc w:val="both"/>
      </w:pPr>
      <w:r w:rsidRPr="00AF40A9">
        <w:tab/>
        <w:t>Up to now, it has been observed the reaction rate dependence on the diffusion through</w:t>
      </w:r>
      <w:r>
        <w:t xml:space="preserve"> the synthesized zeolites, a combination of the molecule transport in each separate catalyst volume: formed aggregates and </w:t>
      </w:r>
      <w:r w:rsidR="003038CC">
        <w:t xml:space="preserve">bigger support </w:t>
      </w:r>
      <w:r>
        <w:t>particle</w:t>
      </w:r>
      <w:r w:rsidR="003038CC">
        <w:t xml:space="preserve"> in where the aggregates </w:t>
      </w:r>
      <w:r w:rsidR="00F55C48">
        <w:t>lie on</w:t>
      </w:r>
      <w:r>
        <w:t xml:space="preserve">. An increase in the aggregate diameter </w:t>
      </w:r>
      <w:r w:rsidR="00DD4DE5">
        <w:t xml:space="preserve">as shown in </w:t>
      </w:r>
      <w:r w:rsidR="00DD4DE5" w:rsidRPr="00DD4DE5">
        <w:rPr>
          <w:b/>
          <w:bCs/>
        </w:rPr>
        <w:t>Table 9</w:t>
      </w:r>
      <w:r w:rsidR="00DD4DE5">
        <w:t xml:space="preserve"> </w:t>
      </w:r>
      <w:r>
        <w:t>resulted in a drop in activity</w:t>
      </w:r>
      <w:r w:rsidR="00DD4DE5">
        <w:t xml:space="preserve"> (</w:t>
      </w:r>
      <w:r w:rsidR="00DD4DE5" w:rsidRPr="00DD4DE5">
        <w:rPr>
          <w:b/>
          <w:bCs/>
        </w:rPr>
        <w:t>Table 11</w:t>
      </w:r>
      <w:r w:rsidR="00DD4DE5">
        <w:t>)</w:t>
      </w:r>
      <w:r>
        <w:t>, showing that it is the determining factor as MTL dominates the limiting regime. In order to observe the impact of the main particle size the template amount added to the synthesis gel is investigated.</w:t>
      </w:r>
      <w:r w:rsidRPr="0057323B">
        <w:t xml:space="preserve"> </w:t>
      </w:r>
      <w:r>
        <w:t xml:space="preserve">It is known that template is responsible for directing the zeolite growth towards a well-defined framework structure, and the amount fed within the mixture allows a certain number of nucleation sites prior to crystallization </w:t>
      </w:r>
      <w:r>
        <w:fldChar w:fldCharType="begin"/>
      </w:r>
      <w:r>
        <w:instrText xml:space="preserve"> ADDIN EN.CITE &lt;EndNote&gt;&lt;Cite&gt;&lt;Author&gt;Kirschhock&lt;/Author&gt;&lt;Year&gt;1999&lt;/Year&gt;&lt;RecNum&gt;108&lt;/RecNum&gt;&lt;DisplayText&gt;[198]&lt;/DisplayText&gt;&lt;record&gt;&lt;rec-number&gt;108&lt;/rec-number&gt;&lt;foreign-keys&gt;&lt;key app="EN" db-id="59dvwrfdof9dw8exf0kvp0atwazsazeeffsp" timestamp="1673559907"&gt;108&lt;/key&gt;&lt;/foreign-keys&gt;&lt;ref-type name="Journal Article"&gt;17&lt;/ref-type&gt;&lt;contributors&gt;&lt;authors&gt;&lt;author&gt;Christine E. A. Kirschhock&lt;/author&gt;&lt;author&gt;Raman Ravishankar&lt;/author&gt;&lt;author&gt;Frederik Verspeurt&lt;/author&gt;&lt;author&gt;Piet J. Grobet&lt;/author&gt;&lt;author&gt;Pierre A. Jacobs&lt;/author&gt;&lt;author&gt;Johan A. Martens&lt;/author&gt;&lt;/authors&gt;&lt;/contributors&gt;&lt;titles&gt;&lt;title&gt;&lt;style face="normal" font="default" size="100%"&gt;Identification of Precursor Species in the Formation of MFI Zeolite in the TPAOH&lt;/style&gt;&lt;style face="normal" font="default" charset="1" size="100%"&gt;−&lt;/style&gt;&lt;style face="normal" font="default" size="100%"&gt;TEOS&lt;/style&gt;&lt;style face="normal" font="default" charset="1" size="100%"&gt;−&lt;/style&gt;&lt;style face="normal" font="default" size="100%"&gt;H2O System&lt;/style&gt;&lt;/title&gt;&lt;secondary-title&gt;Journal of Physical Chemistry B&lt;/secondary-title&gt;&lt;/titles&gt;&lt;periodical&gt;&lt;full-title&gt;Journal of Physical Chemistry B&lt;/full-title&gt;&lt;/periodical&gt;&lt;pages&gt;4965-4971&lt;/pages&gt;&lt;volume&gt;103&lt;/volume&gt;&lt;number&gt;24&lt;/number&gt;&lt;dates&gt;&lt;year&gt;1999&lt;/year&gt;&lt;/dates&gt;&lt;urls&gt;&lt;/urls&gt;&lt;electronic-resource-num&gt;https://doi.org/10.1021/jp990297r&lt;/electronic-resource-num&gt;&lt;/record&gt;&lt;/Cite&gt;&lt;/EndNote&gt;</w:instrText>
      </w:r>
      <w:r>
        <w:fldChar w:fldCharType="separate"/>
      </w:r>
      <w:r>
        <w:rPr>
          <w:noProof/>
        </w:rPr>
        <w:t>[</w:t>
      </w:r>
      <w:hyperlink w:anchor="_ENREF_198" w:tooltip="Kirschhock, 1999 #108" w:history="1">
        <w:r w:rsidR="00D307FA">
          <w:rPr>
            <w:noProof/>
          </w:rPr>
          <w:t>198</w:t>
        </w:r>
      </w:hyperlink>
      <w:r>
        <w:rPr>
          <w:noProof/>
        </w:rPr>
        <w:t>]</w:t>
      </w:r>
      <w:r>
        <w:fldChar w:fldCharType="end"/>
      </w:r>
      <w:r>
        <w:t xml:space="preserve">. If a lower amount of template is present during nucleation, fewer growing unit sites will exist, but more nutrients will be available for their growth; this results in fewer number of particles but with a larger size. This assumption is tested with 0.25 and 0.5 the usual amount of </w:t>
      </w:r>
      <w:r>
        <w:lastRenderedPageBreak/>
        <w:t xml:space="preserve">TPAOH added into the synthesis mixture, maintaining constant all the other operational conditions and standard amounts, the crystallization temperature of 150 </w:t>
      </w:r>
      <w:r w:rsidRPr="007971AE">
        <w:rPr>
          <w:vertAlign w:val="superscript"/>
        </w:rPr>
        <w:t>o</w:t>
      </w:r>
      <w:r>
        <w:t xml:space="preserve">C is used. In the 0.25TPAOH case, no solid was formed. Apparently, this amount of template is not enough to cause the formation of the primary growing units and to sustain a stable crystal size. However, in the 0.5TPAOH, a substantial increase is seen in particle size according to the SEM </w:t>
      </w:r>
      <w:r w:rsidRPr="0060294C">
        <w:t>pictures (</w:t>
      </w:r>
      <w:r w:rsidRPr="0060294C">
        <w:rPr>
          <w:b/>
          <w:bCs/>
        </w:rPr>
        <w:t>Figure</w:t>
      </w:r>
      <w:r w:rsidR="0099214D" w:rsidRPr="0060294C">
        <w:rPr>
          <w:b/>
          <w:bCs/>
        </w:rPr>
        <w:t xml:space="preserve"> 64</w:t>
      </w:r>
      <w:r w:rsidRPr="0060294C">
        <w:t>). An increase o</w:t>
      </w:r>
      <w:r w:rsidRPr="000B6FC5">
        <w:t xml:space="preserve">f 4-fold in diameter (1.9 µm) compared to 1.0TPAOH </w:t>
      </w:r>
      <w:r>
        <w:t>(0.5 µm</w:t>
      </w:r>
      <w:r w:rsidR="00AF7F38">
        <w:t xml:space="preserve">; i.e., S-ZSM5 150 </w:t>
      </w:r>
      <w:r w:rsidR="00AF7F38" w:rsidRPr="00CC36C1">
        <w:rPr>
          <w:vertAlign w:val="superscript"/>
        </w:rPr>
        <w:t>o</w:t>
      </w:r>
      <w:r w:rsidR="00AF7F38">
        <w:t xml:space="preserve">C zeolite sample) </w:t>
      </w:r>
      <w:r w:rsidRPr="000B6FC5">
        <w:t>at the same crystallization temperature, but with a very similar shape and surface roughness.</w:t>
      </w:r>
      <w:r>
        <w:t xml:space="preserve"> With this</w:t>
      </w:r>
      <w:r w:rsidRPr="00534708">
        <w:t xml:space="preserve">, the </w:t>
      </w:r>
      <w:r>
        <w:t xml:space="preserve">growth and size of </w:t>
      </w:r>
      <w:r w:rsidRPr="00534708">
        <w:t xml:space="preserve">aggregates </w:t>
      </w:r>
      <w:r>
        <w:t>to not appear</w:t>
      </w:r>
      <w:r w:rsidRPr="00534708">
        <w:t xml:space="preserve"> to be d</w:t>
      </w:r>
      <w:r>
        <w:t>ependent on the template amount, but rather the crystallization aging times and temperature, whereas the main particle size is a result of the number of primary growing units spread along the synthesis volume.</w:t>
      </w:r>
    </w:p>
    <w:p w14:paraId="55C21263" w14:textId="77777777" w:rsidR="00153C10" w:rsidRDefault="00153C10" w:rsidP="008C0925">
      <w:pPr>
        <w:keepNext/>
        <w:jc w:val="both"/>
      </w:pPr>
      <w:r>
        <w:rPr>
          <w:noProof/>
        </w:rPr>
        <w:drawing>
          <wp:inline distT="0" distB="0" distL="0" distR="0" wp14:anchorId="0E2FFE0B" wp14:editId="2A5B7626">
            <wp:extent cx="5409167" cy="3703320"/>
            <wp:effectExtent l="0" t="0" r="1270" b="0"/>
            <wp:docPr id="65" name="Picture 65" descr="A close-up of some roc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close-up of some rocks&#10;&#10;Description automatically generated with medium confidence"/>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409167" cy="3703320"/>
                    </a:xfrm>
                    <a:prstGeom prst="rect">
                      <a:avLst/>
                    </a:prstGeom>
                    <a:noFill/>
                  </pic:spPr>
                </pic:pic>
              </a:graphicData>
            </a:graphic>
          </wp:inline>
        </w:drawing>
      </w:r>
    </w:p>
    <w:p w14:paraId="11484A37" w14:textId="43A13D03" w:rsidR="00153C10" w:rsidRPr="00795FC6" w:rsidRDefault="00153C10" w:rsidP="008C0925">
      <w:pPr>
        <w:pStyle w:val="Caption"/>
        <w:jc w:val="both"/>
        <w:rPr>
          <w:i w:val="0"/>
          <w:iCs w:val="0"/>
          <w:color w:val="auto"/>
          <w:sz w:val="24"/>
          <w:szCs w:val="24"/>
        </w:rPr>
      </w:pPr>
      <w:bookmarkStart w:id="114" w:name="_Toc131948728"/>
      <w:r w:rsidRPr="00795FC6">
        <w:rPr>
          <w:b/>
          <w:bCs/>
          <w:i w:val="0"/>
          <w:iCs w:val="0"/>
          <w:color w:val="auto"/>
          <w:sz w:val="24"/>
          <w:szCs w:val="24"/>
        </w:rPr>
        <w:t xml:space="preserve">Figure </w:t>
      </w:r>
      <w:r w:rsidRPr="00795FC6">
        <w:rPr>
          <w:b/>
          <w:bCs/>
          <w:i w:val="0"/>
          <w:iCs w:val="0"/>
          <w:color w:val="auto"/>
          <w:sz w:val="24"/>
          <w:szCs w:val="24"/>
        </w:rPr>
        <w:fldChar w:fldCharType="begin"/>
      </w:r>
      <w:r w:rsidRPr="00795FC6">
        <w:rPr>
          <w:b/>
          <w:bCs/>
          <w:i w:val="0"/>
          <w:iCs w:val="0"/>
          <w:color w:val="auto"/>
          <w:sz w:val="24"/>
          <w:szCs w:val="24"/>
        </w:rPr>
        <w:instrText xml:space="preserve"> SEQ Figure \* ARABIC </w:instrText>
      </w:r>
      <w:r w:rsidRPr="00795FC6">
        <w:rPr>
          <w:b/>
          <w:bCs/>
          <w:i w:val="0"/>
          <w:iCs w:val="0"/>
          <w:color w:val="auto"/>
          <w:sz w:val="24"/>
          <w:szCs w:val="24"/>
        </w:rPr>
        <w:fldChar w:fldCharType="separate"/>
      </w:r>
      <w:r w:rsidR="001F4741">
        <w:rPr>
          <w:b/>
          <w:bCs/>
          <w:i w:val="0"/>
          <w:iCs w:val="0"/>
          <w:noProof/>
          <w:color w:val="auto"/>
          <w:sz w:val="24"/>
          <w:szCs w:val="24"/>
        </w:rPr>
        <w:t>64</w:t>
      </w:r>
      <w:r w:rsidRPr="00795FC6">
        <w:rPr>
          <w:b/>
          <w:bCs/>
          <w:i w:val="0"/>
          <w:iCs w:val="0"/>
          <w:color w:val="auto"/>
          <w:sz w:val="24"/>
          <w:szCs w:val="24"/>
        </w:rPr>
        <w:fldChar w:fldCharType="end"/>
      </w:r>
      <w:r w:rsidRPr="00795FC6">
        <w:rPr>
          <w:b/>
          <w:bCs/>
          <w:i w:val="0"/>
          <w:iCs w:val="0"/>
          <w:color w:val="auto"/>
          <w:sz w:val="24"/>
          <w:szCs w:val="24"/>
        </w:rPr>
        <w:t>:</w:t>
      </w:r>
      <w:r w:rsidRPr="00795FC6">
        <w:rPr>
          <w:i w:val="0"/>
          <w:iCs w:val="0"/>
          <w:color w:val="auto"/>
          <w:sz w:val="24"/>
          <w:szCs w:val="24"/>
        </w:rPr>
        <w:t xml:space="preserve"> Scanning Electron Microscope pictures of 0.5TPAOH S-ZSM5 150 </w:t>
      </w:r>
      <w:r w:rsidRPr="00795FC6">
        <w:rPr>
          <w:i w:val="0"/>
          <w:iCs w:val="0"/>
          <w:color w:val="auto"/>
          <w:sz w:val="24"/>
          <w:szCs w:val="24"/>
          <w:vertAlign w:val="superscript"/>
        </w:rPr>
        <w:t>o</w:t>
      </w:r>
      <w:r w:rsidRPr="00795FC6">
        <w:rPr>
          <w:i w:val="0"/>
          <w:iCs w:val="0"/>
          <w:color w:val="auto"/>
          <w:sz w:val="24"/>
          <w:szCs w:val="24"/>
        </w:rPr>
        <w:t>C (Si/Al =</w:t>
      </w:r>
      <w:r w:rsidR="00F92E38">
        <w:rPr>
          <w:i w:val="0"/>
          <w:iCs w:val="0"/>
          <w:color w:val="auto"/>
          <w:sz w:val="24"/>
          <w:szCs w:val="24"/>
        </w:rPr>
        <w:t xml:space="preserve"> </w:t>
      </w:r>
      <w:r w:rsidRPr="00795FC6">
        <w:rPr>
          <w:i w:val="0"/>
          <w:iCs w:val="0"/>
          <w:color w:val="auto"/>
          <w:sz w:val="24"/>
          <w:szCs w:val="24"/>
        </w:rPr>
        <w:t>80).</w:t>
      </w:r>
      <w:bookmarkEnd w:id="114"/>
    </w:p>
    <w:p w14:paraId="1D53E930" w14:textId="41F8C75E" w:rsidR="00153C10" w:rsidRDefault="00153C10" w:rsidP="00BA5F6A">
      <w:pPr>
        <w:spacing w:line="480" w:lineRule="auto"/>
        <w:jc w:val="both"/>
      </w:pPr>
      <w:r w:rsidRPr="000F6EB9">
        <w:lastRenderedPageBreak/>
        <w:tab/>
      </w:r>
      <w:r>
        <w:t xml:space="preserve">The aldol condensation reactions over the 0.5TPAOH sample showed an acetone conversion of 4.4% compared to 7.4% in the 1.0TPAOH, and 20.6% in cyclopentanone compared to 19.7% respectively. The two </w:t>
      </w:r>
      <w:r w:rsidR="009A3A05">
        <w:t xml:space="preserve">observed </w:t>
      </w:r>
      <w:r>
        <w:t xml:space="preserve">behaviors </w:t>
      </w:r>
      <w:r w:rsidR="009A3A05">
        <w:t>require</w:t>
      </w:r>
      <w:r>
        <w:t xml:space="preserve"> different analyses due to their size and different diffusion inside the constrained MFI framework. The drop in acetone conversion reflects its dependence on the molecule diffusion and reaction through both aggregates and main particle. This is acceptable also because in the Na-titrates S-ZSM5 160 </w:t>
      </w:r>
      <w:r w:rsidRPr="008F6F78">
        <w:rPr>
          <w:vertAlign w:val="superscript"/>
        </w:rPr>
        <w:t>o</w:t>
      </w:r>
      <w:r>
        <w:t xml:space="preserve">C series the drop in acetone was not pronounced as in cyclopentanone. Differently, cyclopentanone activity seems to be dominantly bounded to the nanoaggregates only. Then, larger molecules are shown to be limited by nanoaggregates at the outer surface possibly due to the lower diffusion path compared to the large particle volume, whereas smaller molecules are affected by both </w:t>
      </w:r>
      <w:r w:rsidR="00282004">
        <w:t>catalyst</w:t>
      </w:r>
      <w:r w:rsidR="007B6F08">
        <w:t xml:space="preserve"> particle</w:t>
      </w:r>
      <w:r>
        <w:t xml:space="preserve"> volumes </w:t>
      </w:r>
      <w:r w:rsidR="007B6F08">
        <w:t xml:space="preserve">(nano and large) </w:t>
      </w:r>
      <w:r>
        <w:t>but impacted in different extents depending on each size.</w:t>
      </w:r>
    </w:p>
    <w:p w14:paraId="681C70B9" w14:textId="77777777" w:rsidR="00AF40A9" w:rsidRDefault="00AF40A9" w:rsidP="00BA5F6A">
      <w:pPr>
        <w:spacing w:line="480" w:lineRule="auto"/>
        <w:jc w:val="both"/>
      </w:pPr>
    </w:p>
    <w:p w14:paraId="6E170B11" w14:textId="77777777" w:rsidR="00454844" w:rsidRDefault="00454844" w:rsidP="00BA5F6A">
      <w:pPr>
        <w:spacing w:line="480" w:lineRule="auto"/>
        <w:jc w:val="both"/>
      </w:pPr>
    </w:p>
    <w:p w14:paraId="646CD4AE" w14:textId="77777777" w:rsidR="00454844" w:rsidRDefault="00454844" w:rsidP="00BA5F6A">
      <w:pPr>
        <w:spacing w:line="480" w:lineRule="auto"/>
        <w:jc w:val="both"/>
      </w:pPr>
    </w:p>
    <w:p w14:paraId="0646202D" w14:textId="77777777" w:rsidR="00454844" w:rsidRDefault="00454844" w:rsidP="00BA5F6A">
      <w:pPr>
        <w:spacing w:line="480" w:lineRule="auto"/>
        <w:jc w:val="both"/>
      </w:pPr>
    </w:p>
    <w:p w14:paraId="1A24A4A2" w14:textId="77777777" w:rsidR="00454844" w:rsidRDefault="00454844" w:rsidP="00BA5F6A">
      <w:pPr>
        <w:spacing w:line="480" w:lineRule="auto"/>
        <w:jc w:val="both"/>
      </w:pPr>
    </w:p>
    <w:p w14:paraId="73A618B6" w14:textId="77777777" w:rsidR="00454844" w:rsidRDefault="00454844" w:rsidP="00BA5F6A">
      <w:pPr>
        <w:spacing w:line="480" w:lineRule="auto"/>
        <w:jc w:val="both"/>
      </w:pPr>
    </w:p>
    <w:p w14:paraId="41D7D700" w14:textId="77777777" w:rsidR="00454844" w:rsidRDefault="00454844" w:rsidP="00BA5F6A">
      <w:pPr>
        <w:spacing w:line="480" w:lineRule="auto"/>
        <w:jc w:val="both"/>
      </w:pPr>
    </w:p>
    <w:p w14:paraId="24A6355E" w14:textId="77777777" w:rsidR="00454844" w:rsidRDefault="00454844" w:rsidP="00BA5F6A">
      <w:pPr>
        <w:spacing w:line="480" w:lineRule="auto"/>
        <w:jc w:val="both"/>
      </w:pPr>
    </w:p>
    <w:p w14:paraId="446B156E" w14:textId="77777777" w:rsidR="00454844" w:rsidRDefault="00454844" w:rsidP="00BA5F6A">
      <w:pPr>
        <w:spacing w:line="480" w:lineRule="auto"/>
        <w:jc w:val="both"/>
      </w:pPr>
    </w:p>
    <w:p w14:paraId="38D1E908" w14:textId="77777777" w:rsidR="00153C10" w:rsidRPr="00AF40A9" w:rsidRDefault="00153C10" w:rsidP="00AF40A9">
      <w:pPr>
        <w:pStyle w:val="Heading2"/>
        <w:rPr>
          <w:i w:val="0"/>
          <w:iCs/>
          <w:sz w:val="28"/>
          <w:szCs w:val="28"/>
        </w:rPr>
      </w:pPr>
      <w:bookmarkStart w:id="115" w:name="_Toc132924210"/>
      <w:r w:rsidRPr="00AF40A9">
        <w:rPr>
          <w:i w:val="0"/>
          <w:iCs/>
          <w:sz w:val="28"/>
          <w:szCs w:val="28"/>
        </w:rPr>
        <w:lastRenderedPageBreak/>
        <w:t>3.4 Conclusions</w:t>
      </w:r>
      <w:bookmarkEnd w:id="115"/>
    </w:p>
    <w:p w14:paraId="67E59FAF" w14:textId="0753C3FF" w:rsidR="00153C10" w:rsidRDefault="00153C10" w:rsidP="00BA5F6A">
      <w:pPr>
        <w:spacing w:line="480" w:lineRule="auto"/>
        <w:jc w:val="both"/>
      </w:pPr>
      <w:r>
        <w:rPr>
          <w:b/>
          <w:bCs/>
        </w:rPr>
        <w:tab/>
      </w:r>
      <w:r>
        <w:t xml:space="preserve">Particle size control through synthesis showed to be a valuable approach to investigate diffusion </w:t>
      </w:r>
      <w:r w:rsidR="00CD7D2D">
        <w:t>effects</w:t>
      </w:r>
      <w:r>
        <w:t xml:space="preserve"> over catalytic rates on zeolites. Here, the proposed synthesis method was able to incorporate the feeding Si/Al ratio throughout the batches in a consistent and homogenous way, resulting in a constant density of Bronsted acid sites of 0.20 mmol/g</w:t>
      </w:r>
      <w:r w:rsidRPr="00600D3F">
        <w:rPr>
          <w:vertAlign w:val="subscript"/>
        </w:rPr>
        <w:t>cat</w:t>
      </w:r>
      <w:r>
        <w:t xml:space="preserve"> among the samples. Crystallography demonstrated to be well developed at 24 hours of crystallization time where as in 72 hours more defined X-ray diffraction peaks were found. Once the goal is controlling the particle size and observe their change over the temperature range chosen, the 24 hours was chosen as the fixed time for the study.</w:t>
      </w:r>
    </w:p>
    <w:p w14:paraId="6F2BFD39" w14:textId="35B91E06" w:rsidR="00153C10" w:rsidRDefault="00153C10" w:rsidP="00BA5F6A">
      <w:pPr>
        <w:spacing w:line="480" w:lineRule="auto"/>
        <w:jc w:val="both"/>
      </w:pPr>
      <w:r>
        <w:tab/>
        <w:t>The activity changed considerably as the nanoaggregates (or nanosized zeolites) sizes over the main surface of zeolite particle changed. Such small dimensions were not expected to be influenced by MTL, but it opens up discussions of their influence even at nanosized confined environments. The observed drop in rate indicates a catalytic activity dependence on the molecule diffusion path along the catalyst material, as a consequence a proportional increment on MTL occurs resulted from an increase on Thiele modulus. The explanation was performed theoretically due to the Thiele modulus correlation with effectiveness factor and its dependence on the observed consumption rates. Once only in this study the zeolitic structure</w:t>
      </w:r>
      <w:r w:rsidR="00B90BF4">
        <w:t xml:space="preserve"> units</w:t>
      </w:r>
      <w:r>
        <w:t xml:space="preserve"> were intrinsically equivalent, a maximum rate is invariable and thus used to explain the observed results. </w:t>
      </w:r>
    </w:p>
    <w:p w14:paraId="059E6F31" w14:textId="77777777" w:rsidR="00153C10" w:rsidRDefault="00153C10" w:rsidP="00BA5F6A">
      <w:pPr>
        <w:spacing w:line="480" w:lineRule="auto"/>
        <w:jc w:val="both"/>
      </w:pPr>
      <w:r>
        <w:tab/>
        <w:t xml:space="preserve">The experimental approach developed in previous chapters to investigate MTL was used here. Na-titration over the highest activity synthesized zeolite (S-ZSM5 150 </w:t>
      </w:r>
      <w:r w:rsidRPr="007F2B0C">
        <w:rPr>
          <w:vertAlign w:val="superscript"/>
        </w:rPr>
        <w:t>o</w:t>
      </w:r>
      <w:r>
        <w:t xml:space="preserve">C Na-series) presented moderate diffusion limitations which increased as the particle size changed. The titration over the 160 </w:t>
      </w:r>
      <w:r w:rsidRPr="007F2B0C">
        <w:rPr>
          <w:vertAlign w:val="superscript"/>
        </w:rPr>
        <w:t>o</w:t>
      </w:r>
      <w:r>
        <w:t xml:space="preserve">C S-ZSM5 Na-titrated series displayed a behavior not </w:t>
      </w:r>
      <w:r>
        <w:lastRenderedPageBreak/>
        <w:t>noticed before with a modeled BAS density lower than the one calculated by IPA-TPD. That showed a fingerprint of the nanoaggregate’s activity contribution over the overall activity once it was hypothesized the titration preference towards the small catalyst volumes preferably than the main particle.</w:t>
      </w:r>
    </w:p>
    <w:p w14:paraId="2A1C6B77" w14:textId="77777777" w:rsidR="00153C10" w:rsidRDefault="00153C10" w:rsidP="00BA5F6A">
      <w:pPr>
        <w:spacing w:line="480" w:lineRule="auto"/>
        <w:jc w:val="both"/>
      </w:pPr>
      <w:r>
        <w:tab/>
        <w:t xml:space="preserve">Decreasing the amount of template during synthesis occurred to increase noticeably the particle size, four-fold compared to what was obtained in a standard synthesis procedure, agreeing with the hypothesized lower amount of nucleation sites and consequently more nutrients left for crystal growth. Cyclopentanone reactivity remained constant whereas acetone dropped, supporting the proposed ketone activity dependence over sections of the catalyst volume. </w:t>
      </w:r>
    </w:p>
    <w:p w14:paraId="1F5384B5" w14:textId="77777777" w:rsidR="00153C10" w:rsidRDefault="00153C10" w:rsidP="00BA5F6A">
      <w:pPr>
        <w:spacing w:line="480" w:lineRule="auto"/>
        <w:jc w:val="both"/>
      </w:pPr>
    </w:p>
    <w:p w14:paraId="2D1C6333" w14:textId="77777777" w:rsidR="00A35A08" w:rsidRDefault="00A35A08" w:rsidP="00BA5F6A">
      <w:pPr>
        <w:spacing w:line="480" w:lineRule="auto"/>
      </w:pPr>
    </w:p>
    <w:p w14:paraId="4F64C834" w14:textId="77777777" w:rsidR="00454844" w:rsidRDefault="00454844" w:rsidP="00BA5F6A">
      <w:pPr>
        <w:spacing w:line="480" w:lineRule="auto"/>
      </w:pPr>
    </w:p>
    <w:p w14:paraId="0681BD60" w14:textId="77777777" w:rsidR="00454844" w:rsidRDefault="00454844" w:rsidP="00BA5F6A">
      <w:pPr>
        <w:spacing w:line="480" w:lineRule="auto"/>
      </w:pPr>
    </w:p>
    <w:p w14:paraId="405296FA" w14:textId="77777777" w:rsidR="00454844" w:rsidRDefault="00454844" w:rsidP="00BA5F6A">
      <w:pPr>
        <w:spacing w:line="480" w:lineRule="auto"/>
      </w:pPr>
    </w:p>
    <w:p w14:paraId="4610918A" w14:textId="77777777" w:rsidR="00BA5F6A" w:rsidRDefault="00BA5F6A" w:rsidP="00BA5F6A">
      <w:pPr>
        <w:spacing w:line="480" w:lineRule="auto"/>
      </w:pPr>
    </w:p>
    <w:p w14:paraId="5D95C4D6" w14:textId="77777777" w:rsidR="00BA5F6A" w:rsidRDefault="00BA5F6A" w:rsidP="00BA5F6A">
      <w:pPr>
        <w:spacing w:line="480" w:lineRule="auto"/>
      </w:pPr>
    </w:p>
    <w:p w14:paraId="1BF7BB0E" w14:textId="5C3CD00F" w:rsidR="00BD770F" w:rsidRPr="00934C91" w:rsidRDefault="00BD770F" w:rsidP="00934C91">
      <w:pPr>
        <w:pStyle w:val="Heading1"/>
        <w:spacing w:line="480" w:lineRule="auto"/>
        <w:jc w:val="center"/>
        <w:rPr>
          <w:b w:val="0"/>
          <w:bCs/>
          <w:sz w:val="36"/>
          <w:szCs w:val="36"/>
        </w:rPr>
      </w:pPr>
      <w:bookmarkStart w:id="116" w:name="_Toc132924211"/>
      <w:r w:rsidRPr="00934C91">
        <w:rPr>
          <w:sz w:val="36"/>
          <w:szCs w:val="36"/>
        </w:rPr>
        <w:lastRenderedPageBreak/>
        <w:t>Chapter 4</w:t>
      </w:r>
      <w:r w:rsidR="00934C91" w:rsidRPr="00934C91">
        <w:rPr>
          <w:sz w:val="36"/>
          <w:szCs w:val="36"/>
        </w:rPr>
        <w:t xml:space="preserve"> – </w:t>
      </w:r>
      <w:r w:rsidRPr="00934C91">
        <w:rPr>
          <w:bCs/>
          <w:sz w:val="36"/>
          <w:szCs w:val="36"/>
        </w:rPr>
        <w:t xml:space="preserve">Insights on Hydrocarbon Catalytic Cracking Over Zeolite Y, The Impact of Mesoporosity </w:t>
      </w:r>
      <w:r w:rsidR="002B2602">
        <w:rPr>
          <w:bCs/>
          <w:sz w:val="36"/>
          <w:szCs w:val="36"/>
        </w:rPr>
        <w:t>Introduction</w:t>
      </w:r>
      <w:bookmarkEnd w:id="116"/>
    </w:p>
    <w:p w14:paraId="09CFD617" w14:textId="77777777" w:rsidR="00BD770F" w:rsidRPr="00D735D9" w:rsidRDefault="00BD770F" w:rsidP="00934C91">
      <w:pPr>
        <w:pStyle w:val="Heading2"/>
        <w:rPr>
          <w:i w:val="0"/>
          <w:iCs/>
          <w:sz w:val="28"/>
          <w:szCs w:val="28"/>
        </w:rPr>
      </w:pPr>
      <w:bookmarkStart w:id="117" w:name="_Toc132924212"/>
      <w:r w:rsidRPr="00D735D9">
        <w:rPr>
          <w:i w:val="0"/>
          <w:iCs/>
          <w:sz w:val="28"/>
          <w:szCs w:val="28"/>
        </w:rPr>
        <w:t>4.1 Introduction and Literature Review</w:t>
      </w:r>
      <w:bookmarkEnd w:id="117"/>
    </w:p>
    <w:p w14:paraId="0554E735" w14:textId="5C4A5FFD" w:rsidR="00BD770F" w:rsidRDefault="00BD770F" w:rsidP="00BA5F6A">
      <w:pPr>
        <w:spacing w:line="480" w:lineRule="auto"/>
        <w:jc w:val="both"/>
        <w:rPr>
          <w:color w:val="000000" w:themeColor="text1"/>
        </w:rPr>
      </w:pPr>
      <w:r>
        <w:rPr>
          <w:color w:val="000000" w:themeColor="text1"/>
        </w:rPr>
        <w:tab/>
      </w:r>
      <w:r w:rsidRPr="005B2326">
        <w:rPr>
          <w:color w:val="000000" w:themeColor="text1"/>
        </w:rPr>
        <w:t>The catalytic use of zeolites in industry is predominant</w:t>
      </w:r>
      <w:r>
        <w:rPr>
          <w:color w:val="000000" w:themeColor="text1"/>
        </w:rPr>
        <w:t>ly</w:t>
      </w:r>
      <w:r w:rsidRPr="005B2326">
        <w:rPr>
          <w:color w:val="000000" w:themeColor="text1"/>
        </w:rPr>
        <w:t xml:space="preserve"> in </w:t>
      </w:r>
      <w:r>
        <w:rPr>
          <w:color w:val="000000" w:themeColor="text1"/>
        </w:rPr>
        <w:t xml:space="preserve">reactions involving </w:t>
      </w:r>
      <w:r w:rsidRPr="005B2326">
        <w:rPr>
          <w:color w:val="000000" w:themeColor="text1"/>
        </w:rPr>
        <w:t xml:space="preserve">hydrocarbon synthesis, cracking, and isomerization </w:t>
      </w:r>
      <w:r>
        <w:rPr>
          <w:color w:val="000000" w:themeColor="text1"/>
        </w:rPr>
        <w:fldChar w:fldCharType="begin"/>
      </w:r>
      <w:r w:rsidR="00C54D4B">
        <w:rPr>
          <w:color w:val="000000" w:themeColor="text1"/>
        </w:rPr>
        <w:instrText xml:space="preserve"> ADDIN EN.CITE &lt;EndNote&gt;&lt;Cite&gt;&lt;Author&gt;Primo&lt;/Author&gt;&lt;Year&gt;2014&lt;/Year&gt;&lt;RecNum&gt;159&lt;/RecNum&gt;&lt;DisplayText&gt;[51, 199]&lt;/DisplayText&gt;&lt;record&gt;&lt;rec-number&gt;159&lt;/rec-number&gt;&lt;foreign-keys&gt;&lt;key app="EN" db-id="59dvwrfdof9dw8exf0kvp0atwazsazeeffsp" timestamp="1677129249"&gt;159&lt;/key&gt;&lt;/foreign-keys&gt;&lt;ref-type name="Journal Article"&gt;17&lt;/ref-type&gt;&lt;contributors&gt;&lt;authors&gt;&lt;author&gt;Ana Primo&lt;/author&gt;&lt;author&gt;Hermenegildo Garcia&lt;/author&gt;&lt;/authors&gt;&lt;/contributors&gt;&lt;titles&gt;&lt;title&gt;Zeolites as catalysts in oil refining&lt;/title&gt;&lt;secondary-title&gt;Chemical Society Reviews&lt;/secondary-title&gt;&lt;/titles&gt;&lt;periodical&gt;&lt;full-title&gt;Chemical Society Reviews&lt;/full-title&gt;&lt;/periodical&gt;&lt;pages&gt;7548-7561&lt;/pages&gt;&lt;volume&gt;43&lt;/volume&gt;&lt;dates&gt;&lt;year&gt;2014&lt;/year&gt;&lt;/dates&gt;&lt;urls&gt;&lt;/urls&gt;&lt;electronic-resource-num&gt;https://doi.org/10.1039/C3CS60394F&lt;/electronic-resource-num&gt;&lt;/record&gt;&lt;/Cite&gt;&lt;Cite&gt;&lt;Author&gt;Choudary&lt;/Author&gt;&lt;Year&gt;2011&lt;/Year&gt;&lt;RecNum&gt;160&lt;/RecNum&gt;&lt;record&gt;&lt;rec-number&gt;160&lt;/rec-number&gt;&lt;foreign-keys&gt;&lt;key app="EN" db-id="59dvwrfdof9dw8exf0kvp0atwazsazeeffsp" timestamp="1677129363"&gt;160&lt;/key&gt;&lt;/foreign-keys&gt;&lt;ref-type name="Journal Article"&gt;17&lt;/ref-type&gt;&lt;contributors&gt;&lt;authors&gt;&lt;author&gt;N. V. Choudary&lt;/author&gt;&lt;author&gt;B. L. Newalkar &lt;/author&gt;&lt;/authors&gt;&lt;/contributors&gt;&lt;titles&gt;&lt;title&gt;Use of zeolites in petroleum refining and petrochemical processes: recent advances&lt;/title&gt;&lt;secondary-title&gt;Journal of Porous Materials&lt;/secondary-title&gt;&lt;/titles&gt;&lt;periodical&gt;&lt;full-title&gt;Journal of Porous Materials&lt;/full-title&gt;&lt;/periodical&gt;&lt;pages&gt;685-692&lt;/pages&gt;&lt;volume&gt;18&lt;/volume&gt;&lt;dates&gt;&lt;year&gt;2011&lt;/year&gt;&lt;/dates&gt;&lt;urls&gt;&lt;/urls&gt;&lt;electronic-resource-num&gt;https://doi.org/10.1007/s10934-010-9427-8&lt;/electronic-resource-num&gt;&lt;/record&gt;&lt;/Cite&gt;&lt;/EndNote&gt;</w:instrText>
      </w:r>
      <w:r>
        <w:rPr>
          <w:color w:val="000000" w:themeColor="text1"/>
        </w:rPr>
        <w:fldChar w:fldCharType="separate"/>
      </w:r>
      <w:r w:rsidR="00C54D4B">
        <w:rPr>
          <w:noProof/>
          <w:color w:val="000000" w:themeColor="text1"/>
        </w:rPr>
        <w:t>[</w:t>
      </w:r>
      <w:hyperlink w:anchor="_ENREF_51" w:tooltip="Primo, 2014 #159" w:history="1">
        <w:r w:rsidR="00D307FA">
          <w:rPr>
            <w:noProof/>
            <w:color w:val="000000" w:themeColor="text1"/>
          </w:rPr>
          <w:t>51</w:t>
        </w:r>
      </w:hyperlink>
      <w:r w:rsidR="00C54D4B">
        <w:rPr>
          <w:noProof/>
          <w:color w:val="000000" w:themeColor="text1"/>
        </w:rPr>
        <w:t xml:space="preserve">, </w:t>
      </w:r>
      <w:hyperlink w:anchor="_ENREF_199" w:tooltip="Choudary, 2011 #160" w:history="1">
        <w:r w:rsidR="00D307FA">
          <w:rPr>
            <w:noProof/>
            <w:color w:val="000000" w:themeColor="text1"/>
          </w:rPr>
          <w:t>199</w:t>
        </w:r>
      </w:hyperlink>
      <w:r w:rsidR="00C54D4B">
        <w:rPr>
          <w:noProof/>
          <w:color w:val="000000" w:themeColor="text1"/>
        </w:rPr>
        <w:t>]</w:t>
      </w:r>
      <w:r>
        <w:rPr>
          <w:color w:val="000000" w:themeColor="text1"/>
        </w:rPr>
        <w:fldChar w:fldCharType="end"/>
      </w:r>
      <w:r>
        <w:rPr>
          <w:color w:val="000000" w:themeColor="text1"/>
        </w:rPr>
        <w:t xml:space="preserve">. While isomerization and synthesis concentrate on mechanistically change the molecule spatial arrangement or elongate the hydrocarbon chain aiming for stable and energetically valuable products, cracking is characterized for breaking large organic molecules into smaller and valuable materials. These three reactions are commonly performed over acid catalysts through primarily generating a positive charge in the hydrocarbon chain, undergoing to one of the three main known routes: (1) a direct protonation of a saturated C-C bond, forming a penta-coordinated carbocation; (2) a protonation of an unsaturated C-C bond, leaving the positive charge close to a more central or branched C; or (3) a proton extraction from a C in the chain, characteristic of a H-transfer to a nearby </w:t>
      </w:r>
      <w:r w:rsidRPr="0060294C">
        <w:rPr>
          <w:color w:val="000000" w:themeColor="text1"/>
        </w:rPr>
        <w:t>specie (</w:t>
      </w:r>
      <w:r w:rsidRPr="0060294C">
        <w:rPr>
          <w:b/>
          <w:bCs/>
        </w:rPr>
        <w:t xml:space="preserve">Figure </w:t>
      </w:r>
      <w:r w:rsidR="0099214D" w:rsidRPr="0060294C">
        <w:rPr>
          <w:b/>
          <w:bCs/>
        </w:rPr>
        <w:t>65</w:t>
      </w:r>
      <w:r w:rsidRPr="0060294C">
        <w:rPr>
          <w:color w:val="000000" w:themeColor="text1"/>
        </w:rPr>
        <w:t>). The resulted</w:t>
      </w:r>
      <w:r>
        <w:rPr>
          <w:color w:val="000000" w:themeColor="text1"/>
        </w:rPr>
        <w:t xml:space="preserve"> protonated specie in the last two routes is known as carbenium ion; both carbonium and carbenium ion are understood to be transition state (TS) like species rather than intermediates of the reaction, but for easier comprehension of reaction mechanisms they are commonly shown as intermediates </w:t>
      </w:r>
      <w:r>
        <w:rPr>
          <w:color w:val="000000" w:themeColor="text1"/>
        </w:rPr>
        <w:fldChar w:fldCharType="begin"/>
      </w:r>
      <w:r>
        <w:rPr>
          <w:color w:val="000000" w:themeColor="text1"/>
        </w:rPr>
        <w:instrText xml:space="preserve"> ADDIN EN.CITE &lt;EndNote&gt;&lt;Cite&gt;&lt;Author&gt;Kazansky&lt;/Author&gt;&lt;Year&gt;1989&lt;/Year&gt;&lt;RecNum&gt;131&lt;/RecNum&gt;&lt;DisplayText&gt;[200]&lt;/DisplayText&gt;&lt;record&gt;&lt;rec-number&gt;131&lt;/rec-number&gt;&lt;foreign-keys&gt;&lt;key app="EN" db-id="59dvwrfdof9dw8exf0kvp0atwazsazeeffsp" timestamp="1673910954"&gt;131&lt;/key&gt;&lt;/foreign-keys&gt;&lt;ref-type name="Journal Article"&gt;17&lt;/ref-type&gt;&lt;contributors&gt;&lt;authors&gt;&lt;author&gt;V. B. Kazansky&lt;/author&gt;&lt;author&gt;I. N. Senchenya&lt;/author&gt;&lt;/authors&gt;&lt;/contributors&gt;&lt;titles&gt;&lt;title&gt;Quantum chemical study of the electronic structure and geometry of surface alkoxy groups as probable active intermediates of heterogeneous acidic catalysts: What are the adsorbed carbenium ions?&lt;/title&gt;&lt;secondary-title&gt;Journal of Catalysis&lt;/secondary-title&gt;&lt;/titles&gt;&lt;periodical&gt;&lt;full-title&gt;Journal of Catalysis&lt;/full-title&gt;&lt;/periodical&gt;&lt;pages&gt;108-120&lt;/pages&gt;&lt;volume&gt;119&lt;/volume&gt;&lt;number&gt;1&lt;/number&gt;&lt;dates&gt;&lt;year&gt;1989&lt;/year&gt;&lt;/dates&gt;&lt;urls&gt;&lt;/urls&gt;&lt;electronic-resource-num&gt;https://doi.org/10.1016/0021-9517(89)90139-5&lt;/electronic-resource-num&gt;&lt;/record&gt;&lt;/Cite&gt;&lt;/EndNote&gt;</w:instrText>
      </w:r>
      <w:r>
        <w:rPr>
          <w:color w:val="000000" w:themeColor="text1"/>
        </w:rPr>
        <w:fldChar w:fldCharType="separate"/>
      </w:r>
      <w:r>
        <w:rPr>
          <w:noProof/>
          <w:color w:val="000000" w:themeColor="text1"/>
        </w:rPr>
        <w:t>[</w:t>
      </w:r>
      <w:hyperlink w:anchor="_ENREF_200" w:tooltip="Kazansky, 1989 #131" w:history="1">
        <w:r w:rsidR="00D307FA">
          <w:rPr>
            <w:noProof/>
            <w:color w:val="000000" w:themeColor="text1"/>
          </w:rPr>
          <w:t>200</w:t>
        </w:r>
      </w:hyperlink>
      <w:r>
        <w:rPr>
          <w:noProof/>
          <w:color w:val="000000" w:themeColor="text1"/>
        </w:rPr>
        <w:t>]</w:t>
      </w:r>
      <w:r>
        <w:rPr>
          <w:color w:val="000000" w:themeColor="text1"/>
        </w:rPr>
        <w:fldChar w:fldCharType="end"/>
      </w:r>
      <w:r>
        <w:rPr>
          <w:color w:val="000000" w:themeColor="text1"/>
        </w:rPr>
        <w:t xml:space="preserve">. </w:t>
      </w:r>
    </w:p>
    <w:p w14:paraId="38FB4D31" w14:textId="499416CD" w:rsidR="00BD770F" w:rsidRDefault="00BD770F" w:rsidP="00BA5F6A">
      <w:pPr>
        <w:spacing w:line="480" w:lineRule="auto"/>
        <w:jc w:val="both"/>
      </w:pPr>
      <w:r>
        <w:rPr>
          <w:color w:val="000000" w:themeColor="text1"/>
        </w:rPr>
        <w:tab/>
        <w:t>Frequently, prior to synthesis or cracking, a concerted isomerization occurs for better positioning the positive charge in the molecule chain,</w:t>
      </w:r>
      <w:r w:rsidRPr="008C6616">
        <w:rPr>
          <w:color w:val="000000" w:themeColor="text1"/>
        </w:rPr>
        <w:t xml:space="preserve"> </w:t>
      </w:r>
      <w:r>
        <w:rPr>
          <w:color w:val="000000" w:themeColor="text1"/>
        </w:rPr>
        <w:t xml:space="preserve">followed by a C-C cleavage </w:t>
      </w:r>
      <w:r>
        <w:rPr>
          <w:color w:val="000000" w:themeColor="text1"/>
        </w:rPr>
        <w:lastRenderedPageBreak/>
        <w:t xml:space="preserve">step, which depends on the nature of the resulting ionic molecule. This isomerization reaction might also occur </w:t>
      </w:r>
      <w:r>
        <w:t xml:space="preserve">due to steric restrictions a porous system imposes over the reacting species, this because of the presence of tertiary carbons within the hydrocarbon backbone provides higher stability and is less energetically demanding for C-C scission when compared to primary and secondary carbons </w:t>
      </w:r>
      <w:r>
        <w:fldChar w:fldCharType="begin"/>
      </w:r>
      <w:r>
        <w:instrText xml:space="preserve"> ADDIN EN.CITE &lt;EndNote&gt;&lt;Cite&gt;&lt;Author&gt;Wielers&lt;/Author&gt;&lt;Year&gt;1991&lt;/Year&gt;&lt;RecNum&gt;133&lt;/RecNum&gt;&lt;DisplayText&gt;[201]&lt;/DisplayText&gt;&lt;record&gt;&lt;rec-number&gt;133&lt;/rec-number&gt;&lt;foreign-keys&gt;&lt;key app="EN" db-id="59dvwrfdof9dw8exf0kvp0atwazsazeeffsp" timestamp="1673996941"&gt;133&lt;/key&gt;&lt;/foreign-keys&gt;&lt;ref-type name="Journal Article"&gt;17&lt;/ref-type&gt;&lt;contributors&gt;&lt;authors&gt;&lt;author&gt;A. F. H. Wielers&lt;/author&gt;&lt;author&gt;M. Vaarkamp&lt;/author&gt;&lt;author&gt;M .F .M. Post&lt;/author&gt;&lt;/authors&gt;&lt;/contributors&gt;&lt;titles&gt;&lt;title&gt;Relation between properties and performance of zeolites in paraffin cracking&lt;/title&gt;&lt;secondary-title&gt;Journal of Catalysis&lt;/secondary-title&gt;&lt;/titles&gt;&lt;periodical&gt;&lt;full-title&gt;Journal of Catalysis&lt;/full-title&gt;&lt;/periodical&gt;&lt;pages&gt;51-66&lt;/pages&gt;&lt;volume&gt;127&lt;/volume&gt;&lt;number&gt;1&lt;/number&gt;&lt;dates&gt;&lt;year&gt;1991&lt;/year&gt;&lt;/dates&gt;&lt;urls&gt;&lt;/urls&gt;&lt;electronic-resource-num&gt;https://doi.org/10.1016/0021-9517(91)90208-L&lt;/electronic-resource-num&gt;&lt;/record&gt;&lt;/Cite&gt;&lt;/EndNote&gt;</w:instrText>
      </w:r>
      <w:r>
        <w:fldChar w:fldCharType="separate"/>
      </w:r>
      <w:r>
        <w:rPr>
          <w:noProof/>
        </w:rPr>
        <w:t>[</w:t>
      </w:r>
      <w:hyperlink w:anchor="_ENREF_201" w:tooltip="Wielers, 1991 #133" w:history="1">
        <w:r w:rsidR="00D307FA">
          <w:rPr>
            <w:noProof/>
          </w:rPr>
          <w:t>201</w:t>
        </w:r>
      </w:hyperlink>
      <w:r>
        <w:rPr>
          <w:noProof/>
        </w:rPr>
        <w:t>]</w:t>
      </w:r>
      <w:r>
        <w:fldChar w:fldCharType="end"/>
      </w:r>
      <w:r>
        <w:t xml:space="preserve">. For this, catalyzed cracking of linear alkanes are expected to undergo skeletal isomerization through a penta-coordinated carbonium ion mechanism for further cracking or either β-C-C bond scission, while branched molecules or olefins usually go through a carbenium ion type of mechanism </w:t>
      </w:r>
      <w:r>
        <w:fldChar w:fldCharType="begin">
          <w:fldData xml:space="preserve">PEVuZE5vdGU+PENpdGU+PEF1dGhvcj5BYmJvdDwvQXV0aG9yPjxZZWFyPjE5ODk8L1llYXI+PFJl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</w:fldData>
        </w:fldChar>
      </w:r>
      <w:r>
        <w:instrText xml:space="preserve"> ADDIN EN.CITE </w:instrText>
      </w:r>
      <w:r>
        <w:fldChar w:fldCharType="begin">
          <w:fldData xml:space="preserve">PEVuZE5vdGU+PENpdGU+PEF1dGhvcj5BYmJvdDwvQXV0aG9yPjxZZWFyPjE5ODk8L1llYXI+PFJl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</w:fldData>
        </w:fldChar>
      </w:r>
      <w:r>
        <w:instrText xml:space="preserve"> ADDIN EN.CITE.DATA </w:instrText>
      </w:r>
      <w:r>
        <w:fldChar w:fldCharType="end"/>
      </w:r>
      <w:r>
        <w:fldChar w:fldCharType="separate"/>
      </w:r>
      <w:r>
        <w:rPr>
          <w:noProof/>
        </w:rPr>
        <w:t>[</w:t>
      </w:r>
      <w:hyperlink w:anchor="_ENREF_202" w:tooltip="Abbot, 1989 #135" w:history="1">
        <w:r w:rsidR="00D307FA">
          <w:rPr>
            <w:noProof/>
          </w:rPr>
          <w:t>202-204</w:t>
        </w:r>
      </w:hyperlink>
      <w:r>
        <w:rPr>
          <w:noProof/>
        </w:rPr>
        <w:t>]</w:t>
      </w:r>
      <w:r>
        <w:fldChar w:fldCharType="end"/>
      </w:r>
      <w:r>
        <w:t>. Still, t</w:t>
      </w:r>
      <w:r w:rsidRPr="00507C00">
        <w:rPr>
          <w:color w:val="000000" w:themeColor="text1"/>
        </w:rPr>
        <w:t xml:space="preserve">he fundamental comprehension of the reaction mechanism </w:t>
      </w:r>
      <w:r>
        <w:rPr>
          <w:color w:val="000000" w:themeColor="text1"/>
        </w:rPr>
        <w:t xml:space="preserve">in confined environments </w:t>
      </w:r>
      <w:r w:rsidRPr="00507C00">
        <w:rPr>
          <w:color w:val="000000" w:themeColor="text1"/>
        </w:rPr>
        <w:t xml:space="preserve">and the impact </w:t>
      </w:r>
      <w:r>
        <w:rPr>
          <w:color w:val="000000" w:themeColor="text1"/>
        </w:rPr>
        <w:t xml:space="preserve">the elements of a </w:t>
      </w:r>
      <w:r w:rsidRPr="00507C00">
        <w:rPr>
          <w:color w:val="000000" w:themeColor="text1"/>
        </w:rPr>
        <w:t>zeolite have over the products formation are a matter of study.</w:t>
      </w:r>
    </w:p>
    <w:p w14:paraId="1BCD2FE3" w14:textId="77777777" w:rsidR="00BD770F" w:rsidRDefault="00BD770F" w:rsidP="002C4BF8">
      <w:pPr>
        <w:keepNext/>
        <w:jc w:val="center"/>
      </w:pPr>
      <w:r>
        <w:rPr>
          <w:noProof/>
        </w:rPr>
        <w:drawing>
          <wp:inline distT="0" distB="0" distL="0" distR="0" wp14:anchorId="1F5F5EF5" wp14:editId="28CA9AE5">
            <wp:extent cx="4173585" cy="3657600"/>
            <wp:effectExtent l="0" t="0" r="0" b="0"/>
            <wp:docPr id="66" name="Picture 6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Shape&#10;&#10;Description automatically generated with medium confidence"/>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173585" cy="3657600"/>
                    </a:xfrm>
                    <a:prstGeom prst="rect">
                      <a:avLst/>
                    </a:prstGeom>
                    <a:noFill/>
                  </pic:spPr>
                </pic:pic>
              </a:graphicData>
            </a:graphic>
          </wp:inline>
        </w:drawing>
      </w:r>
    </w:p>
    <w:p w14:paraId="29B2DE33" w14:textId="25FF53EC" w:rsidR="00BD770F" w:rsidRPr="00AB531A" w:rsidRDefault="00BD770F" w:rsidP="002C4BF8">
      <w:pPr>
        <w:pStyle w:val="Caption"/>
        <w:jc w:val="both"/>
        <w:rPr>
          <w:b/>
          <w:bCs/>
          <w:i w:val="0"/>
          <w:iCs w:val="0"/>
          <w:color w:val="auto"/>
          <w:sz w:val="24"/>
          <w:szCs w:val="24"/>
        </w:rPr>
      </w:pPr>
      <w:bookmarkStart w:id="118" w:name="_Toc131948729"/>
      <w:r w:rsidRPr="00AB531A">
        <w:rPr>
          <w:b/>
          <w:bCs/>
          <w:i w:val="0"/>
          <w:iCs w:val="0"/>
          <w:color w:val="auto"/>
          <w:sz w:val="24"/>
          <w:szCs w:val="24"/>
        </w:rPr>
        <w:t xml:space="preserve">Figure </w:t>
      </w:r>
      <w:r w:rsidRPr="00AB531A">
        <w:rPr>
          <w:b/>
          <w:bCs/>
          <w:i w:val="0"/>
          <w:iCs w:val="0"/>
          <w:color w:val="auto"/>
          <w:sz w:val="24"/>
          <w:szCs w:val="24"/>
        </w:rPr>
        <w:fldChar w:fldCharType="begin"/>
      </w:r>
      <w:r w:rsidRPr="00AB531A">
        <w:rPr>
          <w:b/>
          <w:bCs/>
          <w:i w:val="0"/>
          <w:iCs w:val="0"/>
          <w:color w:val="auto"/>
          <w:sz w:val="24"/>
          <w:szCs w:val="24"/>
        </w:rPr>
        <w:instrText xml:space="preserve"> SEQ Figure \* ARABIC </w:instrText>
      </w:r>
      <w:r w:rsidRPr="00AB531A">
        <w:rPr>
          <w:b/>
          <w:bCs/>
          <w:i w:val="0"/>
          <w:iCs w:val="0"/>
          <w:color w:val="auto"/>
          <w:sz w:val="24"/>
          <w:szCs w:val="24"/>
        </w:rPr>
        <w:fldChar w:fldCharType="separate"/>
      </w:r>
      <w:r w:rsidR="001F4741">
        <w:rPr>
          <w:b/>
          <w:bCs/>
          <w:i w:val="0"/>
          <w:iCs w:val="0"/>
          <w:noProof/>
          <w:color w:val="auto"/>
          <w:sz w:val="24"/>
          <w:szCs w:val="24"/>
        </w:rPr>
        <w:t>65</w:t>
      </w:r>
      <w:r w:rsidRPr="00AB531A">
        <w:rPr>
          <w:b/>
          <w:bCs/>
          <w:i w:val="0"/>
          <w:iCs w:val="0"/>
          <w:color w:val="auto"/>
          <w:sz w:val="24"/>
          <w:szCs w:val="24"/>
        </w:rPr>
        <w:fldChar w:fldCharType="end"/>
      </w:r>
      <w:r w:rsidRPr="00AB531A">
        <w:rPr>
          <w:b/>
          <w:bCs/>
          <w:i w:val="0"/>
          <w:iCs w:val="0"/>
          <w:color w:val="auto"/>
          <w:sz w:val="24"/>
          <w:szCs w:val="24"/>
        </w:rPr>
        <w:t xml:space="preserve">: </w:t>
      </w:r>
      <w:r w:rsidRPr="00AB531A">
        <w:rPr>
          <w:i w:val="0"/>
          <w:iCs w:val="0"/>
          <w:color w:val="auto"/>
          <w:sz w:val="24"/>
          <w:szCs w:val="24"/>
        </w:rPr>
        <w:t>Carbocation initiation in heptane (model molecule), a first elementary step onto catalytic cracking reaction. A model representation.</w:t>
      </w:r>
      <w:bookmarkEnd w:id="118"/>
    </w:p>
    <w:p w14:paraId="4E030FFC" w14:textId="5BBBDFFF" w:rsidR="00BD770F" w:rsidRDefault="00BD770F" w:rsidP="00BA5F6A">
      <w:pPr>
        <w:spacing w:line="480" w:lineRule="auto"/>
        <w:jc w:val="both"/>
      </w:pPr>
      <w:r>
        <w:rPr>
          <w:color w:val="000000" w:themeColor="text1"/>
        </w:rPr>
        <w:lastRenderedPageBreak/>
        <w:tab/>
      </w:r>
      <w:r w:rsidRPr="00F03E21">
        <w:rPr>
          <w:color w:val="000000" w:themeColor="text1"/>
        </w:rPr>
        <w:t>It</w:t>
      </w:r>
      <w:r>
        <w:rPr>
          <w:color w:val="000000" w:themeColor="text1"/>
        </w:rPr>
        <w:t xml:space="preserve"> is understood, that the p</w:t>
      </w:r>
      <w:r>
        <w:t xml:space="preserve">roduct selectivity depends on the nature of the reacting species (e.g., chain length or branched alkyl groups) and the environment around the acid site </w:t>
      </w:r>
      <w:r>
        <w:fldChar w:fldCharType="begin"/>
      </w:r>
      <w:r>
        <w:instrText xml:space="preserve"> ADDIN EN.CITE &lt;EndNote&gt;&lt;Cite&gt;&lt;Author&gt;Bhan&lt;/Author&gt;&lt;Year&gt;2008&lt;/Year&gt;&lt;RecNum&gt;132&lt;/RecNum&gt;&lt;DisplayText&gt;[205]&lt;/DisplayText&gt;&lt;record&gt;&lt;rec-number&gt;132&lt;/rec-number&gt;&lt;foreign-keys&gt;&lt;key app="EN" db-id="59dvwrfdof9dw8exf0kvp0atwazsazeeffsp" timestamp="1673995143"&gt;132&lt;/key&gt;&lt;/foreign-keys&gt;&lt;ref-type name="Journal Article"&gt;17&lt;/ref-type&gt;&lt;contributors&gt;&lt;authors&gt;&lt;author&gt;Aditya Bhan&lt;/author&gt;&lt;author&gt;Rajamani Gounder&lt;/author&gt;&lt;author&gt;Josef Macht&lt;/author&gt;&lt;author&gt;Enrique Iglesia&lt;/author&gt;&lt;/authors&gt;&lt;/contributors&gt;&lt;titles&gt;&lt;title&gt;Entropy considerations in monomolecular cracking of alkanes on acidic zeolites&lt;/title&gt;&lt;secondary-title&gt;Journal of Catalysis&lt;/secondary-title&gt;&lt;/titles&gt;&lt;periodical&gt;&lt;full-title&gt;Journal of Catalysis&lt;/full-title&gt;&lt;/periodical&gt;&lt;pages&gt;221-224&lt;/pages&gt;&lt;volume&gt;253&lt;/volume&gt;&lt;number&gt;1&lt;/number&gt;&lt;dates&gt;&lt;year&gt;2008&lt;/year&gt;&lt;/dates&gt;&lt;urls&gt;&lt;/urls&gt;&lt;electronic-resource-num&gt;https://doi.org/10.1016/j.jcat.2007.11.003&lt;/electronic-resource-num&gt;&lt;/record&gt;&lt;/Cite&gt;&lt;/EndNote&gt;</w:instrText>
      </w:r>
      <w:r>
        <w:fldChar w:fldCharType="separate"/>
      </w:r>
      <w:r>
        <w:rPr>
          <w:noProof/>
        </w:rPr>
        <w:t>[</w:t>
      </w:r>
      <w:hyperlink w:anchor="_ENREF_205" w:tooltip="Bhan, 2008 #132" w:history="1">
        <w:r w:rsidR="00D307FA">
          <w:rPr>
            <w:noProof/>
          </w:rPr>
          <w:t>205</w:t>
        </w:r>
      </w:hyperlink>
      <w:r>
        <w:rPr>
          <w:noProof/>
        </w:rPr>
        <w:t>]</w:t>
      </w:r>
      <w:r>
        <w:fldChar w:fldCharType="end"/>
      </w:r>
      <w:r>
        <w:t>. In regards of the nature of the hydrocarbon itself, within the same zeolite, cracking rates of different molecules were demonstrated to be determined by entropic differences existed between the (</w:t>
      </w:r>
      <w:r w:rsidRPr="00EA24B4">
        <w:t>late</w:t>
      </w:r>
      <w:r>
        <w:t xml:space="preserve">) TS and adsorbed alkanes </w:t>
      </w:r>
      <w:r w:rsidRPr="00EA24B4">
        <w:t xml:space="preserve">rather than difference on mechanistic arrangements of the main hydrocarbon chain </w:t>
      </w:r>
      <w:r>
        <w:fldChar w:fldCharType="begin"/>
      </w:r>
      <w:r w:rsidR="00C54D4B">
        <w:instrText xml:space="preserve"> ADDIN EN.CITE &lt;EndNote&gt;&lt;Cite&gt;&lt;Author&gt;Gounder&lt;/Author&gt;&lt;Year&gt;2012&lt;/Year&gt;&lt;RecNum&gt;10&lt;/RecNum&gt;&lt;DisplayText&gt;[65]&lt;/DisplayText&gt;&lt;record&gt;&lt;rec-number&gt;10&lt;/rec-number&gt;&lt;foreign-keys&gt;&lt;key app="EN" db-id="59dvwrfdof9dw8exf0kvp0atwazsazeeffsp" timestamp="1667538586"&gt;10&lt;/key&gt;&lt;/foreign-keys&gt;&lt;ref-type name="Journal Article"&gt;17&lt;/ref-type&gt;&lt;contributors&gt;&lt;authors&gt;&lt;author&gt;Rajamani Gounder&lt;/author&gt;&lt;author&gt;Enrique Iglesia&lt;/author&gt;&lt;/authors&gt;&lt;/contributors&gt;&lt;titles&gt;&lt;title&gt;The Roles of Entropy and Enthalpy in Stabilizing Ion-Pairs at Transition States in Zeolite Acid Catalysis&lt;/title&gt;&lt;secondary-title&gt;Accounts of Chemical Research&lt;/secondary-title&gt;&lt;/titles&gt;&lt;periodical&gt;&lt;full-title&gt;Accounts of Chemical Research&lt;/full-title&gt;&lt;/periodical&gt;&lt;pages&gt;229-238&lt;/pages&gt;&lt;volume&gt;45&lt;/volume&gt;&lt;number&gt;2&lt;/number&gt;&lt;dates&gt;&lt;year&gt;2012&lt;/year&gt;&lt;/dates&gt;&lt;urls&gt;&lt;/urls&gt;&lt;electronic-resource-num&gt;https://doi.org/10.1021/ar200138n&lt;/electronic-resource-num&gt;&lt;/record&gt;&lt;/Cite&gt;&lt;/EndNote&gt;</w:instrText>
      </w:r>
      <w:r>
        <w:fldChar w:fldCharType="separate"/>
      </w:r>
      <w:r w:rsidR="00C54D4B">
        <w:rPr>
          <w:noProof/>
        </w:rPr>
        <w:t>[</w:t>
      </w:r>
      <w:hyperlink w:anchor="_ENREF_65" w:tooltip="Gounder, 2012 #10" w:history="1">
        <w:r w:rsidR="00D307FA">
          <w:rPr>
            <w:noProof/>
          </w:rPr>
          <w:t>65</w:t>
        </w:r>
      </w:hyperlink>
      <w:r w:rsidR="00C54D4B">
        <w:rPr>
          <w:noProof/>
        </w:rPr>
        <w:t>]</w:t>
      </w:r>
      <w:r>
        <w:fldChar w:fldCharType="end"/>
      </w:r>
      <w:r>
        <w:t>. This “</w:t>
      </w:r>
      <w:r w:rsidRPr="00EA24B4">
        <w:t>late</w:t>
      </w:r>
      <w:r>
        <w:t xml:space="preserve">” TS was explained by its arrangement being analogous to the products, resulting in entropic rotational and translations gains, not existed in the longer hydrocarbon chain. The enthalpic contributions from the van der Waals interactions with the framework were found to be similar to both the adsorbed molecule and the TS, in such a way that the entropic contributions were more relevant in cracking reactions under confined domains. These differences in entropy are also observed in the adsorption of these molecules in an acid site as the number of carbons changes. A linear correlation between the enthalpies and entropies of the alkane sorption with the carbon number is found in where higher the molecular weight of the hydrocarbon higher the entropy and enthalpy loss compared to the gas phase </w:t>
      </w:r>
      <w:r>
        <w:fldChar w:fldCharType="begin"/>
      </w:r>
      <w:r>
        <w:instrText xml:space="preserve"> ADDIN EN.CITE &lt;EndNote&gt;&lt;Cite&gt;&lt;Author&gt;Bokhoven&lt;/Author&gt;&lt;Year&gt;2004&lt;/Year&gt;&lt;RecNum&gt;148&lt;/RecNum&gt;&lt;DisplayText&gt;[206]&lt;/DisplayText&gt;&lt;record&gt;&lt;rec-number&gt;148&lt;/rec-number&gt;&lt;foreign-keys&gt;&lt;key app="EN" db-id="59dvwrfdof9dw8exf0kvp0atwazsazeeffsp" timestamp="1675749873"&gt;148&lt;/key&gt;&lt;/foreign-keys&gt;&lt;ref-type name="Journal Article"&gt;17&lt;/ref-type&gt;&lt;contributors&gt;&lt;authors&gt;&lt;author&gt;Jeroen A. van Bokhoven&lt;/author&gt;&lt;author&gt;Bryce A. Williams&lt;/author&gt;&lt;author&gt;W. Ji&lt;/author&gt;&lt;author&gt;Diek C. Koningsberger&lt;/author&gt;&lt;author&gt;Harold H. Kung&lt;/author&gt;&lt;author&gt;Jeffrey T. Miller&lt;/author&gt;&lt;/authors&gt;&lt;/contributors&gt;&lt;titles&gt;&lt;title&gt;Observation of a compensation relation for monomolecular alkane cracking by zeolites: the dominant role of reactant sorption&lt;/title&gt;&lt;secondary-title&gt;Journal of Catalysis&lt;/secondary-title&gt;&lt;/titles&gt;&lt;periodical&gt;&lt;full-title&gt;Journal of Catalysis&lt;/full-title&gt;&lt;/periodical&gt;&lt;pages&gt;50-59&lt;/pages&gt;&lt;volume&gt;224&lt;/volume&gt;&lt;number&gt;1&lt;/number&gt;&lt;dates&gt;&lt;year&gt;2004&lt;/year&gt;&lt;/dates&gt;&lt;urls&gt;&lt;/urls&gt;&lt;electronic-resource-num&gt;https://doi.org/10.1016/j.jcat.2004.02.003&lt;/electronic-resource-num&gt;&lt;/record&gt;&lt;/Cite&gt;&lt;/EndNote&gt;</w:instrText>
      </w:r>
      <w:r>
        <w:fldChar w:fldCharType="separate"/>
      </w:r>
      <w:r>
        <w:rPr>
          <w:noProof/>
        </w:rPr>
        <w:t>[</w:t>
      </w:r>
      <w:hyperlink w:anchor="_ENREF_206" w:tooltip="Bokhoven, 2004 #148" w:history="1">
        <w:r w:rsidR="00D307FA">
          <w:rPr>
            <w:noProof/>
          </w:rPr>
          <w:t>206</w:t>
        </w:r>
      </w:hyperlink>
      <w:r>
        <w:rPr>
          <w:noProof/>
        </w:rPr>
        <w:t>]</w:t>
      </w:r>
      <w:r>
        <w:fldChar w:fldCharType="end"/>
      </w:r>
      <w:r>
        <w:t xml:space="preserve">. Also, less demanding is the energy requirement for cracking reactions to occur as the number of carbons within a chain increases </w:t>
      </w:r>
      <w:r>
        <w:fldChar w:fldCharType="begin"/>
      </w:r>
      <w:r>
        <w:instrText xml:space="preserve"> ADDIN EN.CITE &lt;EndNote&gt;&lt;Cite&gt;&lt;Author&gt;Katada&lt;/Author&gt;&lt;Year&gt;2015&lt;/Year&gt;&lt;RecNum&gt;149&lt;/RecNum&gt;&lt;DisplayText&gt;[207]&lt;/DisplayText&gt;&lt;record&gt;&lt;rec-number&gt;149&lt;/rec-number&gt;&lt;foreign-keys&gt;&lt;key app="EN" db-id="59dvwrfdof9dw8exf0kvp0atwazsazeeffsp" timestamp="1675750248"&gt;149&lt;/key&gt;&lt;/foreign-keys&gt;&lt;ref-type name="Journal Article"&gt;17&lt;/ref-type&gt;&lt;contributors&gt;&lt;authors&gt;&lt;author&gt;Naonobu Katada&lt;/author&gt;&lt;author&gt;Satoko Sota&lt;/author&gt;&lt;author&gt;Nami Morishita&lt;/author&gt;&lt;author&gt;Kazu Okumura&lt;/author&gt;&lt;author&gt;Miki Niwa&lt;/author&gt;&lt;/authors&gt;&lt;/contributors&gt;&lt;titles&gt;&lt;title&gt;Relationship between activation energy and pre-exponential factor normalized by the number of Brønsted acid sites in cracking of short chain alkanes on zeolites&lt;/title&gt;&lt;secondary-title&gt;Catalysis Science &amp;amp; Technology&lt;/secondary-title&gt;&lt;/titles&gt;&lt;periodical&gt;&lt;full-title&gt;Catalysis Science &amp;amp; Technology&lt;/full-title&gt;&lt;/periodical&gt;&lt;pages&gt;1864-1869&lt;/pages&gt;&lt;volume&gt;5&lt;/volume&gt;&lt;dates&gt;&lt;year&gt;2015&lt;/year&gt;&lt;/dates&gt;&lt;urls&gt;&lt;/urls&gt;&lt;electronic-resource-num&gt;https://doi.org/10.1039/C4CY01483A&lt;/electronic-resource-num&gt;&lt;/record&gt;&lt;/Cite&gt;&lt;/EndNote&gt;</w:instrText>
      </w:r>
      <w:r>
        <w:fldChar w:fldCharType="separate"/>
      </w:r>
      <w:r>
        <w:rPr>
          <w:noProof/>
        </w:rPr>
        <w:t>[</w:t>
      </w:r>
      <w:hyperlink w:anchor="_ENREF_207" w:tooltip="Katada, 2015 #149" w:history="1">
        <w:r w:rsidR="00D307FA">
          <w:rPr>
            <w:noProof/>
          </w:rPr>
          <w:t>207</w:t>
        </w:r>
      </w:hyperlink>
      <w:r>
        <w:rPr>
          <w:noProof/>
        </w:rPr>
        <w:t>]</w:t>
      </w:r>
      <w:r>
        <w:fldChar w:fldCharType="end"/>
      </w:r>
      <w:r>
        <w:t>. Taking advantage of these energy observations in respect to the molecule itself and the interactions contributions a porous catalyst provides, one might find more feasible to profit from these reactions under a confined environment of a zeolite due to the properties and reaction performance control.</w:t>
      </w:r>
    </w:p>
    <w:p w14:paraId="66891EFF" w14:textId="6E66BDE7" w:rsidR="00BD770F" w:rsidRDefault="00BD770F" w:rsidP="00BA5F6A">
      <w:pPr>
        <w:spacing w:line="480" w:lineRule="auto"/>
        <w:jc w:val="both"/>
        <w:rPr>
          <w:color w:val="000000" w:themeColor="text1"/>
        </w:rPr>
      </w:pPr>
      <w:r>
        <w:rPr>
          <w:color w:val="000000" w:themeColor="text1"/>
        </w:rPr>
        <w:tab/>
        <w:t xml:space="preserve">The catalytic cracking on zeolites are advantageous due also to the high thermal stability of the crystalline structure and the confinement effect the zeolite has over high energy species. Faujasite </w:t>
      </w:r>
      <w:r w:rsidRPr="005B2326">
        <w:rPr>
          <w:color w:val="000000" w:themeColor="text1"/>
        </w:rPr>
        <w:t>(FAU</w:t>
      </w:r>
      <w:r>
        <w:rPr>
          <w:color w:val="000000" w:themeColor="text1"/>
        </w:rPr>
        <w:t>,</w:t>
      </w:r>
      <w:r w:rsidRPr="005B2326">
        <w:rPr>
          <w:color w:val="000000" w:themeColor="text1"/>
        </w:rPr>
        <w:t xml:space="preserve"> or zeolite Y)</w:t>
      </w:r>
      <w:r>
        <w:rPr>
          <w:color w:val="000000" w:themeColor="text1"/>
        </w:rPr>
        <w:t xml:space="preserve"> presents itself as an important catalyst to the </w:t>
      </w:r>
      <w:r>
        <w:rPr>
          <w:color w:val="000000" w:themeColor="text1"/>
        </w:rPr>
        <w:lastRenderedPageBreak/>
        <w:t xml:space="preserve">industry in this case </w:t>
      </w:r>
      <w:r w:rsidRPr="005B2326">
        <w:rPr>
          <w:color w:val="000000" w:themeColor="text1"/>
        </w:rPr>
        <w:t>due to its pore opening</w:t>
      </w:r>
      <w:r>
        <w:rPr>
          <w:color w:val="000000" w:themeColor="text1"/>
        </w:rPr>
        <w:t>,</w:t>
      </w:r>
      <w:r w:rsidRPr="005B2326">
        <w:rPr>
          <w:color w:val="000000" w:themeColor="text1"/>
        </w:rPr>
        <w:t xml:space="preserve"> allowing relatively large molecules to diffuse through </w:t>
      </w:r>
      <w:r>
        <w:rPr>
          <w:color w:val="000000" w:themeColor="text1"/>
        </w:rPr>
        <w:t xml:space="preserve">resulting in </w:t>
      </w:r>
      <w:r w:rsidRPr="005B2326">
        <w:rPr>
          <w:color w:val="000000" w:themeColor="text1"/>
        </w:rPr>
        <w:t>high conversion rates</w:t>
      </w:r>
      <w:r>
        <w:rPr>
          <w:color w:val="000000" w:themeColor="text1"/>
        </w:rPr>
        <w:t xml:space="preserve"> as compared to more confined structures </w:t>
      </w:r>
      <w:r>
        <w:rPr>
          <w:color w:val="000000" w:themeColor="text1"/>
        </w:rPr>
        <w:fldChar w:fldCharType="begin"/>
      </w:r>
      <w:r>
        <w:rPr>
          <w:color w:val="000000" w:themeColor="text1"/>
        </w:rPr>
        <w:instrText xml:space="preserve"> ADDIN EN.CITE &lt;EndNote&gt;&lt;Cite&gt;&lt;Author&gt;Avidan&lt;/Author&gt;&lt;Year&gt;1993&lt;/Year&gt;&lt;RecNum&gt;161&lt;/RecNum&gt;&lt;DisplayText&gt;[208]&lt;/DisplayText&gt;&lt;record&gt;&lt;rec-number&gt;161&lt;/rec-number&gt;&lt;foreign-keys&gt;&lt;key app="EN" db-id="59dvwrfdof9dw8exf0kvp0atwazsazeeffsp" timestamp="1677129844"&gt;161&lt;/key&gt;&lt;/foreign-keys&gt;&lt;ref-type name="Book"&gt;6&lt;/ref-type&gt;&lt;contributors&gt;&lt;authors&gt;&lt;author&gt;Amos A. Avidan&lt;/author&gt;&lt;/authors&gt;&lt;/contributors&gt;&lt;titles&gt;&lt;title&gt;Chapter 1 Origin, Development and Scope of Fcc Catalysis&lt;/title&gt;&lt;/titles&gt;&lt;pages&gt;1-39&lt;/pages&gt;&lt;volume&gt;76&lt;/volume&gt;&lt;dates&gt;&lt;year&gt;1993&lt;/year&gt;&lt;/dates&gt;&lt;urls&gt;&lt;/urls&gt;&lt;electronic-resource-num&gt;https://doi.org/10.1016/S0167-2991(08)63824-0&lt;/electronic-resource-num&gt;&lt;/record&gt;&lt;/Cite&gt;&lt;/EndNote&gt;</w:instrText>
      </w:r>
      <w:r>
        <w:rPr>
          <w:color w:val="000000" w:themeColor="text1"/>
        </w:rPr>
        <w:fldChar w:fldCharType="separate"/>
      </w:r>
      <w:r>
        <w:rPr>
          <w:noProof/>
          <w:color w:val="000000" w:themeColor="text1"/>
        </w:rPr>
        <w:t>[</w:t>
      </w:r>
      <w:hyperlink w:anchor="_ENREF_208" w:tooltip="Avidan, 1993 #161" w:history="1">
        <w:r w:rsidR="00D307FA">
          <w:rPr>
            <w:noProof/>
            <w:color w:val="000000" w:themeColor="text1"/>
          </w:rPr>
          <w:t>208</w:t>
        </w:r>
      </w:hyperlink>
      <w:r>
        <w:rPr>
          <w:noProof/>
          <w:color w:val="000000" w:themeColor="text1"/>
        </w:rPr>
        <w:t>]</w:t>
      </w:r>
      <w:r>
        <w:rPr>
          <w:color w:val="000000" w:themeColor="text1"/>
        </w:rPr>
        <w:fldChar w:fldCharType="end"/>
      </w:r>
      <w:r w:rsidRPr="005B2326">
        <w:rPr>
          <w:color w:val="000000" w:themeColor="text1"/>
        </w:rPr>
        <w:t xml:space="preserve">. However, the presence of extra-framework aluminum species (EFAL) </w:t>
      </w:r>
      <w:r>
        <w:rPr>
          <w:color w:val="000000" w:themeColor="text1"/>
        </w:rPr>
        <w:t xml:space="preserve">and their unknown synergistic effects alongside with the acid sites incite the need of the catalyst understanding and upgrading </w:t>
      </w:r>
      <w:r>
        <w:rPr>
          <w:color w:val="000000" w:themeColor="text1"/>
        </w:rPr>
        <w:fldChar w:fldCharType="begin"/>
      </w:r>
      <w:r w:rsidR="00C54D4B">
        <w:rPr>
          <w:color w:val="000000" w:themeColor="text1"/>
        </w:rPr>
        <w:instrText xml:space="preserve"> ADDIN EN.CITE &lt;EndNote&gt;&lt;Cite&gt;&lt;Author&gt;Chen&lt;/Author&gt;&lt;Year&gt;2019&lt;/Year&gt;&lt;RecNum&gt;61&lt;/RecNum&gt;&lt;DisplayText&gt;[128]&lt;/DisplayText&gt;&lt;record&gt;&lt;rec-number&gt;61&lt;/rec-number&gt;&lt;foreign-keys&gt;&lt;key app="EN" db-id="59dvwrfdof9dw8exf0kvp0atwazsazeeffsp" timestamp="1671737445"&gt;61&lt;/key&gt;&lt;/foreign-keys&gt;&lt;ref-type name="Journal Article"&gt;17&lt;/ref-type&gt;&lt;contributors&gt;&lt;authors&gt;&lt;author&gt;Kuizhi Chen&lt;/author&gt;&lt;author&gt;Maryam Abdolrahmani&lt;/author&gt;&lt;author&gt;Sarah Horstmeier&lt;/author&gt;&lt;author&gt;Tram N. Pham&lt;/author&gt;&lt;author&gt;Vy T. Nguyen&lt;/author&gt;&lt;author&gt;Michael Zeets&lt;/author&gt;&lt;author&gt;Bin Wang&lt;/author&gt;&lt;author&gt;Steven Crossley&lt;/author&gt;&lt;author&gt;Jeffery L. White&lt;/author&gt;&lt;/authors&gt;&lt;/contributors&gt;&lt;titles&gt;&lt;title&gt;Brønsted–Brønsted Synergies between Framework and Noncrystalline Protons in Zeolite H-ZSM-5&lt;/title&gt;&lt;secondary-title&gt;ACS Catalysis&lt;/secondary-title&gt;&lt;/titles&gt;&lt;periodical&gt;&lt;full-title&gt;ACS Catalysis&lt;/full-title&gt;&lt;/periodical&gt;&lt;pages&gt;6124-6136&lt;/pages&gt;&lt;volume&gt;9&lt;/volume&gt;&lt;number&gt;7&lt;/number&gt;&lt;dates&gt;&lt;year&gt;2019&lt;/year&gt;&lt;/dates&gt;&lt;urls&gt;&lt;/urls&gt;&lt;electronic-resource-num&gt;https://doi.org/10.1021/acscatal.9b01583&lt;/electronic-resource-num&gt;&lt;/record&gt;&lt;/Cite&gt;&lt;/EndNote&gt;</w:instrText>
      </w:r>
      <w:r>
        <w:rPr>
          <w:color w:val="000000" w:themeColor="text1"/>
        </w:rPr>
        <w:fldChar w:fldCharType="separate"/>
      </w:r>
      <w:r w:rsidR="00C54D4B">
        <w:rPr>
          <w:noProof/>
          <w:color w:val="000000" w:themeColor="text1"/>
        </w:rPr>
        <w:t>[</w:t>
      </w:r>
      <w:hyperlink w:anchor="_ENREF_128" w:tooltip="Chen, 2019 #61" w:history="1">
        <w:r w:rsidR="00D307FA">
          <w:rPr>
            <w:noProof/>
            <w:color w:val="000000" w:themeColor="text1"/>
          </w:rPr>
          <w:t>128</w:t>
        </w:r>
      </w:hyperlink>
      <w:r w:rsidR="00C54D4B">
        <w:rPr>
          <w:noProof/>
          <w:color w:val="000000" w:themeColor="text1"/>
        </w:rPr>
        <w:t>]</w:t>
      </w:r>
      <w:r>
        <w:rPr>
          <w:color w:val="000000" w:themeColor="text1"/>
        </w:rPr>
        <w:fldChar w:fldCharType="end"/>
      </w:r>
      <w:r>
        <w:rPr>
          <w:color w:val="000000" w:themeColor="text1"/>
        </w:rPr>
        <w:t>. These features are</w:t>
      </w:r>
      <w:r w:rsidRPr="005B2326">
        <w:rPr>
          <w:color w:val="000000" w:themeColor="text1"/>
        </w:rPr>
        <w:t xml:space="preserve"> a consequence of the high Al feeding during </w:t>
      </w:r>
      <w:r>
        <w:rPr>
          <w:color w:val="000000" w:themeColor="text1"/>
        </w:rPr>
        <w:t xml:space="preserve">Y </w:t>
      </w:r>
      <w:r w:rsidRPr="005B2326">
        <w:rPr>
          <w:color w:val="000000" w:themeColor="text1"/>
        </w:rPr>
        <w:t>synthesis</w:t>
      </w:r>
      <w:r>
        <w:rPr>
          <w:color w:val="000000" w:themeColor="text1"/>
        </w:rPr>
        <w:t xml:space="preserve">, and methods to mitigate their presence are performed both at the synthesis stage or in a post-treatment process, generating further effects as mentioned before in early chapters (e.g., acid washing and steaming). Since the control of operational and chemical parameters during the zeolite synthesis are challenging, post-treatments are selected as excellent approaches to diminish the concentration of such elements. </w:t>
      </w:r>
    </w:p>
    <w:p w14:paraId="3576FE6B" w14:textId="2EFC96AD" w:rsidR="00BD770F" w:rsidRDefault="00BD770F" w:rsidP="00BA5F6A">
      <w:pPr>
        <w:spacing w:line="480" w:lineRule="auto"/>
        <w:jc w:val="both"/>
        <w:rPr>
          <w:color w:val="000000" w:themeColor="text1"/>
        </w:rPr>
      </w:pPr>
      <w:r w:rsidRPr="0084481F">
        <w:rPr>
          <w:color w:val="000000" w:themeColor="text1"/>
        </w:rPr>
        <w:tab/>
      </w:r>
      <w:r w:rsidRPr="00CA138B">
        <w:rPr>
          <w:color w:val="000000" w:themeColor="text1"/>
        </w:rPr>
        <w:t>The aforesaid steaming treatment i</w:t>
      </w:r>
      <w:r>
        <w:rPr>
          <w:color w:val="000000" w:themeColor="text1"/>
        </w:rPr>
        <w:t xml:space="preserve">s commonly performed over catalysts structures to create mesoporous channels inside the framework to facilitate reacting species diffusion and their contact with the active environment sites </w:t>
      </w:r>
      <w:r>
        <w:rPr>
          <w:color w:val="000000" w:themeColor="text1"/>
        </w:rPr>
        <w:fldChar w:fldCharType="begin"/>
      </w:r>
      <w:r>
        <w:rPr>
          <w:color w:val="000000" w:themeColor="text1"/>
        </w:rPr>
        <w:instrText xml:space="preserve"> ADDIN EN.CITE &lt;EndNote&gt;&lt;Cite&gt;&lt;Author&gt;Donk&lt;/Author&gt;&lt;Year&gt;2007&lt;/Year&gt;&lt;RecNum&gt;162&lt;/RecNum&gt;&lt;DisplayText&gt;[209]&lt;/DisplayText&gt;&lt;record&gt;&lt;rec-number&gt;162&lt;/rec-number&gt;&lt;foreign-keys&gt;&lt;key app="EN" db-id="59dvwrfdof9dw8exf0kvp0atwazsazeeffsp" timestamp="1677130316"&gt;162&lt;/key&gt;&lt;/foreign-keys&gt;&lt;ref-type name="Journal Article"&gt;17&lt;/ref-type&gt;&lt;contributors&gt;&lt;authors&gt;&lt;author&gt;Sander van Donk&lt;/author&gt;&lt;author&gt;Andries H. Janssen&lt;/author&gt;&lt;author&gt;Johannes H. Bitter&lt;/author&gt;&lt;author&gt;Krijn P. de Jong &lt;/author&gt;&lt;/authors&gt;&lt;/contributors&gt;&lt;titles&gt;&lt;title&gt;Generation, Characterization, and Impact of Mesopores in Zeolite Catalysts&lt;/title&gt;&lt;secondary-title&gt;Catalysis Reviews&lt;/secondary-title&gt;&lt;/titles&gt;&lt;periodical&gt;&lt;full-title&gt;Catalysis Reviews&lt;/full-title&gt;&lt;/periodical&gt;&lt;pages&gt;297-319&lt;/pages&gt;&lt;volume&gt;45&lt;/volume&gt;&lt;number&gt;2&lt;/number&gt;&lt;dates&gt;&lt;year&gt;2007&lt;/year&gt;&lt;/dates&gt;&lt;urls&gt;&lt;/urls&gt;&lt;electronic-resource-num&gt;https://doi.org/10.1081/CR-120023908&lt;/electronic-resource-num&gt;&lt;/record&gt;&lt;/Cite&gt;&lt;/EndNote&gt;</w:instrText>
      </w:r>
      <w:r>
        <w:rPr>
          <w:color w:val="000000" w:themeColor="text1"/>
        </w:rPr>
        <w:fldChar w:fldCharType="separate"/>
      </w:r>
      <w:r>
        <w:rPr>
          <w:noProof/>
          <w:color w:val="000000" w:themeColor="text1"/>
        </w:rPr>
        <w:t>[</w:t>
      </w:r>
      <w:hyperlink w:anchor="_ENREF_209" w:tooltip="Donk, 2007 #162" w:history="1">
        <w:r w:rsidR="00D307FA">
          <w:rPr>
            <w:noProof/>
            <w:color w:val="000000" w:themeColor="text1"/>
          </w:rPr>
          <w:t>209</w:t>
        </w:r>
      </w:hyperlink>
      <w:r>
        <w:rPr>
          <w:noProof/>
          <w:color w:val="000000" w:themeColor="text1"/>
        </w:rPr>
        <w:t>]</w:t>
      </w:r>
      <w:r>
        <w:rPr>
          <w:color w:val="000000" w:themeColor="text1"/>
        </w:rPr>
        <w:fldChar w:fldCharType="end"/>
      </w:r>
      <w:r>
        <w:rPr>
          <w:color w:val="000000" w:themeColor="text1"/>
        </w:rPr>
        <w:t xml:space="preserve">. As a consequence, diffusion limitations are severely diminished, and the reaction control and its study becomes practical. Indeed product selectivity differences were observed as the pore dimension changed among different zeolites </w:t>
      </w:r>
      <w:r>
        <w:rPr>
          <w:color w:val="000000" w:themeColor="text1"/>
        </w:rPr>
        <w:fldChar w:fldCharType="begin"/>
      </w:r>
      <w:r>
        <w:rPr>
          <w:color w:val="000000" w:themeColor="text1"/>
        </w:rPr>
        <w:instrText xml:space="preserve"> ADDIN EN.CITE &lt;EndNote&gt;&lt;Cite&gt;&lt;Author&gt;Corma&lt;/Author&gt;&lt;Year&gt;1999&lt;/Year&gt;&lt;RecNum&gt;147&lt;/RecNum&gt;&lt;DisplayText&gt;[210]&lt;/DisplayText&gt;&lt;record&gt;&lt;rec-number&gt;147&lt;/rec-number&gt;&lt;foreign-keys&gt;&lt;key app="EN" db-id="59dvwrfdof9dw8exf0kvp0atwazsazeeffsp" timestamp="1675727372"&gt;147&lt;/key&gt;&lt;/foreign-keys&gt;&lt;ref-type name="Journal Article"&gt;17&lt;/ref-type&gt;&lt;contributors&gt;&lt;authors&gt;&lt;author&gt;A Corma&lt;/author&gt;&lt;author&gt;V González-Alfaro&lt;/author&gt;&lt;author&gt;A.V Orchillés&lt;/author&gt;&lt;/authors&gt;&lt;/contributors&gt;&lt;titles&gt;&lt;title&gt;The role of pore topology on the behaviour of FCC zeolite additives&lt;/title&gt;&lt;secondary-title&gt;Applied Catalysis A: General&lt;/secondary-title&gt;&lt;/titles&gt;&lt;periodical&gt;&lt;full-title&gt;Applied Catalysis A: General&lt;/full-title&gt;&lt;/periodical&gt;&lt;pages&gt;245-254&lt;/pages&gt;&lt;volume&gt;187&lt;/volume&gt;&lt;number&gt;2&lt;/number&gt;&lt;dates&gt;&lt;year&gt;1999&lt;/year&gt;&lt;/dates&gt;&lt;urls&gt;&lt;/urls&gt;&lt;electronic-resource-num&gt;https://doi.org/10.1016/S0926-860X(99)00226-4&lt;/electronic-resource-num&gt;&lt;/record&gt;&lt;/Cite&gt;&lt;/EndNote&gt;</w:instrText>
      </w:r>
      <w:r>
        <w:rPr>
          <w:color w:val="000000" w:themeColor="text1"/>
        </w:rPr>
        <w:fldChar w:fldCharType="separate"/>
      </w:r>
      <w:r>
        <w:rPr>
          <w:noProof/>
          <w:color w:val="000000" w:themeColor="text1"/>
        </w:rPr>
        <w:t>[</w:t>
      </w:r>
      <w:hyperlink w:anchor="_ENREF_210" w:tooltip="Corma, 1999 #147" w:history="1">
        <w:r w:rsidR="00D307FA">
          <w:rPr>
            <w:noProof/>
            <w:color w:val="000000" w:themeColor="text1"/>
          </w:rPr>
          <w:t>210</w:t>
        </w:r>
      </w:hyperlink>
      <w:r>
        <w:rPr>
          <w:noProof/>
          <w:color w:val="000000" w:themeColor="text1"/>
        </w:rPr>
        <w:t>]</w:t>
      </w:r>
      <w:r>
        <w:rPr>
          <w:color w:val="000000" w:themeColor="text1"/>
        </w:rPr>
        <w:fldChar w:fldCharType="end"/>
      </w:r>
      <w:r>
        <w:rPr>
          <w:color w:val="000000" w:themeColor="text1"/>
        </w:rPr>
        <w:t>. The observance of lower amounts of large hydrocarbons in more confined zeolites could be explained by the higher tendency of secondary cracking reactions of these species due to their higher residence time inside the reacting catalyst volume, being this is an indication of a mass-transfer limitation (MTL) effect.</w:t>
      </w:r>
    </w:p>
    <w:p w14:paraId="310B2A49" w14:textId="7541F46A" w:rsidR="00BD770F" w:rsidRPr="00B77BDF" w:rsidRDefault="00BD770F" w:rsidP="00BA5F6A">
      <w:pPr>
        <w:spacing w:line="480" w:lineRule="auto"/>
        <w:jc w:val="both"/>
      </w:pPr>
      <w:r>
        <w:rPr>
          <w:color w:val="000000" w:themeColor="text1"/>
        </w:rPr>
        <w:tab/>
        <w:t>This chapter</w:t>
      </w:r>
      <w:r w:rsidRPr="005B2326">
        <w:rPr>
          <w:color w:val="000000" w:themeColor="text1"/>
        </w:rPr>
        <w:t xml:space="preserve"> focus </w:t>
      </w:r>
      <w:r>
        <w:rPr>
          <w:color w:val="000000" w:themeColor="text1"/>
        </w:rPr>
        <w:t xml:space="preserve">on discussing these diffusion impacts on FAU using hydrocarbon catalytic cracking product selectivity and catalytic rates. By exposing the parent ammonium form of a commercial zeolite Y sample with a Si/Al = 2.5 to steaming </w:t>
      </w:r>
      <w:r>
        <w:rPr>
          <w:color w:val="000000" w:themeColor="text1"/>
        </w:rPr>
        <w:lastRenderedPageBreak/>
        <w:t xml:space="preserve">and acid leaching conditions, a resulting generation of mesoporous channels occurs. Complementary to the creation of mesoporosity is the impact on Si/Al ratio, consequently affecting the concentration of acid sites (BAS) </w:t>
      </w:r>
      <w:r>
        <w:rPr>
          <w:color w:val="000000" w:themeColor="text1"/>
        </w:rPr>
        <w:fldChar w:fldCharType="begin"/>
      </w:r>
      <w:r>
        <w:rPr>
          <w:color w:val="000000" w:themeColor="text1"/>
        </w:rPr>
        <w:instrText xml:space="preserve"> ADDIN EN.CITE &lt;EndNote&gt;&lt;Cite&gt;&lt;Author&gt;Janssen&lt;/Author&gt;&lt;Year&gt;2002&lt;/Year&gt;&lt;RecNum&gt;128&lt;/RecNum&gt;&lt;DisplayText&gt;[211, 212]&lt;/DisplayText&gt;&lt;record&gt;&lt;rec-number&gt;128&lt;/rec-number&gt;&lt;foreign-keys&gt;&lt;key app="EN" db-id="59dvwrfdof9dw8exf0kvp0atwazsazeeffsp" timestamp="1673832807"&gt;128&lt;/key&gt;&lt;/foreign-keys&gt;&lt;ref-type name="Journal Article"&gt;17&lt;/ref-type&gt;&lt;contributors&gt;&lt;authors&gt;&lt;author&gt;A. H. Janssen&lt;/author&gt;&lt;author&gt;A. J. Koster&lt;/author&gt;&lt;author&gt;K. P. de Jong&lt;/author&gt;&lt;/authors&gt;&lt;/contributors&gt;&lt;titles&gt;&lt;title&gt;On the Shape of the Mesopores in Zeolite Y:  A Three-Dimensional Transmission Electron Microscopy Study Combined with Texture Analysis&lt;/title&gt;&lt;secondary-title&gt;Journal of Physical Chemistry B&lt;/secondary-title&gt;&lt;/titles&gt;&lt;periodical&gt;&lt;full-title&gt;Journal of Physical Chemistry B&lt;/full-title&gt;&lt;/periodical&gt;&lt;pages&gt;11905-11909&lt;/pages&gt;&lt;volume&gt;106&lt;/volume&gt;&lt;number&gt;46&lt;/number&gt;&lt;dates&gt;&lt;year&gt;2002&lt;/year&gt;&lt;/dates&gt;&lt;urls&gt;&lt;/urls&gt;&lt;electronic-resource-num&gt;https://doi.org/10.1021/jp025971a&lt;/electronic-resource-num&gt;&lt;/record&gt;&lt;/Cite&gt;&lt;Cite&gt;&lt;Author&gt;Corma&lt;/Author&gt;&lt;Year&gt;1997&lt;/Year&gt;&lt;RecNum&gt;129&lt;/RecNum&gt;&lt;record&gt;&lt;rec-number&gt;129&lt;/rec-number&gt;&lt;foreign-keys&gt;&lt;key app="EN" db-id="59dvwrfdof9dw8exf0kvp0atwazsazeeffsp" timestamp="1673832923"&gt;129&lt;/key&gt;&lt;/foreign-keys&gt;&lt;ref-type name="Journal Article"&gt;17&lt;/ref-type&gt;&lt;contributors&gt;&lt;authors&gt;&lt;author&gt;A. Corma&lt;/author&gt;&lt;author&gt;A. Martinez&lt;/author&gt;&lt;author&gt;S. Pergher&lt;/author&gt;&lt;author&gt;S. Peratello&lt;/author&gt;&lt;author&gt;C. Perego&lt;/author&gt;&lt;author&gt;G. Bellusi&lt;/author&gt;&lt;/authors&gt;&lt;/contributors&gt;&lt;titles&gt;&lt;title&gt;Hydrocracking-hydroisomerization of n-decane on amorphous silica-alumina with uniform pore diameter&lt;/title&gt;&lt;secondary-title&gt;Applied Catalysis A: General&lt;/secondary-title&gt;&lt;/titles&gt;&lt;periodical&gt;&lt;full-title&gt;Applied Catalysis A: General&lt;/full-title&gt;&lt;/periodical&gt;&lt;pages&gt;107-125&lt;/pages&gt;&lt;volume&gt;152&lt;/volume&gt;&lt;number&gt;1&lt;/number&gt;&lt;dates&gt;&lt;year&gt;1997&lt;/year&gt;&lt;/dates&gt;&lt;urls&gt;&lt;/urls&gt;&lt;electronic-resource-num&gt;https://doi.org/10.1016/S0926-860X(96)00338-9&lt;/electronic-resource-num&gt;&lt;/record&gt;&lt;/Cite&gt;&lt;/EndNote&gt;</w:instrText>
      </w:r>
      <w:r>
        <w:rPr>
          <w:color w:val="000000" w:themeColor="text1"/>
        </w:rPr>
        <w:fldChar w:fldCharType="separate"/>
      </w:r>
      <w:r>
        <w:rPr>
          <w:noProof/>
          <w:color w:val="000000" w:themeColor="text1"/>
        </w:rPr>
        <w:t>[</w:t>
      </w:r>
      <w:hyperlink w:anchor="_ENREF_211" w:tooltip="Janssen, 2002 #128" w:history="1">
        <w:r w:rsidR="00D307FA">
          <w:rPr>
            <w:noProof/>
            <w:color w:val="000000" w:themeColor="text1"/>
          </w:rPr>
          <w:t>211</w:t>
        </w:r>
      </w:hyperlink>
      <w:r>
        <w:rPr>
          <w:noProof/>
          <w:color w:val="000000" w:themeColor="text1"/>
        </w:rPr>
        <w:t xml:space="preserve">, </w:t>
      </w:r>
      <w:hyperlink w:anchor="_ENREF_212" w:tooltip="Corma, 1997 #129" w:history="1">
        <w:r w:rsidR="00D307FA">
          <w:rPr>
            <w:noProof/>
            <w:color w:val="000000" w:themeColor="text1"/>
          </w:rPr>
          <w:t>212</w:t>
        </w:r>
      </w:hyperlink>
      <w:r>
        <w:rPr>
          <w:noProof/>
          <w:color w:val="000000" w:themeColor="text1"/>
        </w:rPr>
        <w:t>]</w:t>
      </w:r>
      <w:r>
        <w:rPr>
          <w:color w:val="000000" w:themeColor="text1"/>
        </w:rPr>
        <w:fldChar w:fldCharType="end"/>
      </w:r>
      <w:r>
        <w:rPr>
          <w:color w:val="000000" w:themeColor="text1"/>
        </w:rPr>
        <w:t xml:space="preserve">. The resulting catalyst presents a clear presence of large channels as </w:t>
      </w:r>
      <w:r w:rsidRPr="0060294C">
        <w:rPr>
          <w:color w:val="000000" w:themeColor="text1"/>
        </w:rPr>
        <w:t xml:space="preserve">shown in </w:t>
      </w:r>
      <w:r w:rsidRPr="0060294C">
        <w:rPr>
          <w:b/>
          <w:bCs/>
        </w:rPr>
        <w:t xml:space="preserve">Figure </w:t>
      </w:r>
      <w:r w:rsidR="0099214D" w:rsidRPr="0060294C">
        <w:rPr>
          <w:b/>
          <w:bCs/>
        </w:rPr>
        <w:t>66</w:t>
      </w:r>
      <w:r w:rsidRPr="0060294C">
        <w:rPr>
          <w:color w:val="000000" w:themeColor="text1"/>
        </w:rPr>
        <w:t xml:space="preserve">. </w:t>
      </w:r>
      <w:r w:rsidRPr="0060294C">
        <w:t xml:space="preserve"> </w:t>
      </w:r>
      <w:r w:rsidRPr="0060294C">
        <w:rPr>
          <w:color w:val="000000" w:themeColor="text1"/>
        </w:rPr>
        <w:t>Through a differential</w:t>
      </w:r>
      <w:r>
        <w:rPr>
          <w:color w:val="000000" w:themeColor="text1"/>
        </w:rPr>
        <w:t xml:space="preserve"> hysteresis scanning of Ar sorption to observe bulk porosities properties in the treated zeolites, an increase in mesoporous volume from 0.09 to 0.23 cm</w:t>
      </w:r>
      <w:r w:rsidRPr="00017092">
        <w:rPr>
          <w:color w:val="000000" w:themeColor="text1"/>
          <w:vertAlign w:val="superscript"/>
        </w:rPr>
        <w:t>3</w:t>
      </w:r>
      <w:r>
        <w:rPr>
          <w:color w:val="000000" w:themeColor="text1"/>
        </w:rPr>
        <w:t>/g</w:t>
      </w:r>
      <w:r w:rsidRPr="00017092">
        <w:rPr>
          <w:color w:val="000000" w:themeColor="text1"/>
          <w:vertAlign w:val="subscript"/>
        </w:rPr>
        <w:t>cat</w:t>
      </w:r>
      <w:r>
        <w:rPr>
          <w:color w:val="000000" w:themeColor="text1"/>
        </w:rPr>
        <w:t xml:space="preserve"> is observed and continued as the severity of treatment increased </w:t>
      </w:r>
      <w:r>
        <w:rPr>
          <w:color w:val="000000" w:themeColor="text1"/>
        </w:rPr>
        <w:fldChar w:fldCharType="begin"/>
      </w:r>
      <w:r>
        <w:rPr>
          <w:color w:val="000000" w:themeColor="text1"/>
        </w:rPr>
        <w:instrText xml:space="preserve"> ADDIN EN.CITE &lt;EndNote&gt;&lt;Cite&gt;&lt;Author&gt;Kenvin&lt;/Author&gt;&lt;Year&gt;2016&lt;/Year&gt;&lt;RecNum&gt;127&lt;/RecNum&gt;&lt;DisplayText&gt;[213]&lt;/DisplayText&gt;&lt;record&gt;&lt;rec-number&gt;127&lt;/rec-number&gt;&lt;foreign-keys&gt;&lt;key app="EN" db-id="59dvwrfdof9dw8exf0kvp0atwazsazeeffsp" timestamp="1673831839"&gt;127&lt;/key&gt;&lt;/foreign-keys&gt;&lt;ref-type name="Journal Article"&gt;17&lt;/ref-type&gt;&lt;contributors&gt;&lt;authors&gt;&lt;author&gt;Jeffrey Kenvin&lt;/author&gt;&lt;author&gt;Sharon Mitchell&lt;/author&gt;&lt;author&gt;Michael Sterling&lt;/author&gt;&lt;author&gt;Robbie Warringham&lt;/author&gt;&lt;author&gt;Tobias C. Keller&lt;/author&gt;&lt;author&gt;Paolo Crivelli&lt;/author&gt;&lt;author&gt;Jacek Jagiello&lt;/author&gt;&lt;author&gt;Javier Pérez-Ramírez&lt;/author&gt;&lt;/authors&gt;&lt;/contributors&gt;&lt;titles&gt;&lt;title&gt;Quantifying the Complex Pore Architecture of Hierarchical Faujasite Zeolites and the Impact on Diffusion&lt;/title&gt;&lt;secondary-title&gt;Advanced Functional Materials&lt;/secondary-title&gt;&lt;/titles&gt;&lt;periodical&gt;&lt;full-title&gt;Advanced Functional Materials&lt;/full-title&gt;&lt;/periodical&gt;&lt;pages&gt;5581-5763&lt;/pages&gt;&lt;volume&gt;26&lt;/volume&gt;&lt;number&gt;31&lt;/number&gt;&lt;dates&gt;&lt;year&gt;2016&lt;/year&gt;&lt;/dates&gt;&lt;urls&gt;&lt;/urls&gt;&lt;electronic-resource-num&gt;https://doi.org/10.1002/adfm.201601748&lt;/electronic-resource-num&gt;&lt;/record&gt;&lt;/Cite&gt;&lt;/EndNote&gt;</w:instrText>
      </w:r>
      <w:r>
        <w:rPr>
          <w:color w:val="000000" w:themeColor="text1"/>
        </w:rPr>
        <w:fldChar w:fldCharType="separate"/>
      </w:r>
      <w:r>
        <w:rPr>
          <w:noProof/>
          <w:color w:val="000000" w:themeColor="text1"/>
        </w:rPr>
        <w:t>[</w:t>
      </w:r>
      <w:hyperlink w:anchor="_ENREF_213" w:tooltip="Kenvin, 2016 #127" w:history="1">
        <w:r w:rsidR="00D307FA">
          <w:rPr>
            <w:noProof/>
            <w:color w:val="000000" w:themeColor="text1"/>
          </w:rPr>
          <w:t>213</w:t>
        </w:r>
      </w:hyperlink>
      <w:r>
        <w:rPr>
          <w:noProof/>
          <w:color w:val="000000" w:themeColor="text1"/>
        </w:rPr>
        <w:t>]</w:t>
      </w:r>
      <w:r>
        <w:rPr>
          <w:color w:val="000000" w:themeColor="text1"/>
        </w:rPr>
        <w:fldChar w:fldCharType="end"/>
      </w:r>
      <w:r>
        <w:rPr>
          <w:color w:val="000000" w:themeColor="text1"/>
        </w:rPr>
        <w:t xml:space="preserve">. This higher extent of mesoporosity is understood to reduce the diffusion pathway of reacting molecules and thus decrease the possibility of a re-adsorption and further reaction. </w:t>
      </w:r>
    </w:p>
    <w:p w14:paraId="1461FD13" w14:textId="77777777" w:rsidR="00BD770F" w:rsidRDefault="00BD770F" w:rsidP="002C4BF8">
      <w:pPr>
        <w:keepNext/>
        <w:jc w:val="center"/>
      </w:pPr>
      <w:r w:rsidRPr="00B13B58">
        <w:rPr>
          <w:noProof/>
        </w:rPr>
        <w:drawing>
          <wp:inline distT="0" distB="0" distL="0" distR="0" wp14:anchorId="7FA51E60" wp14:editId="7C8B4B3F">
            <wp:extent cx="4272556" cy="2286000"/>
            <wp:effectExtent l="0" t="0" r="0" b="0"/>
            <wp:docPr id="67" name="Picture 6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80"/>
                    <a:stretch>
                      <a:fillRect/>
                    </a:stretch>
                  </pic:blipFill>
                  <pic:spPr>
                    <a:xfrm>
                      <a:off x="0" y="0"/>
                      <a:ext cx="4272556" cy="2286000"/>
                    </a:xfrm>
                    <a:prstGeom prst="rect">
                      <a:avLst/>
                    </a:prstGeom>
                  </pic:spPr>
                </pic:pic>
              </a:graphicData>
            </a:graphic>
          </wp:inline>
        </w:drawing>
      </w:r>
    </w:p>
    <w:p w14:paraId="0E36917B" w14:textId="22EF4621" w:rsidR="00BD770F" w:rsidRPr="00AB531A" w:rsidRDefault="00BD770F" w:rsidP="002C4BF8">
      <w:pPr>
        <w:pStyle w:val="Caption"/>
        <w:jc w:val="both"/>
        <w:rPr>
          <w:i w:val="0"/>
          <w:iCs w:val="0"/>
          <w:color w:val="auto"/>
          <w:sz w:val="24"/>
          <w:szCs w:val="24"/>
        </w:rPr>
      </w:pPr>
      <w:bookmarkStart w:id="119" w:name="_Toc131948730"/>
      <w:r w:rsidRPr="00AB531A">
        <w:rPr>
          <w:b/>
          <w:bCs/>
          <w:i w:val="0"/>
          <w:iCs w:val="0"/>
          <w:color w:val="auto"/>
          <w:sz w:val="24"/>
          <w:szCs w:val="24"/>
        </w:rPr>
        <w:t xml:space="preserve">Figure </w:t>
      </w:r>
      <w:r w:rsidRPr="00AB531A">
        <w:rPr>
          <w:b/>
          <w:bCs/>
          <w:i w:val="0"/>
          <w:iCs w:val="0"/>
          <w:color w:val="auto"/>
          <w:sz w:val="24"/>
          <w:szCs w:val="24"/>
        </w:rPr>
        <w:fldChar w:fldCharType="begin"/>
      </w:r>
      <w:r w:rsidRPr="00AB531A">
        <w:rPr>
          <w:b/>
          <w:bCs/>
          <w:i w:val="0"/>
          <w:iCs w:val="0"/>
          <w:color w:val="auto"/>
          <w:sz w:val="24"/>
          <w:szCs w:val="24"/>
        </w:rPr>
        <w:instrText xml:space="preserve"> SEQ Figure \* ARABIC </w:instrText>
      </w:r>
      <w:r w:rsidRPr="00AB531A">
        <w:rPr>
          <w:b/>
          <w:bCs/>
          <w:i w:val="0"/>
          <w:iCs w:val="0"/>
          <w:color w:val="auto"/>
          <w:sz w:val="24"/>
          <w:szCs w:val="24"/>
        </w:rPr>
        <w:fldChar w:fldCharType="separate"/>
      </w:r>
      <w:r w:rsidR="001F4741">
        <w:rPr>
          <w:b/>
          <w:bCs/>
          <w:i w:val="0"/>
          <w:iCs w:val="0"/>
          <w:noProof/>
          <w:color w:val="auto"/>
          <w:sz w:val="24"/>
          <w:szCs w:val="24"/>
        </w:rPr>
        <w:t>66</w:t>
      </w:r>
      <w:r w:rsidRPr="00AB531A">
        <w:rPr>
          <w:b/>
          <w:bCs/>
          <w:i w:val="0"/>
          <w:iCs w:val="0"/>
          <w:color w:val="auto"/>
          <w:sz w:val="24"/>
          <w:szCs w:val="24"/>
        </w:rPr>
        <w:fldChar w:fldCharType="end"/>
      </w:r>
      <w:r w:rsidRPr="00AB531A">
        <w:rPr>
          <w:b/>
          <w:bCs/>
          <w:i w:val="0"/>
          <w:iCs w:val="0"/>
          <w:color w:val="auto"/>
          <w:sz w:val="24"/>
          <w:szCs w:val="24"/>
        </w:rPr>
        <w:t>:</w:t>
      </w:r>
      <w:r w:rsidRPr="00AB531A">
        <w:rPr>
          <w:i w:val="0"/>
          <w:iCs w:val="0"/>
          <w:color w:val="auto"/>
          <w:sz w:val="24"/>
          <w:szCs w:val="24"/>
        </w:rPr>
        <w:t xml:space="preserve"> Conventional TEM images of severely steamed and subsequently acid-leached zeolite Y crystals with Si/Al ratios 15 (a) and 30 (b), commercially available as CBV-720 and CBV-760, respectively, from Zeolyst. Reproduced from Ref </w:t>
      </w:r>
      <w:r w:rsidRPr="00AB531A">
        <w:rPr>
          <w:i w:val="0"/>
          <w:iCs w:val="0"/>
          <w:color w:val="auto"/>
          <w:sz w:val="24"/>
          <w:szCs w:val="24"/>
        </w:rPr>
        <w:fldChar w:fldCharType="begin"/>
      </w:r>
      <w:r>
        <w:rPr>
          <w:i w:val="0"/>
          <w:iCs w:val="0"/>
          <w:color w:val="auto"/>
          <w:sz w:val="24"/>
          <w:szCs w:val="24"/>
        </w:rPr>
        <w:instrText xml:space="preserve"> ADDIN EN.CITE &lt;EndNote&gt;&lt;Cite&gt;&lt;Author&gt;Chal&lt;/Author&gt;&lt;Year&gt;2011&lt;/Year&gt;&lt;RecNum&gt;126&lt;/RecNum&gt;&lt;DisplayText&gt;[214]&lt;/DisplayText&gt;&lt;record&gt;&lt;rec-number&gt;126&lt;/rec-number&gt;&lt;foreign-keys&gt;&lt;key app="EN" db-id="59dvwrfdof9dw8exf0kvp0atwazsazeeffsp" timestamp="1673831298"&gt;126&lt;/key&gt;&lt;/foreign-keys&gt;&lt;ref-type name="Journal Article"&gt;17&lt;/ref-type&gt;&lt;contributors&gt;&lt;authors&gt;&lt;author&gt;Robin Chal&lt;/author&gt;&lt;author&gt;Corine Gérardin&lt;/author&gt;&lt;author&gt;Metin Bulut&lt;/author&gt;&lt;author&gt;Sander van Donk&lt;/author&gt;&lt;/authors&gt;&lt;/contributors&gt;&lt;titles&gt;&lt;title&gt;Overview and Industrial Assessment of Synthesis Strategies towards Zeolites with Mesopores&lt;/title&gt;&lt;secondary-title&gt;ChemCatChem&lt;/secondary-title&gt;&lt;/titles&gt;&lt;periodical&gt;&lt;full-title&gt;ChemCatChem&lt;/full-title&gt;&lt;/periodical&gt;&lt;pages&gt;67-81&lt;/pages&gt;&lt;volume&gt;3&lt;/volume&gt;&lt;number&gt;1&lt;/number&gt;&lt;dates&gt;&lt;year&gt;2011&lt;/year&gt;&lt;/dates&gt;&lt;urls&gt;&lt;/urls&gt;&lt;electronic-resource-num&gt;https://doi.org/10.1002/cctc.201000158&lt;/electronic-resource-num&gt;&lt;/record&gt;&lt;/Cite&gt;&lt;/EndNote&gt;</w:instrText>
      </w:r>
      <w:r w:rsidRPr="00AB531A">
        <w:rPr>
          <w:i w:val="0"/>
          <w:iCs w:val="0"/>
          <w:color w:val="auto"/>
          <w:sz w:val="24"/>
          <w:szCs w:val="24"/>
        </w:rPr>
        <w:fldChar w:fldCharType="separate"/>
      </w:r>
      <w:r>
        <w:rPr>
          <w:i w:val="0"/>
          <w:iCs w:val="0"/>
          <w:noProof/>
          <w:color w:val="auto"/>
          <w:sz w:val="24"/>
          <w:szCs w:val="24"/>
        </w:rPr>
        <w:t>[</w:t>
      </w:r>
      <w:hyperlink w:anchor="_ENREF_214" w:tooltip="Chal, 2011 #126" w:history="1">
        <w:r w:rsidR="00D307FA">
          <w:rPr>
            <w:i w:val="0"/>
            <w:iCs w:val="0"/>
            <w:noProof/>
            <w:color w:val="auto"/>
            <w:sz w:val="24"/>
            <w:szCs w:val="24"/>
          </w:rPr>
          <w:t>214</w:t>
        </w:r>
      </w:hyperlink>
      <w:r>
        <w:rPr>
          <w:i w:val="0"/>
          <w:iCs w:val="0"/>
          <w:noProof/>
          <w:color w:val="auto"/>
          <w:sz w:val="24"/>
          <w:szCs w:val="24"/>
        </w:rPr>
        <w:t>]</w:t>
      </w:r>
      <w:r w:rsidRPr="00AB531A">
        <w:rPr>
          <w:i w:val="0"/>
          <w:iCs w:val="0"/>
          <w:color w:val="auto"/>
          <w:sz w:val="24"/>
          <w:szCs w:val="24"/>
        </w:rPr>
        <w:fldChar w:fldCharType="end"/>
      </w:r>
      <w:r w:rsidRPr="00AB531A">
        <w:rPr>
          <w:i w:val="0"/>
          <w:iCs w:val="0"/>
          <w:color w:val="auto"/>
          <w:sz w:val="24"/>
          <w:szCs w:val="24"/>
        </w:rPr>
        <w:t>.</w:t>
      </w:r>
      <w:bookmarkEnd w:id="119"/>
    </w:p>
    <w:p w14:paraId="439F4FE1" w14:textId="29AF3167" w:rsidR="00A6466D" w:rsidRDefault="00BD770F" w:rsidP="00BA5F6A">
      <w:pPr>
        <w:spacing w:line="480" w:lineRule="auto"/>
        <w:jc w:val="both"/>
        <w:rPr>
          <w:color w:val="000000" w:themeColor="text1"/>
        </w:rPr>
      </w:pPr>
      <w:r>
        <w:rPr>
          <w:color w:val="000000" w:themeColor="text1"/>
        </w:rPr>
        <w:tab/>
        <w:t xml:space="preserve">The study will utilize the use of commercially available FAU samples CBV-300 (Si/Al = 2.5), CBV-720 (Si/Al = 15) and CBV-760 (Si/Al = 30), in which the parent form goes </w:t>
      </w:r>
      <w:r w:rsidRPr="0060294C">
        <w:rPr>
          <w:color w:val="000000" w:themeColor="text1"/>
        </w:rPr>
        <w:t xml:space="preserve">through steaming procedures for the creation of mesoporous channels as observed in </w:t>
      </w:r>
      <w:r w:rsidRPr="0060294C">
        <w:rPr>
          <w:b/>
          <w:bCs/>
        </w:rPr>
        <w:t xml:space="preserve">Figure </w:t>
      </w:r>
      <w:r w:rsidR="0099214D" w:rsidRPr="0060294C">
        <w:rPr>
          <w:b/>
          <w:bCs/>
        </w:rPr>
        <w:t>66</w:t>
      </w:r>
      <w:r w:rsidRPr="0060294C">
        <w:rPr>
          <w:color w:val="000000" w:themeColor="text1"/>
        </w:rPr>
        <w:t>. The gas-phase</w:t>
      </w:r>
      <w:r>
        <w:rPr>
          <w:color w:val="000000" w:themeColor="text1"/>
        </w:rPr>
        <w:t xml:space="preserve"> flow cracking reaction of 2,2,4-trimethylpentane is used as model reaction as well to interpret diffusion impacts that might exist among the samples.</w:t>
      </w:r>
      <w:r w:rsidR="0032631B">
        <w:rPr>
          <w:color w:val="000000" w:themeColor="text1"/>
        </w:rPr>
        <w:t xml:space="preserve"> </w:t>
      </w:r>
      <w:r w:rsidR="006F4A0B" w:rsidRPr="00960443">
        <w:t xml:space="preserve">The presence of MTL can </w:t>
      </w:r>
      <w:r w:rsidR="006F4A0B">
        <w:t>impose</w:t>
      </w:r>
      <w:r w:rsidR="006F4A0B" w:rsidRPr="00960443">
        <w:t xml:space="preserve"> a significant effect on isooctane diffusion</w:t>
      </w:r>
      <w:r w:rsidR="006F4A0B">
        <w:t xml:space="preserve"> and its </w:t>
      </w:r>
      <w:r w:rsidR="006F4A0B">
        <w:lastRenderedPageBreak/>
        <w:t>reactivity in zeolite Y</w:t>
      </w:r>
      <w:r w:rsidR="006F4A0B" w:rsidRPr="00960443">
        <w:t xml:space="preserve">. Although it </w:t>
      </w:r>
      <w:r w:rsidR="00AF6F04">
        <w:t>can be</w:t>
      </w:r>
      <w:r w:rsidR="006F4A0B" w:rsidRPr="00960443">
        <w:t xml:space="preserve"> hypothesized that mesoporous samples may not have MTL, </w:t>
      </w:r>
      <w:r w:rsidR="006F4A0B">
        <w:t>its</w:t>
      </w:r>
      <w:r w:rsidR="006F4A0B" w:rsidRPr="00960443">
        <w:t xml:space="preserve"> </w:t>
      </w:r>
      <w:r w:rsidR="006F4A0B">
        <w:t>presence</w:t>
      </w:r>
      <w:r w:rsidR="006F4A0B" w:rsidRPr="00960443">
        <w:t xml:space="preserve"> on zeolite Y2.6</w:t>
      </w:r>
      <w:r w:rsidR="006F4A0B">
        <w:t xml:space="preserve"> is not known</w:t>
      </w:r>
      <w:r w:rsidR="006F4A0B" w:rsidRPr="00960443">
        <w:t xml:space="preserve">. Therefore, investigating MTL is necessary to better </w:t>
      </w:r>
      <w:r w:rsidR="006F4A0B">
        <w:t>comprehend</w:t>
      </w:r>
      <w:r w:rsidR="006F4A0B" w:rsidRPr="00960443">
        <w:t xml:space="preserve"> the cracking results over zeolite Y. Na-titration was performed on three commercial Y samples with varying Na-loading according to each </w:t>
      </w:r>
      <w:r w:rsidR="006F4A0B">
        <w:t xml:space="preserve">parent </w:t>
      </w:r>
      <w:r w:rsidR="006F4A0B" w:rsidRPr="00960443">
        <w:t>BAS</w:t>
      </w:r>
      <w:r w:rsidR="006F4A0B">
        <w:t xml:space="preserve"> and</w:t>
      </w:r>
      <w:r w:rsidR="006F4A0B" w:rsidRPr="00960443">
        <w:t xml:space="preserve"> determin</w:t>
      </w:r>
      <w:r w:rsidR="006F4A0B">
        <w:t xml:space="preserve">ing </w:t>
      </w:r>
      <w:r w:rsidR="006F4A0B" w:rsidRPr="00960443">
        <w:t>the concentration of acid active sites in each series</w:t>
      </w:r>
      <w:r w:rsidR="006F4A0B">
        <w:t xml:space="preserve"> through IPA-TPD</w:t>
      </w:r>
      <w:r w:rsidR="006F4A0B" w:rsidRPr="00960443">
        <w:t xml:space="preserve">. The catalytic activities were compared, and modeling was performed </w:t>
      </w:r>
      <w:r w:rsidR="006F4A0B">
        <w:t>when</w:t>
      </w:r>
      <w:r w:rsidR="006F4A0B" w:rsidRPr="00960443">
        <w:t xml:space="preserve"> possible, </w:t>
      </w:r>
      <w:r w:rsidR="006F4A0B">
        <w:t xml:space="preserve">considering a </w:t>
      </w:r>
      <w:r w:rsidR="006F4A0B" w:rsidRPr="00960443">
        <w:t>Uniform type of titration, which assumes a homogeneous distribution of the titrant species along the catalyst particle. This concept has been demonstrated in previous studies with the self-aldol condensation of acetone and cyclopentanone in zeolite Y30</w:t>
      </w:r>
      <w:r w:rsidR="0034247E">
        <w:t xml:space="preserve">. </w:t>
      </w:r>
      <w:r w:rsidR="0034247E">
        <w:rPr>
          <w:color w:val="000000" w:themeColor="text1"/>
        </w:rPr>
        <w:t>An expectation is relative to the product selectivity shift from the mesoporosity introduction and the concomitant effect on BAS density.</w:t>
      </w:r>
    </w:p>
    <w:p w14:paraId="081BD48C" w14:textId="77777777" w:rsidR="00A6466D" w:rsidRDefault="00A6466D" w:rsidP="00BA5F6A">
      <w:pPr>
        <w:spacing w:line="480" w:lineRule="auto"/>
        <w:jc w:val="both"/>
        <w:rPr>
          <w:color w:val="000000" w:themeColor="text1"/>
        </w:rPr>
      </w:pPr>
    </w:p>
    <w:p w14:paraId="46E7610A" w14:textId="77777777" w:rsidR="0032631B" w:rsidRDefault="0032631B" w:rsidP="00BA5F6A">
      <w:pPr>
        <w:spacing w:line="480" w:lineRule="auto"/>
        <w:jc w:val="both"/>
        <w:rPr>
          <w:color w:val="000000" w:themeColor="text1"/>
        </w:rPr>
      </w:pPr>
    </w:p>
    <w:p w14:paraId="309CF199" w14:textId="48FD3125" w:rsidR="00B13295" w:rsidRDefault="00B13295" w:rsidP="00BA5F6A">
      <w:pPr>
        <w:spacing w:line="480" w:lineRule="auto"/>
        <w:jc w:val="both"/>
        <w:rPr>
          <w:color w:val="000000" w:themeColor="text1"/>
        </w:rPr>
      </w:pPr>
      <w:r>
        <w:rPr>
          <w:color w:val="000000" w:themeColor="text1"/>
        </w:rPr>
        <w:br/>
      </w:r>
    </w:p>
    <w:p w14:paraId="6D75A120" w14:textId="77777777" w:rsidR="00A6466D" w:rsidRDefault="00A6466D" w:rsidP="00BA5F6A">
      <w:pPr>
        <w:spacing w:line="480" w:lineRule="auto"/>
        <w:jc w:val="both"/>
        <w:rPr>
          <w:color w:val="000000" w:themeColor="text1"/>
        </w:rPr>
      </w:pPr>
    </w:p>
    <w:p w14:paraId="2CA2192F" w14:textId="77777777" w:rsidR="00A6466D" w:rsidRDefault="00A6466D" w:rsidP="00BA5F6A">
      <w:pPr>
        <w:spacing w:line="480" w:lineRule="auto"/>
        <w:jc w:val="both"/>
        <w:rPr>
          <w:color w:val="000000" w:themeColor="text1"/>
        </w:rPr>
      </w:pPr>
    </w:p>
    <w:p w14:paraId="0296E033" w14:textId="77777777" w:rsidR="00A6466D" w:rsidRDefault="00A6466D" w:rsidP="00BA5F6A">
      <w:pPr>
        <w:spacing w:line="480" w:lineRule="auto"/>
        <w:jc w:val="both"/>
        <w:rPr>
          <w:color w:val="000000" w:themeColor="text1"/>
        </w:rPr>
      </w:pPr>
    </w:p>
    <w:p w14:paraId="6CCA00C3" w14:textId="77777777" w:rsidR="00A6466D" w:rsidRDefault="00A6466D" w:rsidP="00BA5F6A">
      <w:pPr>
        <w:spacing w:line="480" w:lineRule="auto"/>
        <w:jc w:val="both"/>
        <w:rPr>
          <w:color w:val="000000" w:themeColor="text1"/>
        </w:rPr>
      </w:pPr>
    </w:p>
    <w:p w14:paraId="0F61B26C" w14:textId="77777777" w:rsidR="00A6466D" w:rsidRDefault="00A6466D" w:rsidP="00BA5F6A">
      <w:pPr>
        <w:spacing w:line="480" w:lineRule="auto"/>
        <w:jc w:val="both"/>
        <w:rPr>
          <w:color w:val="000000" w:themeColor="text1"/>
        </w:rPr>
      </w:pPr>
    </w:p>
    <w:p w14:paraId="45595D27" w14:textId="77777777" w:rsidR="00BD770F" w:rsidRPr="00D735D9" w:rsidRDefault="00BD770F" w:rsidP="00D735D9">
      <w:pPr>
        <w:pStyle w:val="Heading2"/>
        <w:rPr>
          <w:i w:val="0"/>
          <w:iCs/>
          <w:sz w:val="28"/>
          <w:szCs w:val="28"/>
        </w:rPr>
      </w:pPr>
      <w:bookmarkStart w:id="120" w:name="_Toc132924213"/>
      <w:r w:rsidRPr="00D735D9">
        <w:rPr>
          <w:i w:val="0"/>
          <w:iCs/>
          <w:sz w:val="28"/>
          <w:szCs w:val="28"/>
        </w:rPr>
        <w:lastRenderedPageBreak/>
        <w:t>4.2 Experimental Methods</w:t>
      </w:r>
      <w:bookmarkEnd w:id="120"/>
    </w:p>
    <w:p w14:paraId="10576EDF" w14:textId="77777777" w:rsidR="00BD770F" w:rsidRPr="008968F0" w:rsidRDefault="00BD770F" w:rsidP="00D735D9">
      <w:pPr>
        <w:pStyle w:val="Heading3"/>
        <w:rPr>
          <w:u w:val="single"/>
        </w:rPr>
      </w:pPr>
      <w:bookmarkStart w:id="121" w:name="_Toc132924214"/>
      <w:r w:rsidRPr="008968F0">
        <w:rPr>
          <w:u w:val="single"/>
        </w:rPr>
        <w:t>4.2.1 Chemicals and Materials</w:t>
      </w:r>
      <w:bookmarkEnd w:id="121"/>
    </w:p>
    <w:p w14:paraId="0545225A" w14:textId="77777777" w:rsidR="00BD770F" w:rsidRDefault="00BD770F" w:rsidP="00BA5F6A">
      <w:pPr>
        <w:spacing w:line="480" w:lineRule="auto"/>
        <w:ind w:firstLine="720"/>
        <w:jc w:val="both"/>
      </w:pPr>
      <w:r>
        <w:t>The</w:t>
      </w:r>
      <w:r w:rsidRPr="009566B6">
        <w:t xml:space="preserve"> chemicals were purchased from Sigma Aldrich and used as provided: </w:t>
      </w:r>
      <w:r>
        <w:t>2,2,4-trimethylpentane</w:t>
      </w:r>
      <w:r w:rsidRPr="009566B6">
        <w:t xml:space="preserve"> (HPLC grade, &gt;99%</w:t>
      </w:r>
      <w:r>
        <w:t>, isooctane</w:t>
      </w:r>
      <w:r w:rsidRPr="009566B6">
        <w:t>),</w:t>
      </w:r>
      <w:r>
        <w:t xml:space="preserve"> heptane (ReagentPlus 99%), ammonium nitrate (NH</w:t>
      </w:r>
      <w:r w:rsidRPr="00387166">
        <w:rPr>
          <w:vertAlign w:val="subscript"/>
        </w:rPr>
        <w:t>4</w:t>
      </w:r>
      <w:r>
        <w:t>NO</w:t>
      </w:r>
      <w:r w:rsidRPr="00387166">
        <w:rPr>
          <w:vertAlign w:val="subscript"/>
        </w:rPr>
        <w:t>3</w:t>
      </w:r>
      <w:r>
        <w:t>), calcium nitrate tetrahydrate (Ca(NO</w:t>
      </w:r>
      <w:r w:rsidRPr="00694CEE">
        <w:rPr>
          <w:vertAlign w:val="subscript"/>
        </w:rPr>
        <w:t>3</w:t>
      </w:r>
      <w:r>
        <w:t>)</w:t>
      </w:r>
      <w:r w:rsidRPr="00694CEE">
        <w:rPr>
          <w:vertAlign w:val="subscript"/>
        </w:rPr>
        <w:t>2</w:t>
      </w:r>
      <w:r>
        <w:t>.4H</w:t>
      </w:r>
      <w:r w:rsidRPr="00694CEE">
        <w:rPr>
          <w:vertAlign w:val="subscript"/>
        </w:rPr>
        <w:t>2</w:t>
      </w:r>
      <w:r>
        <w:t xml:space="preserve">O), cobalt (II) nitrate </w:t>
      </w:r>
      <w:r w:rsidRPr="002336C5">
        <w:t>hexahydrate (reagent grade, Co(NO</w:t>
      </w:r>
      <w:r w:rsidRPr="002336C5">
        <w:rPr>
          <w:vertAlign w:val="subscript"/>
        </w:rPr>
        <w:t>3</w:t>
      </w:r>
      <w:r w:rsidRPr="002336C5">
        <w:t>)</w:t>
      </w:r>
      <w:r w:rsidRPr="002336C5">
        <w:rPr>
          <w:vertAlign w:val="subscript"/>
        </w:rPr>
        <w:t>2</w:t>
      </w:r>
      <w:r w:rsidRPr="002336C5">
        <w:t>), silica gel (</w:t>
      </w:r>
      <w:r>
        <w:t>h</w:t>
      </w:r>
      <w:r w:rsidRPr="002336C5">
        <w:t xml:space="preserve">igh-purity grade, 90A, 70-230 Mesh), </w:t>
      </w:r>
      <w:r>
        <w:t>sodium aluminate (NaAlO), sodium hydroxide (NaOH), sodium nitrate (NaNO</w:t>
      </w:r>
      <w:r w:rsidRPr="00387166">
        <w:rPr>
          <w:vertAlign w:val="subscript"/>
        </w:rPr>
        <w:t>3</w:t>
      </w:r>
      <w:r>
        <w:t>), tetrabutylammonium hydroxide solution (40wt. % in H</w:t>
      </w:r>
      <w:r w:rsidRPr="00A106F4">
        <w:rPr>
          <w:vertAlign w:val="subscript"/>
        </w:rPr>
        <w:t>2</w:t>
      </w:r>
      <w:r>
        <w:t xml:space="preserve">O, TBAOH).  </w:t>
      </w:r>
      <w:r w:rsidRPr="009566B6">
        <w:t xml:space="preserve">The </w:t>
      </w:r>
      <w:r>
        <w:t xml:space="preserve">commercial Y </w:t>
      </w:r>
      <w:r w:rsidRPr="009566B6">
        <w:t>zeolites used were obtained from Zeolyst International in their NH</w:t>
      </w:r>
      <w:r w:rsidRPr="009566B6">
        <w:rPr>
          <w:vertAlign w:val="subscript"/>
        </w:rPr>
        <w:t>4</w:t>
      </w:r>
      <w:r w:rsidRPr="009566B6">
        <w:rPr>
          <w:vertAlign w:val="superscript"/>
        </w:rPr>
        <w:t>+</w:t>
      </w:r>
      <w:r w:rsidRPr="009566B6">
        <w:t>-form</w:t>
      </w:r>
      <w:r>
        <w:t xml:space="preserve">: CBV 300 (Si/Al = 2.5), CBV 720 (Si/Al=15) and </w:t>
      </w:r>
      <w:r w:rsidRPr="009566B6">
        <w:t>CBV</w:t>
      </w:r>
      <w:r>
        <w:t xml:space="preserve"> </w:t>
      </w:r>
      <w:r w:rsidRPr="009566B6">
        <w:t xml:space="preserve">760 </w:t>
      </w:r>
      <w:r>
        <w:t>(</w:t>
      </w:r>
      <w:r w:rsidRPr="009566B6">
        <w:t xml:space="preserve">Si/Al=30). </w:t>
      </w:r>
      <w:r>
        <w:t>The Y2.5, Y15 and Y30 are the notations relative to the Y zeolite and their respective Si/Al.</w:t>
      </w:r>
    </w:p>
    <w:p w14:paraId="48439928" w14:textId="77777777" w:rsidR="00BD770F" w:rsidRPr="008968F0" w:rsidRDefault="00BD770F" w:rsidP="00D735D9">
      <w:pPr>
        <w:pStyle w:val="Heading3"/>
        <w:rPr>
          <w:u w:val="single"/>
        </w:rPr>
      </w:pPr>
      <w:bookmarkStart w:id="122" w:name="_Toc132924215"/>
      <w:r w:rsidRPr="008968F0">
        <w:rPr>
          <w:u w:val="single"/>
        </w:rPr>
        <w:t>4.2.2 Site Density Counting</w:t>
      </w:r>
      <w:bookmarkEnd w:id="122"/>
    </w:p>
    <w:p w14:paraId="645771CA" w14:textId="77777777" w:rsidR="00BD770F" w:rsidRDefault="00BD770F" w:rsidP="00BA5F6A">
      <w:pPr>
        <w:spacing w:line="480" w:lineRule="auto"/>
        <w:jc w:val="both"/>
      </w:pPr>
      <w:r>
        <w:rPr>
          <w:b/>
          <w:bCs/>
          <w:i/>
          <w:iCs/>
        </w:rPr>
        <w:tab/>
      </w:r>
      <w:r w:rsidRPr="00BB004E">
        <w:t>Qua</w:t>
      </w:r>
      <w:r>
        <w:t>ntification of active s</w:t>
      </w:r>
      <w:r w:rsidRPr="007223C6">
        <w:t xml:space="preserve">ite </w:t>
      </w:r>
      <w:r>
        <w:t>concentration</w:t>
      </w:r>
      <w:r w:rsidRPr="007223C6">
        <w:t xml:space="preserve"> was </w:t>
      </w:r>
      <w:r>
        <w:t>performed using the isopropyl-amine temperature programed decomposition (IPA-TPD), the procedure was detailed in previous chapters.</w:t>
      </w:r>
    </w:p>
    <w:p w14:paraId="09B53F8F" w14:textId="77777777" w:rsidR="00BD770F" w:rsidRPr="008968F0" w:rsidRDefault="00BD770F" w:rsidP="000C5292">
      <w:pPr>
        <w:pStyle w:val="Heading3"/>
        <w:rPr>
          <w:u w:val="single"/>
        </w:rPr>
      </w:pPr>
      <w:bookmarkStart w:id="123" w:name="_Toc132924216"/>
      <w:r w:rsidRPr="008968F0">
        <w:rPr>
          <w:u w:val="single"/>
        </w:rPr>
        <w:t>4.2.3 Gas-Phase Catalytic Reactions</w:t>
      </w:r>
      <w:bookmarkEnd w:id="123"/>
    </w:p>
    <w:p w14:paraId="5EBD1F70" w14:textId="47BFE906" w:rsidR="00144A1A" w:rsidRDefault="00BD770F" w:rsidP="00144A1A">
      <w:pPr>
        <w:spacing w:line="480" w:lineRule="auto"/>
        <w:jc w:val="both"/>
      </w:pPr>
      <w:r>
        <w:tab/>
        <w:t xml:space="preserve">Gas phase flow reactions were conducted in a quartz tube reactor (1/4” OD). The catalyst was first pelletized (350-400 µm), packed between quartz wool in the quartz reactor, and placed inside a controlled-temperature oven. A thermocouple was placed aside the quartz reactor and beneath the catalyst bed. The reactant feeding occurred through a heated stream (170 </w:t>
      </w:r>
      <w:r w:rsidRPr="0085095C">
        <w:rPr>
          <w:vertAlign w:val="superscript"/>
        </w:rPr>
        <w:t>o</w:t>
      </w:r>
      <w:r>
        <w:t>C) connected to a 6-port manual switching valve, connecting the inlet stream with the reactant, the quartz reactor, and the outlet stream directed to either the ventilation line or the Hewlett Packard 6890 gas-chromatography equipped with a flame-</w:t>
      </w:r>
      <w:r>
        <w:lastRenderedPageBreak/>
        <w:t xml:space="preserve">ion-detector analyzer and a </w:t>
      </w:r>
      <w:r w:rsidR="00A60BAF">
        <w:t>HP-AL/S</w:t>
      </w:r>
      <w:r w:rsidR="003E3D4C">
        <w:t xml:space="preserve"> column </w:t>
      </w:r>
      <w:r w:rsidR="00684199">
        <w:t xml:space="preserve">with dimensions of </w:t>
      </w:r>
      <w:r w:rsidR="00FC6B0C">
        <w:t>50m x 0.32 mm x 8 μm.</w:t>
      </w:r>
      <w:r>
        <w:t xml:space="preserve"> Prior to the catalytic reactions the catalyst was pre-treated in-situ at 300 </w:t>
      </w:r>
      <w:r w:rsidRPr="000C6151">
        <w:rPr>
          <w:vertAlign w:val="superscript"/>
        </w:rPr>
        <w:t>o</w:t>
      </w:r>
      <w:r>
        <w:t xml:space="preserve">C for 2 hours with a ramping rate of 5 </w:t>
      </w:r>
      <w:r w:rsidRPr="000C6151">
        <w:rPr>
          <w:vertAlign w:val="superscript"/>
        </w:rPr>
        <w:t>o</w:t>
      </w:r>
      <w:r>
        <w:t xml:space="preserve">C/min under nitrogen environment (100 mL/min). After the reaction temperature was reached, the reactant was injected to the reactor setup through a </w:t>
      </w:r>
      <w:r w:rsidRPr="008C26F5">
        <w:t>septum on a heated vaporization zone using KD Scientific syringe pumps, and the</w:t>
      </w:r>
      <w:r>
        <w:t xml:space="preserve">n time zero was set. An initial ten minute constant feeding was performed, followed by sample collections at different reaction times on stream or pulses, depending on the mode in which the reaction was analyzed (flow or pulse mode). </w:t>
      </w:r>
      <w:r w:rsidRPr="008C26F5">
        <w:t xml:space="preserve">To prevent the condensation of reaction products on the downstream tubing, the outlet of the reactor was heated to </w:t>
      </w:r>
      <w:r>
        <w:t>17</w:t>
      </w:r>
      <w:r w:rsidRPr="008C26F5">
        <w:t>0 °C</w:t>
      </w:r>
      <w:r>
        <w:t>. Conversions were calculated on an area basis, as well as products selectivity.</w:t>
      </w:r>
      <w:r w:rsidR="006C6BFD">
        <w:t xml:space="preserve"> No reactant or product calibration</w:t>
      </w:r>
      <w:r>
        <w:t xml:space="preserve"> </w:t>
      </w:r>
      <w:r w:rsidR="006C6BFD">
        <w:t xml:space="preserve">were necessary because </w:t>
      </w:r>
      <w:r w:rsidR="00144A1A">
        <w:t>the reacting hydrocarbon molecules are broken down into individual carbon atoms and hydrogen atoms by the high-temperature flame in the detector. The number of ions produced in the detector is directly proportional to the number of carbon atoms in the hydrocarbon molecule. Therefore, by measuring the number of ions produced, the concentration of the hydrocarbon can be determined</w:t>
      </w:r>
      <w:r w:rsidR="001836BD">
        <w:t xml:space="preserve"> based on </w:t>
      </w:r>
      <w:r w:rsidR="006345CB">
        <w:t>relative peak area</w:t>
      </w:r>
      <w:r w:rsidR="00967638">
        <w:t xml:space="preserve">. </w:t>
      </w:r>
      <w:r w:rsidR="00144A1A">
        <w:t>By using a stoichiometry correlation for each carbon atom, the FID can accurately determine the concentration of the hydrocarbon in the sample.</w:t>
      </w:r>
    </w:p>
    <w:p w14:paraId="18F7C111" w14:textId="77777777" w:rsidR="00C6326D" w:rsidRDefault="00C6326D" w:rsidP="00BA5F6A">
      <w:pPr>
        <w:spacing w:line="480" w:lineRule="auto"/>
        <w:jc w:val="both"/>
        <w:rPr>
          <w:b/>
          <w:bCs/>
          <w:sz w:val="28"/>
          <w:szCs w:val="28"/>
        </w:rPr>
      </w:pPr>
    </w:p>
    <w:p w14:paraId="35A2E920" w14:textId="77777777" w:rsidR="00C6326D" w:rsidRDefault="00C6326D" w:rsidP="00BA5F6A">
      <w:pPr>
        <w:spacing w:line="480" w:lineRule="auto"/>
        <w:jc w:val="both"/>
        <w:rPr>
          <w:b/>
          <w:bCs/>
          <w:sz w:val="28"/>
          <w:szCs w:val="28"/>
        </w:rPr>
      </w:pPr>
    </w:p>
    <w:p w14:paraId="48BFCB3B" w14:textId="77777777" w:rsidR="00C6326D" w:rsidRDefault="00C6326D" w:rsidP="00BA5F6A">
      <w:pPr>
        <w:spacing w:line="480" w:lineRule="auto"/>
        <w:jc w:val="both"/>
        <w:rPr>
          <w:b/>
          <w:bCs/>
          <w:sz w:val="28"/>
          <w:szCs w:val="28"/>
        </w:rPr>
      </w:pPr>
    </w:p>
    <w:p w14:paraId="56410446" w14:textId="77777777" w:rsidR="00C6326D" w:rsidRDefault="00C6326D" w:rsidP="00BA5F6A">
      <w:pPr>
        <w:spacing w:line="480" w:lineRule="auto"/>
        <w:jc w:val="both"/>
        <w:rPr>
          <w:b/>
          <w:bCs/>
          <w:sz w:val="28"/>
          <w:szCs w:val="28"/>
        </w:rPr>
      </w:pPr>
    </w:p>
    <w:p w14:paraId="201FA053" w14:textId="77777777" w:rsidR="00C6326D" w:rsidRDefault="00C6326D" w:rsidP="00BA5F6A">
      <w:pPr>
        <w:spacing w:line="480" w:lineRule="auto"/>
        <w:jc w:val="both"/>
        <w:rPr>
          <w:b/>
          <w:bCs/>
          <w:sz w:val="28"/>
          <w:szCs w:val="28"/>
        </w:rPr>
      </w:pPr>
    </w:p>
    <w:p w14:paraId="20FA22D3" w14:textId="77777777" w:rsidR="00C6326D" w:rsidRDefault="00C6326D" w:rsidP="00BA5F6A">
      <w:pPr>
        <w:spacing w:line="480" w:lineRule="auto"/>
        <w:jc w:val="both"/>
        <w:rPr>
          <w:b/>
          <w:bCs/>
          <w:sz w:val="28"/>
          <w:szCs w:val="28"/>
        </w:rPr>
      </w:pPr>
    </w:p>
    <w:p w14:paraId="7BC9C3F1" w14:textId="77777777" w:rsidR="00BD770F" w:rsidRPr="000C5292" w:rsidRDefault="00BD770F" w:rsidP="000C5292">
      <w:pPr>
        <w:pStyle w:val="Heading2"/>
        <w:rPr>
          <w:i w:val="0"/>
          <w:iCs/>
          <w:sz w:val="28"/>
          <w:szCs w:val="28"/>
        </w:rPr>
      </w:pPr>
      <w:bookmarkStart w:id="124" w:name="_Toc132924217"/>
      <w:r w:rsidRPr="000C5292">
        <w:rPr>
          <w:i w:val="0"/>
          <w:iCs/>
          <w:sz w:val="28"/>
          <w:szCs w:val="28"/>
        </w:rPr>
        <w:lastRenderedPageBreak/>
        <w:t>4.3 Results and Discussions</w:t>
      </w:r>
      <w:bookmarkEnd w:id="124"/>
    </w:p>
    <w:p w14:paraId="066EEF4A" w14:textId="32D4B9D4" w:rsidR="00BD770F" w:rsidRPr="008968F0" w:rsidRDefault="00BD770F" w:rsidP="000C5292">
      <w:pPr>
        <w:pStyle w:val="Heading3"/>
        <w:rPr>
          <w:u w:val="single"/>
        </w:rPr>
      </w:pPr>
      <w:bookmarkStart w:id="125" w:name="_Toc132924218"/>
      <w:r w:rsidRPr="008968F0">
        <w:rPr>
          <w:u w:val="single"/>
        </w:rPr>
        <w:t>4.3.1 Isooctane Cracking Mechanism over Acid Sites in Zeolites</w:t>
      </w:r>
      <w:bookmarkEnd w:id="125"/>
    </w:p>
    <w:p w14:paraId="68DE8B60" w14:textId="7D9F4591" w:rsidR="00BD770F" w:rsidRDefault="00BD770F" w:rsidP="00BA5F6A">
      <w:pPr>
        <w:spacing w:line="480" w:lineRule="auto"/>
        <w:jc w:val="both"/>
      </w:pPr>
      <w:r w:rsidRPr="004E23B5">
        <w:tab/>
      </w:r>
      <w:r>
        <w:t xml:space="preserve">The catalytic cracking of isooctane, also denoted here as </w:t>
      </w:r>
      <w:r w:rsidRPr="00AD40D2">
        <w:t>iC</w:t>
      </w:r>
      <w:r w:rsidRPr="00AD40D2">
        <w:rPr>
          <w:vertAlign w:val="subscript"/>
        </w:rPr>
        <w:t>8</w:t>
      </w:r>
      <w:r w:rsidRPr="00AD40D2">
        <w:t>,</w:t>
      </w:r>
      <w:r>
        <w:t xml:space="preserve"> over acid sites have two possible mechanistic routes resulting in methane (C</w:t>
      </w:r>
      <w:r w:rsidRPr="002E1566">
        <w:rPr>
          <w:vertAlign w:val="subscript"/>
        </w:rPr>
        <w:t>1</w:t>
      </w:r>
      <w:r>
        <w:t>), propylene (C</w:t>
      </w:r>
      <w:r w:rsidRPr="00AD40D2">
        <w:rPr>
          <w:vertAlign w:val="subscript"/>
        </w:rPr>
        <w:t>3=</w:t>
      </w:r>
      <w:r>
        <w:t>), butane (C</w:t>
      </w:r>
      <w:r w:rsidRPr="00AD40D2">
        <w:rPr>
          <w:vertAlign w:val="subscript"/>
        </w:rPr>
        <w:t>4</w:t>
      </w:r>
      <w:r>
        <w:t>) and butene (C</w:t>
      </w:r>
      <w:r w:rsidRPr="00AD40D2">
        <w:rPr>
          <w:vertAlign w:val="subscript"/>
        </w:rPr>
        <w:t>4=</w:t>
      </w:r>
      <w:r>
        <w:t xml:space="preserve">) as major products, and their respective isomers </w:t>
      </w:r>
      <w:r>
        <w:fldChar w:fldCharType="begin"/>
      </w:r>
      <w:r>
        <w:instrText xml:space="preserve"> ADDIN EN.CITE &lt;EndNote&gt;&lt;Cite&gt;&lt;Author&gt;Smirniotis&lt;/Author&gt;&lt;Year&gt;1994&lt;/Year&gt;&lt;RecNum&gt;155&lt;/RecNum&gt;&lt;DisplayText&gt;[215, 216]&lt;/DisplayText&gt;&lt;record&gt;&lt;rec-number&gt;155&lt;/rec-number&gt;&lt;foreign-keys&gt;&lt;key app="EN" db-id="59dvwrfdof9dw8exf0kvp0atwazsazeeffsp" timestamp="1677126330"&gt;155&lt;/key&gt;&lt;/foreign-keys&gt;&lt;ref-type name="Journal Article"&gt;17&lt;/ref-type&gt;&lt;contributors&gt;&lt;authors&gt;&lt;author&gt;Panagiotis G Smirniotis&lt;/author&gt;&lt;author&gt;Eli Ruckenstein&lt;/author&gt;&lt;/authors&gt;&lt;/contributors&gt;&lt;titles&gt;&lt;title&gt;Comparison of the Performance of ZSM-5,. beta. Zeolite, Y, USY, and Their Composites in the Catalytic Cracking of n-Octane, 2, 2, 4-Trimethylpentane, and 1-Octene&lt;/title&gt;&lt;secondary-title&gt;Industrial &amp;amp; engineering chemistry research&lt;/secondary-title&gt;&lt;/titles&gt;&lt;periodical&gt;&lt;full-title&gt;Industrial &amp;amp; engineering chemistry research&lt;/full-title&gt;&lt;/periodical&gt;&lt;pages&gt;800-813&lt;/pages&gt;&lt;volume&gt;33&lt;/volume&gt;&lt;number&gt;4&lt;/number&gt;&lt;dates&gt;&lt;year&gt;1994&lt;/year&gt;&lt;/dates&gt;&lt;isbn&gt;0888-5885&lt;/isbn&gt;&lt;urls&gt;&lt;/urls&gt;&lt;/record&gt;&lt;/Cite&gt;&lt;Cite&gt;&lt;Author&gt;Borm&lt;/Author&gt;&lt;Year&gt;2010&lt;/Year&gt;&lt;RecNum&gt;156&lt;/RecNum&gt;&lt;record&gt;&lt;rec-number&gt;156&lt;/rec-number&gt;&lt;foreign-keys&gt;&lt;key app="EN" db-id="59dvwrfdof9dw8exf0kvp0atwazsazeeffsp" timestamp="1677126475"&gt;156&lt;/key&gt;&lt;/foreign-keys&gt;&lt;ref-type name="Journal Article"&gt;17&lt;/ref-type&gt;&lt;contributors&gt;&lt;authors&gt;&lt;author&gt;Rhona Van Borm&lt;/author&gt;&lt;author&gt;Alexander Aerts&lt;/author&gt;&lt;author&gt;Marie-Françoise Reyniers&lt;/author&gt;&lt;author&gt;Johan A. Martens&lt;/author&gt;&lt;author&gt;Guy B. Marin&lt;/author&gt;&lt;/authors&gt;&lt;/contributors&gt;&lt;titles&gt;&lt;title&gt;Catalytic Cracking of 2,2,4-Trimethylpentane on FAU, MFI, and Bimodal Porous Materials: Influence of Acid Properties and Pore Topology&lt;/title&gt;&lt;secondary-title&gt;Industrial &amp;amp; Chemical Engineering Fundamentals&lt;/secondary-title&gt;&lt;/titles&gt;&lt;periodical&gt;&lt;full-title&gt;Industrial &amp;amp; Chemical Engineering Fundamentals&lt;/full-title&gt;&lt;/periodical&gt;&lt;pages&gt;6815-6823&lt;/pages&gt;&lt;volume&gt;49&lt;/volume&gt;&lt;number&gt;15&lt;/number&gt;&lt;dates&gt;&lt;year&gt;2010&lt;/year&gt;&lt;/dates&gt;&lt;urls&gt;&lt;/urls&gt;&lt;electronic-resource-num&gt;https://doi.org/10.1021/ie901708m&lt;/electronic-resource-num&gt;&lt;/record&gt;&lt;/Cite&gt;&lt;/EndNote&gt;</w:instrText>
      </w:r>
      <w:r>
        <w:fldChar w:fldCharType="separate"/>
      </w:r>
      <w:r>
        <w:rPr>
          <w:noProof/>
        </w:rPr>
        <w:t>[</w:t>
      </w:r>
      <w:hyperlink w:anchor="_ENREF_215" w:tooltip="Smirniotis, 1994 #155" w:history="1">
        <w:r w:rsidR="00D307FA">
          <w:rPr>
            <w:noProof/>
          </w:rPr>
          <w:t>215</w:t>
        </w:r>
      </w:hyperlink>
      <w:r>
        <w:rPr>
          <w:noProof/>
        </w:rPr>
        <w:t xml:space="preserve">, </w:t>
      </w:r>
      <w:hyperlink w:anchor="_ENREF_216" w:tooltip="Borm, 2010 #156" w:history="1">
        <w:r w:rsidR="00D307FA">
          <w:rPr>
            <w:noProof/>
          </w:rPr>
          <w:t>216</w:t>
        </w:r>
      </w:hyperlink>
      <w:r>
        <w:rPr>
          <w:noProof/>
        </w:rPr>
        <w:t>]</w:t>
      </w:r>
      <w:r>
        <w:fldChar w:fldCharType="end"/>
      </w:r>
      <w:r>
        <w:t xml:space="preserve">. </w:t>
      </w:r>
      <w:r w:rsidRPr="002B5CA7">
        <w:t>The C</w:t>
      </w:r>
      <w:r w:rsidRPr="002B5CA7">
        <w:rPr>
          <w:vertAlign w:val="subscript"/>
        </w:rPr>
        <w:t>4</w:t>
      </w:r>
      <w:r w:rsidRPr="002B5CA7">
        <w:t xml:space="preserve"> products that are formed tend to have a specific spatial arrangement, with one tertiary carbon connected to three primary carbons</w:t>
      </w:r>
      <w:r>
        <w:t>, t</w:t>
      </w:r>
      <w:r w:rsidRPr="002B5CA7">
        <w:t>his arrangement is more stable and is therefore found in relatively large amounts</w:t>
      </w:r>
      <w:r>
        <w:fldChar w:fldCharType="begin"/>
      </w:r>
      <w:r>
        <w:instrText xml:space="preserve"> ADDIN EN.CITE &lt;EndNote&gt;&lt;Cite&gt;&lt;Author&gt;Pereira&lt;/Author&gt;&lt;Year&gt;2021&lt;/Year&gt;&lt;RecNum&gt;157&lt;/RecNum&gt;&lt;DisplayText&gt;[217]&lt;/DisplayText&gt;&lt;record&gt;&lt;rec-number&gt;157&lt;/rec-number&gt;&lt;foreign-keys&gt;&lt;key app="EN" db-id="59dvwrfdof9dw8exf0kvp0atwazsazeeffsp" timestamp="1677127180"&gt;157&lt;/key&gt;&lt;/foreign-keys&gt;&lt;ref-type name="Journal Article"&gt;17&lt;/ref-type&gt;&lt;contributors&gt;&lt;authors&gt;&lt;author&gt;Marcelo M. Pereira&lt;/author&gt;&lt;author&gt;Fabiana M. Santos&lt;/author&gt;&lt;author&gt;Alessandra V. Silva&lt;/author&gt;&lt;author&gt;Nuno Batalha&lt;/author&gt;&lt;author&gt;Fábio Junior Ferreira da Silva Henrique&lt;/author&gt;&lt;author&gt;Pierre M. Esteves&lt;/author&gt;&lt;author&gt;Benoit Louis&lt;/author&gt;&lt;/authors&gt;&lt;/contributors&gt;&lt;titles&gt;&lt;title&gt;Insights into the Role of Framework and Nonframework Aluminum in the Protolytic Reaction of Carbon–Carbon and Tertiary Carbon–Hydrogen Bonds of Isobutane&lt;/title&gt;&lt;secondary-title&gt;Journal of Physical Chemistry&lt;/secondary-title&gt;&lt;/titles&gt;&lt;periodical&gt;&lt;full-title&gt;Journal of Physical Chemistry&lt;/full-title&gt;&lt;/periodical&gt;&lt;pages&gt;11636-11647&lt;/pages&gt;&lt;volume&gt;125&lt;/volume&gt;&lt;number&gt;21&lt;/number&gt;&lt;dates&gt;&lt;year&gt;2021&lt;/year&gt;&lt;/dates&gt;&lt;urls&gt;&lt;/urls&gt;&lt;electronic-resource-num&gt;https://doi.org/10.1021/acs.jpcc.1c01989&lt;/electronic-resource-num&gt;&lt;/record&gt;&lt;/Cite&gt;&lt;/EndNote&gt;</w:instrText>
      </w:r>
      <w:r>
        <w:fldChar w:fldCharType="separate"/>
      </w:r>
      <w:r>
        <w:rPr>
          <w:noProof/>
        </w:rPr>
        <w:t>[</w:t>
      </w:r>
      <w:hyperlink w:anchor="_ENREF_217" w:tooltip="Pereira, 2021 #157" w:history="1">
        <w:r w:rsidR="00D307FA">
          <w:rPr>
            <w:noProof/>
          </w:rPr>
          <w:t>217</w:t>
        </w:r>
      </w:hyperlink>
      <w:r>
        <w:rPr>
          <w:noProof/>
        </w:rPr>
        <w:t>]</w:t>
      </w:r>
      <w:r>
        <w:fldChar w:fldCharType="end"/>
      </w:r>
      <w:r>
        <w:t xml:space="preserve">. This structure has the highest stability among the isomers due to the presence of </w:t>
      </w:r>
      <w:r w:rsidR="004F6936">
        <w:t>tertiary</w:t>
      </w:r>
      <w:r>
        <w:t xml:space="preserve"> carbon. Other products as C</w:t>
      </w:r>
      <w:r w:rsidRPr="00D477BA">
        <w:rPr>
          <w:vertAlign w:val="subscript"/>
        </w:rPr>
        <w:t>2</w:t>
      </w:r>
      <w:r>
        <w:t>s, C</w:t>
      </w:r>
      <w:r w:rsidRPr="00D477BA">
        <w:rPr>
          <w:vertAlign w:val="subscript"/>
        </w:rPr>
        <w:t>5</w:t>
      </w:r>
      <w:r>
        <w:t>s, C</w:t>
      </w:r>
      <w:r>
        <w:softHyphen/>
      </w:r>
      <w:r w:rsidRPr="00D477BA">
        <w:rPr>
          <w:vertAlign w:val="subscript"/>
        </w:rPr>
        <w:t>6</w:t>
      </w:r>
      <w:r>
        <w:t>s, C</w:t>
      </w:r>
      <w:r w:rsidRPr="00D477BA">
        <w:rPr>
          <w:vertAlign w:val="subscript"/>
        </w:rPr>
        <w:t>7</w:t>
      </w:r>
      <w:r>
        <w:t>s, and C</w:t>
      </w:r>
      <w:r w:rsidRPr="00D477BA">
        <w:rPr>
          <w:vertAlign w:val="subscript"/>
        </w:rPr>
        <w:t>8</w:t>
      </w:r>
      <w:r>
        <w:t xml:space="preserve">+ have negligible selectivity compared to other products. </w:t>
      </w:r>
    </w:p>
    <w:p w14:paraId="3C95C322" w14:textId="53E29D2E" w:rsidR="00BD770F" w:rsidRDefault="00BD770F" w:rsidP="00BA5F6A">
      <w:pPr>
        <w:spacing w:line="480" w:lineRule="auto"/>
        <w:jc w:val="both"/>
      </w:pPr>
      <w:r>
        <w:tab/>
        <w:t xml:space="preserve">The first reaction route discussed is shown in </w:t>
      </w:r>
      <w:r w:rsidRPr="00704437">
        <w:rPr>
          <w:b/>
          <w:bCs/>
        </w:rPr>
        <w:t xml:space="preserve">Scheme </w:t>
      </w:r>
      <w:r w:rsidR="003D2F4E">
        <w:rPr>
          <w:b/>
          <w:bCs/>
        </w:rPr>
        <w:t>2</w:t>
      </w:r>
      <w:r>
        <w:rPr>
          <w:b/>
          <w:bCs/>
        </w:rPr>
        <w:t>,</w:t>
      </w:r>
      <w:r>
        <w:rPr>
          <w:b/>
          <w:bCs/>
          <w:color w:val="FF0000"/>
        </w:rPr>
        <w:t xml:space="preserve"> </w:t>
      </w:r>
      <w:r>
        <w:t>characterized for an initial carbon protonation at the quaternary carbon, also acknowledged as 2</w:t>
      </w:r>
      <w:r w:rsidRPr="00F023F3">
        <w:rPr>
          <w:vertAlign w:val="superscript"/>
        </w:rPr>
        <w:t>nd</w:t>
      </w:r>
      <w:r>
        <w:t xml:space="preserve"> C in the hydrocarbon chain. Arguments relative to whether this protonation occurs at the tertiary and quaternary carbon can be proved through the catalytic cracking of isobutane (iC</w:t>
      </w:r>
      <w:r w:rsidRPr="004A75CB">
        <w:rPr>
          <w:vertAlign w:val="subscript"/>
        </w:rPr>
        <w:t>4</w:t>
      </w:r>
      <w:r>
        <w:t>) and 2,5-dimethylhexane over zeolites Y, once these molecules replicate the tertiary structure found in iC</w:t>
      </w:r>
      <w:r w:rsidRPr="00CB2FBA">
        <w:rPr>
          <w:vertAlign w:val="subscript"/>
        </w:rPr>
        <w:t>8</w:t>
      </w:r>
      <w:r>
        <w:t xml:space="preserve">. Keeping track on the products </w:t>
      </w:r>
      <w:r w:rsidRPr="0060294C">
        <w:t xml:space="preserve">distribution in </w:t>
      </w:r>
      <w:r w:rsidRPr="0060294C">
        <w:rPr>
          <w:b/>
          <w:bCs/>
        </w:rPr>
        <w:t xml:space="preserve">Figure </w:t>
      </w:r>
      <w:r w:rsidR="002F12FC" w:rsidRPr="0060294C">
        <w:rPr>
          <w:b/>
          <w:bCs/>
        </w:rPr>
        <w:t>67</w:t>
      </w:r>
      <w:r w:rsidRPr="0060294C">
        <w:rPr>
          <w:b/>
          <w:bCs/>
        </w:rPr>
        <w:t>.a)</w:t>
      </w:r>
      <w:r w:rsidRPr="0060294C">
        <w:t xml:space="preserve"> it can be observed in the cracking of 2,5-dimethylhexane negligible amounts of C</w:t>
      </w:r>
      <w:r w:rsidRPr="0060294C">
        <w:rPr>
          <w:vertAlign w:val="subscript"/>
        </w:rPr>
        <w:t>1</w:t>
      </w:r>
      <w:r w:rsidRPr="0060294C">
        <w:t>s, instead it is detected a major presence of C</w:t>
      </w:r>
      <w:r w:rsidRPr="0060294C">
        <w:rPr>
          <w:vertAlign w:val="subscript"/>
        </w:rPr>
        <w:t>3</w:t>
      </w:r>
      <w:r w:rsidRPr="0060294C">
        <w:t>s, C</w:t>
      </w:r>
      <w:r w:rsidRPr="0060294C">
        <w:rPr>
          <w:vertAlign w:val="subscript"/>
        </w:rPr>
        <w:t>4</w:t>
      </w:r>
      <w:r w:rsidRPr="0060294C">
        <w:t>s and C</w:t>
      </w:r>
      <w:r w:rsidRPr="0060294C">
        <w:rPr>
          <w:vertAlign w:val="subscript"/>
        </w:rPr>
        <w:t>5</w:t>
      </w:r>
      <w:r w:rsidRPr="0060294C">
        <w:t xml:space="preserve">s paraffins and olefins. This result </w:t>
      </w:r>
      <w:r w:rsidR="000D3EF0">
        <w:t>confirms</w:t>
      </w:r>
      <w:r w:rsidRPr="0060294C">
        <w:t xml:space="preserve"> that as the tertiary carbon receives the H from the acid site, protolytic cracking dominantly occurs either between the α- (protonated carbon) and β-Carbon (neighboring carbon) forming C</w:t>
      </w:r>
      <w:r w:rsidRPr="0060294C">
        <w:rPr>
          <w:vertAlign w:val="subscript"/>
        </w:rPr>
        <w:t>3</w:t>
      </w:r>
      <w:r w:rsidRPr="0060294C">
        <w:t>s and C</w:t>
      </w:r>
      <w:r w:rsidRPr="0060294C">
        <w:rPr>
          <w:vertAlign w:val="subscript"/>
        </w:rPr>
        <w:t>5</w:t>
      </w:r>
      <w:r w:rsidRPr="0060294C">
        <w:t>s, or between the β-Carbon and its adjacent C forming C</w:t>
      </w:r>
      <w:r w:rsidRPr="0060294C">
        <w:rPr>
          <w:vertAlign w:val="subscript"/>
        </w:rPr>
        <w:t>4</w:t>
      </w:r>
      <w:r w:rsidRPr="0060294C">
        <w:t>s (</w:t>
      </w:r>
      <w:r w:rsidRPr="0060294C">
        <w:rPr>
          <w:b/>
          <w:bCs/>
        </w:rPr>
        <w:t xml:space="preserve">Figure </w:t>
      </w:r>
      <w:r w:rsidR="002F12FC" w:rsidRPr="0060294C">
        <w:rPr>
          <w:b/>
          <w:bCs/>
        </w:rPr>
        <w:t>67</w:t>
      </w:r>
      <w:r w:rsidRPr="0060294C">
        <w:rPr>
          <w:b/>
          <w:bCs/>
        </w:rPr>
        <w:t>.b)</w:t>
      </w:r>
      <w:r w:rsidRPr="0060294C">
        <w:t>). Thus, extinguishing the possibility of C-C cleavage with the primary C forming C</w:t>
      </w:r>
      <w:r w:rsidRPr="0060294C">
        <w:rPr>
          <w:vertAlign w:val="subscript"/>
        </w:rPr>
        <w:t>1</w:t>
      </w:r>
      <w:r w:rsidRPr="0060294C">
        <w:t>. Isobut</w:t>
      </w:r>
      <w:r>
        <w:t xml:space="preserve">ane differently does not crack significantly on zeolites Y at the present reaction conditions </w:t>
      </w:r>
      <w:r w:rsidRPr="0060294C">
        <w:lastRenderedPageBreak/>
        <w:t xml:space="preserve">according to </w:t>
      </w:r>
      <w:r w:rsidRPr="0060294C">
        <w:rPr>
          <w:b/>
          <w:bCs/>
        </w:rPr>
        <w:t>Table 1</w:t>
      </w:r>
      <w:r w:rsidR="003D2F4E" w:rsidRPr="0060294C">
        <w:rPr>
          <w:b/>
          <w:bCs/>
        </w:rPr>
        <w:t>2</w:t>
      </w:r>
      <w:r w:rsidRPr="0060294C">
        <w:t xml:space="preserve"> results</w:t>
      </w:r>
      <w:r>
        <w:t xml:space="preserve">, rather dehydrogenation is more likely to happen. Indeed its cracking activity is compared to neopentane’s over zeolite Y in literature </w:t>
      </w:r>
      <w:r>
        <w:fldChar w:fldCharType="begin"/>
      </w:r>
      <w:r>
        <w:instrText xml:space="preserve"> ADDIN EN.CITE &lt;EndNote&gt;&lt;Cite&gt;&lt;Author&gt;Engelhardt&lt;/Author&gt;&lt;Year&gt;1990&lt;/Year&gt;&lt;RecNum&gt;153&lt;/RecNum&gt;&lt;DisplayText&gt;[218]&lt;/DisplayText&gt;&lt;record&gt;&lt;rec-number&gt;153&lt;/rec-number&gt;&lt;foreign-keys&gt;&lt;key app="EN" db-id="59dvwrfdof9dw8exf0kvp0atwazsazeeffsp" timestamp="1676682348"&gt;153&lt;/key&gt;&lt;/foreign-keys&gt;&lt;ref-type name="Journal Article"&gt;17&lt;/ref-type&gt;&lt;contributors&gt;&lt;authors&gt;&lt;author&gt;Jozsef Engelhardt&lt;/author&gt;&lt;author&gt;W.Keith Hall&lt;/author&gt;&lt;/authors&gt;&lt;/contributors&gt;&lt;titles&gt;&lt;title&gt;Contribution to the understanding of the reaction chemistry of isobutane and neopentane over acid catalysts, I&lt;/title&gt;&lt;secondary-title&gt;Journal of Catalysis&lt;/secondary-title&gt;&lt;/titles&gt;&lt;periodical&gt;&lt;full-title&gt;Journal of Catalysis&lt;/full-title&gt;&lt;/periodical&gt;&lt;pages&gt;472-487&lt;/pages&gt;&lt;volume&gt;125&lt;/volume&gt;&lt;number&gt;2&lt;/number&gt;&lt;dates&gt;&lt;year&gt;1990&lt;/year&gt;&lt;/dates&gt;&lt;urls&gt;&lt;/urls&gt;&lt;electronic-resource-num&gt;https://doi.org/10.1016/0021-9517(90)90320-J&lt;/electronic-resource-num&gt;&lt;/record&gt;&lt;/Cite&gt;&lt;/EndNote&gt;</w:instrText>
      </w:r>
      <w:r>
        <w:fldChar w:fldCharType="separate"/>
      </w:r>
      <w:r>
        <w:rPr>
          <w:noProof/>
        </w:rPr>
        <w:t>[</w:t>
      </w:r>
      <w:hyperlink w:anchor="_ENREF_218" w:tooltip="Engelhardt, 1990 #153" w:history="1">
        <w:r w:rsidR="00D307FA">
          <w:rPr>
            <w:noProof/>
          </w:rPr>
          <w:t>218</w:t>
        </w:r>
      </w:hyperlink>
      <w:r>
        <w:rPr>
          <w:noProof/>
        </w:rPr>
        <w:t>]</w:t>
      </w:r>
      <w:r>
        <w:fldChar w:fldCharType="end"/>
      </w:r>
      <w:r>
        <w:t>. While cracking was dominant over neopentane forming C</w:t>
      </w:r>
      <w:r w:rsidRPr="00A35CC0">
        <w:rPr>
          <w:vertAlign w:val="subscript"/>
        </w:rPr>
        <w:t>1</w:t>
      </w:r>
      <w:r>
        <w:t xml:space="preserve"> and iC</w:t>
      </w:r>
      <w:r w:rsidRPr="00A35CC0">
        <w:rPr>
          <w:vertAlign w:val="subscript"/>
        </w:rPr>
        <w:t>4=</w:t>
      </w:r>
      <w:r>
        <w:t>, in iC</w:t>
      </w:r>
      <w:r w:rsidRPr="00A35CC0">
        <w:rPr>
          <w:vertAlign w:val="subscript"/>
        </w:rPr>
        <w:t>4</w:t>
      </w:r>
      <w:r>
        <w:t xml:space="preserve"> it was found a large rate towards dehydrogenation and formation of other species rather than C</w:t>
      </w:r>
      <w:r w:rsidRPr="00AE316E">
        <w:rPr>
          <w:vertAlign w:val="subscript"/>
        </w:rPr>
        <w:t>1</w:t>
      </w:r>
      <w:r>
        <w:t>s and C</w:t>
      </w:r>
      <w:r w:rsidRPr="00AE316E">
        <w:rPr>
          <w:vertAlign w:val="subscript"/>
        </w:rPr>
        <w:t>3</w:t>
      </w:r>
      <w:r>
        <w:t>s. These results support the protonation over the quaternary carbon forming a penta-coordinated carbocation (also known as carbonium ion) instead of protonation the tertiary carbon in the iC</w:t>
      </w:r>
      <w:r w:rsidRPr="00A76C3E">
        <w:rPr>
          <w:vertAlign w:val="subscript"/>
        </w:rPr>
        <w:t>8</w:t>
      </w:r>
      <w:r>
        <w:t xml:space="preserve"> structure. </w:t>
      </w:r>
    </w:p>
    <w:p w14:paraId="586BC059" w14:textId="77777777" w:rsidR="00BD770F" w:rsidRDefault="00BD770F" w:rsidP="002C4BF8">
      <w:pPr>
        <w:jc w:val="center"/>
      </w:pPr>
      <w:r>
        <w:rPr>
          <w:noProof/>
        </w:rPr>
        <w:drawing>
          <wp:inline distT="0" distB="0" distL="0" distR="0" wp14:anchorId="06D2B231" wp14:editId="77C3D02D">
            <wp:extent cx="5421964" cy="2240280"/>
            <wp:effectExtent l="0" t="0" r="0" b="7620"/>
            <wp:docPr id="68" name="Picture 68"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screenshot of a computer&#10;&#10;Description automatically generated with low confidence"/>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421964" cy="2240280"/>
                    </a:xfrm>
                    <a:prstGeom prst="rect">
                      <a:avLst/>
                    </a:prstGeom>
                    <a:noFill/>
                  </pic:spPr>
                </pic:pic>
              </a:graphicData>
            </a:graphic>
          </wp:inline>
        </w:drawing>
      </w:r>
    </w:p>
    <w:p w14:paraId="38BEFDBC" w14:textId="58C67E7E" w:rsidR="00BD770F" w:rsidRDefault="00BD770F" w:rsidP="002C4BF8">
      <w:pPr>
        <w:jc w:val="both"/>
      </w:pPr>
      <w:r w:rsidRPr="004B1431">
        <w:rPr>
          <w:b/>
          <w:bCs/>
        </w:rPr>
        <w:t xml:space="preserve">Scheme </w:t>
      </w:r>
      <w:r w:rsidR="003D2F4E">
        <w:rPr>
          <w:b/>
          <w:bCs/>
        </w:rPr>
        <w:t>2</w:t>
      </w:r>
      <w:r w:rsidRPr="004B1431">
        <w:rPr>
          <w:b/>
          <w:bCs/>
        </w:rPr>
        <w:t>:</w:t>
      </w:r>
      <w:r>
        <w:t xml:space="preserve"> Isooctane cracking over acid sites through quaternary carbon protonation and carbonium ion protolytic cracking.</w:t>
      </w:r>
    </w:p>
    <w:p w14:paraId="0DBF71B1" w14:textId="77777777" w:rsidR="003D2F4E" w:rsidRDefault="003D2F4E" w:rsidP="00BD770F">
      <w:pPr>
        <w:jc w:val="both"/>
      </w:pPr>
    </w:p>
    <w:p w14:paraId="1218E240" w14:textId="19F8ED84" w:rsidR="00BD770F" w:rsidRPr="008E69DF" w:rsidRDefault="00BD770F" w:rsidP="00BD770F">
      <w:pPr>
        <w:pStyle w:val="Caption"/>
        <w:keepNext/>
        <w:rPr>
          <w:i w:val="0"/>
          <w:iCs w:val="0"/>
          <w:color w:val="auto"/>
          <w:sz w:val="24"/>
          <w:szCs w:val="24"/>
        </w:rPr>
      </w:pPr>
      <w:bookmarkStart w:id="126" w:name="_Toc131948663"/>
      <w:r w:rsidRPr="008E69DF">
        <w:rPr>
          <w:b/>
          <w:bCs/>
          <w:i w:val="0"/>
          <w:iCs w:val="0"/>
          <w:color w:val="auto"/>
          <w:sz w:val="24"/>
          <w:szCs w:val="24"/>
        </w:rPr>
        <w:t xml:space="preserve">Table </w:t>
      </w:r>
      <w:r w:rsidRPr="008E69DF">
        <w:rPr>
          <w:b/>
          <w:bCs/>
          <w:i w:val="0"/>
          <w:iCs w:val="0"/>
          <w:color w:val="auto"/>
          <w:sz w:val="24"/>
          <w:szCs w:val="24"/>
        </w:rPr>
        <w:fldChar w:fldCharType="begin"/>
      </w:r>
      <w:r w:rsidRPr="008E69DF">
        <w:rPr>
          <w:b/>
          <w:bCs/>
          <w:i w:val="0"/>
          <w:iCs w:val="0"/>
          <w:color w:val="auto"/>
          <w:sz w:val="24"/>
          <w:szCs w:val="24"/>
        </w:rPr>
        <w:instrText xml:space="preserve"> SEQ Table \* ARABIC </w:instrText>
      </w:r>
      <w:r w:rsidRPr="008E69DF">
        <w:rPr>
          <w:b/>
          <w:bCs/>
          <w:i w:val="0"/>
          <w:iCs w:val="0"/>
          <w:color w:val="auto"/>
          <w:sz w:val="24"/>
          <w:szCs w:val="24"/>
        </w:rPr>
        <w:fldChar w:fldCharType="separate"/>
      </w:r>
      <w:r w:rsidR="001F4741">
        <w:rPr>
          <w:b/>
          <w:bCs/>
          <w:i w:val="0"/>
          <w:iCs w:val="0"/>
          <w:noProof/>
          <w:color w:val="auto"/>
          <w:sz w:val="24"/>
          <w:szCs w:val="24"/>
        </w:rPr>
        <w:t>12</w:t>
      </w:r>
      <w:r w:rsidRPr="008E69DF">
        <w:rPr>
          <w:b/>
          <w:bCs/>
          <w:i w:val="0"/>
          <w:iCs w:val="0"/>
          <w:color w:val="auto"/>
          <w:sz w:val="24"/>
          <w:szCs w:val="24"/>
        </w:rPr>
        <w:fldChar w:fldCharType="end"/>
      </w:r>
      <w:r w:rsidRPr="008E69DF">
        <w:rPr>
          <w:b/>
          <w:bCs/>
          <w:i w:val="0"/>
          <w:iCs w:val="0"/>
          <w:color w:val="auto"/>
          <w:sz w:val="24"/>
          <w:szCs w:val="24"/>
        </w:rPr>
        <w:t>:</w:t>
      </w:r>
      <w:r w:rsidRPr="008E69DF">
        <w:rPr>
          <w:i w:val="0"/>
          <w:iCs w:val="0"/>
          <w:color w:val="auto"/>
          <w:sz w:val="24"/>
          <w:szCs w:val="24"/>
        </w:rPr>
        <w:t xml:space="preserve"> </w:t>
      </w:r>
      <w:r w:rsidR="009B3DF2">
        <w:rPr>
          <w:i w:val="0"/>
          <w:iCs w:val="0"/>
          <w:color w:val="auto"/>
          <w:sz w:val="24"/>
          <w:szCs w:val="24"/>
        </w:rPr>
        <w:t>Molar p</w:t>
      </w:r>
      <w:r w:rsidRPr="008E69DF">
        <w:rPr>
          <w:i w:val="0"/>
          <w:iCs w:val="0"/>
          <w:color w:val="auto"/>
          <w:sz w:val="24"/>
          <w:szCs w:val="24"/>
        </w:rPr>
        <w:t>roduct selectivity distribution on isobutane cracking over zeolite Y with varying Si/Al.</w:t>
      </w:r>
      <w:bookmarkEnd w:id="126"/>
    </w:p>
    <w:tbl>
      <w:tblPr>
        <w:tblW w:w="4320" w:type="dxa"/>
        <w:tblLook w:val="04A0" w:firstRow="1" w:lastRow="0" w:firstColumn="1" w:lastColumn="0" w:noHBand="0" w:noVBand="1"/>
      </w:tblPr>
      <w:tblGrid>
        <w:gridCol w:w="4163"/>
        <w:gridCol w:w="960"/>
        <w:gridCol w:w="960"/>
        <w:gridCol w:w="960"/>
      </w:tblGrid>
      <w:tr w:rsidR="00BD770F" w:rsidRPr="00726ADB" w14:paraId="32105C69" w14:textId="77777777" w:rsidTr="00974715">
        <w:trPr>
          <w:trHeight w:val="300"/>
        </w:trPr>
        <w:tc>
          <w:tcPr>
            <w:tcW w:w="1440" w:type="dxa"/>
            <w:tcBorders>
              <w:top w:val="single" w:sz="4" w:space="0" w:color="auto"/>
              <w:left w:val="nil"/>
              <w:bottom w:val="nil"/>
              <w:right w:val="nil"/>
            </w:tcBorders>
            <w:shd w:val="clear" w:color="000000" w:fill="FFFFFF"/>
            <w:noWrap/>
            <w:vAlign w:val="center"/>
            <w:hideMark/>
          </w:tcPr>
          <w:p w14:paraId="5FAC79A1" w14:textId="77777777" w:rsidR="00BD770F" w:rsidRPr="00726ADB" w:rsidRDefault="00BD770F" w:rsidP="00974715">
            <w:pPr>
              <w:rPr>
                <w:color w:val="000000"/>
              </w:rPr>
            </w:pPr>
            <w:r w:rsidRPr="00726ADB">
              <w:rPr>
                <w:color w:val="000000"/>
              </w:rPr>
              <w:t> </w:t>
            </w:r>
          </w:p>
        </w:tc>
        <w:tc>
          <w:tcPr>
            <w:tcW w:w="2880" w:type="dxa"/>
            <w:gridSpan w:val="3"/>
            <w:tcBorders>
              <w:top w:val="single" w:sz="4" w:space="0" w:color="auto"/>
              <w:left w:val="nil"/>
              <w:bottom w:val="single" w:sz="4" w:space="0" w:color="auto"/>
              <w:right w:val="nil"/>
            </w:tcBorders>
            <w:shd w:val="clear" w:color="000000" w:fill="FFFFFF"/>
            <w:noWrap/>
            <w:vAlign w:val="center"/>
            <w:hideMark/>
          </w:tcPr>
          <w:p w14:paraId="76C30128" w14:textId="77777777" w:rsidR="00BD770F" w:rsidRPr="00726ADB" w:rsidRDefault="00BD770F" w:rsidP="00974715">
            <w:pPr>
              <w:jc w:val="center"/>
              <w:rPr>
                <w:color w:val="000000"/>
              </w:rPr>
            </w:pPr>
            <w:r w:rsidRPr="00726ADB">
              <w:rPr>
                <w:color w:val="000000"/>
              </w:rPr>
              <w:t>Product Selectivity</w:t>
            </w:r>
          </w:p>
        </w:tc>
      </w:tr>
      <w:tr w:rsidR="00BD770F" w:rsidRPr="00726ADB" w14:paraId="5B3F4C35" w14:textId="77777777" w:rsidTr="00974715">
        <w:trPr>
          <w:trHeight w:val="300"/>
        </w:trPr>
        <w:tc>
          <w:tcPr>
            <w:tcW w:w="1440" w:type="dxa"/>
            <w:tcBorders>
              <w:top w:val="nil"/>
              <w:left w:val="nil"/>
              <w:bottom w:val="single" w:sz="4" w:space="0" w:color="auto"/>
              <w:right w:val="nil"/>
            </w:tcBorders>
            <w:shd w:val="clear" w:color="000000" w:fill="FFFFFF"/>
            <w:noWrap/>
            <w:vAlign w:val="center"/>
            <w:hideMark/>
          </w:tcPr>
          <w:p w14:paraId="38B5EBCE" w14:textId="77777777" w:rsidR="00BD770F" w:rsidRPr="00726ADB" w:rsidRDefault="00BD770F" w:rsidP="00974715">
            <w:pPr>
              <w:rPr>
                <w:color w:val="000000"/>
              </w:rPr>
            </w:pPr>
            <w:r w:rsidRPr="00726ADB">
              <w:rPr>
                <w:color w:val="000000"/>
              </w:rPr>
              <w:t> </w:t>
            </w:r>
          </w:p>
        </w:tc>
        <w:tc>
          <w:tcPr>
            <w:tcW w:w="960" w:type="dxa"/>
            <w:tcBorders>
              <w:top w:val="nil"/>
              <w:left w:val="nil"/>
              <w:bottom w:val="single" w:sz="4" w:space="0" w:color="auto"/>
              <w:right w:val="nil"/>
            </w:tcBorders>
            <w:shd w:val="clear" w:color="000000" w:fill="FFFFFF"/>
            <w:noWrap/>
            <w:vAlign w:val="center"/>
            <w:hideMark/>
          </w:tcPr>
          <w:p w14:paraId="36241880" w14:textId="77777777" w:rsidR="00BD770F" w:rsidRPr="00726ADB" w:rsidRDefault="00BD770F" w:rsidP="00974715">
            <w:pPr>
              <w:jc w:val="center"/>
              <w:rPr>
                <w:color w:val="000000"/>
              </w:rPr>
            </w:pPr>
            <w:r w:rsidRPr="00726ADB">
              <w:rPr>
                <w:color w:val="000000"/>
              </w:rPr>
              <w:t>Y2.6</w:t>
            </w:r>
          </w:p>
        </w:tc>
        <w:tc>
          <w:tcPr>
            <w:tcW w:w="960" w:type="dxa"/>
            <w:tcBorders>
              <w:top w:val="nil"/>
              <w:left w:val="nil"/>
              <w:bottom w:val="single" w:sz="4" w:space="0" w:color="auto"/>
              <w:right w:val="nil"/>
            </w:tcBorders>
            <w:shd w:val="clear" w:color="000000" w:fill="FFFFFF"/>
            <w:noWrap/>
            <w:vAlign w:val="center"/>
            <w:hideMark/>
          </w:tcPr>
          <w:p w14:paraId="21CCB819" w14:textId="77777777" w:rsidR="00BD770F" w:rsidRPr="00726ADB" w:rsidRDefault="00BD770F" w:rsidP="00974715">
            <w:pPr>
              <w:jc w:val="center"/>
              <w:rPr>
                <w:color w:val="000000"/>
              </w:rPr>
            </w:pPr>
            <w:r w:rsidRPr="00726ADB">
              <w:rPr>
                <w:color w:val="000000"/>
              </w:rPr>
              <w:t>Y15</w:t>
            </w:r>
          </w:p>
        </w:tc>
        <w:tc>
          <w:tcPr>
            <w:tcW w:w="960" w:type="dxa"/>
            <w:tcBorders>
              <w:top w:val="nil"/>
              <w:left w:val="nil"/>
              <w:bottom w:val="single" w:sz="4" w:space="0" w:color="auto"/>
              <w:right w:val="nil"/>
            </w:tcBorders>
            <w:shd w:val="clear" w:color="000000" w:fill="FFFFFF"/>
            <w:noWrap/>
            <w:vAlign w:val="center"/>
            <w:hideMark/>
          </w:tcPr>
          <w:p w14:paraId="45BF6981" w14:textId="77777777" w:rsidR="00BD770F" w:rsidRPr="00726ADB" w:rsidRDefault="00BD770F" w:rsidP="00974715">
            <w:pPr>
              <w:jc w:val="center"/>
              <w:rPr>
                <w:color w:val="000000"/>
              </w:rPr>
            </w:pPr>
            <w:r w:rsidRPr="00726ADB">
              <w:rPr>
                <w:color w:val="000000"/>
              </w:rPr>
              <w:t>Y30</w:t>
            </w:r>
          </w:p>
        </w:tc>
      </w:tr>
      <w:tr w:rsidR="00BD770F" w:rsidRPr="00726ADB" w14:paraId="28DA8001" w14:textId="77777777" w:rsidTr="00974715">
        <w:trPr>
          <w:trHeight w:val="300"/>
        </w:trPr>
        <w:tc>
          <w:tcPr>
            <w:tcW w:w="1440" w:type="dxa"/>
            <w:tcBorders>
              <w:top w:val="nil"/>
              <w:left w:val="nil"/>
              <w:bottom w:val="nil"/>
              <w:right w:val="nil"/>
            </w:tcBorders>
            <w:shd w:val="clear" w:color="000000" w:fill="FFFFFF"/>
            <w:noWrap/>
            <w:vAlign w:val="center"/>
            <w:hideMark/>
          </w:tcPr>
          <w:p w14:paraId="265B7EFF" w14:textId="77777777" w:rsidR="00BD770F" w:rsidRPr="00726ADB" w:rsidRDefault="00BD770F" w:rsidP="00974715">
            <w:pPr>
              <w:jc w:val="center"/>
              <w:rPr>
                <w:color w:val="000000"/>
              </w:rPr>
            </w:pPr>
            <w:r w:rsidRPr="00726ADB">
              <w:rPr>
                <w:color w:val="000000"/>
              </w:rPr>
              <w:t>C</w:t>
            </w:r>
            <w:r w:rsidRPr="00726ADB">
              <w:rPr>
                <w:color w:val="000000"/>
                <w:vertAlign w:val="subscript"/>
              </w:rPr>
              <w:t>1</w:t>
            </w:r>
          </w:p>
        </w:tc>
        <w:tc>
          <w:tcPr>
            <w:tcW w:w="960" w:type="dxa"/>
            <w:tcBorders>
              <w:top w:val="nil"/>
              <w:left w:val="nil"/>
              <w:bottom w:val="nil"/>
              <w:right w:val="nil"/>
            </w:tcBorders>
            <w:shd w:val="clear" w:color="000000" w:fill="FFFFFF"/>
            <w:noWrap/>
            <w:vAlign w:val="center"/>
            <w:hideMark/>
          </w:tcPr>
          <w:p w14:paraId="1F23CC23" w14:textId="77777777" w:rsidR="00BD770F" w:rsidRPr="00726ADB" w:rsidRDefault="00BD770F" w:rsidP="00974715">
            <w:pPr>
              <w:jc w:val="center"/>
              <w:rPr>
                <w:color w:val="000000"/>
              </w:rPr>
            </w:pPr>
            <w:r w:rsidRPr="00726ADB">
              <w:rPr>
                <w:color w:val="000000"/>
              </w:rPr>
              <w:t>26%</w:t>
            </w:r>
          </w:p>
        </w:tc>
        <w:tc>
          <w:tcPr>
            <w:tcW w:w="960" w:type="dxa"/>
            <w:tcBorders>
              <w:top w:val="nil"/>
              <w:left w:val="nil"/>
              <w:bottom w:val="nil"/>
              <w:right w:val="nil"/>
            </w:tcBorders>
            <w:shd w:val="clear" w:color="000000" w:fill="FFFFFF"/>
            <w:noWrap/>
            <w:vAlign w:val="center"/>
            <w:hideMark/>
          </w:tcPr>
          <w:p w14:paraId="3B5B29D7" w14:textId="77777777" w:rsidR="00BD770F" w:rsidRPr="00726ADB" w:rsidRDefault="00BD770F" w:rsidP="00974715">
            <w:pPr>
              <w:jc w:val="center"/>
              <w:rPr>
                <w:color w:val="000000"/>
              </w:rPr>
            </w:pPr>
            <w:r w:rsidRPr="00726ADB">
              <w:rPr>
                <w:color w:val="000000"/>
              </w:rPr>
              <w:t>14%</w:t>
            </w:r>
          </w:p>
        </w:tc>
        <w:tc>
          <w:tcPr>
            <w:tcW w:w="960" w:type="dxa"/>
            <w:tcBorders>
              <w:top w:val="nil"/>
              <w:left w:val="nil"/>
              <w:bottom w:val="nil"/>
              <w:right w:val="nil"/>
            </w:tcBorders>
            <w:shd w:val="clear" w:color="000000" w:fill="FFFFFF"/>
            <w:noWrap/>
            <w:vAlign w:val="center"/>
            <w:hideMark/>
          </w:tcPr>
          <w:p w14:paraId="3360EFC1" w14:textId="77777777" w:rsidR="00BD770F" w:rsidRPr="00726ADB" w:rsidRDefault="00BD770F" w:rsidP="00974715">
            <w:pPr>
              <w:jc w:val="center"/>
              <w:rPr>
                <w:color w:val="000000"/>
              </w:rPr>
            </w:pPr>
            <w:r w:rsidRPr="00726ADB">
              <w:rPr>
                <w:color w:val="000000"/>
              </w:rPr>
              <w:t>19%</w:t>
            </w:r>
          </w:p>
        </w:tc>
      </w:tr>
      <w:tr w:rsidR="00BD770F" w:rsidRPr="00726ADB" w14:paraId="74E1B70C" w14:textId="77777777" w:rsidTr="00974715">
        <w:trPr>
          <w:trHeight w:val="300"/>
        </w:trPr>
        <w:tc>
          <w:tcPr>
            <w:tcW w:w="1440" w:type="dxa"/>
            <w:tcBorders>
              <w:top w:val="nil"/>
              <w:left w:val="nil"/>
              <w:bottom w:val="nil"/>
              <w:right w:val="nil"/>
            </w:tcBorders>
            <w:shd w:val="clear" w:color="000000" w:fill="FFFFFF"/>
            <w:noWrap/>
            <w:vAlign w:val="center"/>
            <w:hideMark/>
          </w:tcPr>
          <w:p w14:paraId="616D6560" w14:textId="77777777" w:rsidR="00BD770F" w:rsidRPr="00726ADB" w:rsidRDefault="00BD770F" w:rsidP="00974715">
            <w:pPr>
              <w:jc w:val="center"/>
              <w:rPr>
                <w:color w:val="000000"/>
              </w:rPr>
            </w:pPr>
            <w:r w:rsidRPr="00726ADB">
              <w:rPr>
                <w:color w:val="000000"/>
              </w:rPr>
              <w:t>C</w:t>
            </w:r>
            <w:r w:rsidRPr="00726ADB">
              <w:rPr>
                <w:color w:val="000000"/>
                <w:vertAlign w:val="subscript"/>
              </w:rPr>
              <w:t>3=</w:t>
            </w:r>
          </w:p>
        </w:tc>
        <w:tc>
          <w:tcPr>
            <w:tcW w:w="960" w:type="dxa"/>
            <w:tcBorders>
              <w:top w:val="nil"/>
              <w:left w:val="nil"/>
              <w:bottom w:val="nil"/>
              <w:right w:val="nil"/>
            </w:tcBorders>
            <w:shd w:val="clear" w:color="000000" w:fill="FFFFFF"/>
            <w:noWrap/>
            <w:vAlign w:val="center"/>
            <w:hideMark/>
          </w:tcPr>
          <w:p w14:paraId="3CD70ADD" w14:textId="77777777" w:rsidR="00BD770F" w:rsidRPr="00726ADB" w:rsidRDefault="00BD770F" w:rsidP="00974715">
            <w:pPr>
              <w:jc w:val="center"/>
              <w:rPr>
                <w:color w:val="000000"/>
              </w:rPr>
            </w:pPr>
            <w:r w:rsidRPr="00726ADB">
              <w:rPr>
                <w:color w:val="000000"/>
              </w:rPr>
              <w:t>20%</w:t>
            </w:r>
          </w:p>
        </w:tc>
        <w:tc>
          <w:tcPr>
            <w:tcW w:w="960" w:type="dxa"/>
            <w:tcBorders>
              <w:top w:val="nil"/>
              <w:left w:val="nil"/>
              <w:bottom w:val="nil"/>
              <w:right w:val="nil"/>
            </w:tcBorders>
            <w:shd w:val="clear" w:color="000000" w:fill="FFFFFF"/>
            <w:noWrap/>
            <w:vAlign w:val="center"/>
            <w:hideMark/>
          </w:tcPr>
          <w:p w14:paraId="20C884D9" w14:textId="77777777" w:rsidR="00BD770F" w:rsidRPr="00726ADB" w:rsidRDefault="00BD770F" w:rsidP="00974715">
            <w:pPr>
              <w:jc w:val="center"/>
              <w:rPr>
                <w:color w:val="000000"/>
              </w:rPr>
            </w:pPr>
            <w:r w:rsidRPr="00726ADB">
              <w:rPr>
                <w:color w:val="000000"/>
              </w:rPr>
              <w:t>14%</w:t>
            </w:r>
          </w:p>
        </w:tc>
        <w:tc>
          <w:tcPr>
            <w:tcW w:w="960" w:type="dxa"/>
            <w:tcBorders>
              <w:top w:val="nil"/>
              <w:left w:val="nil"/>
              <w:bottom w:val="nil"/>
              <w:right w:val="nil"/>
            </w:tcBorders>
            <w:shd w:val="clear" w:color="000000" w:fill="FFFFFF"/>
            <w:noWrap/>
            <w:vAlign w:val="center"/>
            <w:hideMark/>
          </w:tcPr>
          <w:p w14:paraId="479D3406" w14:textId="77777777" w:rsidR="00BD770F" w:rsidRPr="00726ADB" w:rsidRDefault="00BD770F" w:rsidP="00974715">
            <w:pPr>
              <w:jc w:val="center"/>
              <w:rPr>
                <w:color w:val="000000"/>
              </w:rPr>
            </w:pPr>
            <w:r w:rsidRPr="00726ADB">
              <w:rPr>
                <w:color w:val="000000"/>
              </w:rPr>
              <w:t>19%</w:t>
            </w:r>
          </w:p>
        </w:tc>
      </w:tr>
      <w:tr w:rsidR="00BD770F" w:rsidRPr="00726ADB" w14:paraId="5C90DBDE" w14:textId="77777777" w:rsidTr="00974715">
        <w:trPr>
          <w:trHeight w:val="300"/>
        </w:trPr>
        <w:tc>
          <w:tcPr>
            <w:tcW w:w="1440" w:type="dxa"/>
            <w:tcBorders>
              <w:top w:val="nil"/>
              <w:left w:val="nil"/>
              <w:bottom w:val="nil"/>
              <w:right w:val="nil"/>
            </w:tcBorders>
            <w:shd w:val="clear" w:color="000000" w:fill="FFFFFF"/>
            <w:noWrap/>
            <w:vAlign w:val="center"/>
            <w:hideMark/>
          </w:tcPr>
          <w:p w14:paraId="123844A5" w14:textId="77777777" w:rsidR="00BD770F" w:rsidRPr="00726ADB" w:rsidRDefault="00BD770F" w:rsidP="00974715">
            <w:pPr>
              <w:jc w:val="center"/>
              <w:rPr>
                <w:color w:val="000000"/>
              </w:rPr>
            </w:pPr>
            <w:r w:rsidRPr="00726ADB">
              <w:rPr>
                <w:color w:val="000000"/>
              </w:rPr>
              <w:t>C</w:t>
            </w:r>
            <w:r w:rsidRPr="00726ADB">
              <w:rPr>
                <w:color w:val="000000"/>
                <w:vertAlign w:val="subscript"/>
              </w:rPr>
              <w:t>4=</w:t>
            </w:r>
          </w:p>
        </w:tc>
        <w:tc>
          <w:tcPr>
            <w:tcW w:w="960" w:type="dxa"/>
            <w:tcBorders>
              <w:top w:val="nil"/>
              <w:left w:val="nil"/>
              <w:bottom w:val="nil"/>
              <w:right w:val="nil"/>
            </w:tcBorders>
            <w:shd w:val="clear" w:color="000000" w:fill="FFFFFF"/>
            <w:noWrap/>
            <w:vAlign w:val="center"/>
            <w:hideMark/>
          </w:tcPr>
          <w:p w14:paraId="13AE1608" w14:textId="77777777" w:rsidR="00BD770F" w:rsidRPr="00726ADB" w:rsidRDefault="00BD770F" w:rsidP="00974715">
            <w:pPr>
              <w:jc w:val="center"/>
              <w:rPr>
                <w:color w:val="000000"/>
              </w:rPr>
            </w:pPr>
            <w:r w:rsidRPr="00726ADB">
              <w:rPr>
                <w:color w:val="000000"/>
              </w:rPr>
              <w:t>43%</w:t>
            </w:r>
          </w:p>
        </w:tc>
        <w:tc>
          <w:tcPr>
            <w:tcW w:w="960" w:type="dxa"/>
            <w:tcBorders>
              <w:top w:val="nil"/>
              <w:left w:val="nil"/>
              <w:bottom w:val="nil"/>
              <w:right w:val="nil"/>
            </w:tcBorders>
            <w:shd w:val="clear" w:color="000000" w:fill="FFFFFF"/>
            <w:noWrap/>
            <w:vAlign w:val="center"/>
            <w:hideMark/>
          </w:tcPr>
          <w:p w14:paraId="188FEB34" w14:textId="77777777" w:rsidR="00BD770F" w:rsidRPr="00726ADB" w:rsidRDefault="00BD770F" w:rsidP="00974715">
            <w:pPr>
              <w:jc w:val="center"/>
              <w:rPr>
                <w:color w:val="000000"/>
              </w:rPr>
            </w:pPr>
            <w:r w:rsidRPr="00726ADB">
              <w:rPr>
                <w:color w:val="000000"/>
              </w:rPr>
              <w:t>64%</w:t>
            </w:r>
          </w:p>
        </w:tc>
        <w:tc>
          <w:tcPr>
            <w:tcW w:w="960" w:type="dxa"/>
            <w:tcBorders>
              <w:top w:val="nil"/>
              <w:left w:val="nil"/>
              <w:bottom w:val="nil"/>
              <w:right w:val="nil"/>
            </w:tcBorders>
            <w:shd w:val="clear" w:color="000000" w:fill="FFFFFF"/>
            <w:noWrap/>
            <w:vAlign w:val="center"/>
            <w:hideMark/>
          </w:tcPr>
          <w:p w14:paraId="643EE981" w14:textId="77777777" w:rsidR="00BD770F" w:rsidRPr="00726ADB" w:rsidRDefault="00BD770F" w:rsidP="00974715">
            <w:pPr>
              <w:jc w:val="center"/>
              <w:rPr>
                <w:color w:val="000000"/>
              </w:rPr>
            </w:pPr>
            <w:r w:rsidRPr="00726ADB">
              <w:rPr>
                <w:color w:val="000000"/>
              </w:rPr>
              <w:t>58%</w:t>
            </w:r>
          </w:p>
        </w:tc>
      </w:tr>
      <w:tr w:rsidR="00BD770F" w:rsidRPr="00726ADB" w14:paraId="56CA9F72" w14:textId="77777777" w:rsidTr="00974715">
        <w:trPr>
          <w:trHeight w:val="300"/>
        </w:trPr>
        <w:tc>
          <w:tcPr>
            <w:tcW w:w="1440" w:type="dxa"/>
            <w:tcBorders>
              <w:top w:val="nil"/>
              <w:left w:val="nil"/>
              <w:bottom w:val="single" w:sz="4" w:space="0" w:color="auto"/>
              <w:right w:val="nil"/>
            </w:tcBorders>
            <w:shd w:val="clear" w:color="000000" w:fill="FFFFFF"/>
            <w:noWrap/>
            <w:vAlign w:val="center"/>
            <w:hideMark/>
          </w:tcPr>
          <w:p w14:paraId="3C4FC3F7" w14:textId="77777777" w:rsidR="00BD770F" w:rsidRPr="00726ADB" w:rsidRDefault="00BD770F" w:rsidP="00974715">
            <w:pPr>
              <w:jc w:val="center"/>
              <w:rPr>
                <w:color w:val="000000"/>
              </w:rPr>
            </w:pPr>
            <w:r w:rsidRPr="00726ADB">
              <w:rPr>
                <w:color w:val="000000"/>
              </w:rPr>
              <w:t>C</w:t>
            </w:r>
            <w:r w:rsidRPr="00726ADB">
              <w:rPr>
                <w:color w:val="000000"/>
                <w:vertAlign w:val="subscript"/>
              </w:rPr>
              <w:t>5</w:t>
            </w:r>
          </w:p>
        </w:tc>
        <w:tc>
          <w:tcPr>
            <w:tcW w:w="960" w:type="dxa"/>
            <w:tcBorders>
              <w:top w:val="nil"/>
              <w:left w:val="nil"/>
              <w:bottom w:val="single" w:sz="4" w:space="0" w:color="auto"/>
              <w:right w:val="nil"/>
            </w:tcBorders>
            <w:shd w:val="clear" w:color="000000" w:fill="FFFFFF"/>
            <w:noWrap/>
            <w:vAlign w:val="center"/>
            <w:hideMark/>
          </w:tcPr>
          <w:p w14:paraId="5B1DBF48" w14:textId="77777777" w:rsidR="00BD770F" w:rsidRPr="00726ADB" w:rsidRDefault="00BD770F" w:rsidP="00974715">
            <w:pPr>
              <w:jc w:val="center"/>
              <w:rPr>
                <w:color w:val="000000"/>
              </w:rPr>
            </w:pPr>
            <w:r w:rsidRPr="00726ADB">
              <w:rPr>
                <w:color w:val="000000"/>
              </w:rPr>
              <w:t>10%</w:t>
            </w:r>
          </w:p>
        </w:tc>
        <w:tc>
          <w:tcPr>
            <w:tcW w:w="960" w:type="dxa"/>
            <w:tcBorders>
              <w:top w:val="nil"/>
              <w:left w:val="nil"/>
              <w:bottom w:val="single" w:sz="4" w:space="0" w:color="auto"/>
              <w:right w:val="nil"/>
            </w:tcBorders>
            <w:shd w:val="clear" w:color="000000" w:fill="FFFFFF"/>
            <w:noWrap/>
            <w:vAlign w:val="center"/>
            <w:hideMark/>
          </w:tcPr>
          <w:p w14:paraId="1F402438" w14:textId="77777777" w:rsidR="00BD770F" w:rsidRPr="00726ADB" w:rsidRDefault="00BD770F" w:rsidP="00974715">
            <w:pPr>
              <w:jc w:val="center"/>
              <w:rPr>
                <w:color w:val="000000"/>
              </w:rPr>
            </w:pPr>
            <w:r w:rsidRPr="00726ADB">
              <w:rPr>
                <w:color w:val="000000"/>
              </w:rPr>
              <w:t>8%</w:t>
            </w:r>
          </w:p>
        </w:tc>
        <w:tc>
          <w:tcPr>
            <w:tcW w:w="960" w:type="dxa"/>
            <w:tcBorders>
              <w:top w:val="nil"/>
              <w:left w:val="nil"/>
              <w:bottom w:val="single" w:sz="4" w:space="0" w:color="auto"/>
              <w:right w:val="nil"/>
            </w:tcBorders>
            <w:shd w:val="clear" w:color="000000" w:fill="FFFFFF"/>
            <w:noWrap/>
            <w:vAlign w:val="center"/>
            <w:hideMark/>
          </w:tcPr>
          <w:p w14:paraId="7ABA43DE" w14:textId="77777777" w:rsidR="00BD770F" w:rsidRPr="00726ADB" w:rsidRDefault="00BD770F" w:rsidP="00974715">
            <w:pPr>
              <w:jc w:val="center"/>
              <w:rPr>
                <w:color w:val="000000"/>
              </w:rPr>
            </w:pPr>
            <w:r w:rsidRPr="00726ADB">
              <w:rPr>
                <w:color w:val="000000"/>
              </w:rPr>
              <w:t>5%</w:t>
            </w:r>
          </w:p>
        </w:tc>
      </w:tr>
      <w:tr w:rsidR="00BD770F" w:rsidRPr="00726ADB" w14:paraId="635BB8B4" w14:textId="77777777" w:rsidTr="00974715">
        <w:trPr>
          <w:trHeight w:val="300"/>
        </w:trPr>
        <w:tc>
          <w:tcPr>
            <w:tcW w:w="1440" w:type="dxa"/>
            <w:tcBorders>
              <w:top w:val="nil"/>
              <w:left w:val="nil"/>
              <w:bottom w:val="single" w:sz="4" w:space="0" w:color="auto"/>
              <w:right w:val="nil"/>
            </w:tcBorders>
            <w:shd w:val="clear" w:color="000000" w:fill="FFFFFF"/>
            <w:noWrap/>
            <w:vAlign w:val="center"/>
            <w:hideMark/>
          </w:tcPr>
          <w:p w14:paraId="3653C5BC" w14:textId="77777777" w:rsidR="00BD770F" w:rsidRPr="00726ADB" w:rsidRDefault="00BD770F" w:rsidP="00974715">
            <w:pPr>
              <w:rPr>
                <w:color w:val="000000"/>
              </w:rPr>
            </w:pPr>
            <w:r w:rsidRPr="00726ADB">
              <w:rPr>
                <w:color w:val="000000"/>
              </w:rPr>
              <w:t>Conversion</w:t>
            </w:r>
          </w:p>
        </w:tc>
        <w:tc>
          <w:tcPr>
            <w:tcW w:w="960" w:type="dxa"/>
            <w:tcBorders>
              <w:top w:val="nil"/>
              <w:left w:val="nil"/>
              <w:bottom w:val="single" w:sz="4" w:space="0" w:color="auto"/>
              <w:right w:val="nil"/>
            </w:tcBorders>
            <w:shd w:val="clear" w:color="000000" w:fill="FFFFFF"/>
            <w:noWrap/>
            <w:vAlign w:val="center"/>
            <w:hideMark/>
          </w:tcPr>
          <w:p w14:paraId="46D597A9" w14:textId="77777777" w:rsidR="00BD770F" w:rsidRPr="00726ADB" w:rsidRDefault="00BD770F" w:rsidP="00974715">
            <w:pPr>
              <w:jc w:val="center"/>
              <w:rPr>
                <w:color w:val="000000"/>
              </w:rPr>
            </w:pPr>
            <w:r w:rsidRPr="00726ADB">
              <w:rPr>
                <w:color w:val="000000"/>
              </w:rPr>
              <w:t>0.033%</w:t>
            </w:r>
          </w:p>
        </w:tc>
        <w:tc>
          <w:tcPr>
            <w:tcW w:w="960" w:type="dxa"/>
            <w:tcBorders>
              <w:top w:val="nil"/>
              <w:left w:val="nil"/>
              <w:bottom w:val="single" w:sz="4" w:space="0" w:color="auto"/>
              <w:right w:val="nil"/>
            </w:tcBorders>
            <w:shd w:val="clear" w:color="000000" w:fill="FFFFFF"/>
            <w:noWrap/>
            <w:vAlign w:val="center"/>
            <w:hideMark/>
          </w:tcPr>
          <w:p w14:paraId="0B280A7C" w14:textId="77777777" w:rsidR="00BD770F" w:rsidRPr="00726ADB" w:rsidRDefault="00BD770F" w:rsidP="00974715">
            <w:pPr>
              <w:jc w:val="center"/>
              <w:rPr>
                <w:color w:val="000000"/>
              </w:rPr>
            </w:pPr>
            <w:r w:rsidRPr="00726ADB">
              <w:rPr>
                <w:color w:val="000000"/>
              </w:rPr>
              <w:t>0.040%</w:t>
            </w:r>
          </w:p>
        </w:tc>
        <w:tc>
          <w:tcPr>
            <w:tcW w:w="960" w:type="dxa"/>
            <w:tcBorders>
              <w:top w:val="nil"/>
              <w:left w:val="nil"/>
              <w:bottom w:val="single" w:sz="4" w:space="0" w:color="auto"/>
              <w:right w:val="nil"/>
            </w:tcBorders>
            <w:shd w:val="clear" w:color="000000" w:fill="FFFFFF"/>
            <w:noWrap/>
            <w:vAlign w:val="center"/>
            <w:hideMark/>
          </w:tcPr>
          <w:p w14:paraId="1A26F397" w14:textId="77777777" w:rsidR="00BD770F" w:rsidRPr="00726ADB" w:rsidRDefault="00BD770F" w:rsidP="00974715">
            <w:pPr>
              <w:jc w:val="center"/>
              <w:rPr>
                <w:color w:val="000000"/>
              </w:rPr>
            </w:pPr>
            <w:r w:rsidRPr="00726ADB">
              <w:rPr>
                <w:color w:val="000000"/>
              </w:rPr>
              <w:t>0.020%</w:t>
            </w:r>
          </w:p>
        </w:tc>
      </w:tr>
      <w:tr w:rsidR="00BD770F" w:rsidRPr="00726ADB" w14:paraId="2499A206" w14:textId="77777777" w:rsidTr="00974715">
        <w:trPr>
          <w:trHeight w:val="300"/>
        </w:trPr>
        <w:tc>
          <w:tcPr>
            <w:tcW w:w="1440" w:type="dxa"/>
            <w:tcBorders>
              <w:top w:val="nil"/>
              <w:left w:val="nil"/>
              <w:bottom w:val="single" w:sz="4" w:space="0" w:color="auto"/>
              <w:right w:val="nil"/>
            </w:tcBorders>
            <w:shd w:val="clear" w:color="000000" w:fill="FFFFFF"/>
            <w:noWrap/>
            <w:vAlign w:val="center"/>
            <w:hideMark/>
          </w:tcPr>
          <w:p w14:paraId="50C9AADB" w14:textId="771449E7" w:rsidR="00BD770F" w:rsidRPr="00FD7BB0" w:rsidRDefault="00000000" w:rsidP="00974715">
            <w:pPr>
              <w:rPr>
                <w:color w:val="000000"/>
              </w:rPr>
            </w:pPr>
            <m:oMathPara>
              <m:oMath>
                <m:f>
                  <m:fPr>
                    <m:ctrlPr>
                      <w:rPr>
                        <w:rFonts w:ascii="Cambria Math" w:hAnsi="Cambria Math"/>
                        <w:i/>
                        <w:color w:val="000000"/>
                      </w:rPr>
                    </m:ctrlPr>
                  </m:fPr>
                  <m:num>
                    <m:r>
                      <w:rPr>
                        <w:rFonts w:ascii="Cambria Math" w:hAnsi="Cambria Math"/>
                        <w:color w:val="000000"/>
                      </w:rPr>
                      <m:t xml:space="preserve">Dehydrogenation Products </m:t>
                    </m:r>
                    <m:d>
                      <m:dPr>
                        <m:begChr m:val="["/>
                        <m:endChr m:val="]"/>
                        <m:ctrlPr>
                          <w:rPr>
                            <w:rFonts w:ascii="Cambria Math" w:hAnsi="Cambria Math"/>
                            <w:i/>
                            <w:color w:val="000000"/>
                          </w:rPr>
                        </m:ctrlPr>
                      </m:dPr>
                      <m:e>
                        <m:r>
                          <w:rPr>
                            <w:rFonts w:ascii="Cambria Math" w:hAnsi="Cambria Math"/>
                            <w:color w:val="000000"/>
                          </w:rPr>
                          <m:t>mols</m:t>
                        </m:r>
                      </m:e>
                    </m:d>
                  </m:num>
                  <m:den>
                    <m:r>
                      <w:rPr>
                        <w:rFonts w:ascii="Cambria Math" w:hAnsi="Cambria Math"/>
                        <w:color w:val="000000"/>
                      </w:rPr>
                      <m:t xml:space="preserve">Protolytic Cracking Products </m:t>
                    </m:r>
                    <m:d>
                      <m:dPr>
                        <m:begChr m:val="["/>
                        <m:endChr m:val="]"/>
                        <m:ctrlPr>
                          <w:rPr>
                            <w:rFonts w:ascii="Cambria Math" w:hAnsi="Cambria Math"/>
                            <w:i/>
                            <w:color w:val="000000"/>
                          </w:rPr>
                        </m:ctrlPr>
                      </m:dPr>
                      <m:e>
                        <m:r>
                          <w:rPr>
                            <w:rFonts w:ascii="Cambria Math" w:hAnsi="Cambria Math"/>
                            <w:color w:val="000000"/>
                          </w:rPr>
                          <m:t>mols</m:t>
                        </m:r>
                      </m:e>
                    </m:d>
                  </m:den>
                </m:f>
              </m:oMath>
            </m:oMathPara>
          </w:p>
        </w:tc>
        <w:tc>
          <w:tcPr>
            <w:tcW w:w="960" w:type="dxa"/>
            <w:tcBorders>
              <w:top w:val="nil"/>
              <w:left w:val="nil"/>
              <w:bottom w:val="single" w:sz="4" w:space="0" w:color="auto"/>
              <w:right w:val="nil"/>
            </w:tcBorders>
            <w:shd w:val="clear" w:color="000000" w:fill="FFFFFF"/>
            <w:noWrap/>
            <w:vAlign w:val="center"/>
            <w:hideMark/>
          </w:tcPr>
          <w:p w14:paraId="63AC68C0" w14:textId="77777777" w:rsidR="00BD770F" w:rsidRPr="00726ADB" w:rsidRDefault="00BD770F" w:rsidP="00974715">
            <w:pPr>
              <w:jc w:val="center"/>
              <w:rPr>
                <w:color w:val="000000"/>
              </w:rPr>
            </w:pPr>
            <w:r w:rsidRPr="00726ADB">
              <w:rPr>
                <w:color w:val="000000"/>
              </w:rPr>
              <w:t>1.9</w:t>
            </w:r>
          </w:p>
        </w:tc>
        <w:tc>
          <w:tcPr>
            <w:tcW w:w="960" w:type="dxa"/>
            <w:tcBorders>
              <w:top w:val="nil"/>
              <w:left w:val="nil"/>
              <w:bottom w:val="single" w:sz="4" w:space="0" w:color="auto"/>
              <w:right w:val="nil"/>
            </w:tcBorders>
            <w:shd w:val="clear" w:color="000000" w:fill="FFFFFF"/>
            <w:noWrap/>
            <w:vAlign w:val="center"/>
            <w:hideMark/>
          </w:tcPr>
          <w:p w14:paraId="683B7BBE" w14:textId="77777777" w:rsidR="00BD770F" w:rsidRPr="00726ADB" w:rsidRDefault="00BD770F" w:rsidP="00974715">
            <w:pPr>
              <w:jc w:val="center"/>
              <w:rPr>
                <w:color w:val="000000"/>
              </w:rPr>
            </w:pPr>
            <w:r w:rsidRPr="00726ADB">
              <w:rPr>
                <w:color w:val="000000"/>
              </w:rPr>
              <w:t>4.6</w:t>
            </w:r>
          </w:p>
        </w:tc>
        <w:tc>
          <w:tcPr>
            <w:tcW w:w="960" w:type="dxa"/>
            <w:tcBorders>
              <w:top w:val="nil"/>
              <w:left w:val="nil"/>
              <w:bottom w:val="single" w:sz="4" w:space="0" w:color="auto"/>
              <w:right w:val="nil"/>
            </w:tcBorders>
            <w:shd w:val="clear" w:color="000000" w:fill="FFFFFF"/>
            <w:noWrap/>
            <w:vAlign w:val="center"/>
            <w:hideMark/>
          </w:tcPr>
          <w:p w14:paraId="4D071ABD" w14:textId="77777777" w:rsidR="00BD770F" w:rsidRPr="00726ADB" w:rsidRDefault="00BD770F" w:rsidP="00974715">
            <w:pPr>
              <w:jc w:val="center"/>
              <w:rPr>
                <w:color w:val="000000"/>
              </w:rPr>
            </w:pPr>
            <w:r w:rsidRPr="00726ADB">
              <w:rPr>
                <w:color w:val="000000"/>
              </w:rPr>
              <w:t>3.0</w:t>
            </w:r>
          </w:p>
        </w:tc>
      </w:tr>
    </w:tbl>
    <w:p w14:paraId="34E98018" w14:textId="77777777" w:rsidR="00BD770F" w:rsidRPr="00C75F6D" w:rsidRDefault="00BD770F" w:rsidP="00BD770F">
      <w:pPr>
        <w:jc w:val="both"/>
        <w:rPr>
          <w:color w:val="FF0000"/>
        </w:rPr>
      </w:pPr>
    </w:p>
    <w:p w14:paraId="4F840DA1" w14:textId="77777777" w:rsidR="00BD770F" w:rsidRDefault="00BD770F" w:rsidP="002C4BF8">
      <w:pPr>
        <w:keepNext/>
        <w:jc w:val="center"/>
      </w:pPr>
      <w:r>
        <w:rPr>
          <w:noProof/>
        </w:rPr>
        <w:lastRenderedPageBreak/>
        <w:drawing>
          <wp:inline distT="0" distB="0" distL="0" distR="0" wp14:anchorId="21213EBE" wp14:editId="4FDF8881">
            <wp:extent cx="5431716" cy="2194560"/>
            <wp:effectExtent l="0" t="0" r="0" b="0"/>
            <wp:docPr id="70" name="Picture 7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Chart, bar chart&#10;&#10;Description automatically generated"/>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431716" cy="2194560"/>
                    </a:xfrm>
                    <a:prstGeom prst="rect">
                      <a:avLst/>
                    </a:prstGeom>
                    <a:noFill/>
                  </pic:spPr>
                </pic:pic>
              </a:graphicData>
            </a:graphic>
          </wp:inline>
        </w:drawing>
      </w:r>
    </w:p>
    <w:p w14:paraId="180BBF9E" w14:textId="18F33170" w:rsidR="00BD770F" w:rsidRPr="00704437" w:rsidRDefault="00BD770F" w:rsidP="002C4BF8">
      <w:pPr>
        <w:pStyle w:val="Caption"/>
        <w:jc w:val="both"/>
        <w:rPr>
          <w:i w:val="0"/>
          <w:iCs w:val="0"/>
          <w:color w:val="auto"/>
          <w:sz w:val="24"/>
          <w:szCs w:val="24"/>
        </w:rPr>
      </w:pPr>
      <w:bookmarkStart w:id="127" w:name="_Toc131948731"/>
      <w:r w:rsidRPr="00704437">
        <w:rPr>
          <w:b/>
          <w:bCs/>
          <w:i w:val="0"/>
          <w:iCs w:val="0"/>
          <w:color w:val="auto"/>
          <w:sz w:val="24"/>
          <w:szCs w:val="24"/>
        </w:rPr>
        <w:t xml:space="preserve">Figure </w:t>
      </w:r>
      <w:r w:rsidRPr="00704437">
        <w:rPr>
          <w:b/>
          <w:bCs/>
          <w:i w:val="0"/>
          <w:iCs w:val="0"/>
          <w:color w:val="auto"/>
          <w:sz w:val="24"/>
          <w:szCs w:val="24"/>
        </w:rPr>
        <w:fldChar w:fldCharType="begin"/>
      </w:r>
      <w:r w:rsidRPr="00704437">
        <w:rPr>
          <w:b/>
          <w:bCs/>
          <w:i w:val="0"/>
          <w:iCs w:val="0"/>
          <w:color w:val="auto"/>
          <w:sz w:val="24"/>
          <w:szCs w:val="24"/>
        </w:rPr>
        <w:instrText xml:space="preserve"> SEQ Figure \* ARABIC </w:instrText>
      </w:r>
      <w:r w:rsidRPr="00704437">
        <w:rPr>
          <w:b/>
          <w:bCs/>
          <w:i w:val="0"/>
          <w:iCs w:val="0"/>
          <w:color w:val="auto"/>
          <w:sz w:val="24"/>
          <w:szCs w:val="24"/>
        </w:rPr>
        <w:fldChar w:fldCharType="separate"/>
      </w:r>
      <w:r w:rsidR="001F4741">
        <w:rPr>
          <w:b/>
          <w:bCs/>
          <w:i w:val="0"/>
          <w:iCs w:val="0"/>
          <w:noProof/>
          <w:color w:val="auto"/>
          <w:sz w:val="24"/>
          <w:szCs w:val="24"/>
        </w:rPr>
        <w:t>67</w:t>
      </w:r>
      <w:r w:rsidRPr="00704437">
        <w:rPr>
          <w:b/>
          <w:bCs/>
          <w:i w:val="0"/>
          <w:iCs w:val="0"/>
          <w:color w:val="auto"/>
          <w:sz w:val="24"/>
          <w:szCs w:val="24"/>
        </w:rPr>
        <w:fldChar w:fldCharType="end"/>
      </w:r>
      <w:r w:rsidRPr="00704437">
        <w:rPr>
          <w:b/>
          <w:bCs/>
          <w:i w:val="0"/>
          <w:iCs w:val="0"/>
          <w:color w:val="auto"/>
          <w:sz w:val="24"/>
          <w:szCs w:val="24"/>
        </w:rPr>
        <w:t>:</w:t>
      </w:r>
      <w:r w:rsidRPr="00704437">
        <w:rPr>
          <w:i w:val="0"/>
          <w:iCs w:val="0"/>
          <w:color w:val="auto"/>
          <w:sz w:val="24"/>
          <w:szCs w:val="24"/>
        </w:rPr>
        <w:t xml:space="preserve"> </w:t>
      </w:r>
      <w:r w:rsidRPr="002F12FC">
        <w:rPr>
          <w:b/>
          <w:bCs/>
          <w:i w:val="0"/>
          <w:iCs w:val="0"/>
          <w:color w:val="auto"/>
          <w:sz w:val="24"/>
          <w:szCs w:val="24"/>
        </w:rPr>
        <w:t>a)</w:t>
      </w:r>
      <w:r w:rsidRPr="00704437">
        <w:rPr>
          <w:i w:val="0"/>
          <w:iCs w:val="0"/>
          <w:color w:val="auto"/>
          <w:sz w:val="24"/>
          <w:szCs w:val="24"/>
        </w:rPr>
        <w:t xml:space="preserve"> Product distribution of 2,5-dimethylhexane catalytic cracking over zeolite Y15 in flow mode. Bar representation is relative to product distribution within progressing reactant time on stream. Reaction conditions: 400 </w:t>
      </w:r>
      <w:r w:rsidRPr="00704437">
        <w:rPr>
          <w:i w:val="0"/>
          <w:iCs w:val="0"/>
          <w:color w:val="auto"/>
          <w:sz w:val="24"/>
          <w:szCs w:val="24"/>
          <w:vertAlign w:val="superscript"/>
        </w:rPr>
        <w:t>o</w:t>
      </w:r>
      <w:r w:rsidRPr="00704437">
        <w:rPr>
          <w:i w:val="0"/>
          <w:iCs w:val="0"/>
          <w:color w:val="auto"/>
          <w:sz w:val="24"/>
          <w:szCs w:val="24"/>
        </w:rPr>
        <w:t>C, 50 mg</w:t>
      </w:r>
      <w:r w:rsidR="00854864">
        <w:rPr>
          <w:i w:val="0"/>
          <w:iCs w:val="0"/>
          <w:color w:val="auto"/>
          <w:sz w:val="24"/>
          <w:szCs w:val="24"/>
        </w:rPr>
        <w:t xml:space="preserve"> of catalyts</w:t>
      </w:r>
      <w:r w:rsidRPr="00704437">
        <w:rPr>
          <w:i w:val="0"/>
          <w:iCs w:val="0"/>
          <w:color w:val="auto"/>
          <w:sz w:val="24"/>
          <w:szCs w:val="24"/>
        </w:rPr>
        <w:t>, 0.5 mL</w:t>
      </w:r>
      <w:r w:rsidR="00D1599D">
        <w:rPr>
          <w:i w:val="0"/>
          <w:iCs w:val="0"/>
          <w:color w:val="auto"/>
          <w:sz w:val="24"/>
          <w:szCs w:val="24"/>
        </w:rPr>
        <w:t>/hr</w:t>
      </w:r>
      <w:r w:rsidRPr="00704437">
        <w:rPr>
          <w:i w:val="0"/>
          <w:iCs w:val="0"/>
          <w:color w:val="auto"/>
          <w:sz w:val="24"/>
          <w:szCs w:val="24"/>
        </w:rPr>
        <w:t xml:space="preserve"> of reactant injected, 100 mL/min of N</w:t>
      </w:r>
      <w:r w:rsidRPr="00704437">
        <w:rPr>
          <w:i w:val="0"/>
          <w:iCs w:val="0"/>
          <w:color w:val="auto"/>
          <w:sz w:val="24"/>
          <w:szCs w:val="24"/>
          <w:vertAlign w:val="subscript"/>
        </w:rPr>
        <w:t>2</w:t>
      </w:r>
      <w:r w:rsidRPr="00704437">
        <w:rPr>
          <w:i w:val="0"/>
          <w:iCs w:val="0"/>
          <w:color w:val="auto"/>
          <w:sz w:val="24"/>
          <w:szCs w:val="24"/>
        </w:rPr>
        <w:t xml:space="preserve"> inert flow. Pretreatment under N</w:t>
      </w:r>
      <w:r w:rsidRPr="00704437">
        <w:rPr>
          <w:i w:val="0"/>
          <w:iCs w:val="0"/>
          <w:color w:val="auto"/>
          <w:sz w:val="24"/>
          <w:szCs w:val="24"/>
          <w:vertAlign w:val="subscript"/>
        </w:rPr>
        <w:t>2</w:t>
      </w:r>
      <w:r w:rsidRPr="00704437">
        <w:rPr>
          <w:i w:val="0"/>
          <w:iCs w:val="0"/>
          <w:color w:val="auto"/>
          <w:sz w:val="24"/>
          <w:szCs w:val="24"/>
        </w:rPr>
        <w:t xml:space="preserve"> at 300 </w:t>
      </w:r>
      <w:r w:rsidRPr="00704437">
        <w:rPr>
          <w:i w:val="0"/>
          <w:iCs w:val="0"/>
          <w:color w:val="auto"/>
          <w:sz w:val="24"/>
          <w:szCs w:val="24"/>
          <w:vertAlign w:val="superscript"/>
        </w:rPr>
        <w:t>o</w:t>
      </w:r>
      <w:r w:rsidRPr="00704437">
        <w:rPr>
          <w:i w:val="0"/>
          <w:iCs w:val="0"/>
          <w:color w:val="auto"/>
          <w:sz w:val="24"/>
          <w:szCs w:val="24"/>
        </w:rPr>
        <w:t xml:space="preserve">C for 2 hours prior injection. </w:t>
      </w:r>
      <w:r w:rsidRPr="002F12FC">
        <w:rPr>
          <w:b/>
          <w:bCs/>
          <w:i w:val="0"/>
          <w:iCs w:val="0"/>
          <w:color w:val="auto"/>
          <w:sz w:val="24"/>
          <w:szCs w:val="24"/>
        </w:rPr>
        <w:t>b)</w:t>
      </w:r>
      <w:r w:rsidRPr="00704437">
        <w:rPr>
          <w:i w:val="0"/>
          <w:iCs w:val="0"/>
          <w:color w:val="auto"/>
          <w:sz w:val="24"/>
          <w:szCs w:val="24"/>
        </w:rPr>
        <w:t xml:space="preserve"> 2,5-dimethyl hexane carbon positioning notation.</w:t>
      </w:r>
      <w:bookmarkEnd w:id="127"/>
    </w:p>
    <w:p w14:paraId="15C2D9FB" w14:textId="10EB9CBE" w:rsidR="00BD770F" w:rsidRDefault="00BD770F" w:rsidP="00C6326D">
      <w:pPr>
        <w:spacing w:line="480" w:lineRule="auto"/>
        <w:jc w:val="both"/>
      </w:pPr>
      <w:r>
        <w:tab/>
        <w:t>The following protolytic cracking of that carbonium iC</w:t>
      </w:r>
      <w:r w:rsidRPr="006E1D92">
        <w:rPr>
          <w:vertAlign w:val="subscript"/>
        </w:rPr>
        <w:t>8</w:t>
      </w:r>
      <w:r>
        <w:rPr>
          <w:vertAlign w:val="subscript"/>
        </w:rPr>
        <w:t>+</w:t>
      </w:r>
      <w:r>
        <w:t xml:space="preserve"> forms C</w:t>
      </w:r>
      <w:r w:rsidRPr="006E1D92">
        <w:rPr>
          <w:vertAlign w:val="subscript"/>
        </w:rPr>
        <w:t>1</w:t>
      </w:r>
      <w:r>
        <w:t xml:space="preserve"> and a C</w:t>
      </w:r>
      <w:r w:rsidRPr="00293CDE">
        <w:rPr>
          <w:vertAlign w:val="subscript"/>
        </w:rPr>
        <w:t>7</w:t>
      </w:r>
      <w:r w:rsidRPr="00293CDE">
        <w:rPr>
          <w:vertAlign w:val="superscript"/>
        </w:rPr>
        <w:t>+</w:t>
      </w:r>
      <w:r>
        <w:rPr>
          <w:vertAlign w:val="subscript"/>
        </w:rPr>
        <w:t xml:space="preserve"> </w:t>
      </w:r>
      <w:r w:rsidRPr="00293CDE">
        <w:t>car</w:t>
      </w:r>
      <w:r>
        <w:t xml:space="preserve">benium ion </w:t>
      </w:r>
      <w:r w:rsidR="000B62B9" w:rsidRPr="00293CDE">
        <w:t>species</w:t>
      </w:r>
      <w:r>
        <w:t xml:space="preserve"> adsorbed on the catalyst surface. The next step is a C-C β-scission with a resulting C</w:t>
      </w:r>
      <w:r w:rsidRPr="009B6B85">
        <w:rPr>
          <w:vertAlign w:val="subscript"/>
        </w:rPr>
        <w:t>3=</w:t>
      </w:r>
      <w:r>
        <w:t xml:space="preserve"> and an adsorbed C</w:t>
      </w:r>
      <w:r w:rsidRPr="009B6B85">
        <w:rPr>
          <w:vertAlign w:val="subscript"/>
        </w:rPr>
        <w:t>4</w:t>
      </w:r>
      <w:r w:rsidRPr="00B76D98">
        <w:rPr>
          <w:vertAlign w:val="superscript"/>
        </w:rPr>
        <w:t>+</w:t>
      </w:r>
      <w:r>
        <w:t xml:space="preserve"> specie as products, which this C</w:t>
      </w:r>
      <w:r w:rsidRPr="001748C1">
        <w:rPr>
          <w:vertAlign w:val="subscript"/>
        </w:rPr>
        <w:t>4</w:t>
      </w:r>
      <w:r w:rsidRPr="001748C1">
        <w:rPr>
          <w:vertAlign w:val="superscript"/>
        </w:rPr>
        <w:t>+</w:t>
      </w:r>
      <w:r>
        <w:t>can further receive a proton from a H-donor forming an alkane or desorb as a C</w:t>
      </w:r>
      <w:r w:rsidRPr="009B6B85">
        <w:rPr>
          <w:vertAlign w:val="subscript"/>
        </w:rPr>
        <w:t>4=</w:t>
      </w:r>
      <w:r>
        <w:t xml:space="preserve">. This structure is reported to be an isobutoxide specie with a covalent bond with the oxygen on the surface, a more stable surface molecule compared to its isomers </w:t>
      </w:r>
      <w:r>
        <w:fldChar w:fldCharType="begin"/>
      </w:r>
      <w:r>
        <w:instrText xml:space="preserve"> ADDIN EN.CITE &lt;EndNote&gt;&lt;Cite&gt;&lt;Author&gt;Mullen&lt;/Author&gt;&lt;Year&gt;2011&lt;/Year&gt;&lt;RecNum&gt;154&lt;/RecNum&gt;&lt;DisplayText&gt;[219]&lt;/DisplayText&gt;&lt;record&gt;&lt;rec-number&gt;154&lt;/rec-number&gt;&lt;foreign-keys&gt;&lt;key app="EN" db-id="59dvwrfdof9dw8exf0kvp0atwazsazeeffsp" timestamp="1676957753"&gt;154&lt;/key&gt;&lt;/foreign-keys&gt;&lt;ref-type name="Journal Article"&gt;17&lt;/ref-type&gt;&lt;contributors&gt;&lt;authors&gt;&lt;author&gt;Gregory M. Mullen&lt;/author&gt;&lt;author&gt;Michael J. Janik&lt;/author&gt;&lt;/authors&gt;&lt;/contributors&gt;&lt;titles&gt;&lt;title&gt;Density Functional Theory Study of Alkane-Alkoxide Hydride Transfer in Zeolites&lt;/title&gt;&lt;secondary-title&gt;ACS Catalysis&lt;/secondary-title&gt;&lt;/titles&gt;&lt;periodical&gt;&lt;full-title&gt;ACS Catalysis&lt;/full-title&gt;&lt;/periodical&gt;&lt;pages&gt;102-115&lt;/pages&gt;&lt;volume&gt;1&lt;/volume&gt;&lt;number&gt;2&lt;/number&gt;&lt;dates&gt;&lt;year&gt;2011&lt;/year&gt;&lt;/dates&gt;&lt;urls&gt;&lt;/urls&gt;&lt;electronic-resource-num&gt;https://doi.org/10.1021/cs1000619&lt;/electronic-resource-num&gt;&lt;/record&gt;&lt;/Cite&gt;&lt;/EndNote&gt;</w:instrText>
      </w:r>
      <w:r>
        <w:fldChar w:fldCharType="separate"/>
      </w:r>
      <w:r>
        <w:rPr>
          <w:noProof/>
        </w:rPr>
        <w:t>[</w:t>
      </w:r>
      <w:hyperlink w:anchor="_ENREF_219" w:tooltip="Mullen, 2011 #154" w:history="1">
        <w:r w:rsidR="00D307FA">
          <w:rPr>
            <w:noProof/>
          </w:rPr>
          <w:t>219</w:t>
        </w:r>
      </w:hyperlink>
      <w:r>
        <w:rPr>
          <w:noProof/>
        </w:rPr>
        <w:t>]</w:t>
      </w:r>
      <w:r>
        <w:fldChar w:fldCharType="end"/>
      </w:r>
      <w:r>
        <w:t>. Such mechanism requires a stoichiometry product distribution in where for each C</w:t>
      </w:r>
      <w:r w:rsidRPr="00421C32">
        <w:rPr>
          <w:vertAlign w:val="subscript"/>
        </w:rPr>
        <w:t>1</w:t>
      </w:r>
      <w:r>
        <w:t xml:space="preserve"> and C</w:t>
      </w:r>
      <w:r w:rsidRPr="00421C32">
        <w:rPr>
          <w:vertAlign w:val="subscript"/>
        </w:rPr>
        <w:t>3=</w:t>
      </w:r>
      <w:r>
        <w:t xml:space="preserve"> formed an equal amount of C</w:t>
      </w:r>
      <w:r w:rsidRPr="00421C32">
        <w:rPr>
          <w:vertAlign w:val="subscript"/>
        </w:rPr>
        <w:t>4</w:t>
      </w:r>
      <w:r>
        <w:t xml:space="preserve"> or C</w:t>
      </w:r>
      <w:r w:rsidRPr="00421C32">
        <w:rPr>
          <w:vertAlign w:val="subscript"/>
        </w:rPr>
        <w:t>4=</w:t>
      </w:r>
      <w:r>
        <w:t xml:space="preserve"> must be present. It is assumed here that once iC</w:t>
      </w:r>
      <w:r w:rsidRPr="00EC5EB0">
        <w:rPr>
          <w:vertAlign w:val="subscript"/>
        </w:rPr>
        <w:t>8</w:t>
      </w:r>
      <w:r>
        <w:t xml:space="preserve"> is present over the reaction environment C</w:t>
      </w:r>
      <w:r w:rsidRPr="00EC5EB0">
        <w:rPr>
          <w:vertAlign w:val="subscript"/>
        </w:rPr>
        <w:t>4</w:t>
      </w:r>
      <w:r>
        <w:t xml:space="preserve"> adsorption is not likely to occur because larger the number of Cs in the chain stronger it is its adsorption, thus any possibility of C</w:t>
      </w:r>
      <w:r w:rsidRPr="00D94FE8">
        <w:rPr>
          <w:vertAlign w:val="subscript"/>
        </w:rPr>
        <w:t>4</w:t>
      </w:r>
      <w:r>
        <w:t xml:space="preserve"> paraffin adsorption and sequential cracking forming C</w:t>
      </w:r>
      <w:r w:rsidRPr="00C629CE">
        <w:rPr>
          <w:vertAlign w:val="subscript"/>
        </w:rPr>
        <w:t>1</w:t>
      </w:r>
      <w:r>
        <w:t xml:space="preserve"> and C</w:t>
      </w:r>
      <w:r w:rsidRPr="00C629CE">
        <w:rPr>
          <w:vertAlign w:val="subscript"/>
        </w:rPr>
        <w:t>3=</w:t>
      </w:r>
      <w:r>
        <w:t xml:space="preserve"> is not considered. If C</w:t>
      </w:r>
      <w:r w:rsidRPr="00C629CE">
        <w:rPr>
          <w:vertAlign w:val="subscript"/>
        </w:rPr>
        <w:t>1</w:t>
      </w:r>
      <w:r>
        <w:t xml:space="preserve"> and C</w:t>
      </w:r>
      <w:r w:rsidRPr="00C629CE">
        <w:rPr>
          <w:vertAlign w:val="subscript"/>
        </w:rPr>
        <w:t>3=</w:t>
      </w:r>
      <w:r>
        <w:t xml:space="preserve"> is present it will be due to iC</w:t>
      </w:r>
      <w:r w:rsidRPr="00C629CE">
        <w:rPr>
          <w:vertAlign w:val="subscript"/>
        </w:rPr>
        <w:t>8</w:t>
      </w:r>
      <w:r>
        <w:t xml:space="preserve"> prototylic cracking.</w:t>
      </w:r>
    </w:p>
    <w:p w14:paraId="4DA0BD7E" w14:textId="029671C9" w:rsidR="00BD770F" w:rsidRDefault="00BD770F" w:rsidP="00C6326D">
      <w:pPr>
        <w:spacing w:line="480" w:lineRule="auto"/>
        <w:jc w:val="both"/>
      </w:pPr>
      <w:r>
        <w:tab/>
        <w:t xml:space="preserve">Differently than an </w:t>
      </w:r>
      <w:r w:rsidRPr="00131442">
        <w:t>initial iC</w:t>
      </w:r>
      <w:r w:rsidRPr="00131442">
        <w:rPr>
          <w:vertAlign w:val="subscript"/>
        </w:rPr>
        <w:t>8</w:t>
      </w:r>
      <w:r w:rsidRPr="00131442">
        <w:t xml:space="preserve"> adsorption and protolytic cracking, the second mechanism (shown in </w:t>
      </w:r>
      <w:r w:rsidRPr="00131442">
        <w:rPr>
          <w:b/>
          <w:bCs/>
        </w:rPr>
        <w:t xml:space="preserve">Scheme </w:t>
      </w:r>
      <w:r w:rsidR="003D2F4E" w:rsidRPr="00131442">
        <w:rPr>
          <w:b/>
          <w:bCs/>
        </w:rPr>
        <w:t>3</w:t>
      </w:r>
      <w:r w:rsidRPr="00131442">
        <w:t>) considers</w:t>
      </w:r>
      <w:r>
        <w:t xml:space="preserve"> either a first H-transfer from that iC</w:t>
      </w:r>
      <w:r w:rsidRPr="00AB1D4C">
        <w:rPr>
          <w:vertAlign w:val="subscript"/>
        </w:rPr>
        <w:t>8</w:t>
      </w:r>
      <w:r>
        <w:rPr>
          <w:vertAlign w:val="subscript"/>
        </w:rPr>
        <w:t xml:space="preserve"> </w:t>
      </w:r>
      <w:r w:rsidRPr="00AB1D4C">
        <w:t xml:space="preserve">to </w:t>
      </w:r>
      <w:r>
        <w:t xml:space="preserve">an </w:t>
      </w:r>
      <w:r>
        <w:lastRenderedPageBreak/>
        <w:t>adsorbed H-receptor or protonation of a dehydrogenated iC</w:t>
      </w:r>
      <w:r w:rsidRPr="005206CA">
        <w:rPr>
          <w:vertAlign w:val="subscript"/>
        </w:rPr>
        <w:t>8</w:t>
      </w:r>
      <w:r>
        <w:t>. The last is less likely to happen due to lower dehydrogenation conversions found for iC</w:t>
      </w:r>
      <w:r w:rsidRPr="00E0576A">
        <w:rPr>
          <w:vertAlign w:val="subscript"/>
        </w:rPr>
        <w:t>4</w:t>
      </w:r>
      <w:r>
        <w:t xml:space="preserve"> under reacting conditions, considering here that H-transfer of isooctane the dominant step. The resulting iC</w:t>
      </w:r>
      <w:r w:rsidRPr="00F301B0">
        <w:rPr>
          <w:vertAlign w:val="subscript"/>
        </w:rPr>
        <w:t>8</w:t>
      </w:r>
      <w:r w:rsidRPr="00F301B0">
        <w:rPr>
          <w:vertAlign w:val="superscript"/>
        </w:rPr>
        <w:t>+</w:t>
      </w:r>
      <w:r>
        <w:t xml:space="preserve"> carbenium ion undergo β-scission, forming a C</w:t>
      </w:r>
      <w:r w:rsidRPr="00855963">
        <w:rPr>
          <w:vertAlign w:val="subscript"/>
        </w:rPr>
        <w:t>4=</w:t>
      </w:r>
      <w:r>
        <w:t xml:space="preserve"> and an adsorbed C</w:t>
      </w:r>
      <w:r w:rsidRPr="00F301B0">
        <w:rPr>
          <w:vertAlign w:val="subscript"/>
        </w:rPr>
        <w:t>4</w:t>
      </w:r>
      <w:r w:rsidRPr="00F301B0">
        <w:rPr>
          <w:vertAlign w:val="superscript"/>
        </w:rPr>
        <w:t>+</w:t>
      </w:r>
      <w:r>
        <w:t>. Depending on the environment around the active site, this isobutoxide can either desorb as a C</w:t>
      </w:r>
      <w:r w:rsidRPr="005A45AE">
        <w:rPr>
          <w:vertAlign w:val="subscript"/>
        </w:rPr>
        <w:t>4=</w:t>
      </w:r>
      <w:r>
        <w:t xml:space="preserve"> or receive a H from a nearby iC</w:t>
      </w:r>
      <w:r w:rsidRPr="0093358D">
        <w:rPr>
          <w:vertAlign w:val="subscript"/>
        </w:rPr>
        <w:t>8</w:t>
      </w:r>
      <w:r>
        <w:rPr>
          <w:vertAlign w:val="subscript"/>
        </w:rPr>
        <w:t xml:space="preserve"> </w:t>
      </w:r>
      <w:r>
        <w:t>and desorbs as a C</w:t>
      </w:r>
      <w:r w:rsidRPr="0022048E">
        <w:rPr>
          <w:vertAlign w:val="subscript"/>
        </w:rPr>
        <w:t>4</w:t>
      </w:r>
      <w:r>
        <w:t xml:space="preserve"> alkane. Further protolytic cracking of the C</w:t>
      </w:r>
      <w:r w:rsidRPr="00F4229B">
        <w:rPr>
          <w:vertAlign w:val="subscript"/>
        </w:rPr>
        <w:t>4</w:t>
      </w:r>
      <w:r>
        <w:t xml:space="preserve"> paraffin is disregarded due to the preferential iC</w:t>
      </w:r>
      <w:r w:rsidRPr="00A96EC7">
        <w:rPr>
          <w:vertAlign w:val="subscript"/>
        </w:rPr>
        <w:t>8</w:t>
      </w:r>
      <w:r>
        <w:t xml:space="preserve"> adsorption and competition inside the catalyst voids. Therefore, the only products coming out of this </w:t>
      </w:r>
      <w:r w:rsidR="00436AE6">
        <w:t>reaction pathway</w:t>
      </w:r>
      <w:r>
        <w:t xml:space="preserve"> are C</w:t>
      </w:r>
      <w:r w:rsidRPr="00F44EEF">
        <w:rPr>
          <w:vertAlign w:val="subscript"/>
        </w:rPr>
        <w:t>4</w:t>
      </w:r>
      <w:r>
        <w:t xml:space="preserve"> paraffins and olefins only. Both routes are feasible over zeolite Y and conclusions whether one is more dominant will be discussed through the course of the study.</w:t>
      </w:r>
      <w:r w:rsidRPr="00772F2D">
        <w:t xml:space="preserve"> </w:t>
      </w:r>
    </w:p>
    <w:p w14:paraId="2A927ACB" w14:textId="77777777" w:rsidR="00BD770F" w:rsidRDefault="00BD770F" w:rsidP="002C4BF8">
      <w:pPr>
        <w:jc w:val="center"/>
      </w:pPr>
      <w:r>
        <w:rPr>
          <w:noProof/>
        </w:rPr>
        <w:drawing>
          <wp:inline distT="0" distB="0" distL="0" distR="0" wp14:anchorId="6A733102" wp14:editId="602C070C">
            <wp:extent cx="5370744" cy="3200400"/>
            <wp:effectExtent l="0" t="0" r="1905" b="0"/>
            <wp:docPr id="71" name="Picture 7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Shape&#10;&#10;Description automatically generated with medium confidence"/>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370744" cy="3200400"/>
                    </a:xfrm>
                    <a:prstGeom prst="rect">
                      <a:avLst/>
                    </a:prstGeom>
                    <a:noFill/>
                  </pic:spPr>
                </pic:pic>
              </a:graphicData>
            </a:graphic>
          </wp:inline>
        </w:drawing>
      </w:r>
    </w:p>
    <w:p w14:paraId="507D866D" w14:textId="54401B72" w:rsidR="00BD770F" w:rsidRDefault="00BD770F" w:rsidP="002C4BF8">
      <w:pPr>
        <w:jc w:val="both"/>
      </w:pPr>
      <w:r w:rsidRPr="00704437">
        <w:rPr>
          <w:b/>
          <w:bCs/>
        </w:rPr>
        <w:t xml:space="preserve">Scheme </w:t>
      </w:r>
      <w:r w:rsidR="003D2F4E">
        <w:rPr>
          <w:b/>
          <w:bCs/>
        </w:rPr>
        <w:t>3</w:t>
      </w:r>
      <w:r w:rsidRPr="00704437">
        <w:rPr>
          <w:b/>
          <w:bCs/>
        </w:rPr>
        <w:t>:</w:t>
      </w:r>
      <w:r>
        <w:t xml:space="preserve"> Isooctane cracking over acid sites through H-transfer and carbenium ion β-scission.</w:t>
      </w:r>
    </w:p>
    <w:p w14:paraId="7A9AE4C7" w14:textId="77777777" w:rsidR="00BD770F" w:rsidRDefault="00BD770F" w:rsidP="00C6326D">
      <w:pPr>
        <w:spacing w:line="480" w:lineRule="auto"/>
        <w:jc w:val="both"/>
        <w:rPr>
          <w:b/>
          <w:bCs/>
          <w:i/>
          <w:iCs/>
        </w:rPr>
      </w:pPr>
    </w:p>
    <w:p w14:paraId="234796B0" w14:textId="77777777" w:rsidR="00BD770F" w:rsidRPr="008968F0" w:rsidRDefault="00BD770F" w:rsidP="000C5292">
      <w:pPr>
        <w:pStyle w:val="Heading3"/>
        <w:rPr>
          <w:u w:val="single"/>
        </w:rPr>
      </w:pPr>
      <w:bookmarkStart w:id="128" w:name="_Toc132924219"/>
      <w:r w:rsidRPr="008968F0">
        <w:rPr>
          <w:u w:val="single"/>
        </w:rPr>
        <w:lastRenderedPageBreak/>
        <w:t>4.3.2 Catalytic Cracking Differences Between Non-Steamed and Steamed Commercial Zeolite Y</w:t>
      </w:r>
      <w:bookmarkEnd w:id="128"/>
    </w:p>
    <w:p w14:paraId="0C6CA31A" w14:textId="51A116B4" w:rsidR="00BD770F" w:rsidRDefault="00BD770F" w:rsidP="00C6326D">
      <w:pPr>
        <w:spacing w:line="480" w:lineRule="auto"/>
        <w:jc w:val="both"/>
      </w:pPr>
      <w:r>
        <w:tab/>
        <w:t xml:space="preserve">The commercially available zeolite Y samples have three different Si/Al ratios and consequently different BAS </w:t>
      </w:r>
      <w:r w:rsidRPr="00131442">
        <w:t xml:space="preserve">densities. </w:t>
      </w:r>
      <w:r w:rsidRPr="00131442">
        <w:rPr>
          <w:b/>
          <w:bCs/>
        </w:rPr>
        <w:t xml:space="preserve">Table </w:t>
      </w:r>
      <w:r w:rsidR="003D2F4E" w:rsidRPr="00131442">
        <w:rPr>
          <w:b/>
          <w:bCs/>
        </w:rPr>
        <w:t>13</w:t>
      </w:r>
      <w:r w:rsidRPr="00AD7490">
        <w:t xml:space="preserve"> </w:t>
      </w:r>
      <w:r w:rsidRPr="00436728">
        <w:t>displays the concentration of active acid sites calculated by IPA-TDP. The results indicate that steaming the parent Y2.6 yields Y15 zeolite, which experiences an 84% drop in BAS, whereas Y30 experiences a 90% drop due to a more severe steaming process</w:t>
      </w:r>
      <w:r>
        <w:t xml:space="preserve">. A drawback of the zeolite steaming is the creation of EFAL species, which are likely to happen once such degree of Al extraction occurred in both zeolites. Reports on literature about </w:t>
      </w:r>
      <w:r w:rsidRPr="00BD6832">
        <w:rPr>
          <w:vertAlign w:val="superscript"/>
        </w:rPr>
        <w:t>27</w:t>
      </w:r>
      <w:r>
        <w:t>Al magic-angle spinning (MAS) nuclear magnetic resonance (NRM) results over the two steamed commercial samples confirming the presence of EFAL but in a lower percentage as compared to that structural incorporated Al</w:t>
      </w:r>
      <w:r w:rsidR="00020AD3">
        <w:t xml:space="preserve"> and thus will not influence over the catalytic results</w:t>
      </w:r>
      <w:r>
        <w:t xml:space="preserve"> </w:t>
      </w:r>
      <w:r>
        <w:fldChar w:fldCharType="begin">
          <w:fldData xml:space="preserve">PEVuZE5vdGU+PENpdGU+PEF1dGhvcj5HYWNrb3dza2k8L0F1dGhvcj48WWVhcj4yMDE5PC9ZZWFy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==
</w:fldData>
        </w:fldChar>
      </w:r>
      <w:r>
        <w:instrText xml:space="preserve"> ADDIN EN.CITE </w:instrText>
      </w:r>
      <w:r>
        <w:fldChar w:fldCharType="begin">
          <w:fldData xml:space="preserve">PEVuZE5vdGU+PENpdGU+PEF1dGhvcj5HYWNrb3dza2k8L0F1dGhvcj48WWVhcj4yMDE5PC9ZZWFy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==
</w:fldData>
        </w:fldChar>
      </w:r>
      <w:r>
        <w:instrText xml:space="preserve"> ADDIN EN.CITE.DATA </w:instrText>
      </w:r>
      <w:r>
        <w:fldChar w:fldCharType="end"/>
      </w:r>
      <w:r>
        <w:fldChar w:fldCharType="separate"/>
      </w:r>
      <w:r>
        <w:rPr>
          <w:noProof/>
        </w:rPr>
        <w:t>[</w:t>
      </w:r>
      <w:hyperlink w:anchor="_ENREF_220" w:tooltip="Gackowski, 2019 #150" w:history="1">
        <w:r w:rsidR="00D307FA">
          <w:rPr>
            <w:noProof/>
          </w:rPr>
          <w:t>220</w:t>
        </w:r>
      </w:hyperlink>
      <w:r>
        <w:rPr>
          <w:noProof/>
        </w:rPr>
        <w:t xml:space="preserve">, </w:t>
      </w:r>
      <w:hyperlink w:anchor="_ENREF_221" w:tooltip="Milato, 2020 #151" w:history="1">
        <w:r w:rsidR="00D307FA">
          <w:rPr>
            <w:noProof/>
          </w:rPr>
          <w:t>221</w:t>
        </w:r>
      </w:hyperlink>
      <w:r>
        <w:rPr>
          <w:noProof/>
        </w:rPr>
        <w:t>]</w:t>
      </w:r>
      <w:r>
        <w:fldChar w:fldCharType="end"/>
      </w:r>
      <w:r>
        <w:t xml:space="preserve">. The NMR technique identifies the aluminum coordination in the catalyst volume, referring to a tetrahedral coordination relative to the structural aluminum incorporated in the catalyst framework, and a partial or octahedral coordination to that aluminum that is either partially or fully extracted but still is present in the framework. </w:t>
      </w:r>
    </w:p>
    <w:p w14:paraId="3EB9C2A9" w14:textId="68C3A945" w:rsidR="00BD770F" w:rsidRPr="00AD7490" w:rsidRDefault="00BD770F" w:rsidP="00BD770F">
      <w:pPr>
        <w:pStyle w:val="Caption"/>
        <w:keepNext/>
        <w:rPr>
          <w:i w:val="0"/>
          <w:iCs w:val="0"/>
          <w:color w:val="auto"/>
          <w:sz w:val="24"/>
          <w:szCs w:val="24"/>
        </w:rPr>
      </w:pPr>
      <w:bookmarkStart w:id="129" w:name="_Toc131948664"/>
      <w:r w:rsidRPr="00AD7490">
        <w:rPr>
          <w:b/>
          <w:bCs/>
          <w:i w:val="0"/>
          <w:iCs w:val="0"/>
          <w:color w:val="auto"/>
          <w:sz w:val="24"/>
          <w:szCs w:val="24"/>
        </w:rPr>
        <w:t xml:space="preserve">Table </w:t>
      </w:r>
      <w:r w:rsidRPr="00AD7490">
        <w:rPr>
          <w:b/>
          <w:bCs/>
          <w:i w:val="0"/>
          <w:iCs w:val="0"/>
          <w:color w:val="auto"/>
          <w:sz w:val="24"/>
          <w:szCs w:val="24"/>
        </w:rPr>
        <w:fldChar w:fldCharType="begin"/>
      </w:r>
      <w:r w:rsidRPr="00AD7490">
        <w:rPr>
          <w:b/>
          <w:bCs/>
          <w:i w:val="0"/>
          <w:iCs w:val="0"/>
          <w:color w:val="auto"/>
          <w:sz w:val="24"/>
          <w:szCs w:val="24"/>
        </w:rPr>
        <w:instrText xml:space="preserve"> SEQ Table \* ARABIC </w:instrText>
      </w:r>
      <w:r w:rsidRPr="00AD7490">
        <w:rPr>
          <w:b/>
          <w:bCs/>
          <w:i w:val="0"/>
          <w:iCs w:val="0"/>
          <w:color w:val="auto"/>
          <w:sz w:val="24"/>
          <w:szCs w:val="24"/>
        </w:rPr>
        <w:fldChar w:fldCharType="separate"/>
      </w:r>
      <w:r w:rsidR="001F4741">
        <w:rPr>
          <w:b/>
          <w:bCs/>
          <w:i w:val="0"/>
          <w:iCs w:val="0"/>
          <w:noProof/>
          <w:color w:val="auto"/>
          <w:sz w:val="24"/>
          <w:szCs w:val="24"/>
        </w:rPr>
        <w:t>13</w:t>
      </w:r>
      <w:r w:rsidRPr="00AD7490">
        <w:rPr>
          <w:b/>
          <w:bCs/>
          <w:i w:val="0"/>
          <w:iCs w:val="0"/>
          <w:color w:val="auto"/>
          <w:sz w:val="24"/>
          <w:szCs w:val="24"/>
        </w:rPr>
        <w:fldChar w:fldCharType="end"/>
      </w:r>
      <w:r w:rsidRPr="00AD7490">
        <w:rPr>
          <w:i w:val="0"/>
          <w:iCs w:val="0"/>
          <w:color w:val="auto"/>
          <w:sz w:val="24"/>
          <w:szCs w:val="24"/>
        </w:rPr>
        <w:t xml:space="preserve">: </w:t>
      </w:r>
      <w:r>
        <w:rPr>
          <w:i w:val="0"/>
          <w:iCs w:val="0"/>
          <w:color w:val="auto"/>
          <w:sz w:val="24"/>
          <w:szCs w:val="24"/>
        </w:rPr>
        <w:t>Concentration of Brønsted acid sites on the commercial zeolite Y samples with different Si/Al ratios from Zeolyst International.</w:t>
      </w:r>
      <w:bookmarkEnd w:id="129"/>
    </w:p>
    <w:tbl>
      <w:tblPr>
        <w:tblW w:w="5538" w:type="dxa"/>
        <w:tblLook w:val="04A0" w:firstRow="1" w:lastRow="0" w:firstColumn="1" w:lastColumn="0" w:noHBand="0" w:noVBand="1"/>
      </w:tblPr>
      <w:tblGrid>
        <w:gridCol w:w="1302"/>
        <w:gridCol w:w="2118"/>
        <w:gridCol w:w="2118"/>
      </w:tblGrid>
      <w:tr w:rsidR="00BD770F" w:rsidRPr="0034099F" w14:paraId="16FA1A0F" w14:textId="77777777" w:rsidTr="00974715">
        <w:trPr>
          <w:trHeight w:val="877"/>
        </w:trPr>
        <w:tc>
          <w:tcPr>
            <w:tcW w:w="1302" w:type="dxa"/>
            <w:tcBorders>
              <w:top w:val="single" w:sz="4" w:space="0" w:color="auto"/>
              <w:left w:val="nil"/>
              <w:bottom w:val="single" w:sz="4" w:space="0" w:color="auto"/>
              <w:right w:val="nil"/>
            </w:tcBorders>
            <w:shd w:val="clear" w:color="auto" w:fill="auto"/>
            <w:noWrap/>
            <w:vAlign w:val="center"/>
            <w:hideMark/>
          </w:tcPr>
          <w:p w14:paraId="776D994B" w14:textId="77777777" w:rsidR="00BD770F" w:rsidRPr="0034099F" w:rsidRDefault="00BD770F" w:rsidP="00974715">
            <w:pPr>
              <w:rPr>
                <w:color w:val="000000"/>
              </w:rPr>
            </w:pPr>
            <w:r w:rsidRPr="0034099F">
              <w:rPr>
                <w:color w:val="000000"/>
              </w:rPr>
              <w:t> </w:t>
            </w:r>
          </w:p>
        </w:tc>
        <w:tc>
          <w:tcPr>
            <w:tcW w:w="2118" w:type="dxa"/>
            <w:tcBorders>
              <w:top w:val="single" w:sz="4" w:space="0" w:color="auto"/>
              <w:left w:val="nil"/>
              <w:bottom w:val="single" w:sz="4" w:space="0" w:color="auto"/>
              <w:right w:val="nil"/>
            </w:tcBorders>
            <w:shd w:val="clear" w:color="auto" w:fill="auto"/>
            <w:vAlign w:val="center"/>
            <w:hideMark/>
          </w:tcPr>
          <w:p w14:paraId="429ED286" w14:textId="77777777" w:rsidR="00BD770F" w:rsidRPr="0034099F" w:rsidRDefault="00BD770F" w:rsidP="00974715">
            <w:pPr>
              <w:jc w:val="center"/>
              <w:rPr>
                <w:color w:val="000000"/>
              </w:rPr>
            </w:pPr>
            <w:r w:rsidRPr="0034099F">
              <w:rPr>
                <w:color w:val="000000"/>
              </w:rPr>
              <w:t>Theoretical BAS density (mmol/g</w:t>
            </w:r>
            <w:r w:rsidRPr="0034099F">
              <w:rPr>
                <w:color w:val="000000"/>
                <w:vertAlign w:val="subscript"/>
              </w:rPr>
              <w:t>cat</w:t>
            </w:r>
            <w:r w:rsidRPr="0034099F">
              <w:rPr>
                <w:color w:val="000000"/>
              </w:rPr>
              <w:t>)</w:t>
            </w:r>
          </w:p>
        </w:tc>
        <w:tc>
          <w:tcPr>
            <w:tcW w:w="2118" w:type="dxa"/>
            <w:tcBorders>
              <w:top w:val="single" w:sz="4" w:space="0" w:color="auto"/>
              <w:left w:val="nil"/>
              <w:bottom w:val="single" w:sz="4" w:space="0" w:color="auto"/>
              <w:right w:val="nil"/>
            </w:tcBorders>
            <w:shd w:val="clear" w:color="auto" w:fill="auto"/>
            <w:vAlign w:val="center"/>
            <w:hideMark/>
          </w:tcPr>
          <w:p w14:paraId="61FF3751" w14:textId="77777777" w:rsidR="00BD770F" w:rsidRPr="0034099F" w:rsidRDefault="00BD770F" w:rsidP="00974715">
            <w:pPr>
              <w:jc w:val="center"/>
              <w:rPr>
                <w:color w:val="000000"/>
              </w:rPr>
            </w:pPr>
            <w:r w:rsidRPr="0034099F">
              <w:rPr>
                <w:color w:val="000000"/>
              </w:rPr>
              <w:t>IPD-TPD BAS density (mmol/g</w:t>
            </w:r>
            <w:r w:rsidRPr="0034099F">
              <w:rPr>
                <w:color w:val="000000"/>
                <w:vertAlign w:val="subscript"/>
              </w:rPr>
              <w:t>cat</w:t>
            </w:r>
            <w:r w:rsidRPr="0034099F">
              <w:rPr>
                <w:color w:val="000000"/>
              </w:rPr>
              <w:t>)</w:t>
            </w:r>
          </w:p>
        </w:tc>
      </w:tr>
      <w:tr w:rsidR="00BD770F" w:rsidRPr="0034099F" w14:paraId="2D26C5A2" w14:textId="77777777" w:rsidTr="00974715">
        <w:trPr>
          <w:trHeight w:val="291"/>
        </w:trPr>
        <w:tc>
          <w:tcPr>
            <w:tcW w:w="1302" w:type="dxa"/>
            <w:tcBorders>
              <w:top w:val="nil"/>
              <w:left w:val="nil"/>
              <w:bottom w:val="nil"/>
              <w:right w:val="nil"/>
            </w:tcBorders>
            <w:shd w:val="clear" w:color="auto" w:fill="auto"/>
            <w:noWrap/>
            <w:vAlign w:val="center"/>
            <w:hideMark/>
          </w:tcPr>
          <w:p w14:paraId="13C6800D" w14:textId="77777777" w:rsidR="00BD770F" w:rsidRPr="0034099F" w:rsidRDefault="00BD770F" w:rsidP="00974715">
            <w:pPr>
              <w:rPr>
                <w:color w:val="000000"/>
              </w:rPr>
            </w:pPr>
            <w:r w:rsidRPr="0034099F">
              <w:rPr>
                <w:color w:val="000000"/>
              </w:rPr>
              <w:t>Y2.6</w:t>
            </w:r>
          </w:p>
        </w:tc>
        <w:tc>
          <w:tcPr>
            <w:tcW w:w="2118" w:type="dxa"/>
            <w:tcBorders>
              <w:top w:val="nil"/>
              <w:left w:val="nil"/>
              <w:bottom w:val="nil"/>
              <w:right w:val="nil"/>
            </w:tcBorders>
            <w:shd w:val="clear" w:color="auto" w:fill="auto"/>
            <w:noWrap/>
            <w:vAlign w:val="center"/>
            <w:hideMark/>
          </w:tcPr>
          <w:p w14:paraId="412B3AF4" w14:textId="77777777" w:rsidR="00BD770F" w:rsidRPr="0034099F" w:rsidRDefault="00BD770F" w:rsidP="00974715">
            <w:pPr>
              <w:jc w:val="center"/>
              <w:rPr>
                <w:color w:val="000000"/>
              </w:rPr>
            </w:pPr>
            <w:r w:rsidRPr="0034099F">
              <w:rPr>
                <w:color w:val="000000"/>
              </w:rPr>
              <w:t>4.63</w:t>
            </w:r>
          </w:p>
        </w:tc>
        <w:tc>
          <w:tcPr>
            <w:tcW w:w="2118" w:type="dxa"/>
            <w:tcBorders>
              <w:top w:val="nil"/>
              <w:left w:val="nil"/>
              <w:bottom w:val="nil"/>
              <w:right w:val="nil"/>
            </w:tcBorders>
            <w:shd w:val="clear" w:color="auto" w:fill="auto"/>
            <w:noWrap/>
            <w:vAlign w:val="center"/>
            <w:hideMark/>
          </w:tcPr>
          <w:p w14:paraId="32818061" w14:textId="77777777" w:rsidR="00BD770F" w:rsidRPr="0034099F" w:rsidRDefault="00BD770F" w:rsidP="00974715">
            <w:pPr>
              <w:jc w:val="center"/>
              <w:rPr>
                <w:color w:val="000000"/>
              </w:rPr>
            </w:pPr>
            <w:r w:rsidRPr="0034099F">
              <w:rPr>
                <w:color w:val="000000"/>
              </w:rPr>
              <w:t>2.30</w:t>
            </w:r>
          </w:p>
        </w:tc>
      </w:tr>
      <w:tr w:rsidR="00BD770F" w:rsidRPr="0034099F" w14:paraId="42061E03" w14:textId="77777777" w:rsidTr="00974715">
        <w:trPr>
          <w:trHeight w:val="291"/>
        </w:trPr>
        <w:tc>
          <w:tcPr>
            <w:tcW w:w="1302" w:type="dxa"/>
            <w:tcBorders>
              <w:top w:val="nil"/>
              <w:left w:val="nil"/>
              <w:bottom w:val="nil"/>
              <w:right w:val="nil"/>
            </w:tcBorders>
            <w:shd w:val="clear" w:color="auto" w:fill="auto"/>
            <w:noWrap/>
            <w:vAlign w:val="center"/>
            <w:hideMark/>
          </w:tcPr>
          <w:p w14:paraId="43789AC3" w14:textId="77777777" w:rsidR="00BD770F" w:rsidRPr="0034099F" w:rsidRDefault="00BD770F" w:rsidP="00974715">
            <w:pPr>
              <w:rPr>
                <w:color w:val="000000"/>
              </w:rPr>
            </w:pPr>
            <w:r w:rsidRPr="0034099F">
              <w:rPr>
                <w:color w:val="000000"/>
              </w:rPr>
              <w:t>Y15</w:t>
            </w:r>
          </w:p>
        </w:tc>
        <w:tc>
          <w:tcPr>
            <w:tcW w:w="2118" w:type="dxa"/>
            <w:tcBorders>
              <w:top w:val="nil"/>
              <w:left w:val="nil"/>
              <w:bottom w:val="nil"/>
              <w:right w:val="nil"/>
            </w:tcBorders>
            <w:shd w:val="clear" w:color="auto" w:fill="auto"/>
            <w:noWrap/>
            <w:vAlign w:val="center"/>
            <w:hideMark/>
          </w:tcPr>
          <w:p w14:paraId="04D60C8D" w14:textId="77777777" w:rsidR="00BD770F" w:rsidRPr="0034099F" w:rsidRDefault="00BD770F" w:rsidP="00974715">
            <w:pPr>
              <w:jc w:val="center"/>
              <w:rPr>
                <w:color w:val="000000"/>
              </w:rPr>
            </w:pPr>
            <w:r w:rsidRPr="0034099F">
              <w:rPr>
                <w:color w:val="000000"/>
              </w:rPr>
              <w:t>1.04</w:t>
            </w:r>
          </w:p>
        </w:tc>
        <w:tc>
          <w:tcPr>
            <w:tcW w:w="2118" w:type="dxa"/>
            <w:tcBorders>
              <w:top w:val="nil"/>
              <w:left w:val="nil"/>
              <w:bottom w:val="nil"/>
              <w:right w:val="nil"/>
            </w:tcBorders>
            <w:shd w:val="clear" w:color="auto" w:fill="auto"/>
            <w:noWrap/>
            <w:vAlign w:val="center"/>
            <w:hideMark/>
          </w:tcPr>
          <w:p w14:paraId="22AC2B4E" w14:textId="77777777" w:rsidR="00BD770F" w:rsidRPr="0034099F" w:rsidRDefault="00BD770F" w:rsidP="00974715">
            <w:pPr>
              <w:jc w:val="center"/>
              <w:rPr>
                <w:color w:val="000000"/>
              </w:rPr>
            </w:pPr>
            <w:r w:rsidRPr="0034099F">
              <w:rPr>
                <w:color w:val="000000"/>
              </w:rPr>
              <w:t>0.37</w:t>
            </w:r>
          </w:p>
        </w:tc>
      </w:tr>
      <w:tr w:rsidR="00BD770F" w:rsidRPr="0034099F" w14:paraId="1A6FAD75" w14:textId="77777777" w:rsidTr="00974715">
        <w:trPr>
          <w:trHeight w:val="291"/>
        </w:trPr>
        <w:tc>
          <w:tcPr>
            <w:tcW w:w="1302" w:type="dxa"/>
            <w:tcBorders>
              <w:top w:val="nil"/>
              <w:left w:val="nil"/>
              <w:bottom w:val="single" w:sz="4" w:space="0" w:color="auto"/>
              <w:right w:val="nil"/>
            </w:tcBorders>
            <w:shd w:val="clear" w:color="auto" w:fill="auto"/>
            <w:noWrap/>
            <w:vAlign w:val="center"/>
            <w:hideMark/>
          </w:tcPr>
          <w:p w14:paraId="7FBA2849" w14:textId="77777777" w:rsidR="00BD770F" w:rsidRPr="0034099F" w:rsidRDefault="00BD770F" w:rsidP="00974715">
            <w:pPr>
              <w:rPr>
                <w:color w:val="000000"/>
              </w:rPr>
            </w:pPr>
            <w:r w:rsidRPr="0034099F">
              <w:rPr>
                <w:color w:val="000000"/>
              </w:rPr>
              <w:t>Y30</w:t>
            </w:r>
          </w:p>
        </w:tc>
        <w:tc>
          <w:tcPr>
            <w:tcW w:w="2118" w:type="dxa"/>
            <w:tcBorders>
              <w:top w:val="nil"/>
              <w:left w:val="nil"/>
              <w:bottom w:val="single" w:sz="4" w:space="0" w:color="auto"/>
              <w:right w:val="nil"/>
            </w:tcBorders>
            <w:shd w:val="clear" w:color="auto" w:fill="auto"/>
            <w:noWrap/>
            <w:vAlign w:val="center"/>
            <w:hideMark/>
          </w:tcPr>
          <w:p w14:paraId="23A87880" w14:textId="77777777" w:rsidR="00BD770F" w:rsidRPr="0034099F" w:rsidRDefault="00BD770F" w:rsidP="00974715">
            <w:pPr>
              <w:jc w:val="center"/>
              <w:rPr>
                <w:color w:val="000000"/>
              </w:rPr>
            </w:pPr>
            <w:r w:rsidRPr="0034099F">
              <w:rPr>
                <w:color w:val="000000"/>
              </w:rPr>
              <w:t>0.54</w:t>
            </w:r>
          </w:p>
        </w:tc>
        <w:tc>
          <w:tcPr>
            <w:tcW w:w="2118" w:type="dxa"/>
            <w:tcBorders>
              <w:top w:val="nil"/>
              <w:left w:val="nil"/>
              <w:bottom w:val="single" w:sz="4" w:space="0" w:color="auto"/>
              <w:right w:val="nil"/>
            </w:tcBorders>
            <w:shd w:val="clear" w:color="auto" w:fill="auto"/>
            <w:noWrap/>
            <w:vAlign w:val="center"/>
            <w:hideMark/>
          </w:tcPr>
          <w:p w14:paraId="11238345" w14:textId="77777777" w:rsidR="00BD770F" w:rsidRPr="0034099F" w:rsidRDefault="00BD770F" w:rsidP="00974715">
            <w:pPr>
              <w:jc w:val="center"/>
              <w:rPr>
                <w:color w:val="000000"/>
              </w:rPr>
            </w:pPr>
            <w:r w:rsidRPr="0034099F">
              <w:rPr>
                <w:color w:val="000000"/>
              </w:rPr>
              <w:t>0.23</w:t>
            </w:r>
          </w:p>
        </w:tc>
      </w:tr>
    </w:tbl>
    <w:p w14:paraId="495E2E9B" w14:textId="77777777" w:rsidR="00BD770F" w:rsidRPr="0093358D" w:rsidRDefault="00BD770F" w:rsidP="00BD770F">
      <w:pPr>
        <w:jc w:val="both"/>
      </w:pPr>
    </w:p>
    <w:p w14:paraId="3D2EC6A0" w14:textId="147413D9" w:rsidR="00BD770F" w:rsidRDefault="00BD770F" w:rsidP="00C6326D">
      <w:pPr>
        <w:spacing w:line="480" w:lineRule="auto"/>
        <w:jc w:val="both"/>
      </w:pPr>
      <w:r>
        <w:tab/>
      </w:r>
      <w:r w:rsidRPr="00BE56EE">
        <w:t>Gas-phase pulse reactions for the catalytic cracking of iC</w:t>
      </w:r>
      <w:r w:rsidRPr="007F2B2E">
        <w:rPr>
          <w:vertAlign w:val="subscript"/>
        </w:rPr>
        <w:t>8</w:t>
      </w:r>
      <w:r w:rsidRPr="00BE56EE">
        <w:t xml:space="preserve"> demonstrate significant </w:t>
      </w:r>
      <w:r w:rsidRPr="00131442">
        <w:t xml:space="preserve">differences in conversion for three samples with the same amount of catalyst mass used (as </w:t>
      </w:r>
      <w:r w:rsidRPr="00131442">
        <w:lastRenderedPageBreak/>
        <w:t xml:space="preserve">shown in </w:t>
      </w:r>
      <w:r w:rsidRPr="00131442">
        <w:rPr>
          <w:b/>
          <w:bCs/>
        </w:rPr>
        <w:t xml:space="preserve">Figure </w:t>
      </w:r>
      <w:r w:rsidR="001154F4" w:rsidRPr="00131442">
        <w:rPr>
          <w:b/>
          <w:bCs/>
        </w:rPr>
        <w:t>68</w:t>
      </w:r>
      <w:r w:rsidRPr="00131442">
        <w:t>). The abrupt increase</w:t>
      </w:r>
      <w:r w:rsidRPr="00BE56EE">
        <w:t xml:space="preserve"> from 3.9% (Y2.6) to 64.3% (Y15) is attributed to the creation of mesoporous channels within the catalyst particle, enabl</w:t>
      </w:r>
      <w:r>
        <w:t>ing a substantial increase in</w:t>
      </w:r>
      <w:r w:rsidRPr="00BE56EE">
        <w:t xml:space="preserve"> iC</w:t>
      </w:r>
      <w:r w:rsidRPr="007F2B2E">
        <w:rPr>
          <w:vertAlign w:val="subscript"/>
        </w:rPr>
        <w:t>8</w:t>
      </w:r>
      <w:r w:rsidRPr="00BE56EE">
        <w:t xml:space="preserve"> diffusion and reaction over active sites.</w:t>
      </w:r>
      <w:r>
        <w:t xml:space="preserve"> This difference</w:t>
      </w:r>
      <w:r w:rsidRPr="00BE56EE">
        <w:t xml:space="preserve"> evidence</w:t>
      </w:r>
      <w:r>
        <w:t>s</w:t>
      </w:r>
      <w:r w:rsidRPr="00BE56EE">
        <w:t xml:space="preserve"> the presence of mass-transfer limitations in Y2.6, indicated by </w:t>
      </w:r>
      <w:r>
        <w:t>an increase in cracking conversion as the concentration of active sites dropped in Y15.</w:t>
      </w:r>
      <w:r w:rsidRPr="00BE56EE">
        <w:t xml:space="preserve"> If the system was free of diffusion limitations, a proportional decrease would have been observed</w:t>
      </w:r>
      <w:r>
        <w:t>, however, other catalyst aspects seem to affect iC</w:t>
      </w:r>
      <w:r w:rsidRPr="00E2132D">
        <w:rPr>
          <w:vertAlign w:val="subscript"/>
        </w:rPr>
        <w:t>8</w:t>
      </w:r>
      <w:r>
        <w:t xml:space="preserve"> reactions over the Y zeolite.</w:t>
      </w:r>
      <w:r w:rsidRPr="00BE56EE">
        <w:t xml:space="preserve"> The decrease observed from 64.3% in Y15 to 15.7% in Y30 is due to the reduction in BAS concentration once mesoporous channels are present in both zeolites</w:t>
      </w:r>
      <w:r>
        <w:t>.</w:t>
      </w:r>
      <w:r w:rsidRPr="00BE56EE">
        <w:t xml:space="preserve"> However, the </w:t>
      </w:r>
      <w:r>
        <w:t xml:space="preserve">conversion </w:t>
      </w:r>
      <w:r w:rsidRPr="00BE56EE">
        <w:t xml:space="preserve">drop is not proportional </w:t>
      </w:r>
      <w:r>
        <w:t xml:space="preserve">related to the drop in BAS density, such </w:t>
      </w:r>
      <w:r w:rsidRPr="00BE56EE">
        <w:t xml:space="preserve">is attributed to </w:t>
      </w:r>
      <w:r>
        <w:t xml:space="preserve">lower the concentrations of proximate sites as BAS decreases. These proximate sites are hypothesized to facilitate </w:t>
      </w:r>
      <w:r w:rsidRPr="00BE56EE">
        <w:t>iC</w:t>
      </w:r>
      <w:r w:rsidRPr="009409E0">
        <w:rPr>
          <w:vertAlign w:val="subscript"/>
        </w:rPr>
        <w:t>8</w:t>
      </w:r>
      <w:r w:rsidRPr="00BE56EE">
        <w:t xml:space="preserve"> consumption</w:t>
      </w:r>
      <w:r>
        <w:t xml:space="preserve"> assisting in stabilizing high energy species during the course of the reaction. Such synergy between sites can enhance kinetic rates or even adsorption of one specie </w:t>
      </w:r>
      <w:r>
        <w:fldChar w:fldCharType="begin"/>
      </w:r>
      <w:r>
        <w:instrText xml:space="preserve"> ADDIN EN.CITE &lt;EndNote&gt;&lt;Cite&gt;&lt;Author&gt;Li&lt;/Author&gt;&lt;Year&gt;2007&lt;/Year&gt;&lt;RecNum&gt;158&lt;/RecNum&gt;&lt;DisplayText&gt;[222]&lt;/DisplayText&gt;&lt;record&gt;&lt;rec-number&gt;158&lt;/rec-number&gt;&lt;foreign-keys&gt;&lt;key app="EN" db-id="59dvwrfdof9dw8exf0kvp0atwazsazeeffsp" timestamp="1677127576"&gt;158&lt;/key&gt;&lt;/foreign-keys&gt;&lt;ref-type name="Journal Article"&gt;17&lt;/ref-type&gt;&lt;contributors&gt;&lt;authors&gt;&lt;author&gt;Shenhui Li&lt;/author&gt;&lt;author&gt;Anmin Zheng&lt;/author&gt;&lt;author&gt;Yongchao Su&lt;/author&gt;&lt;author&gt;Hailu Zhang&lt;/author&gt;&lt;author&gt;Lei Chen&lt;/author&gt;&lt;author&gt;Jun Yang&lt;/author&gt;&lt;author&gt;Chaohui Ye&lt;/author&gt;&lt;author&gt;Feng Deng&lt;/author&gt;&lt;/authors&gt;&lt;/contributors&gt;&lt;titles&gt;&lt;title&gt;Brønsted/Lewis Acid Synergy in Dealuminated HY Zeolite:  A Combined Solid-State NMR and Theoretical Calculation Study&lt;/title&gt;&lt;secondary-title&gt;Journal of American Chemical Society&lt;/secondary-title&gt;&lt;/titles&gt;&lt;periodical&gt;&lt;full-title&gt;Journal of American Chemical Society&lt;/full-title&gt;&lt;/periodical&gt;&lt;pages&gt;11161-11171&lt;/pages&gt;&lt;volume&gt;129&lt;/volume&gt;&lt;number&gt;36&lt;/number&gt;&lt;dates&gt;&lt;year&gt;2007&lt;/year&gt;&lt;/dates&gt;&lt;urls&gt;&lt;/urls&gt;&lt;electronic-resource-num&gt;https://doi.org/10.1021/ja072767y&lt;/electronic-resource-num&gt;&lt;/record&gt;&lt;/Cite&gt;&lt;/EndNote&gt;</w:instrText>
      </w:r>
      <w:r>
        <w:fldChar w:fldCharType="separate"/>
      </w:r>
      <w:r>
        <w:rPr>
          <w:noProof/>
        </w:rPr>
        <w:t>[</w:t>
      </w:r>
      <w:hyperlink w:anchor="_ENREF_222" w:tooltip="Li, 2007 #158" w:history="1">
        <w:r w:rsidR="00D307FA">
          <w:rPr>
            <w:noProof/>
          </w:rPr>
          <w:t>222</w:t>
        </w:r>
      </w:hyperlink>
      <w:r>
        <w:rPr>
          <w:noProof/>
        </w:rPr>
        <w:t>]</w:t>
      </w:r>
      <w:r>
        <w:fldChar w:fldCharType="end"/>
      </w:r>
      <w:r>
        <w:t>.</w:t>
      </w:r>
    </w:p>
    <w:p w14:paraId="4686CB8E" w14:textId="77777777" w:rsidR="00BD770F" w:rsidRPr="0040346D" w:rsidRDefault="00BD770F" w:rsidP="002C4BF8">
      <w:pPr>
        <w:pStyle w:val="Caption"/>
        <w:keepNext/>
        <w:jc w:val="center"/>
        <w:rPr>
          <w:b/>
          <w:bCs/>
          <w:i w:val="0"/>
          <w:iCs w:val="0"/>
          <w:color w:val="auto"/>
          <w:sz w:val="24"/>
          <w:szCs w:val="24"/>
        </w:rPr>
      </w:pPr>
      <w:r w:rsidRPr="0040346D">
        <w:rPr>
          <w:b/>
          <w:bCs/>
          <w:i w:val="0"/>
          <w:iCs w:val="0"/>
          <w:noProof/>
          <w:color w:val="auto"/>
          <w:sz w:val="24"/>
          <w:szCs w:val="24"/>
        </w:rPr>
        <w:drawing>
          <wp:inline distT="0" distB="0" distL="0" distR="0" wp14:anchorId="141731BA" wp14:editId="181004CB">
            <wp:extent cx="3869944" cy="2468880"/>
            <wp:effectExtent l="0" t="0" r="0" b="7620"/>
            <wp:docPr id="72" name="Picture 7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Chart, scatter chart&#10;&#10;Description automatically generated"/>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869944" cy="2468880"/>
                    </a:xfrm>
                    <a:prstGeom prst="rect">
                      <a:avLst/>
                    </a:prstGeom>
                    <a:noFill/>
                  </pic:spPr>
                </pic:pic>
              </a:graphicData>
            </a:graphic>
          </wp:inline>
        </w:drawing>
      </w:r>
    </w:p>
    <w:p w14:paraId="3C3BE1D9" w14:textId="6B71CCB3" w:rsidR="00BD770F" w:rsidRPr="00E3290C" w:rsidRDefault="00BD770F" w:rsidP="002C4BF8">
      <w:pPr>
        <w:jc w:val="both"/>
      </w:pPr>
      <w:bookmarkStart w:id="130" w:name="_Toc131948732"/>
      <w:r w:rsidRPr="0040346D">
        <w:rPr>
          <w:b/>
          <w:bCs/>
        </w:rPr>
        <w:t xml:space="preserve">Figure </w:t>
      </w:r>
      <w:r w:rsidRPr="0040346D">
        <w:rPr>
          <w:b/>
          <w:bCs/>
          <w:i/>
          <w:iCs/>
        </w:rPr>
        <w:fldChar w:fldCharType="begin"/>
      </w:r>
      <w:r w:rsidRPr="0040346D">
        <w:rPr>
          <w:b/>
          <w:bCs/>
        </w:rPr>
        <w:instrText xml:space="preserve"> SEQ Figure \* ARABIC </w:instrText>
      </w:r>
      <w:r w:rsidRPr="0040346D">
        <w:rPr>
          <w:b/>
          <w:bCs/>
          <w:i/>
          <w:iCs/>
        </w:rPr>
        <w:fldChar w:fldCharType="separate"/>
      </w:r>
      <w:r w:rsidR="001F4741">
        <w:rPr>
          <w:b/>
          <w:bCs/>
          <w:noProof/>
        </w:rPr>
        <w:t>68</w:t>
      </w:r>
      <w:r w:rsidRPr="0040346D">
        <w:rPr>
          <w:b/>
          <w:bCs/>
          <w:i/>
          <w:iCs/>
        </w:rPr>
        <w:fldChar w:fldCharType="end"/>
      </w:r>
      <w:r w:rsidRPr="0040346D">
        <w:rPr>
          <w:b/>
          <w:bCs/>
        </w:rPr>
        <w:t xml:space="preserve">: </w:t>
      </w:r>
      <w:r w:rsidRPr="00E3290C">
        <w:t xml:space="preserve">Isooctane cracking conversion comparison among the commercial zeolite Y samples. Reaction conditions: 400 </w:t>
      </w:r>
      <w:r w:rsidRPr="00E3290C">
        <w:rPr>
          <w:vertAlign w:val="superscript"/>
        </w:rPr>
        <w:t>o</w:t>
      </w:r>
      <w:r w:rsidRPr="00E3290C">
        <w:t>C, 50 mg</w:t>
      </w:r>
      <w:r w:rsidR="00083125">
        <w:t xml:space="preserve"> of catalyst</w:t>
      </w:r>
      <w:r w:rsidRPr="00E3290C">
        <w:t>, 0.5 mL of reactant injected per hour, 100 mL/min of N</w:t>
      </w:r>
      <w:r w:rsidRPr="00D44F0D">
        <w:rPr>
          <w:vertAlign w:val="subscript"/>
        </w:rPr>
        <w:t>2</w:t>
      </w:r>
      <w:r w:rsidRPr="00E3290C">
        <w:t xml:space="preserve"> inert flow. Pretreatment under N</w:t>
      </w:r>
      <w:r w:rsidRPr="00D44F0D">
        <w:rPr>
          <w:vertAlign w:val="subscript"/>
        </w:rPr>
        <w:t>2</w:t>
      </w:r>
      <w:r w:rsidRPr="00E3290C">
        <w:t xml:space="preserve"> at 300 </w:t>
      </w:r>
      <w:r w:rsidRPr="00E3290C">
        <w:rPr>
          <w:vertAlign w:val="superscript"/>
        </w:rPr>
        <w:t>o</w:t>
      </w:r>
      <w:r w:rsidRPr="00E3290C">
        <w:t>C for 2 hours prior injection.</w:t>
      </w:r>
      <w:bookmarkEnd w:id="130"/>
    </w:p>
    <w:p w14:paraId="605424D0" w14:textId="74D122E0" w:rsidR="00BD770F" w:rsidRDefault="00BD770F" w:rsidP="00C6326D">
      <w:pPr>
        <w:spacing w:line="480" w:lineRule="auto"/>
        <w:jc w:val="both"/>
      </w:pPr>
      <w:r>
        <w:lastRenderedPageBreak/>
        <w:tab/>
        <w:t xml:space="preserve">To better comprehend the functionality of these synergistic sites, the product distributions </w:t>
      </w:r>
      <w:r w:rsidRPr="00131442">
        <w:t xml:space="preserve">are analyzed for the three samples as a function of pulse number are shown in </w:t>
      </w:r>
      <w:r w:rsidRPr="00131442">
        <w:rPr>
          <w:b/>
          <w:bCs/>
        </w:rPr>
        <w:t xml:space="preserve">Figure </w:t>
      </w:r>
      <w:r w:rsidR="001154F4" w:rsidRPr="00131442">
        <w:rPr>
          <w:b/>
          <w:bCs/>
        </w:rPr>
        <w:t>69</w:t>
      </w:r>
      <w:r w:rsidRPr="00131442">
        <w:t>. In regards of the equivalent</w:t>
      </w:r>
      <w:r>
        <w:t xml:space="preserve"> mass runs, a higher selectivity for that C</w:t>
      </w:r>
      <w:r w:rsidRPr="00035A00">
        <w:rPr>
          <w:vertAlign w:val="subscript"/>
        </w:rPr>
        <w:t>4=</w:t>
      </w:r>
      <w:r>
        <w:t xml:space="preserve"> product is found in Y2.6 and decreases in both Y15 and Y30. C</w:t>
      </w:r>
      <w:r w:rsidRPr="00482956">
        <w:rPr>
          <w:vertAlign w:val="subscript"/>
        </w:rPr>
        <w:t>4</w:t>
      </w:r>
      <w:r>
        <w:t xml:space="preserve"> formation seems to be favored as mesoporosity is introduced but decreases as the BAS density drops. An increase towards C</w:t>
      </w:r>
      <w:r w:rsidRPr="00482956">
        <w:rPr>
          <w:vertAlign w:val="subscript"/>
        </w:rPr>
        <w:t>1</w:t>
      </w:r>
      <w:r>
        <w:t xml:space="preserve"> and C</w:t>
      </w:r>
      <w:r w:rsidRPr="00482956">
        <w:rPr>
          <w:vertAlign w:val="subscript"/>
        </w:rPr>
        <w:t>3=</w:t>
      </w:r>
      <w:r>
        <w:t xml:space="preserve"> products occurs as BAS lowers, products of that iC</w:t>
      </w:r>
      <w:r w:rsidRPr="00035A00">
        <w:rPr>
          <w:vertAlign w:val="subscript"/>
        </w:rPr>
        <w:t>8</w:t>
      </w:r>
      <w:r>
        <w:t xml:space="preserve"> protolytic cracking route. As the conversion is adjusted for all the three catalysts through changing the catalyst mass, a clear change in Y15 product selectivity is observed getting proximate to the one found in Y30. In these two samples, limitations in regards of species diffusion is negligible due to the presence of mesoporous channels. The higher BAS found in Y15 seems to assist H-transfer through that higher probability of encountering proximate sites, while in Y30 such situation is less likely to happen, resulting in a decrease in that H-transfer characteristic. Also, the minor changes observed in C</w:t>
      </w:r>
      <w:r w:rsidRPr="00E345E2">
        <w:rPr>
          <w:vertAlign w:val="subscript"/>
        </w:rPr>
        <w:t>1</w:t>
      </w:r>
      <w:r>
        <w:t xml:space="preserve"> and C</w:t>
      </w:r>
      <w:r w:rsidRPr="00E345E2">
        <w:rPr>
          <w:vertAlign w:val="subscript"/>
        </w:rPr>
        <w:t>3=</w:t>
      </w:r>
      <w:r>
        <w:t>s distributions with conversion in the two mesoporous catalysts suggest that a mechanism preference here is not dependent on conversion, but rather on other factors.</w:t>
      </w:r>
    </w:p>
    <w:p w14:paraId="4A0E9FAB" w14:textId="5EC7D639" w:rsidR="002C4BF8" w:rsidRDefault="00BD770F" w:rsidP="002C4BF8">
      <w:pPr>
        <w:jc w:val="both"/>
      </w:pPr>
      <w:r>
        <w:tab/>
      </w:r>
    </w:p>
    <w:p w14:paraId="17151762" w14:textId="663994CE" w:rsidR="00BD770F" w:rsidRDefault="00BD770F" w:rsidP="002C4BF8">
      <w:pPr>
        <w:jc w:val="both"/>
      </w:pPr>
      <w:r>
        <w:rPr>
          <w:noProof/>
        </w:rPr>
        <w:lastRenderedPageBreak/>
        <w:drawing>
          <wp:inline distT="0" distB="0" distL="0" distR="0" wp14:anchorId="7356BA26" wp14:editId="47A75DCE">
            <wp:extent cx="5500391" cy="4937760"/>
            <wp:effectExtent l="0" t="0" r="5080" b="0"/>
            <wp:docPr id="73" name="Picture 7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 picture containing graphical user interface&#10;&#10;Description automatically generated"/>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500391" cy="4937760"/>
                    </a:xfrm>
                    <a:prstGeom prst="rect">
                      <a:avLst/>
                    </a:prstGeom>
                    <a:noFill/>
                  </pic:spPr>
                </pic:pic>
              </a:graphicData>
            </a:graphic>
          </wp:inline>
        </w:drawing>
      </w:r>
    </w:p>
    <w:p w14:paraId="1F2EB995" w14:textId="041FEAED" w:rsidR="00BD770F" w:rsidRPr="00704437" w:rsidRDefault="00BD770F" w:rsidP="002C4BF8">
      <w:pPr>
        <w:pStyle w:val="Caption"/>
        <w:jc w:val="both"/>
        <w:rPr>
          <w:i w:val="0"/>
          <w:iCs w:val="0"/>
          <w:color w:val="auto"/>
          <w:sz w:val="24"/>
          <w:szCs w:val="24"/>
        </w:rPr>
      </w:pPr>
      <w:bookmarkStart w:id="131" w:name="_Toc131948733"/>
      <w:r w:rsidRPr="00704437">
        <w:rPr>
          <w:b/>
          <w:bCs/>
          <w:i w:val="0"/>
          <w:iCs w:val="0"/>
          <w:color w:val="auto"/>
          <w:sz w:val="24"/>
          <w:szCs w:val="24"/>
        </w:rPr>
        <w:t xml:space="preserve">Figure </w:t>
      </w:r>
      <w:r w:rsidRPr="00704437">
        <w:rPr>
          <w:b/>
          <w:bCs/>
          <w:i w:val="0"/>
          <w:iCs w:val="0"/>
          <w:color w:val="auto"/>
          <w:sz w:val="24"/>
          <w:szCs w:val="24"/>
        </w:rPr>
        <w:fldChar w:fldCharType="begin"/>
      </w:r>
      <w:r w:rsidRPr="00704437">
        <w:rPr>
          <w:b/>
          <w:bCs/>
          <w:i w:val="0"/>
          <w:iCs w:val="0"/>
          <w:color w:val="auto"/>
          <w:sz w:val="24"/>
          <w:szCs w:val="24"/>
        </w:rPr>
        <w:instrText xml:space="preserve"> SEQ Figure \* ARABIC </w:instrText>
      </w:r>
      <w:r w:rsidRPr="00704437">
        <w:rPr>
          <w:b/>
          <w:bCs/>
          <w:i w:val="0"/>
          <w:iCs w:val="0"/>
          <w:color w:val="auto"/>
          <w:sz w:val="24"/>
          <w:szCs w:val="24"/>
        </w:rPr>
        <w:fldChar w:fldCharType="separate"/>
      </w:r>
      <w:r w:rsidR="001F4741">
        <w:rPr>
          <w:b/>
          <w:bCs/>
          <w:i w:val="0"/>
          <w:iCs w:val="0"/>
          <w:noProof/>
          <w:color w:val="auto"/>
          <w:sz w:val="24"/>
          <w:szCs w:val="24"/>
        </w:rPr>
        <w:t>69</w:t>
      </w:r>
      <w:r w:rsidRPr="00704437">
        <w:rPr>
          <w:b/>
          <w:bCs/>
          <w:i w:val="0"/>
          <w:iCs w:val="0"/>
          <w:color w:val="auto"/>
          <w:sz w:val="24"/>
          <w:szCs w:val="24"/>
        </w:rPr>
        <w:fldChar w:fldCharType="end"/>
      </w:r>
      <w:r w:rsidRPr="00704437">
        <w:rPr>
          <w:b/>
          <w:bCs/>
          <w:i w:val="0"/>
          <w:iCs w:val="0"/>
          <w:color w:val="auto"/>
          <w:sz w:val="24"/>
          <w:szCs w:val="24"/>
        </w:rPr>
        <w:t>:</w:t>
      </w:r>
      <w:r w:rsidRPr="00704437">
        <w:rPr>
          <w:i w:val="0"/>
          <w:iCs w:val="0"/>
          <w:color w:val="auto"/>
          <w:sz w:val="24"/>
          <w:szCs w:val="24"/>
        </w:rPr>
        <w:t xml:space="preserve"> Product selectivity of isooctane cracking over zeolite Y2.6 (</w:t>
      </w:r>
      <w:r w:rsidRPr="00704437">
        <w:rPr>
          <w:color w:val="auto"/>
          <w:sz w:val="24"/>
          <w:szCs w:val="24"/>
        </w:rPr>
        <w:t>a</w:t>
      </w:r>
      <w:r w:rsidRPr="00704437">
        <w:rPr>
          <w:i w:val="0"/>
          <w:iCs w:val="0"/>
          <w:color w:val="auto"/>
          <w:sz w:val="24"/>
          <w:szCs w:val="24"/>
        </w:rPr>
        <w:t xml:space="preserve"> and </w:t>
      </w:r>
      <w:r w:rsidRPr="00704437">
        <w:rPr>
          <w:color w:val="auto"/>
          <w:sz w:val="24"/>
          <w:szCs w:val="24"/>
        </w:rPr>
        <w:t>b</w:t>
      </w:r>
      <w:r w:rsidRPr="00704437">
        <w:rPr>
          <w:i w:val="0"/>
          <w:iCs w:val="0"/>
          <w:color w:val="auto"/>
          <w:sz w:val="24"/>
          <w:szCs w:val="24"/>
        </w:rPr>
        <w:t>), Y15 (</w:t>
      </w:r>
      <w:r w:rsidRPr="00704437">
        <w:rPr>
          <w:color w:val="auto"/>
          <w:sz w:val="24"/>
          <w:szCs w:val="24"/>
        </w:rPr>
        <w:t>c</w:t>
      </w:r>
      <w:r w:rsidRPr="00704437">
        <w:rPr>
          <w:i w:val="0"/>
          <w:iCs w:val="0"/>
          <w:color w:val="auto"/>
          <w:sz w:val="24"/>
          <w:szCs w:val="24"/>
        </w:rPr>
        <w:t xml:space="preserve"> and </w:t>
      </w:r>
      <w:r w:rsidRPr="00704437">
        <w:rPr>
          <w:color w:val="auto"/>
          <w:sz w:val="24"/>
          <w:szCs w:val="24"/>
        </w:rPr>
        <w:t>d</w:t>
      </w:r>
      <w:r w:rsidRPr="00704437">
        <w:rPr>
          <w:i w:val="0"/>
          <w:iCs w:val="0"/>
          <w:color w:val="auto"/>
          <w:sz w:val="24"/>
          <w:szCs w:val="24"/>
        </w:rPr>
        <w:t>) and Y30 (</w:t>
      </w:r>
      <w:r w:rsidRPr="00704437">
        <w:rPr>
          <w:color w:val="auto"/>
          <w:sz w:val="24"/>
          <w:szCs w:val="24"/>
        </w:rPr>
        <w:t>e</w:t>
      </w:r>
      <w:r w:rsidRPr="00704437">
        <w:rPr>
          <w:i w:val="0"/>
          <w:iCs w:val="0"/>
          <w:color w:val="auto"/>
          <w:sz w:val="24"/>
          <w:szCs w:val="24"/>
        </w:rPr>
        <w:t xml:space="preserve"> and </w:t>
      </w:r>
      <w:r w:rsidRPr="00704437">
        <w:rPr>
          <w:color w:val="auto"/>
          <w:sz w:val="24"/>
          <w:szCs w:val="24"/>
        </w:rPr>
        <w:t>f</w:t>
      </w:r>
      <w:r w:rsidRPr="00704437">
        <w:rPr>
          <w:i w:val="0"/>
          <w:iCs w:val="0"/>
          <w:color w:val="auto"/>
          <w:sz w:val="24"/>
          <w:szCs w:val="24"/>
        </w:rPr>
        <w:t xml:space="preserve">). Reaction conditions: 400 </w:t>
      </w:r>
      <w:r w:rsidRPr="00704437">
        <w:rPr>
          <w:i w:val="0"/>
          <w:iCs w:val="0"/>
          <w:color w:val="auto"/>
          <w:sz w:val="24"/>
          <w:szCs w:val="24"/>
          <w:vertAlign w:val="superscript"/>
        </w:rPr>
        <w:t>o</w:t>
      </w:r>
      <w:r w:rsidRPr="00704437">
        <w:rPr>
          <w:i w:val="0"/>
          <w:iCs w:val="0"/>
          <w:color w:val="auto"/>
          <w:sz w:val="24"/>
          <w:szCs w:val="24"/>
        </w:rPr>
        <w:t>C, 0.5 mL of reactant injected per hour, 100 mL/min of N</w:t>
      </w:r>
      <w:r w:rsidRPr="00704437">
        <w:rPr>
          <w:i w:val="0"/>
          <w:iCs w:val="0"/>
          <w:color w:val="auto"/>
          <w:sz w:val="24"/>
          <w:szCs w:val="24"/>
          <w:vertAlign w:val="subscript"/>
        </w:rPr>
        <w:t>2</w:t>
      </w:r>
      <w:r w:rsidRPr="00704437">
        <w:rPr>
          <w:i w:val="0"/>
          <w:iCs w:val="0"/>
          <w:color w:val="auto"/>
          <w:sz w:val="24"/>
          <w:szCs w:val="24"/>
        </w:rPr>
        <w:t xml:space="preserve"> inert flow. Pretreatment under N</w:t>
      </w:r>
      <w:r w:rsidRPr="00704437">
        <w:rPr>
          <w:i w:val="0"/>
          <w:iCs w:val="0"/>
          <w:color w:val="auto"/>
          <w:sz w:val="24"/>
          <w:szCs w:val="24"/>
          <w:vertAlign w:val="subscript"/>
        </w:rPr>
        <w:t>2</w:t>
      </w:r>
      <w:r w:rsidRPr="00704437">
        <w:rPr>
          <w:i w:val="0"/>
          <w:iCs w:val="0"/>
          <w:color w:val="auto"/>
          <w:sz w:val="24"/>
          <w:szCs w:val="24"/>
        </w:rPr>
        <w:t xml:space="preserve"> at 300 </w:t>
      </w:r>
      <w:r w:rsidRPr="00704437">
        <w:rPr>
          <w:i w:val="0"/>
          <w:iCs w:val="0"/>
          <w:color w:val="auto"/>
          <w:sz w:val="24"/>
          <w:szCs w:val="24"/>
          <w:vertAlign w:val="superscript"/>
        </w:rPr>
        <w:t>o</w:t>
      </w:r>
      <w:r w:rsidRPr="00704437">
        <w:rPr>
          <w:i w:val="0"/>
          <w:iCs w:val="0"/>
          <w:color w:val="auto"/>
          <w:sz w:val="24"/>
          <w:szCs w:val="24"/>
        </w:rPr>
        <w:t>C for 2 hours prior injection.</w:t>
      </w:r>
      <w:bookmarkEnd w:id="131"/>
    </w:p>
    <w:p w14:paraId="5E925EB2" w14:textId="77777777" w:rsidR="00BD770F" w:rsidRDefault="00BD770F" w:rsidP="00C6326D">
      <w:pPr>
        <w:spacing w:line="480" w:lineRule="auto"/>
        <w:jc w:val="both"/>
      </w:pPr>
      <w:r w:rsidRPr="00D44F0D">
        <w:tab/>
      </w:r>
      <w:r>
        <w:t>In the interest of observing these mechanistic preferences, methane (C</w:t>
      </w:r>
      <w:r w:rsidRPr="00BF3090">
        <w:rPr>
          <w:vertAlign w:val="subscript"/>
        </w:rPr>
        <w:t>1</w:t>
      </w:r>
      <w:r>
        <w:t>) selectivity is proposed to be used as an analysis parameter as follows:</w:t>
      </w:r>
    </w:p>
    <w:p w14:paraId="3047BD23" w14:textId="77777777" w:rsidR="00BD770F" w:rsidRPr="00A04308" w:rsidRDefault="00000000" w:rsidP="00C6326D">
      <w:pPr>
        <w:spacing w:line="480" w:lineRule="auto"/>
        <w:jc w:val="both"/>
        <w:rPr>
          <w:rFonts w:eastAsiaTheme="minorEastAsia"/>
        </w:rPr>
      </w:pPr>
      <m:oMathPara>
        <m:oMath>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Selectivity=</m:t>
          </m:r>
          <m:f>
            <m:fPr>
              <m:ctrlPr>
                <w:rPr>
                  <w:rFonts w:ascii="Cambria Math" w:hAnsi="Cambria Math"/>
                  <w:i/>
                </w:rPr>
              </m:ctrlPr>
            </m:fPr>
            <m:num>
              <m:sSup>
                <m:sSupPr>
                  <m:ctrlPr>
                    <w:rPr>
                      <w:rFonts w:ascii="Cambria Math" w:hAnsi="Cambria Math"/>
                      <w:i/>
                    </w:rPr>
                  </m:ctrlPr>
                </m:sSupPr>
                <m:e>
                  <m:r>
                    <w:rPr>
                      <w:rFonts w:ascii="Cambria Math" w:hAnsi="Cambria Math"/>
                    </w:rPr>
                    <m:t>n</m:t>
                  </m:r>
                </m:e>
                <m:sup>
                  <m:r>
                    <w:rPr>
                      <w:rFonts w:ascii="Cambria Math" w:hAnsi="Cambria Math"/>
                    </w:rPr>
                    <m:t>o</m:t>
                  </m:r>
                </m:sup>
              </m:sSup>
              <m:r>
                <w:rPr>
                  <w:rFonts w:ascii="Cambria Math" w:hAnsi="Cambria Math"/>
                </w:rPr>
                <m:t xml:space="preserve"> mols </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 xml:space="preserve"> formed</m:t>
              </m:r>
            </m:num>
            <m:den>
              <m:r>
                <w:rPr>
                  <w:rFonts w:ascii="Cambria Math" w:hAnsi="Cambria Math"/>
                </w:rPr>
                <m:t xml:space="preserve">total </m:t>
              </m:r>
              <m:sSup>
                <m:sSupPr>
                  <m:ctrlPr>
                    <w:rPr>
                      <w:rFonts w:ascii="Cambria Math" w:hAnsi="Cambria Math"/>
                      <w:i/>
                    </w:rPr>
                  </m:ctrlPr>
                </m:sSupPr>
                <m:e>
                  <m:r>
                    <w:rPr>
                      <w:rFonts w:ascii="Cambria Math" w:hAnsi="Cambria Math"/>
                    </w:rPr>
                    <m:t>n</m:t>
                  </m:r>
                </m:e>
                <m:sup>
                  <m:r>
                    <w:rPr>
                      <w:rFonts w:ascii="Cambria Math" w:hAnsi="Cambria Math"/>
                    </w:rPr>
                    <m:t>o</m:t>
                  </m:r>
                </m:sup>
              </m:sSup>
              <m:r>
                <w:rPr>
                  <w:rFonts w:ascii="Cambria Math" w:hAnsi="Cambria Math"/>
                </w:rPr>
                <m:t xml:space="preserve"> mols products formed</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1</m:t>
                  </m:r>
                </m:sub>
              </m:sSub>
            </m:num>
            <m:den>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 xml:space="preserve">4 </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4=</m:t>
                  </m:r>
                </m:sub>
              </m:sSub>
            </m:den>
          </m:f>
        </m:oMath>
      </m:oMathPara>
    </w:p>
    <w:p w14:paraId="4B2FC5D3" w14:textId="77777777" w:rsidR="00BD770F" w:rsidRPr="00131442" w:rsidRDefault="00BD770F" w:rsidP="00C6326D">
      <w:pPr>
        <w:spacing w:line="480" w:lineRule="auto"/>
        <w:jc w:val="both"/>
      </w:pPr>
      <w:r>
        <w:tab/>
        <w:t>In where C</w:t>
      </w:r>
      <w:r w:rsidRPr="00A27E3A">
        <w:rPr>
          <w:vertAlign w:val="subscript"/>
        </w:rPr>
        <w:t>1</w:t>
      </w:r>
      <w:r>
        <w:t>, C</w:t>
      </w:r>
      <w:r w:rsidRPr="00A27E3A">
        <w:rPr>
          <w:vertAlign w:val="subscript"/>
        </w:rPr>
        <w:t>3=</w:t>
      </w:r>
      <w:r>
        <w:t>, C</w:t>
      </w:r>
      <w:r w:rsidRPr="00A27E3A">
        <w:rPr>
          <w:vertAlign w:val="subscript"/>
        </w:rPr>
        <w:t>4=</w:t>
      </w:r>
      <w:r>
        <w:t xml:space="preserve"> and C</w:t>
      </w:r>
      <w:r w:rsidRPr="00A27E3A">
        <w:rPr>
          <w:vertAlign w:val="subscript"/>
        </w:rPr>
        <w:t>4</w:t>
      </w:r>
      <w:r>
        <w:t xml:space="preserve"> is relative to each mol formed in a given reaction. Since C</w:t>
      </w:r>
      <w:r>
        <w:rPr>
          <w:vertAlign w:val="subscript"/>
        </w:rPr>
        <w:t>1</w:t>
      </w:r>
      <w:r>
        <w:t>, C</w:t>
      </w:r>
      <w:r w:rsidRPr="00B10262">
        <w:rPr>
          <w:vertAlign w:val="subscript"/>
        </w:rPr>
        <w:t>3=</w:t>
      </w:r>
      <w:r>
        <w:t xml:space="preserve"> and C</w:t>
      </w:r>
      <w:r w:rsidRPr="00B10262">
        <w:rPr>
          <w:vertAlign w:val="subscript"/>
        </w:rPr>
        <w:t>4=</w:t>
      </w:r>
      <w:r>
        <w:t xml:space="preserve"> are the direct products of protolytic cracking, considering a case in which iC</w:t>
      </w:r>
      <w:r w:rsidRPr="004A26EF">
        <w:rPr>
          <w:vertAlign w:val="subscript"/>
        </w:rPr>
        <w:t>8</w:t>
      </w:r>
      <w:r>
        <w:t xml:space="preserve"> fully undergoes through this reaction path, no H-transfer occurs, and the maximum molar selectivity attributed to C</w:t>
      </w:r>
      <w:r w:rsidRPr="006D2E89">
        <w:rPr>
          <w:vertAlign w:val="subscript"/>
        </w:rPr>
        <w:t>1</w:t>
      </w:r>
      <w:r>
        <w:t xml:space="preserve"> is 33%. As this value lowers, then, it is </w:t>
      </w:r>
      <w:r>
        <w:lastRenderedPageBreak/>
        <w:t>understood that the other reaction pathway going through an iC</w:t>
      </w:r>
      <w:r w:rsidRPr="00590A7D">
        <w:rPr>
          <w:vertAlign w:val="subscript"/>
        </w:rPr>
        <w:t>8</w:t>
      </w:r>
      <w:r>
        <w:t xml:space="preserve"> H-transfer and iC</w:t>
      </w:r>
      <w:r w:rsidRPr="00590A7D">
        <w:rPr>
          <w:vertAlign w:val="subscript"/>
        </w:rPr>
        <w:t>8</w:t>
      </w:r>
      <w:r w:rsidRPr="003606E8">
        <w:rPr>
          <w:vertAlign w:val="superscript"/>
        </w:rPr>
        <w:t>+</w:t>
      </w:r>
      <w:r>
        <w:t xml:space="preserve"> carbenium ion </w:t>
      </w:r>
      <w:r w:rsidRPr="00131442">
        <w:t xml:space="preserve">formation is preferred. </w:t>
      </w:r>
    </w:p>
    <w:p w14:paraId="02C50EE4" w14:textId="026D9B86" w:rsidR="00BD770F" w:rsidRDefault="00BD770F" w:rsidP="00C6326D">
      <w:pPr>
        <w:spacing w:line="480" w:lineRule="auto"/>
        <w:jc w:val="both"/>
      </w:pPr>
      <w:r w:rsidRPr="00131442">
        <w:tab/>
      </w:r>
      <w:r w:rsidRPr="00131442">
        <w:rPr>
          <w:b/>
          <w:bCs/>
        </w:rPr>
        <w:t xml:space="preserve">Figure </w:t>
      </w:r>
      <w:r w:rsidR="001154F4" w:rsidRPr="00131442">
        <w:rPr>
          <w:b/>
          <w:bCs/>
        </w:rPr>
        <w:t>70</w:t>
      </w:r>
      <w:r w:rsidRPr="00131442">
        <w:t xml:space="preserve"> shows C</w:t>
      </w:r>
      <w:r w:rsidRPr="00131442">
        <w:rPr>
          <w:vertAlign w:val="subscript"/>
        </w:rPr>
        <w:t>1</w:t>
      </w:r>
      <w:r>
        <w:t xml:space="preserve"> distribution for the three commercial Y samples as a function of conversion for pulse mode gas-phase reactions. In all catalysts the values found for C</w:t>
      </w:r>
      <w:r w:rsidRPr="008746CD">
        <w:rPr>
          <w:vertAlign w:val="subscript"/>
        </w:rPr>
        <w:t>1</w:t>
      </w:r>
      <w:r>
        <w:t xml:space="preserve"> selectivity were close to the maximum allowed for that C</w:t>
      </w:r>
      <w:r w:rsidRPr="008746CD">
        <w:rPr>
          <w:vertAlign w:val="subscript"/>
        </w:rPr>
        <w:t>1</w:t>
      </w:r>
      <w:r>
        <w:t xml:space="preserve"> molar distribution (~33%), meaning that in the range studied the cracking through an iC</w:t>
      </w:r>
      <w:r w:rsidRPr="004573E3">
        <w:rPr>
          <w:vertAlign w:val="subscript"/>
        </w:rPr>
        <w:t>8</w:t>
      </w:r>
      <w:r w:rsidRPr="004573E3">
        <w:rPr>
          <w:vertAlign w:val="superscript"/>
        </w:rPr>
        <w:t>+</w:t>
      </w:r>
      <w:r>
        <w:t xml:space="preserve"> carbonium ion route is favored. Y2.6 presented the lowest selectivity towards an iC</w:t>
      </w:r>
      <w:r w:rsidRPr="00B364E4">
        <w:rPr>
          <w:vertAlign w:val="subscript"/>
        </w:rPr>
        <w:t>8</w:t>
      </w:r>
      <w:r w:rsidRPr="00B364E4">
        <w:rPr>
          <w:vertAlign w:val="superscript"/>
        </w:rPr>
        <w:t>+</w:t>
      </w:r>
      <w:r>
        <w:t xml:space="preserve"> carbonium ion route. This catalyst has the highest BAS density among the studied faujasite zeolites, as a result, a probability of proximate sites is large and thus suggesting a higher H-transfer rate. </w:t>
      </w:r>
    </w:p>
    <w:p w14:paraId="5CD8EF22" w14:textId="77777777" w:rsidR="00BD770F" w:rsidRDefault="00BD770F" w:rsidP="002C4BF8">
      <w:pPr>
        <w:keepNext/>
        <w:jc w:val="center"/>
      </w:pPr>
      <w:r>
        <w:rPr>
          <w:noProof/>
        </w:rPr>
        <w:drawing>
          <wp:inline distT="0" distB="0" distL="0" distR="0" wp14:anchorId="1254E1FF" wp14:editId="5D6EA96F">
            <wp:extent cx="4389628" cy="2926080"/>
            <wp:effectExtent l="0" t="0" r="0" b="7620"/>
            <wp:docPr id="74" name="Picture 7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Chart, scatter chart&#10;&#10;Description automatically generate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389628" cy="2926080"/>
                    </a:xfrm>
                    <a:prstGeom prst="rect">
                      <a:avLst/>
                    </a:prstGeom>
                    <a:noFill/>
                  </pic:spPr>
                </pic:pic>
              </a:graphicData>
            </a:graphic>
          </wp:inline>
        </w:drawing>
      </w:r>
    </w:p>
    <w:p w14:paraId="095ACEF0" w14:textId="598DF50A" w:rsidR="00BD770F" w:rsidRPr="00704437" w:rsidRDefault="00BD770F" w:rsidP="002C4BF8">
      <w:pPr>
        <w:pStyle w:val="Caption"/>
        <w:jc w:val="both"/>
        <w:rPr>
          <w:i w:val="0"/>
          <w:iCs w:val="0"/>
          <w:color w:val="auto"/>
          <w:sz w:val="24"/>
          <w:szCs w:val="24"/>
        </w:rPr>
      </w:pPr>
      <w:bookmarkStart w:id="132" w:name="_Toc131948734"/>
      <w:r w:rsidRPr="00704437">
        <w:rPr>
          <w:b/>
          <w:bCs/>
          <w:i w:val="0"/>
          <w:iCs w:val="0"/>
          <w:color w:val="auto"/>
          <w:sz w:val="24"/>
          <w:szCs w:val="24"/>
        </w:rPr>
        <w:t xml:space="preserve">Figure </w:t>
      </w:r>
      <w:r w:rsidRPr="00704437">
        <w:rPr>
          <w:b/>
          <w:bCs/>
          <w:i w:val="0"/>
          <w:iCs w:val="0"/>
          <w:color w:val="auto"/>
          <w:sz w:val="24"/>
          <w:szCs w:val="24"/>
        </w:rPr>
        <w:fldChar w:fldCharType="begin"/>
      </w:r>
      <w:r w:rsidRPr="00704437">
        <w:rPr>
          <w:b/>
          <w:bCs/>
          <w:i w:val="0"/>
          <w:iCs w:val="0"/>
          <w:color w:val="auto"/>
          <w:sz w:val="24"/>
          <w:szCs w:val="24"/>
        </w:rPr>
        <w:instrText xml:space="preserve"> SEQ Figure \* ARABIC </w:instrText>
      </w:r>
      <w:r w:rsidRPr="00704437">
        <w:rPr>
          <w:b/>
          <w:bCs/>
          <w:i w:val="0"/>
          <w:iCs w:val="0"/>
          <w:color w:val="auto"/>
          <w:sz w:val="24"/>
          <w:szCs w:val="24"/>
        </w:rPr>
        <w:fldChar w:fldCharType="separate"/>
      </w:r>
      <w:r w:rsidR="001F4741">
        <w:rPr>
          <w:b/>
          <w:bCs/>
          <w:i w:val="0"/>
          <w:iCs w:val="0"/>
          <w:noProof/>
          <w:color w:val="auto"/>
          <w:sz w:val="24"/>
          <w:szCs w:val="24"/>
        </w:rPr>
        <w:t>70</w:t>
      </w:r>
      <w:r w:rsidRPr="00704437">
        <w:rPr>
          <w:b/>
          <w:bCs/>
          <w:i w:val="0"/>
          <w:iCs w:val="0"/>
          <w:color w:val="auto"/>
          <w:sz w:val="24"/>
          <w:szCs w:val="24"/>
        </w:rPr>
        <w:fldChar w:fldCharType="end"/>
      </w:r>
      <w:r w:rsidRPr="00704437">
        <w:rPr>
          <w:b/>
          <w:bCs/>
          <w:i w:val="0"/>
          <w:iCs w:val="0"/>
          <w:color w:val="auto"/>
          <w:sz w:val="24"/>
          <w:szCs w:val="24"/>
        </w:rPr>
        <w:t>:</w:t>
      </w:r>
      <w:r w:rsidRPr="00704437">
        <w:rPr>
          <w:i w:val="0"/>
          <w:iCs w:val="0"/>
          <w:color w:val="auto"/>
          <w:sz w:val="24"/>
          <w:szCs w:val="24"/>
        </w:rPr>
        <w:t xml:space="preserve"> C</w:t>
      </w:r>
      <w:r w:rsidRPr="00704437">
        <w:rPr>
          <w:i w:val="0"/>
          <w:iCs w:val="0"/>
          <w:color w:val="auto"/>
          <w:sz w:val="24"/>
          <w:szCs w:val="24"/>
          <w:vertAlign w:val="subscript"/>
        </w:rPr>
        <w:t>1</w:t>
      </w:r>
      <w:r w:rsidRPr="00704437">
        <w:rPr>
          <w:i w:val="0"/>
          <w:iCs w:val="0"/>
          <w:color w:val="auto"/>
          <w:sz w:val="24"/>
          <w:szCs w:val="24"/>
        </w:rPr>
        <w:t xml:space="preserve"> selectivity as a function of isooctane conversion over zeolite Y2.6, Y15, and Y30 in pulse mode. Reaction conditions: 400 </w:t>
      </w:r>
      <w:r w:rsidRPr="00704437">
        <w:rPr>
          <w:i w:val="0"/>
          <w:iCs w:val="0"/>
          <w:color w:val="auto"/>
          <w:sz w:val="24"/>
          <w:szCs w:val="24"/>
          <w:vertAlign w:val="superscript"/>
        </w:rPr>
        <w:t>o</w:t>
      </w:r>
      <w:r w:rsidRPr="00704437">
        <w:rPr>
          <w:i w:val="0"/>
          <w:iCs w:val="0"/>
          <w:color w:val="auto"/>
          <w:sz w:val="24"/>
          <w:szCs w:val="24"/>
        </w:rPr>
        <w:t>C, 0.5 mL of reactant injected per hour, 100 mL/min of N</w:t>
      </w:r>
      <w:r w:rsidRPr="00704437">
        <w:rPr>
          <w:i w:val="0"/>
          <w:iCs w:val="0"/>
          <w:color w:val="auto"/>
          <w:sz w:val="24"/>
          <w:szCs w:val="24"/>
          <w:vertAlign w:val="subscript"/>
        </w:rPr>
        <w:t>2</w:t>
      </w:r>
      <w:r w:rsidRPr="00704437">
        <w:rPr>
          <w:i w:val="0"/>
          <w:iCs w:val="0"/>
          <w:color w:val="auto"/>
          <w:sz w:val="24"/>
          <w:szCs w:val="24"/>
        </w:rPr>
        <w:t xml:space="preserve"> inert flow. Pretreatment under N</w:t>
      </w:r>
      <w:r w:rsidRPr="00704437">
        <w:rPr>
          <w:i w:val="0"/>
          <w:iCs w:val="0"/>
          <w:color w:val="auto"/>
          <w:sz w:val="24"/>
          <w:szCs w:val="24"/>
          <w:vertAlign w:val="subscript"/>
        </w:rPr>
        <w:t>2</w:t>
      </w:r>
      <w:r w:rsidRPr="00704437">
        <w:rPr>
          <w:i w:val="0"/>
          <w:iCs w:val="0"/>
          <w:color w:val="auto"/>
          <w:sz w:val="24"/>
          <w:szCs w:val="24"/>
        </w:rPr>
        <w:t xml:space="preserve"> at 300 </w:t>
      </w:r>
      <w:r w:rsidRPr="00704437">
        <w:rPr>
          <w:i w:val="0"/>
          <w:iCs w:val="0"/>
          <w:color w:val="auto"/>
          <w:sz w:val="24"/>
          <w:szCs w:val="24"/>
          <w:vertAlign w:val="superscript"/>
        </w:rPr>
        <w:t>o</w:t>
      </w:r>
      <w:r w:rsidRPr="00704437">
        <w:rPr>
          <w:i w:val="0"/>
          <w:iCs w:val="0"/>
          <w:color w:val="auto"/>
          <w:sz w:val="24"/>
          <w:szCs w:val="24"/>
        </w:rPr>
        <w:t>C for 2 hours prior injection.</w:t>
      </w:r>
      <w:bookmarkEnd w:id="132"/>
    </w:p>
    <w:p w14:paraId="7BC180A9" w14:textId="6B7C20E5" w:rsidR="00BD770F" w:rsidRDefault="00BD770F" w:rsidP="00C6326D">
      <w:pPr>
        <w:spacing w:line="480" w:lineRule="auto"/>
        <w:jc w:val="both"/>
      </w:pPr>
      <w:r>
        <w:rPr>
          <w:rFonts w:eastAsiaTheme="minorEastAsia"/>
        </w:rPr>
        <w:tab/>
      </w:r>
      <w:r>
        <w:t>At low conversions the two mesoporous zeolites Y15 and Y30 performs somehow identically, but as conversion increases Y15 shifts towards lowering C</w:t>
      </w:r>
      <w:r w:rsidRPr="00661C57">
        <w:rPr>
          <w:vertAlign w:val="subscript"/>
        </w:rPr>
        <w:t>1</w:t>
      </w:r>
      <w:r>
        <w:t xml:space="preserve"> selectivity. </w:t>
      </w:r>
      <w:r w:rsidR="003D2812">
        <w:t xml:space="preserve">The </w:t>
      </w:r>
      <w:r w:rsidR="004C2D3E">
        <w:t>higher</w:t>
      </w:r>
      <w:r w:rsidR="003D2812">
        <w:t xml:space="preserve"> BAS density in Y15 facilitates C</w:t>
      </w:r>
      <w:r w:rsidR="003D2812" w:rsidRPr="00223413">
        <w:rPr>
          <w:vertAlign w:val="subscript"/>
        </w:rPr>
        <w:t>4=</w:t>
      </w:r>
      <w:r w:rsidR="003D2812">
        <w:t xml:space="preserve"> re</w:t>
      </w:r>
      <w:r w:rsidR="00223413">
        <w:t>-</w:t>
      </w:r>
      <w:r w:rsidR="003D2812">
        <w:t>adsorption and formation of a C</w:t>
      </w:r>
      <w:r w:rsidR="003D2812" w:rsidRPr="00223413">
        <w:rPr>
          <w:vertAlign w:val="subscript"/>
        </w:rPr>
        <w:t>4</w:t>
      </w:r>
      <w:r w:rsidR="003D2812" w:rsidRPr="00223413">
        <w:rPr>
          <w:vertAlign w:val="superscript"/>
        </w:rPr>
        <w:t>+</w:t>
      </w:r>
      <w:r w:rsidR="003D2812">
        <w:t xml:space="preserve"> carbenium ion, in which at higher local concentrations of iC</w:t>
      </w:r>
      <w:r w:rsidR="003D2812" w:rsidRPr="00223413">
        <w:rPr>
          <w:vertAlign w:val="subscript"/>
        </w:rPr>
        <w:t>8</w:t>
      </w:r>
      <w:r w:rsidR="003D2812">
        <w:t xml:space="preserve"> </w:t>
      </w:r>
      <w:r w:rsidR="00223413">
        <w:t>increases the H-transfer rates</w:t>
      </w:r>
      <w:r w:rsidR="0008032F">
        <w:t xml:space="preserve">, </w:t>
      </w:r>
      <w:r>
        <w:t xml:space="preserve">and as </w:t>
      </w:r>
      <w:r>
        <w:lastRenderedPageBreak/>
        <w:t xml:space="preserve">conversion progresses </w:t>
      </w:r>
      <w:r w:rsidR="004C2D3E">
        <w:t>this difference is enlarged</w:t>
      </w:r>
      <w:r>
        <w:t>. Again, the presumption of a higher concentration of pair-sites enhances the chances of H-transfer from an iC</w:t>
      </w:r>
      <w:r w:rsidRPr="00E54A47">
        <w:rPr>
          <w:vertAlign w:val="subscript"/>
        </w:rPr>
        <w:t>8</w:t>
      </w:r>
      <w:r>
        <w:t xml:space="preserve"> to nearby H- receptor specie (C</w:t>
      </w:r>
      <w:r w:rsidRPr="00E54A47">
        <w:rPr>
          <w:vertAlign w:val="subscript"/>
        </w:rPr>
        <w:t>4</w:t>
      </w:r>
      <w:r w:rsidRPr="00E54A47">
        <w:rPr>
          <w:vertAlign w:val="superscript"/>
        </w:rPr>
        <w:t>+</w:t>
      </w:r>
      <w:r w:rsidRPr="00CA418D">
        <w:t>)</w:t>
      </w:r>
      <w:r>
        <w:t>.</w:t>
      </w:r>
    </w:p>
    <w:p w14:paraId="4971CB6E" w14:textId="2D6A69A8" w:rsidR="00BD770F" w:rsidRDefault="00343600" w:rsidP="00C6326D">
      <w:pPr>
        <w:spacing w:line="480" w:lineRule="auto"/>
        <w:jc w:val="both"/>
      </w:pPr>
      <w:r>
        <w:tab/>
      </w:r>
      <w:r w:rsidR="00BD770F">
        <w:t xml:space="preserve">Gas-phase reactions in pulse mode are characterized for lower concentrations </w:t>
      </w:r>
      <w:r w:rsidR="004F3CE6">
        <w:t>of H-donor specie</w:t>
      </w:r>
      <w:r>
        <w:t>s</w:t>
      </w:r>
      <w:r w:rsidR="004F3CE6">
        <w:t xml:space="preserve"> </w:t>
      </w:r>
      <w:r w:rsidR="00BD770F">
        <w:t xml:space="preserve">in the catalyst volume due to </w:t>
      </w:r>
      <w:r w:rsidR="00BD770F" w:rsidRPr="00E02326">
        <w:t>intermittent injection of the reactant gas</w:t>
      </w:r>
      <w:r w:rsidR="00AA683E">
        <w:t>es</w:t>
      </w:r>
      <w:r w:rsidR="00BD770F">
        <w:t xml:space="preserve"> to the reactor bed, whereas in flow mode a constant and continuous feeding of iC</w:t>
      </w:r>
      <w:r w:rsidR="00BD770F" w:rsidRPr="00CA67DC">
        <w:rPr>
          <w:vertAlign w:val="subscript"/>
        </w:rPr>
        <w:t>8</w:t>
      </w:r>
      <w:r w:rsidR="00BD770F">
        <w:t xml:space="preserve"> occurs and happens to increase these H-donor species around the site, theoretically favoring the </w:t>
      </w:r>
      <w:r w:rsidR="00DB70D7">
        <w:t xml:space="preserve">probability of </w:t>
      </w:r>
      <w:r w:rsidR="00BD770F">
        <w:t xml:space="preserve">H-transfer. </w:t>
      </w:r>
      <w:r w:rsidR="00DB70D7">
        <w:t>O</w:t>
      </w:r>
      <w:r w:rsidR="00BD770F">
        <w:t>nce C</w:t>
      </w:r>
      <w:r w:rsidR="00BD770F" w:rsidRPr="007E66A0">
        <w:rPr>
          <w:vertAlign w:val="subscript"/>
        </w:rPr>
        <w:t>4</w:t>
      </w:r>
      <w:r w:rsidR="00BD770F">
        <w:t xml:space="preserve"> paraffin is a direct product of the discussed iC</w:t>
      </w:r>
      <w:r w:rsidR="00BD770F" w:rsidRPr="007E66A0">
        <w:rPr>
          <w:vertAlign w:val="subscript"/>
        </w:rPr>
        <w:t>8</w:t>
      </w:r>
      <w:r w:rsidR="00BD770F" w:rsidRPr="007E66A0">
        <w:rPr>
          <w:vertAlign w:val="superscript"/>
        </w:rPr>
        <w:t>+</w:t>
      </w:r>
      <w:r w:rsidR="00BD770F">
        <w:t xml:space="preserve"> carbenium ion route through proton transfer</w:t>
      </w:r>
      <w:r w:rsidR="00DB70D7">
        <w:t>,</w:t>
      </w:r>
      <w:r w:rsidR="00BD770F">
        <w:t xml:space="preserve"> by tracking its amount obtained in a specific case, one is able to discern </w:t>
      </w:r>
      <w:r w:rsidR="00DB70D7">
        <w:t>the</w:t>
      </w:r>
      <w:r w:rsidR="00BD770F">
        <w:t xml:space="preserve"> reaction pathway preference</w:t>
      </w:r>
      <w:r w:rsidR="00DB70D7">
        <w:t>s</w:t>
      </w:r>
      <w:r w:rsidR="00BD770F">
        <w:t>. For this, a C</w:t>
      </w:r>
      <w:r w:rsidR="00BD770F" w:rsidRPr="00666B64">
        <w:rPr>
          <w:vertAlign w:val="subscript"/>
        </w:rPr>
        <w:t>4</w:t>
      </w:r>
      <w:r w:rsidR="00BD770F">
        <w:t>/C</w:t>
      </w:r>
      <w:r w:rsidR="00BD770F" w:rsidRPr="00666B64">
        <w:rPr>
          <w:vertAlign w:val="subscript"/>
        </w:rPr>
        <w:t>4=</w:t>
      </w:r>
      <w:r w:rsidR="00BD770F">
        <w:t xml:space="preserve"> ratio </w:t>
      </w:r>
      <w:r w:rsidR="004539ED">
        <w:t>was</w:t>
      </w:r>
      <w:r w:rsidR="00BD770F">
        <w:t xml:space="preserve"> investigated. </w:t>
      </w:r>
      <w:r w:rsidR="00BD770F" w:rsidRPr="00B45F3A">
        <w:t>Th</w:t>
      </w:r>
      <w:r w:rsidR="00BD770F">
        <w:t>is</w:t>
      </w:r>
      <w:r w:rsidR="00BD770F" w:rsidRPr="00B45F3A">
        <w:t xml:space="preserve"> ratio ranges from 0 to 1, with 0 indicating that no H-transfer is occurring and iC</w:t>
      </w:r>
      <w:r w:rsidR="00BD770F" w:rsidRPr="00B45F3A">
        <w:rPr>
          <w:vertAlign w:val="subscript"/>
        </w:rPr>
        <w:t>8</w:t>
      </w:r>
      <w:r w:rsidR="00BD770F" w:rsidRPr="00B45F3A">
        <w:t xml:space="preserve"> is solely undergoing protolytic cracking, and 1 indicating that for every C</w:t>
      </w:r>
      <w:r w:rsidR="00BD770F" w:rsidRPr="00B45F3A">
        <w:rPr>
          <w:vertAlign w:val="subscript"/>
        </w:rPr>
        <w:t>4</w:t>
      </w:r>
      <w:r w:rsidR="00BD770F" w:rsidRPr="00B45F3A">
        <w:t xml:space="preserve"> paraffin produced, an equivalent C</w:t>
      </w:r>
      <w:r w:rsidR="00BD770F" w:rsidRPr="00B45F3A">
        <w:rPr>
          <w:vertAlign w:val="subscript"/>
        </w:rPr>
        <w:t>4</w:t>
      </w:r>
      <w:r w:rsidR="00BD770F" w:rsidRPr="00B45F3A">
        <w:t xml:space="preserve"> olefin is also produced, matching the product stoichiometry of this reaction pathway. It is assumed that there is no re-adsorption of the C</w:t>
      </w:r>
      <w:r w:rsidR="00BD770F" w:rsidRPr="00B45F3A">
        <w:rPr>
          <w:vertAlign w:val="subscript"/>
        </w:rPr>
        <w:t>4=</w:t>
      </w:r>
      <w:r w:rsidR="00BD770F" w:rsidRPr="00B45F3A">
        <w:t xml:space="preserve"> olefin, which could lead to a higher concentration of the C</w:t>
      </w:r>
      <w:r w:rsidR="00BD770F" w:rsidRPr="00B45F3A">
        <w:rPr>
          <w:vertAlign w:val="subscript"/>
        </w:rPr>
        <w:t>4</w:t>
      </w:r>
      <w:r w:rsidR="00BD770F" w:rsidRPr="00B45F3A">
        <w:rPr>
          <w:vertAlign w:val="superscript"/>
        </w:rPr>
        <w:t>+</w:t>
      </w:r>
      <w:r w:rsidR="00BD770F" w:rsidRPr="00B45F3A">
        <w:t xml:space="preserve"> specie</w:t>
      </w:r>
      <w:r w:rsidR="0090389A">
        <w:t xml:space="preserve">s </w:t>
      </w:r>
      <w:r w:rsidR="00BD770F" w:rsidRPr="00B45F3A">
        <w:t xml:space="preserve">necessary for the H-transfer mechanism. This intermediate is believed to exist solely due to </w:t>
      </w:r>
      <w:r w:rsidR="00BD770F" w:rsidRPr="00131442">
        <w:t>subsequent iC</w:t>
      </w:r>
      <w:r w:rsidR="00BD770F" w:rsidRPr="00131442">
        <w:rPr>
          <w:vertAlign w:val="subscript"/>
        </w:rPr>
        <w:t>8</w:t>
      </w:r>
      <w:r w:rsidR="00BD770F" w:rsidRPr="00131442">
        <w:rPr>
          <w:vertAlign w:val="superscript"/>
        </w:rPr>
        <w:t>+</w:t>
      </w:r>
      <w:r w:rsidR="00BD770F" w:rsidRPr="00131442">
        <w:t xml:space="preserve"> C-C cleavage. The results for the C</w:t>
      </w:r>
      <w:r w:rsidR="00BD770F" w:rsidRPr="00131442">
        <w:rPr>
          <w:vertAlign w:val="subscript"/>
        </w:rPr>
        <w:t>4</w:t>
      </w:r>
      <w:r w:rsidR="00BD770F" w:rsidRPr="00131442">
        <w:t>/C</w:t>
      </w:r>
      <w:r w:rsidR="00BD770F" w:rsidRPr="00131442">
        <w:rPr>
          <w:vertAlign w:val="subscript"/>
        </w:rPr>
        <w:t>4=</w:t>
      </w:r>
      <w:r w:rsidR="00BD770F" w:rsidRPr="00131442">
        <w:t xml:space="preserve"> ratio can be found in </w:t>
      </w:r>
      <w:r w:rsidR="00BD770F" w:rsidRPr="00131442">
        <w:rPr>
          <w:b/>
          <w:bCs/>
        </w:rPr>
        <w:t xml:space="preserve">Figure </w:t>
      </w:r>
      <w:r w:rsidR="001154F4" w:rsidRPr="00131442">
        <w:rPr>
          <w:b/>
          <w:bCs/>
        </w:rPr>
        <w:t>71</w:t>
      </w:r>
      <w:r w:rsidR="00BD770F" w:rsidRPr="00131442">
        <w:t xml:space="preserve"> for all the three</w:t>
      </w:r>
      <w:r w:rsidR="00BD770F">
        <w:t xml:space="preserve"> catalysts at low conversion runs.</w:t>
      </w:r>
    </w:p>
    <w:p w14:paraId="2D961480" w14:textId="77777777" w:rsidR="00BD770F" w:rsidRDefault="00BD770F" w:rsidP="002C4BF8">
      <w:pPr>
        <w:keepNext/>
        <w:jc w:val="center"/>
      </w:pPr>
      <w:r>
        <w:rPr>
          <w:noProof/>
        </w:rPr>
        <w:lastRenderedPageBreak/>
        <w:drawing>
          <wp:inline distT="0" distB="0" distL="0" distR="0" wp14:anchorId="7966F132" wp14:editId="68EB6632">
            <wp:extent cx="5467732" cy="1828800"/>
            <wp:effectExtent l="0" t="0" r="0" b="0"/>
            <wp:docPr id="75" name="Picture 7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Chart, scatter chart&#10;&#10;Description automatically generated"/>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467732" cy="1828800"/>
                    </a:xfrm>
                    <a:prstGeom prst="rect">
                      <a:avLst/>
                    </a:prstGeom>
                    <a:noFill/>
                  </pic:spPr>
                </pic:pic>
              </a:graphicData>
            </a:graphic>
          </wp:inline>
        </w:drawing>
      </w:r>
    </w:p>
    <w:p w14:paraId="719D4EA9" w14:textId="0CAB93CF" w:rsidR="00BD770F" w:rsidRPr="00704437" w:rsidRDefault="00BD770F" w:rsidP="002C4BF8">
      <w:pPr>
        <w:pStyle w:val="Caption"/>
        <w:jc w:val="both"/>
        <w:rPr>
          <w:i w:val="0"/>
          <w:iCs w:val="0"/>
          <w:color w:val="auto"/>
          <w:sz w:val="24"/>
          <w:szCs w:val="24"/>
        </w:rPr>
      </w:pPr>
      <w:bookmarkStart w:id="133" w:name="_Toc131948735"/>
      <w:r w:rsidRPr="00704437">
        <w:rPr>
          <w:b/>
          <w:bCs/>
          <w:i w:val="0"/>
          <w:iCs w:val="0"/>
          <w:color w:val="auto"/>
          <w:sz w:val="24"/>
          <w:szCs w:val="24"/>
        </w:rPr>
        <w:t xml:space="preserve">Figure </w:t>
      </w:r>
      <w:r w:rsidRPr="00704437">
        <w:rPr>
          <w:b/>
          <w:bCs/>
          <w:i w:val="0"/>
          <w:iCs w:val="0"/>
          <w:color w:val="auto"/>
          <w:sz w:val="24"/>
          <w:szCs w:val="24"/>
        </w:rPr>
        <w:fldChar w:fldCharType="begin"/>
      </w:r>
      <w:r w:rsidRPr="00704437">
        <w:rPr>
          <w:b/>
          <w:bCs/>
          <w:i w:val="0"/>
          <w:iCs w:val="0"/>
          <w:color w:val="auto"/>
          <w:sz w:val="24"/>
          <w:szCs w:val="24"/>
        </w:rPr>
        <w:instrText xml:space="preserve"> SEQ Figure \* ARABIC </w:instrText>
      </w:r>
      <w:r w:rsidRPr="00704437">
        <w:rPr>
          <w:b/>
          <w:bCs/>
          <w:i w:val="0"/>
          <w:iCs w:val="0"/>
          <w:color w:val="auto"/>
          <w:sz w:val="24"/>
          <w:szCs w:val="24"/>
        </w:rPr>
        <w:fldChar w:fldCharType="separate"/>
      </w:r>
      <w:r w:rsidR="001F4741">
        <w:rPr>
          <w:b/>
          <w:bCs/>
          <w:i w:val="0"/>
          <w:iCs w:val="0"/>
          <w:noProof/>
          <w:color w:val="auto"/>
          <w:sz w:val="24"/>
          <w:szCs w:val="24"/>
        </w:rPr>
        <w:t>71</w:t>
      </w:r>
      <w:r w:rsidRPr="00704437">
        <w:rPr>
          <w:b/>
          <w:bCs/>
          <w:i w:val="0"/>
          <w:iCs w:val="0"/>
          <w:color w:val="auto"/>
          <w:sz w:val="24"/>
          <w:szCs w:val="24"/>
        </w:rPr>
        <w:fldChar w:fldCharType="end"/>
      </w:r>
      <w:r w:rsidRPr="00704437">
        <w:rPr>
          <w:b/>
          <w:bCs/>
          <w:i w:val="0"/>
          <w:iCs w:val="0"/>
          <w:color w:val="auto"/>
          <w:sz w:val="24"/>
          <w:szCs w:val="24"/>
        </w:rPr>
        <w:t>:</w:t>
      </w:r>
      <w:r w:rsidRPr="00704437">
        <w:rPr>
          <w:i w:val="0"/>
          <w:iCs w:val="0"/>
          <w:color w:val="auto"/>
          <w:sz w:val="24"/>
          <w:szCs w:val="24"/>
        </w:rPr>
        <w:t xml:space="preserve"> H-transfer ratio at low isooctane conversions over zeolite Y2.6, Y15, and Y30. Reaction conditions: 400 </w:t>
      </w:r>
      <w:r w:rsidRPr="00704437">
        <w:rPr>
          <w:i w:val="0"/>
          <w:iCs w:val="0"/>
          <w:color w:val="auto"/>
          <w:sz w:val="24"/>
          <w:szCs w:val="24"/>
          <w:vertAlign w:val="superscript"/>
        </w:rPr>
        <w:t>o</w:t>
      </w:r>
      <w:r w:rsidRPr="00704437">
        <w:rPr>
          <w:i w:val="0"/>
          <w:iCs w:val="0"/>
          <w:color w:val="auto"/>
          <w:sz w:val="24"/>
          <w:szCs w:val="24"/>
        </w:rPr>
        <w:t>C, 0.5 mL of reactant injected per hour, 100 mL/min of N</w:t>
      </w:r>
      <w:r w:rsidRPr="00704437">
        <w:rPr>
          <w:i w:val="0"/>
          <w:iCs w:val="0"/>
          <w:color w:val="auto"/>
          <w:sz w:val="24"/>
          <w:szCs w:val="24"/>
          <w:vertAlign w:val="subscript"/>
        </w:rPr>
        <w:t>2</w:t>
      </w:r>
      <w:r w:rsidRPr="00704437">
        <w:rPr>
          <w:i w:val="0"/>
          <w:iCs w:val="0"/>
          <w:color w:val="auto"/>
          <w:sz w:val="24"/>
          <w:szCs w:val="24"/>
        </w:rPr>
        <w:t xml:space="preserve"> inert flow. Pretreatment under N</w:t>
      </w:r>
      <w:r w:rsidRPr="00704437">
        <w:rPr>
          <w:i w:val="0"/>
          <w:iCs w:val="0"/>
          <w:color w:val="auto"/>
          <w:sz w:val="24"/>
          <w:szCs w:val="24"/>
          <w:vertAlign w:val="subscript"/>
        </w:rPr>
        <w:t>2</w:t>
      </w:r>
      <w:r w:rsidRPr="00704437">
        <w:rPr>
          <w:i w:val="0"/>
          <w:iCs w:val="0"/>
          <w:color w:val="auto"/>
          <w:sz w:val="24"/>
          <w:szCs w:val="24"/>
        </w:rPr>
        <w:t xml:space="preserve"> at 300 </w:t>
      </w:r>
      <w:r w:rsidRPr="00704437">
        <w:rPr>
          <w:i w:val="0"/>
          <w:iCs w:val="0"/>
          <w:color w:val="auto"/>
          <w:sz w:val="24"/>
          <w:szCs w:val="24"/>
          <w:vertAlign w:val="superscript"/>
        </w:rPr>
        <w:t>o</w:t>
      </w:r>
      <w:r w:rsidRPr="00704437">
        <w:rPr>
          <w:i w:val="0"/>
          <w:iCs w:val="0"/>
          <w:color w:val="auto"/>
          <w:sz w:val="24"/>
          <w:szCs w:val="24"/>
        </w:rPr>
        <w:t>C for 2 hours prior injection.</w:t>
      </w:r>
      <w:bookmarkEnd w:id="133"/>
    </w:p>
    <w:p w14:paraId="3ADF9345" w14:textId="77777777" w:rsidR="00BD770F" w:rsidRDefault="00BD770F" w:rsidP="00C6326D">
      <w:pPr>
        <w:spacing w:line="480" w:lineRule="auto"/>
        <w:jc w:val="both"/>
      </w:pPr>
      <w:r>
        <w:t xml:space="preserve"> </w:t>
      </w:r>
      <w:r>
        <w:tab/>
        <w:t>Through the results it is evident an increase in H-transfer as flow mode is used. The previous assumption in regards of a higher local presence of a H-donor molecule in flow modes is valid and it seems that in this reaction mode all the three catalysts similarly behave. A possible explanation goes for the higher coverage of iC</w:t>
      </w:r>
      <w:r w:rsidRPr="00030DB2">
        <w:rPr>
          <w:vertAlign w:val="subscript"/>
        </w:rPr>
        <w:t>8</w:t>
      </w:r>
      <w:r>
        <w:t xml:space="preserve"> in flow modes causing the acid sites to perform individually besides the proximity or either that not necessarily this transfer is occurring with an adsorbed iC</w:t>
      </w:r>
      <w:r w:rsidRPr="004E59F1">
        <w:rPr>
          <w:vertAlign w:val="subscript"/>
        </w:rPr>
        <w:t>8</w:t>
      </w:r>
      <w:r>
        <w:t>, but actually from a nearby molecule in the bulk phase instead.</w:t>
      </w:r>
    </w:p>
    <w:p w14:paraId="6A0E9F3D" w14:textId="77777777" w:rsidR="00454844" w:rsidRDefault="00454844" w:rsidP="00C6326D">
      <w:pPr>
        <w:spacing w:line="480" w:lineRule="auto"/>
        <w:jc w:val="both"/>
      </w:pPr>
    </w:p>
    <w:p w14:paraId="2E218ADF" w14:textId="77777777" w:rsidR="00BD770F" w:rsidRPr="008968F0" w:rsidRDefault="00BD770F" w:rsidP="000C5292">
      <w:pPr>
        <w:pStyle w:val="Heading3"/>
        <w:rPr>
          <w:u w:val="single"/>
        </w:rPr>
      </w:pPr>
      <w:bookmarkStart w:id="134" w:name="_Toc132924220"/>
      <w:r w:rsidRPr="008968F0">
        <w:rPr>
          <w:u w:val="single"/>
        </w:rPr>
        <w:t>4.3.3 Na-Titration over Commercial Zeolite Y</w:t>
      </w:r>
      <w:bookmarkEnd w:id="134"/>
      <w:r w:rsidRPr="008968F0">
        <w:rPr>
          <w:u w:val="single"/>
        </w:rPr>
        <w:t xml:space="preserve"> </w:t>
      </w:r>
    </w:p>
    <w:p w14:paraId="47214D2A" w14:textId="3106F4AC" w:rsidR="00C6326D" w:rsidRDefault="00BD770F" w:rsidP="00C6326D">
      <w:pPr>
        <w:spacing w:line="480" w:lineRule="auto"/>
        <w:jc w:val="both"/>
      </w:pPr>
      <w:r w:rsidRPr="00D8110E">
        <w:tab/>
      </w:r>
      <w:r w:rsidRPr="00960443">
        <w:t xml:space="preserve">The presence of MTL </w:t>
      </w:r>
      <w:r w:rsidR="00281FA0">
        <w:t xml:space="preserve">is investigated for the three studied </w:t>
      </w:r>
      <w:r w:rsidR="00B13295">
        <w:t xml:space="preserve">zeolites Y. </w:t>
      </w:r>
      <w:r>
        <w:t xml:space="preserve">For each </w:t>
      </w:r>
      <w:r w:rsidR="00C855E5">
        <w:t xml:space="preserve">catalyst </w:t>
      </w:r>
      <w:r>
        <w:t xml:space="preserve">four Na-samples </w:t>
      </w:r>
      <w:r w:rsidR="00C855E5">
        <w:t>were</w:t>
      </w:r>
      <w:r>
        <w:t xml:space="preserve"> prepared and the results are discussed below.</w:t>
      </w:r>
    </w:p>
    <w:p w14:paraId="4597210E" w14:textId="6F06FFC4" w:rsidR="00BD770F" w:rsidRDefault="00BD770F" w:rsidP="00C6326D">
      <w:pPr>
        <w:pStyle w:val="ListParagraph"/>
        <w:spacing w:line="480" w:lineRule="auto"/>
        <w:jc w:val="both"/>
      </w:pPr>
      <w:r>
        <w:rPr>
          <w:i/>
          <w:iCs/>
          <w:u w:val="single"/>
        </w:rPr>
        <w:t>Y</w:t>
      </w:r>
      <w:r w:rsidRPr="00DA1436">
        <w:rPr>
          <w:i/>
          <w:iCs/>
          <w:u w:val="single"/>
        </w:rPr>
        <w:t xml:space="preserve"> (Si/Al </w:t>
      </w:r>
      <w:r>
        <w:rPr>
          <w:i/>
          <w:iCs/>
          <w:u w:val="single"/>
        </w:rPr>
        <w:t>2.6</w:t>
      </w:r>
      <w:r w:rsidRPr="00DA1436">
        <w:rPr>
          <w:i/>
          <w:iCs/>
          <w:u w:val="single"/>
        </w:rPr>
        <w:t>) zeolite</w:t>
      </w:r>
      <w:r w:rsidRPr="00131442">
        <w:rPr>
          <w:i/>
          <w:iCs/>
        </w:rPr>
        <w:t xml:space="preserve">:  </w:t>
      </w:r>
      <w:r w:rsidRPr="00131442">
        <w:rPr>
          <w:b/>
          <w:bCs/>
        </w:rPr>
        <w:t xml:space="preserve">Figure </w:t>
      </w:r>
      <w:r w:rsidR="001154F4" w:rsidRPr="00131442">
        <w:rPr>
          <w:b/>
          <w:bCs/>
        </w:rPr>
        <w:t>72</w:t>
      </w:r>
      <w:r w:rsidRPr="00131442">
        <w:t xml:space="preserve"> compares</w:t>
      </w:r>
      <w:r w:rsidRPr="00DA1436">
        <w:t xml:space="preserve"> experimental </w:t>
      </w:r>
      <w:r>
        <w:t xml:space="preserve">gas-phase pulse mode cracking reactions </w:t>
      </w:r>
      <w:r w:rsidRPr="00DA1436">
        <w:t xml:space="preserve">of </w:t>
      </w:r>
      <w:r>
        <w:t xml:space="preserve">isooctane </w:t>
      </w:r>
      <w:r w:rsidRPr="00DA1436">
        <w:t xml:space="preserve">on </w:t>
      </w:r>
      <w:r>
        <w:t>Y2.6</w:t>
      </w:r>
      <w:r w:rsidRPr="00DA1436">
        <w:t xml:space="preserve"> with varying Na</w:t>
      </w:r>
      <w:r>
        <w:t>-</w:t>
      </w:r>
      <w:r w:rsidRPr="00DA1436">
        <w:t>loading</w:t>
      </w:r>
      <w:r>
        <w:t>s</w:t>
      </w:r>
      <w:r w:rsidRPr="00DA1436">
        <w:t xml:space="preserve">, </w:t>
      </w:r>
      <w:r>
        <w:t xml:space="preserve">at a reaction temperature of 400 </w:t>
      </w:r>
      <w:r w:rsidRPr="00F61EF8">
        <w:rPr>
          <w:vertAlign w:val="superscript"/>
        </w:rPr>
        <w:t>o</w:t>
      </w:r>
      <w:r>
        <w:t>C and feeding rate of 0.5 mL/hr of pure reactant under a N</w:t>
      </w:r>
      <w:r w:rsidRPr="00CE3C4A">
        <w:rPr>
          <w:vertAlign w:val="subscript"/>
        </w:rPr>
        <w:t>2</w:t>
      </w:r>
      <w:r>
        <w:t xml:space="preserve"> gas stream of 100 mL/min. Such reaction conditions are maintained throughout the whole Na-titration experiments. </w:t>
      </w:r>
    </w:p>
    <w:p w14:paraId="7D8D48E5" w14:textId="77777777" w:rsidR="00BD770F" w:rsidRDefault="00BD770F" w:rsidP="002C4BF8">
      <w:pPr>
        <w:pStyle w:val="ListParagraph"/>
        <w:keepNext/>
        <w:jc w:val="center"/>
      </w:pPr>
      <w:r>
        <w:rPr>
          <w:noProof/>
        </w:rPr>
        <w:lastRenderedPageBreak/>
        <w:drawing>
          <wp:inline distT="0" distB="0" distL="0" distR="0" wp14:anchorId="1B09DD74" wp14:editId="2A974AE8">
            <wp:extent cx="3943078" cy="2743200"/>
            <wp:effectExtent l="0" t="0" r="635" b="0"/>
            <wp:docPr id="76" name="Picture 7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Chart, scatter chart&#10;&#10;Description automatically generated"/>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943078" cy="2743200"/>
                    </a:xfrm>
                    <a:prstGeom prst="rect">
                      <a:avLst/>
                    </a:prstGeom>
                    <a:noFill/>
                  </pic:spPr>
                </pic:pic>
              </a:graphicData>
            </a:graphic>
          </wp:inline>
        </w:drawing>
      </w:r>
    </w:p>
    <w:p w14:paraId="5C2DF803" w14:textId="04B2E49E" w:rsidR="00C6326D" w:rsidRDefault="00BD770F" w:rsidP="002C4BF8">
      <w:pPr>
        <w:pStyle w:val="Caption"/>
        <w:ind w:left="720"/>
        <w:jc w:val="both"/>
        <w:rPr>
          <w:i w:val="0"/>
          <w:iCs w:val="0"/>
          <w:color w:val="auto"/>
          <w:sz w:val="24"/>
          <w:szCs w:val="24"/>
        </w:rPr>
      </w:pPr>
      <w:bookmarkStart w:id="135" w:name="_Toc131948736"/>
      <w:r w:rsidRPr="00704437">
        <w:rPr>
          <w:b/>
          <w:bCs/>
          <w:i w:val="0"/>
          <w:iCs w:val="0"/>
          <w:color w:val="auto"/>
          <w:sz w:val="24"/>
          <w:szCs w:val="24"/>
        </w:rPr>
        <w:t xml:space="preserve">Figure </w:t>
      </w:r>
      <w:r w:rsidRPr="00704437">
        <w:rPr>
          <w:b/>
          <w:bCs/>
          <w:i w:val="0"/>
          <w:iCs w:val="0"/>
          <w:color w:val="auto"/>
          <w:sz w:val="24"/>
          <w:szCs w:val="24"/>
        </w:rPr>
        <w:fldChar w:fldCharType="begin"/>
      </w:r>
      <w:r w:rsidRPr="00704437">
        <w:rPr>
          <w:b/>
          <w:bCs/>
          <w:i w:val="0"/>
          <w:iCs w:val="0"/>
          <w:color w:val="auto"/>
          <w:sz w:val="24"/>
          <w:szCs w:val="24"/>
        </w:rPr>
        <w:instrText xml:space="preserve"> SEQ Figure \* ARABIC </w:instrText>
      </w:r>
      <w:r w:rsidRPr="00704437">
        <w:rPr>
          <w:b/>
          <w:bCs/>
          <w:i w:val="0"/>
          <w:iCs w:val="0"/>
          <w:color w:val="auto"/>
          <w:sz w:val="24"/>
          <w:szCs w:val="24"/>
        </w:rPr>
        <w:fldChar w:fldCharType="separate"/>
      </w:r>
      <w:r w:rsidR="001F4741">
        <w:rPr>
          <w:b/>
          <w:bCs/>
          <w:i w:val="0"/>
          <w:iCs w:val="0"/>
          <w:noProof/>
          <w:color w:val="auto"/>
          <w:sz w:val="24"/>
          <w:szCs w:val="24"/>
        </w:rPr>
        <w:t>72</w:t>
      </w:r>
      <w:r w:rsidRPr="00704437">
        <w:rPr>
          <w:b/>
          <w:bCs/>
          <w:i w:val="0"/>
          <w:iCs w:val="0"/>
          <w:color w:val="auto"/>
          <w:sz w:val="24"/>
          <w:szCs w:val="24"/>
        </w:rPr>
        <w:fldChar w:fldCharType="end"/>
      </w:r>
      <w:r w:rsidRPr="00704437">
        <w:rPr>
          <w:b/>
          <w:bCs/>
          <w:i w:val="0"/>
          <w:iCs w:val="0"/>
          <w:color w:val="auto"/>
          <w:sz w:val="24"/>
          <w:szCs w:val="24"/>
        </w:rPr>
        <w:t>:</w:t>
      </w:r>
      <w:r w:rsidRPr="00704437">
        <w:rPr>
          <w:i w:val="0"/>
          <w:iCs w:val="0"/>
          <w:color w:val="auto"/>
          <w:sz w:val="24"/>
          <w:szCs w:val="24"/>
        </w:rPr>
        <w:t xml:space="preserve"> Pulse mode catalytic conversion of isooctane as a function of titrated site density in series of Na-exchange Y zeolite with Si/Al of 2.6. The marker color darkens from blue to</w:t>
      </w:r>
      <w:r>
        <w:rPr>
          <w:i w:val="0"/>
          <w:iCs w:val="0"/>
          <w:color w:val="auto"/>
          <w:sz w:val="24"/>
          <w:szCs w:val="24"/>
        </w:rPr>
        <w:t xml:space="preserve"> </w:t>
      </w:r>
      <w:r w:rsidRPr="00704437">
        <w:rPr>
          <w:i w:val="0"/>
          <w:iCs w:val="0"/>
          <w:color w:val="auto"/>
          <w:sz w:val="24"/>
          <w:szCs w:val="24"/>
        </w:rPr>
        <w:t>lack as the number of pulses increases. The red marker over x-axis is relative to the calculated BAS density of the non-exchanged parent Y2.6. For Y2.6 a fixed 50 mg of catalyst is used.</w:t>
      </w:r>
      <w:bookmarkEnd w:id="135"/>
    </w:p>
    <w:p w14:paraId="30327D11" w14:textId="6A906A9F" w:rsidR="00BD770F" w:rsidRPr="00C6326D" w:rsidRDefault="00C6326D" w:rsidP="00C6326D">
      <w:pPr>
        <w:pStyle w:val="Caption"/>
        <w:spacing w:line="480" w:lineRule="auto"/>
        <w:ind w:left="720"/>
        <w:jc w:val="both"/>
        <w:rPr>
          <w:i w:val="0"/>
          <w:iCs w:val="0"/>
          <w:color w:val="auto"/>
          <w:sz w:val="24"/>
          <w:szCs w:val="24"/>
        </w:rPr>
      </w:pPr>
      <w:r w:rsidRPr="00C6326D">
        <w:rPr>
          <w:i w:val="0"/>
          <w:iCs w:val="0"/>
          <w:color w:val="auto"/>
          <w:sz w:val="24"/>
          <w:szCs w:val="24"/>
        </w:rPr>
        <w:t>The dotted line is respective to the modeled conversion drop as a function of titrated sites for the 6</w:t>
      </w:r>
      <w:r w:rsidRPr="00C6326D">
        <w:rPr>
          <w:i w:val="0"/>
          <w:iCs w:val="0"/>
          <w:color w:val="auto"/>
          <w:sz w:val="24"/>
          <w:szCs w:val="24"/>
          <w:vertAlign w:val="superscript"/>
        </w:rPr>
        <w:t>th</w:t>
      </w:r>
      <w:r w:rsidRPr="00C6326D">
        <w:rPr>
          <w:i w:val="0"/>
          <w:iCs w:val="0"/>
          <w:color w:val="auto"/>
          <w:sz w:val="24"/>
          <w:szCs w:val="24"/>
        </w:rPr>
        <w:t xml:space="preserve"> pulse in where it is understood that the conversion had stabilized. It is notable the BAS deviation as activity approaches zero, in which the modeling finds a value of 1.32 as compared to 2.30 mmol/g</w:t>
      </w:r>
      <w:r w:rsidRPr="00C6326D">
        <w:rPr>
          <w:i w:val="0"/>
          <w:iCs w:val="0"/>
          <w:color w:val="auto"/>
          <w:sz w:val="24"/>
          <w:szCs w:val="24"/>
          <w:vertAlign w:val="subscript"/>
        </w:rPr>
        <w:t>cat</w:t>
      </w:r>
      <w:r w:rsidRPr="00C6326D">
        <w:rPr>
          <w:i w:val="0"/>
          <w:iCs w:val="0"/>
          <w:color w:val="auto"/>
          <w:sz w:val="24"/>
          <w:szCs w:val="24"/>
        </w:rPr>
        <w:t xml:space="preserve"> in the IPA-TPD. A Thiele modulus 1.99 is found with a corresponding effectiveness factor of 0.81. These values point to conclude a small effect of mass-transfer limitations and the lower site accessibility of iC</w:t>
      </w:r>
      <w:r w:rsidRPr="00C6326D">
        <w:rPr>
          <w:i w:val="0"/>
          <w:iCs w:val="0"/>
          <w:color w:val="auto"/>
          <w:sz w:val="24"/>
          <w:szCs w:val="24"/>
          <w:vertAlign w:val="subscript"/>
        </w:rPr>
        <w:t>8</w:t>
      </w:r>
      <w:r w:rsidRPr="00C6326D">
        <w:rPr>
          <w:i w:val="0"/>
          <w:iCs w:val="0"/>
          <w:color w:val="auto"/>
          <w:sz w:val="24"/>
          <w:szCs w:val="24"/>
        </w:rPr>
        <w:t xml:space="preserve"> as compared to isopropyl-amine, used for site counting.</w:t>
      </w:r>
      <w:r w:rsidR="00BD770F" w:rsidRPr="00C6326D">
        <w:rPr>
          <w:b/>
          <w:bCs/>
          <w:i w:val="0"/>
          <w:iCs w:val="0"/>
          <w:color w:val="auto"/>
          <w:sz w:val="24"/>
          <w:szCs w:val="24"/>
        </w:rPr>
        <w:tab/>
      </w:r>
    </w:p>
    <w:p w14:paraId="1BF4C307" w14:textId="2F114AC5" w:rsidR="00BD770F" w:rsidRDefault="00BD770F" w:rsidP="00C6326D">
      <w:pPr>
        <w:pStyle w:val="ListParagraph"/>
        <w:spacing w:line="480" w:lineRule="auto"/>
        <w:jc w:val="both"/>
      </w:pPr>
      <w:r w:rsidRPr="00C6326D">
        <w:tab/>
        <w:t xml:space="preserve">For comparison purposes in zeolite Y2.6, the catalytic cracking of heptane over the Na-titrated Y2.6 series was performed and discussed. The reactions were at higher temperature of 525 </w:t>
      </w:r>
      <w:r w:rsidRPr="00C6326D">
        <w:rPr>
          <w:vertAlign w:val="superscript"/>
        </w:rPr>
        <w:t>o</w:t>
      </w:r>
      <w:r w:rsidRPr="00C6326D">
        <w:t xml:space="preserve">C with equivalent </w:t>
      </w:r>
      <w:r>
        <w:t xml:space="preserve">operational conditions and the cracking conversion plotted </w:t>
      </w:r>
      <w:r w:rsidRPr="00131442">
        <w:t xml:space="preserve">in </w:t>
      </w:r>
      <w:r w:rsidRPr="00131442">
        <w:rPr>
          <w:b/>
          <w:bCs/>
        </w:rPr>
        <w:t>Figure 7</w:t>
      </w:r>
      <w:r w:rsidR="001154F4" w:rsidRPr="00131442">
        <w:rPr>
          <w:b/>
          <w:bCs/>
        </w:rPr>
        <w:t>3</w:t>
      </w:r>
      <w:r w:rsidRPr="00131442">
        <w:t>. Coking</w:t>
      </w:r>
      <w:r>
        <w:t xml:space="preserve"> formation was notorious and conversion dropped as the number of pulses increased. Relative to the catalyst </w:t>
      </w:r>
      <w:r>
        <w:lastRenderedPageBreak/>
        <w:t>activity, an identical drop to that in isooctane is observed, with a null activity at a titrated BAS of 1.29 mmol/g</w:t>
      </w:r>
      <w:r w:rsidRPr="001E5047">
        <w:rPr>
          <w:vertAlign w:val="subscript"/>
        </w:rPr>
        <w:t>cat</w:t>
      </w:r>
      <w:r>
        <w:t xml:space="preserve"> and Thiele modulus close to a region free of mass-transfer (</w:t>
      </w:r>
      <w:r w:rsidRPr="001E5047">
        <w:rPr>
          <w:i/>
          <w:iCs/>
        </w:rPr>
        <w:t>ϕ ~ 1</w:t>
      </w:r>
      <w:r>
        <w:t>). The activity drop occasioned by Na was not a feature specific only to isooctane and infer that heptane might also not be able to access those hidden sites as assumed. Still, it is interesting that even a smaller and linear molecule as heptane presented MTL to a smaller extent as compared to isooctane even at higher temperatures, supporting a possible idea of a lower extent of MTL in these two molecules.</w:t>
      </w:r>
    </w:p>
    <w:p w14:paraId="17EAB2D2" w14:textId="77777777" w:rsidR="00BD770F" w:rsidRDefault="00BD770F" w:rsidP="002C4BF8">
      <w:pPr>
        <w:pStyle w:val="ListParagraph"/>
        <w:keepNext/>
        <w:jc w:val="center"/>
      </w:pPr>
      <w:r>
        <w:rPr>
          <w:noProof/>
        </w:rPr>
        <w:drawing>
          <wp:inline distT="0" distB="0" distL="0" distR="0" wp14:anchorId="56A0F0D2" wp14:editId="774398C1">
            <wp:extent cx="3952216" cy="2743200"/>
            <wp:effectExtent l="0" t="0" r="0" b="0"/>
            <wp:docPr id="77" name="Picture 7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 scatter chart&#10;&#10;Description automatically generated"/>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952216" cy="2743200"/>
                    </a:xfrm>
                    <a:prstGeom prst="rect">
                      <a:avLst/>
                    </a:prstGeom>
                    <a:noFill/>
                  </pic:spPr>
                </pic:pic>
              </a:graphicData>
            </a:graphic>
          </wp:inline>
        </w:drawing>
      </w:r>
    </w:p>
    <w:p w14:paraId="644A463C" w14:textId="2D4EDB40" w:rsidR="00BD770F" w:rsidRPr="00C6326D" w:rsidRDefault="00BD770F" w:rsidP="002C4BF8">
      <w:pPr>
        <w:pStyle w:val="Caption"/>
        <w:ind w:left="720"/>
        <w:jc w:val="both"/>
        <w:rPr>
          <w:i w:val="0"/>
          <w:iCs w:val="0"/>
          <w:color w:val="auto"/>
          <w:sz w:val="24"/>
          <w:szCs w:val="24"/>
        </w:rPr>
      </w:pPr>
      <w:bookmarkStart w:id="136" w:name="_Toc131948737"/>
      <w:r w:rsidRPr="00704437">
        <w:rPr>
          <w:b/>
          <w:bCs/>
          <w:i w:val="0"/>
          <w:iCs w:val="0"/>
          <w:color w:val="auto"/>
          <w:sz w:val="24"/>
          <w:szCs w:val="24"/>
        </w:rPr>
        <w:t xml:space="preserve">Figure </w:t>
      </w:r>
      <w:r w:rsidRPr="00704437">
        <w:rPr>
          <w:b/>
          <w:bCs/>
          <w:i w:val="0"/>
          <w:iCs w:val="0"/>
          <w:color w:val="auto"/>
          <w:sz w:val="24"/>
          <w:szCs w:val="24"/>
        </w:rPr>
        <w:fldChar w:fldCharType="begin"/>
      </w:r>
      <w:r w:rsidRPr="00704437">
        <w:rPr>
          <w:b/>
          <w:bCs/>
          <w:i w:val="0"/>
          <w:iCs w:val="0"/>
          <w:color w:val="auto"/>
          <w:sz w:val="24"/>
          <w:szCs w:val="24"/>
        </w:rPr>
        <w:instrText xml:space="preserve"> SEQ Figure \* ARABIC </w:instrText>
      </w:r>
      <w:r w:rsidRPr="00704437">
        <w:rPr>
          <w:b/>
          <w:bCs/>
          <w:i w:val="0"/>
          <w:iCs w:val="0"/>
          <w:color w:val="auto"/>
          <w:sz w:val="24"/>
          <w:szCs w:val="24"/>
        </w:rPr>
        <w:fldChar w:fldCharType="separate"/>
      </w:r>
      <w:r w:rsidR="001F4741">
        <w:rPr>
          <w:b/>
          <w:bCs/>
          <w:i w:val="0"/>
          <w:iCs w:val="0"/>
          <w:noProof/>
          <w:color w:val="auto"/>
          <w:sz w:val="24"/>
          <w:szCs w:val="24"/>
        </w:rPr>
        <w:t>73</w:t>
      </w:r>
      <w:r w:rsidRPr="00704437">
        <w:rPr>
          <w:b/>
          <w:bCs/>
          <w:i w:val="0"/>
          <w:iCs w:val="0"/>
          <w:color w:val="auto"/>
          <w:sz w:val="24"/>
          <w:szCs w:val="24"/>
        </w:rPr>
        <w:fldChar w:fldCharType="end"/>
      </w:r>
      <w:r w:rsidRPr="00704437">
        <w:rPr>
          <w:b/>
          <w:bCs/>
          <w:i w:val="0"/>
          <w:iCs w:val="0"/>
          <w:color w:val="auto"/>
          <w:sz w:val="24"/>
          <w:szCs w:val="24"/>
        </w:rPr>
        <w:t>:</w:t>
      </w:r>
      <w:r w:rsidRPr="00704437">
        <w:rPr>
          <w:i w:val="0"/>
          <w:iCs w:val="0"/>
          <w:color w:val="auto"/>
          <w:sz w:val="24"/>
          <w:szCs w:val="24"/>
        </w:rPr>
        <w:t xml:space="preserve"> Pulse mode catalytic conversion of heptane as a function of titrated site density in series of Na-exchange Y zeolite with Si/Al of 2.6. The marker color darkens from blue to black as the number of pulses increases. The red marker over x-axis is relative to the calculated BAS density of the non-exchanged parent Y2.6. For Y2.6 a fixed 50 mg of catalyst is used.</w:t>
      </w:r>
      <w:bookmarkEnd w:id="136"/>
    </w:p>
    <w:p w14:paraId="107551ED" w14:textId="62009D9B" w:rsidR="00BD770F" w:rsidRDefault="00BD770F" w:rsidP="00C6326D">
      <w:pPr>
        <w:pStyle w:val="ListParagraph"/>
        <w:spacing w:line="480" w:lineRule="auto"/>
        <w:jc w:val="both"/>
      </w:pPr>
      <w:r>
        <w:rPr>
          <w:i/>
          <w:iCs/>
          <w:u w:val="single"/>
        </w:rPr>
        <w:t>Y</w:t>
      </w:r>
      <w:r w:rsidRPr="00DA1436">
        <w:rPr>
          <w:i/>
          <w:iCs/>
          <w:u w:val="single"/>
        </w:rPr>
        <w:t xml:space="preserve"> (Si/Al </w:t>
      </w:r>
      <w:r>
        <w:rPr>
          <w:i/>
          <w:iCs/>
          <w:u w:val="single"/>
        </w:rPr>
        <w:t>15</w:t>
      </w:r>
      <w:r w:rsidRPr="00DA1436">
        <w:rPr>
          <w:i/>
          <w:iCs/>
          <w:u w:val="single"/>
        </w:rPr>
        <w:t xml:space="preserve">) </w:t>
      </w:r>
      <w:r w:rsidRPr="00936C1E">
        <w:rPr>
          <w:i/>
          <w:iCs/>
          <w:u w:val="single"/>
        </w:rPr>
        <w:t>zeolite</w:t>
      </w:r>
      <w:r w:rsidRPr="00936C1E">
        <w:rPr>
          <w:i/>
          <w:iCs/>
        </w:rPr>
        <w:t>:</w:t>
      </w:r>
      <w:r w:rsidRPr="006C4260">
        <w:rPr>
          <w:i/>
          <w:iCs/>
        </w:rPr>
        <w:t xml:space="preserve">  </w:t>
      </w:r>
      <w:r>
        <w:t xml:space="preserve">In a </w:t>
      </w:r>
      <w:r w:rsidRPr="00131442">
        <w:t xml:space="preserve">similar way, </w:t>
      </w:r>
      <w:r w:rsidRPr="00131442">
        <w:rPr>
          <w:b/>
          <w:bCs/>
        </w:rPr>
        <w:t xml:space="preserve">Figure </w:t>
      </w:r>
      <w:r w:rsidR="001154F4" w:rsidRPr="00131442">
        <w:rPr>
          <w:b/>
          <w:bCs/>
        </w:rPr>
        <w:t>74</w:t>
      </w:r>
      <w:r w:rsidRPr="00131442">
        <w:t xml:space="preserve"> shows the cracking conversions over Y15 at different Na-loadings. A particular behavior</w:t>
      </w:r>
      <w:r>
        <w:t xml:space="preserve"> is observed in where a sharp drop takes place between the non-exchanged Y15 and the lowest Na- exchanged sample, followed by a more moderate conversion drop as Na-titration levels increase. Again, the catalytic rate zeros at very lower values of BAS density </w:t>
      </w:r>
      <w:r>
        <w:lastRenderedPageBreak/>
        <w:t>than those found in IPA-TPD (0.28 vs. 0.37 mmol/g</w:t>
      </w:r>
      <w:r w:rsidRPr="00396D19">
        <w:rPr>
          <w:vertAlign w:val="subscript"/>
        </w:rPr>
        <w:t>cat</w:t>
      </w:r>
      <w:r>
        <w:t>), accordingly to the linear fitting of the four Na-titrated samples (R</w:t>
      </w:r>
      <w:r w:rsidRPr="00CF7CA5">
        <w:rPr>
          <w:vertAlign w:val="superscript"/>
        </w:rPr>
        <w:t>2</w:t>
      </w:r>
      <w:r>
        <w:rPr>
          <w:vertAlign w:val="superscript"/>
        </w:rPr>
        <w:t xml:space="preserve"> </w:t>
      </w:r>
      <w:r>
        <w:t xml:space="preserve">= 0.980). It appears that some highly active sites exist and are preferentially titrated by Na, here it is inferred that those sites are either in close proximity or are positioned in a more synergistic environment that favors the isooctane catalytic cracking. The first possibility is considerably more realistic once previous studies showed their influence over </w:t>
      </w:r>
      <w:r w:rsidRPr="00620661">
        <w:rPr>
          <w:i/>
          <w:iCs/>
        </w:rPr>
        <w:t>n</w:t>
      </w:r>
      <w:r>
        <w:t xml:space="preserve">-hexane cracking </w:t>
      </w:r>
      <w:r>
        <w:fldChar w:fldCharType="begin"/>
      </w:r>
      <w:r>
        <w:instrText xml:space="preserve"> ADDIN EN.CITE &lt;EndNote&gt;&lt;Cite&gt;&lt;Author&gt;Pham&lt;/Author&gt;&lt;Year&gt;2023&lt;/Year&gt;&lt;RecNum&gt;145&lt;/RecNum&gt;&lt;DisplayText&gt;[163]&lt;/DisplayText&gt;&lt;record&gt;&lt;rec-number&gt;145&lt;/rec-number&gt;&lt;foreign-keys&gt;&lt;key app="EN" db-id="59dvwrfdof9dw8exf0kvp0atwazsazeeffsp" timestamp="1675122980"&gt;145&lt;/key&gt;&lt;/foreign-keys&gt;&lt;ref-type name="Journal Article"&gt;17&lt;/ref-type&gt;&lt;contributors&gt;&lt;authors&gt;&lt;author&gt;Tram N. Pham&lt;/author&gt;&lt;author&gt;Vy Nguyen&lt;/author&gt;&lt;author&gt;Huy Nguyen-Phu&lt;/author&gt;&lt;author&gt;Bin Wang&lt;/author&gt;&lt;author&gt;Steven Crossley&lt;/author&gt;&lt;/authors&gt;&lt;/contributors&gt;&lt;titles&gt;&lt;title&gt;Influence of Brønsted Acid Site Proximity on Alkane Cracking in MFI Zeolites&lt;/title&gt;&lt;secondary-title&gt;ACS Catalysis&lt;/secondary-title&gt;&lt;/titles&gt;&lt;periodical&gt;&lt;full-title&gt;ACS Catalysis&lt;/full-title&gt;&lt;/periodical&gt;&lt;pages&gt;1359-1370&lt;/pages&gt;&lt;volume&gt;13&lt;/volume&gt;&lt;number&gt;2&lt;/number&gt;&lt;dates&gt;&lt;year&gt;2023&lt;/year&gt;&lt;/dates&gt;&lt;urls&gt;&lt;/urls&gt;&lt;electronic-resource-num&gt;https://doi.org/10.1021/acscatal.2c05291&lt;/electronic-resource-num&gt;&lt;/record&gt;&lt;/Cite&gt;&lt;/EndNote&gt;</w:instrText>
      </w:r>
      <w:r>
        <w:fldChar w:fldCharType="separate"/>
      </w:r>
      <w:r>
        <w:rPr>
          <w:noProof/>
        </w:rPr>
        <w:t>[</w:t>
      </w:r>
      <w:hyperlink w:anchor="_ENREF_163" w:tooltip="Pham, 2023 #145" w:history="1">
        <w:r w:rsidR="00D307FA">
          <w:rPr>
            <w:noProof/>
          </w:rPr>
          <w:t>163</w:t>
        </w:r>
      </w:hyperlink>
      <w:r>
        <w:rPr>
          <w:noProof/>
        </w:rPr>
        <w:t>]</w:t>
      </w:r>
      <w:r>
        <w:fldChar w:fldCharType="end"/>
      </w:r>
      <w:r>
        <w:t>.</w:t>
      </w:r>
    </w:p>
    <w:p w14:paraId="7FD4BAAC" w14:textId="77777777" w:rsidR="00BD770F" w:rsidRDefault="00BD770F" w:rsidP="002C4BF8">
      <w:pPr>
        <w:pStyle w:val="ListParagraph"/>
        <w:keepNext/>
        <w:jc w:val="center"/>
      </w:pPr>
      <w:r>
        <w:rPr>
          <w:noProof/>
        </w:rPr>
        <w:drawing>
          <wp:inline distT="0" distB="0" distL="0" distR="0" wp14:anchorId="7748169A" wp14:editId="239800C4">
            <wp:extent cx="3948231" cy="2743200"/>
            <wp:effectExtent l="0" t="0" r="0" b="0"/>
            <wp:docPr id="78" name="Picture 7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Chart, scatter chart&#10;&#10;Description automatically generated"/>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948231" cy="2743200"/>
                    </a:xfrm>
                    <a:prstGeom prst="rect">
                      <a:avLst/>
                    </a:prstGeom>
                    <a:noFill/>
                  </pic:spPr>
                </pic:pic>
              </a:graphicData>
            </a:graphic>
          </wp:inline>
        </w:drawing>
      </w:r>
    </w:p>
    <w:p w14:paraId="6D1B511C" w14:textId="59096B86" w:rsidR="00BD770F" w:rsidRPr="00C6326D" w:rsidRDefault="00BD770F" w:rsidP="002C4BF8">
      <w:pPr>
        <w:pStyle w:val="Caption"/>
        <w:ind w:left="720"/>
        <w:jc w:val="both"/>
        <w:rPr>
          <w:i w:val="0"/>
          <w:iCs w:val="0"/>
          <w:color w:val="auto"/>
          <w:sz w:val="24"/>
          <w:szCs w:val="24"/>
        </w:rPr>
      </w:pPr>
      <w:bookmarkStart w:id="137" w:name="_Toc131948738"/>
      <w:r w:rsidRPr="00E60B8D">
        <w:rPr>
          <w:b/>
          <w:bCs/>
          <w:i w:val="0"/>
          <w:iCs w:val="0"/>
          <w:color w:val="auto"/>
          <w:sz w:val="24"/>
          <w:szCs w:val="24"/>
        </w:rPr>
        <w:t xml:space="preserve">Figure </w:t>
      </w:r>
      <w:r w:rsidRPr="00E60B8D">
        <w:rPr>
          <w:b/>
          <w:bCs/>
          <w:i w:val="0"/>
          <w:iCs w:val="0"/>
          <w:color w:val="auto"/>
          <w:sz w:val="24"/>
          <w:szCs w:val="24"/>
        </w:rPr>
        <w:fldChar w:fldCharType="begin"/>
      </w:r>
      <w:r w:rsidRPr="00E60B8D">
        <w:rPr>
          <w:b/>
          <w:bCs/>
          <w:i w:val="0"/>
          <w:iCs w:val="0"/>
          <w:color w:val="auto"/>
          <w:sz w:val="24"/>
          <w:szCs w:val="24"/>
        </w:rPr>
        <w:instrText xml:space="preserve"> SEQ Figure \* ARABIC </w:instrText>
      </w:r>
      <w:r w:rsidRPr="00E60B8D">
        <w:rPr>
          <w:b/>
          <w:bCs/>
          <w:i w:val="0"/>
          <w:iCs w:val="0"/>
          <w:color w:val="auto"/>
          <w:sz w:val="24"/>
          <w:szCs w:val="24"/>
        </w:rPr>
        <w:fldChar w:fldCharType="separate"/>
      </w:r>
      <w:r w:rsidR="001F4741">
        <w:rPr>
          <w:b/>
          <w:bCs/>
          <w:i w:val="0"/>
          <w:iCs w:val="0"/>
          <w:noProof/>
          <w:color w:val="auto"/>
          <w:sz w:val="24"/>
          <w:szCs w:val="24"/>
        </w:rPr>
        <w:t>74</w:t>
      </w:r>
      <w:r w:rsidRPr="00E60B8D">
        <w:rPr>
          <w:b/>
          <w:bCs/>
          <w:i w:val="0"/>
          <w:iCs w:val="0"/>
          <w:color w:val="auto"/>
          <w:sz w:val="24"/>
          <w:szCs w:val="24"/>
        </w:rPr>
        <w:fldChar w:fldCharType="end"/>
      </w:r>
      <w:r w:rsidRPr="00E60B8D">
        <w:rPr>
          <w:b/>
          <w:bCs/>
          <w:i w:val="0"/>
          <w:iCs w:val="0"/>
          <w:color w:val="auto"/>
          <w:sz w:val="24"/>
          <w:szCs w:val="24"/>
        </w:rPr>
        <w:t>:</w:t>
      </w:r>
      <w:r w:rsidRPr="00E60B8D">
        <w:rPr>
          <w:i w:val="0"/>
          <w:iCs w:val="0"/>
          <w:color w:val="auto"/>
          <w:sz w:val="24"/>
          <w:szCs w:val="24"/>
        </w:rPr>
        <w:t xml:space="preserve"> Pulse mode catalytic conversion of isooctane as a function of titrated site density in series of Na-exchange Y zeolite with Si/Al of 15. The marker blue colors turns darker as the number of pulses increases. The red marker over x-axis is relative to the calculated BAS density of the non-exchanged parent 15. For Y15 a fixed 3.5 mg of catalyst is used.</w:t>
      </w:r>
      <w:bookmarkEnd w:id="137"/>
    </w:p>
    <w:p w14:paraId="4C039628" w14:textId="7DEAE972" w:rsidR="00BD770F" w:rsidRDefault="00BD770F" w:rsidP="00C6326D">
      <w:pPr>
        <w:pStyle w:val="ListParagraph"/>
        <w:spacing w:line="480" w:lineRule="auto"/>
        <w:jc w:val="both"/>
      </w:pPr>
      <w:r>
        <w:rPr>
          <w:i/>
          <w:iCs/>
          <w:u w:val="single"/>
        </w:rPr>
        <w:t>Y</w:t>
      </w:r>
      <w:r w:rsidRPr="00DA1436">
        <w:rPr>
          <w:i/>
          <w:iCs/>
          <w:u w:val="single"/>
        </w:rPr>
        <w:t xml:space="preserve"> (Si/Al </w:t>
      </w:r>
      <w:r>
        <w:rPr>
          <w:i/>
          <w:iCs/>
          <w:u w:val="single"/>
        </w:rPr>
        <w:t>30</w:t>
      </w:r>
      <w:r w:rsidRPr="00DA1436">
        <w:rPr>
          <w:i/>
          <w:iCs/>
          <w:u w:val="single"/>
        </w:rPr>
        <w:t xml:space="preserve">) </w:t>
      </w:r>
      <w:r w:rsidRPr="00936C1E">
        <w:rPr>
          <w:i/>
          <w:iCs/>
          <w:u w:val="single"/>
        </w:rPr>
        <w:t>zeolite</w:t>
      </w:r>
      <w:r w:rsidRPr="00936C1E">
        <w:rPr>
          <w:i/>
          <w:iCs/>
        </w:rPr>
        <w:t>:</w:t>
      </w:r>
      <w:r w:rsidRPr="006C4260">
        <w:rPr>
          <w:i/>
          <w:iCs/>
        </w:rPr>
        <w:t xml:space="preserve">  </w:t>
      </w:r>
      <w:r>
        <w:t xml:space="preserve">In Y30 the conversion drop was not pronounced as those found in Y15, rather as the exchange levels increased lower </w:t>
      </w:r>
      <w:r w:rsidRPr="00131442">
        <w:t>variations occurred (</w:t>
      </w:r>
      <w:r w:rsidRPr="00131442">
        <w:rPr>
          <w:b/>
          <w:bCs/>
        </w:rPr>
        <w:t xml:space="preserve">Figure </w:t>
      </w:r>
      <w:r w:rsidR="001154F4" w:rsidRPr="00131442">
        <w:rPr>
          <w:b/>
          <w:bCs/>
        </w:rPr>
        <w:t>75</w:t>
      </w:r>
      <w:r w:rsidRPr="00131442">
        <w:t>). The modeling was not feasible in this case due to the shape of</w:t>
      </w:r>
      <w:r>
        <w:t xml:space="preserve"> the curve even considering a linear regression. If it was hypothesized the existence of highly active sites in the Y15, those would also be present in Y30 but in lower concentrations and thus less contributive to the overall activity.</w:t>
      </w:r>
    </w:p>
    <w:p w14:paraId="40A46774" w14:textId="77777777" w:rsidR="00BD770F" w:rsidRDefault="00BD770F" w:rsidP="00C6326D">
      <w:pPr>
        <w:pStyle w:val="ListParagraph"/>
        <w:spacing w:line="480" w:lineRule="auto"/>
        <w:jc w:val="both"/>
      </w:pPr>
    </w:p>
    <w:p w14:paraId="7E21AEB2" w14:textId="77777777" w:rsidR="00BD770F" w:rsidRDefault="00BD770F" w:rsidP="002C4BF8">
      <w:pPr>
        <w:pStyle w:val="ListParagraph"/>
        <w:keepNext/>
        <w:jc w:val="center"/>
      </w:pPr>
      <w:r>
        <w:rPr>
          <w:noProof/>
        </w:rPr>
        <w:drawing>
          <wp:inline distT="0" distB="0" distL="0" distR="0" wp14:anchorId="19622B8F" wp14:editId="662DC3F2">
            <wp:extent cx="3952216" cy="2743200"/>
            <wp:effectExtent l="0" t="0" r="0" b="0"/>
            <wp:docPr id="79" name="Picture 7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Chart, scatter chart&#10;&#10;Description automatically generated"/>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952216" cy="2743200"/>
                    </a:xfrm>
                    <a:prstGeom prst="rect">
                      <a:avLst/>
                    </a:prstGeom>
                    <a:noFill/>
                  </pic:spPr>
                </pic:pic>
              </a:graphicData>
            </a:graphic>
          </wp:inline>
        </w:drawing>
      </w:r>
    </w:p>
    <w:p w14:paraId="6D37CF88" w14:textId="67CFC09C" w:rsidR="00BD770F" w:rsidRPr="00E60B8D" w:rsidRDefault="00BD770F" w:rsidP="002C4BF8">
      <w:pPr>
        <w:pStyle w:val="Caption"/>
        <w:ind w:left="720"/>
        <w:jc w:val="both"/>
        <w:rPr>
          <w:i w:val="0"/>
          <w:iCs w:val="0"/>
          <w:color w:val="auto"/>
          <w:sz w:val="24"/>
          <w:szCs w:val="24"/>
        </w:rPr>
      </w:pPr>
      <w:bookmarkStart w:id="138" w:name="_Toc131948739"/>
      <w:r w:rsidRPr="00E60B8D">
        <w:rPr>
          <w:b/>
          <w:bCs/>
          <w:i w:val="0"/>
          <w:iCs w:val="0"/>
          <w:color w:val="auto"/>
          <w:sz w:val="24"/>
          <w:szCs w:val="24"/>
        </w:rPr>
        <w:t xml:space="preserve">Figure </w:t>
      </w:r>
      <w:r w:rsidRPr="00E60B8D">
        <w:rPr>
          <w:b/>
          <w:bCs/>
          <w:i w:val="0"/>
          <w:iCs w:val="0"/>
          <w:color w:val="auto"/>
          <w:sz w:val="24"/>
          <w:szCs w:val="24"/>
        </w:rPr>
        <w:fldChar w:fldCharType="begin"/>
      </w:r>
      <w:r w:rsidRPr="00E60B8D">
        <w:rPr>
          <w:b/>
          <w:bCs/>
          <w:i w:val="0"/>
          <w:iCs w:val="0"/>
          <w:color w:val="auto"/>
          <w:sz w:val="24"/>
          <w:szCs w:val="24"/>
        </w:rPr>
        <w:instrText xml:space="preserve"> SEQ Figure \* ARABIC </w:instrText>
      </w:r>
      <w:r w:rsidRPr="00E60B8D">
        <w:rPr>
          <w:b/>
          <w:bCs/>
          <w:i w:val="0"/>
          <w:iCs w:val="0"/>
          <w:color w:val="auto"/>
          <w:sz w:val="24"/>
          <w:szCs w:val="24"/>
        </w:rPr>
        <w:fldChar w:fldCharType="separate"/>
      </w:r>
      <w:r w:rsidR="001F4741">
        <w:rPr>
          <w:b/>
          <w:bCs/>
          <w:i w:val="0"/>
          <w:iCs w:val="0"/>
          <w:noProof/>
          <w:color w:val="auto"/>
          <w:sz w:val="24"/>
          <w:szCs w:val="24"/>
        </w:rPr>
        <w:t>75</w:t>
      </w:r>
      <w:r w:rsidRPr="00E60B8D">
        <w:rPr>
          <w:b/>
          <w:bCs/>
          <w:i w:val="0"/>
          <w:iCs w:val="0"/>
          <w:color w:val="auto"/>
          <w:sz w:val="24"/>
          <w:szCs w:val="24"/>
        </w:rPr>
        <w:fldChar w:fldCharType="end"/>
      </w:r>
      <w:r w:rsidRPr="00E60B8D">
        <w:rPr>
          <w:b/>
          <w:bCs/>
          <w:i w:val="0"/>
          <w:iCs w:val="0"/>
          <w:color w:val="auto"/>
          <w:sz w:val="24"/>
          <w:szCs w:val="24"/>
        </w:rPr>
        <w:t>:</w:t>
      </w:r>
      <w:r w:rsidRPr="00E60B8D">
        <w:rPr>
          <w:i w:val="0"/>
          <w:iCs w:val="0"/>
          <w:color w:val="auto"/>
          <w:sz w:val="24"/>
          <w:szCs w:val="24"/>
        </w:rPr>
        <w:t xml:space="preserve"> Pulse mode catalytic conversion of isooctane as a function of titrated site density in series of Na-exchange Y zeolite with Si/Al of 30. The marker blue colors turns darker as the number of pulses increases. The red marker over x-axis is relative to the calculated BAS density of the non-exchanged parent 30. For Y30 a fixed 12.5 mg of catalyst is used.</w:t>
      </w:r>
      <w:bookmarkEnd w:id="138"/>
    </w:p>
    <w:p w14:paraId="112191C4" w14:textId="77777777" w:rsidR="00BD770F" w:rsidRDefault="00BD770F" w:rsidP="00C6326D">
      <w:pPr>
        <w:spacing w:line="480" w:lineRule="auto"/>
        <w:jc w:val="both"/>
      </w:pPr>
      <w:r>
        <w:tab/>
        <w:t>In Y2.6, the non-linear rate drop resembled that expected for the Uniform type of titration in which the results confirmed a certain degree of MTL, being possibly due to the constrained environment of the zeolite itself or the high activity per second in a single site. However, to match the catalytic activity levels of those found in Y15 a more pronounced MTL should had been observed with a respective effectiveness factor of around 0.06 and not 0.81 according to the calculated values. An explanation for this higher activity in zeolite Y15 is the appearance of synergistic sites through steaming and exposing them to reaction conditions that lead to such conversion extents.</w:t>
      </w:r>
    </w:p>
    <w:p w14:paraId="4FE1BB55" w14:textId="1362D5E9" w:rsidR="00BD770F" w:rsidRDefault="00BD770F" w:rsidP="00C6326D">
      <w:pPr>
        <w:spacing w:line="480" w:lineRule="auto"/>
        <w:jc w:val="both"/>
      </w:pPr>
      <w:r>
        <w:tab/>
        <w:t xml:space="preserve">A consequence of introducing mesoporosity is the removal of existing MTL in the parent zeolite. With that, the fastest diffusion of isooctane allows a concentration increase in the reaction environment and exposes each detailed particularities of that zeolite. As Na is used to deactivate a portion of active sites a noticeable drop is observed in both Y15 and </w:t>
      </w:r>
      <w:r>
        <w:lastRenderedPageBreak/>
        <w:t xml:space="preserve">Y30. It seems that this metal cation selectively titrate those synergistic sites or either cancelling out the synergism existence between two proximate sites, but as the exchange </w:t>
      </w:r>
      <w:r w:rsidRPr="00131442">
        <w:t xml:space="preserve">level progress equivalent drop in conversion occurs. By plotting the relative conversion drop as a function of percentage of titrated sites this behavior is observed as shown in </w:t>
      </w:r>
      <w:r w:rsidRPr="00131442">
        <w:rPr>
          <w:b/>
          <w:bCs/>
        </w:rPr>
        <w:t xml:space="preserve">Figure </w:t>
      </w:r>
      <w:r w:rsidR="001154F4" w:rsidRPr="00131442">
        <w:rPr>
          <w:b/>
          <w:bCs/>
        </w:rPr>
        <w:t>76</w:t>
      </w:r>
      <w:r w:rsidRPr="00131442">
        <w:t>. An understandable explanation is the higher concentration and contribution in catalytic activity of</w:t>
      </w:r>
      <w:r>
        <w:t xml:space="preserve"> these sites in zeolite Y15 compared to Y30, stating that as steaming is extended a lower density of highly active sites is resulted. It is still not fully understood the reason for the null reaction rate as titration levels approaches 60% of those total sites calculated by IPA-TPD and requires future studies.</w:t>
      </w:r>
    </w:p>
    <w:p w14:paraId="21DC8F63" w14:textId="77777777" w:rsidR="00BD770F" w:rsidRDefault="00BD770F" w:rsidP="002C4BF8">
      <w:pPr>
        <w:keepNext/>
        <w:jc w:val="center"/>
      </w:pPr>
      <w:r>
        <w:rPr>
          <w:noProof/>
        </w:rPr>
        <w:drawing>
          <wp:inline distT="0" distB="0" distL="0" distR="0" wp14:anchorId="04C30132" wp14:editId="48118C51">
            <wp:extent cx="3947056" cy="2743200"/>
            <wp:effectExtent l="0" t="0" r="0" b="0"/>
            <wp:docPr id="80" name="Picture 8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Chart, scatter chart&#10;&#10;Description automatically generated"/>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947056" cy="2743200"/>
                    </a:xfrm>
                    <a:prstGeom prst="rect">
                      <a:avLst/>
                    </a:prstGeom>
                    <a:noFill/>
                  </pic:spPr>
                </pic:pic>
              </a:graphicData>
            </a:graphic>
          </wp:inline>
        </w:drawing>
      </w:r>
    </w:p>
    <w:p w14:paraId="257584D6" w14:textId="7EDAEA17" w:rsidR="00BD770F" w:rsidRPr="00E60B8D" w:rsidRDefault="00BD770F" w:rsidP="002C4BF8">
      <w:pPr>
        <w:pStyle w:val="Caption"/>
        <w:jc w:val="both"/>
        <w:rPr>
          <w:i w:val="0"/>
          <w:iCs w:val="0"/>
          <w:color w:val="auto"/>
          <w:sz w:val="24"/>
          <w:szCs w:val="24"/>
        </w:rPr>
      </w:pPr>
      <w:bookmarkStart w:id="139" w:name="_Toc131948740"/>
      <w:r w:rsidRPr="00E60B8D">
        <w:rPr>
          <w:b/>
          <w:bCs/>
          <w:i w:val="0"/>
          <w:iCs w:val="0"/>
          <w:color w:val="auto"/>
          <w:sz w:val="24"/>
          <w:szCs w:val="24"/>
        </w:rPr>
        <w:t xml:space="preserve">Figure </w:t>
      </w:r>
      <w:r w:rsidRPr="00E60B8D">
        <w:rPr>
          <w:b/>
          <w:bCs/>
          <w:i w:val="0"/>
          <w:iCs w:val="0"/>
          <w:color w:val="auto"/>
          <w:sz w:val="24"/>
          <w:szCs w:val="24"/>
        </w:rPr>
        <w:fldChar w:fldCharType="begin"/>
      </w:r>
      <w:r w:rsidRPr="00E60B8D">
        <w:rPr>
          <w:b/>
          <w:bCs/>
          <w:i w:val="0"/>
          <w:iCs w:val="0"/>
          <w:color w:val="auto"/>
          <w:sz w:val="24"/>
          <w:szCs w:val="24"/>
        </w:rPr>
        <w:instrText xml:space="preserve"> SEQ Figure \* ARABIC </w:instrText>
      </w:r>
      <w:r w:rsidRPr="00E60B8D">
        <w:rPr>
          <w:b/>
          <w:bCs/>
          <w:i w:val="0"/>
          <w:iCs w:val="0"/>
          <w:color w:val="auto"/>
          <w:sz w:val="24"/>
          <w:szCs w:val="24"/>
        </w:rPr>
        <w:fldChar w:fldCharType="separate"/>
      </w:r>
      <w:r w:rsidR="001F4741">
        <w:rPr>
          <w:b/>
          <w:bCs/>
          <w:i w:val="0"/>
          <w:iCs w:val="0"/>
          <w:noProof/>
          <w:color w:val="auto"/>
          <w:sz w:val="24"/>
          <w:szCs w:val="24"/>
        </w:rPr>
        <w:t>76</w:t>
      </w:r>
      <w:r w:rsidRPr="00E60B8D">
        <w:rPr>
          <w:b/>
          <w:bCs/>
          <w:i w:val="0"/>
          <w:iCs w:val="0"/>
          <w:color w:val="auto"/>
          <w:sz w:val="24"/>
          <w:szCs w:val="24"/>
        </w:rPr>
        <w:fldChar w:fldCharType="end"/>
      </w:r>
      <w:r w:rsidRPr="00E60B8D">
        <w:rPr>
          <w:b/>
          <w:bCs/>
          <w:i w:val="0"/>
          <w:iCs w:val="0"/>
          <w:color w:val="auto"/>
          <w:sz w:val="24"/>
          <w:szCs w:val="24"/>
        </w:rPr>
        <w:t>:</w:t>
      </w:r>
      <w:r w:rsidRPr="00E60B8D">
        <w:rPr>
          <w:i w:val="0"/>
          <w:iCs w:val="0"/>
          <w:color w:val="auto"/>
          <w:sz w:val="24"/>
          <w:szCs w:val="24"/>
        </w:rPr>
        <w:t xml:space="preserve"> Relative isooctane conversion activity as a function of percentage of titrates sites in zeolite Y15 and Y30 in pulse mode reactions.</w:t>
      </w:r>
      <w:bookmarkEnd w:id="139"/>
    </w:p>
    <w:p w14:paraId="2875BE3D" w14:textId="20DC83D2" w:rsidR="00BD770F" w:rsidRDefault="00BD770F" w:rsidP="00C6326D">
      <w:pPr>
        <w:spacing w:line="480" w:lineRule="auto"/>
        <w:jc w:val="both"/>
      </w:pPr>
      <w:r>
        <w:tab/>
        <w:t xml:space="preserve">This comparison is also studied in flow mode reactions using the same set of Na-series for both Y15 </w:t>
      </w:r>
      <w:r w:rsidRPr="00131442">
        <w:t>and Y30 (</w:t>
      </w:r>
      <w:r w:rsidRPr="00131442">
        <w:rPr>
          <w:b/>
          <w:bCs/>
        </w:rPr>
        <w:t xml:space="preserve">Figure </w:t>
      </w:r>
      <w:r w:rsidR="001154F4" w:rsidRPr="00131442">
        <w:rPr>
          <w:b/>
          <w:bCs/>
        </w:rPr>
        <w:t>77</w:t>
      </w:r>
      <w:r w:rsidRPr="00131442">
        <w:t>). Curiously</w:t>
      </w:r>
      <w:r>
        <w:t xml:space="preserve"> the contrast is less pronounced than that in pulse mode, and the systems behave analogously as it has been noted for C</w:t>
      </w:r>
      <w:r w:rsidRPr="00556365">
        <w:rPr>
          <w:vertAlign w:val="subscript"/>
        </w:rPr>
        <w:t>4</w:t>
      </w:r>
      <w:r>
        <w:t>/C</w:t>
      </w:r>
      <w:r w:rsidRPr="00556365">
        <w:rPr>
          <w:vertAlign w:val="subscript"/>
        </w:rPr>
        <w:t>4=</w:t>
      </w:r>
      <w:r>
        <w:t xml:space="preserve"> ratios comparisons. These differences in activity caused by the hypothesized concentration of pair-sites seem acceptable until this point, once in pulse mode reactions activity is </w:t>
      </w:r>
      <w:r>
        <w:lastRenderedPageBreak/>
        <w:t xml:space="preserve">promoted due to the lower site coverage and is less distinct in flow modes as site coverage increases. </w:t>
      </w:r>
    </w:p>
    <w:p w14:paraId="4810025A" w14:textId="77777777" w:rsidR="00BD770F" w:rsidRDefault="00BD770F" w:rsidP="002C4BF8">
      <w:pPr>
        <w:keepNext/>
        <w:jc w:val="center"/>
      </w:pPr>
      <w:r>
        <w:rPr>
          <w:noProof/>
        </w:rPr>
        <w:drawing>
          <wp:inline distT="0" distB="0" distL="0" distR="0" wp14:anchorId="6440DF42" wp14:editId="27C1CD08">
            <wp:extent cx="3950638" cy="2743200"/>
            <wp:effectExtent l="0" t="0" r="0" b="0"/>
            <wp:docPr id="69" name="Picture 6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Chart, scatter chart&#10;&#10;Description automatically generated"/>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950638" cy="2743200"/>
                    </a:xfrm>
                    <a:prstGeom prst="rect">
                      <a:avLst/>
                    </a:prstGeom>
                    <a:noFill/>
                  </pic:spPr>
                </pic:pic>
              </a:graphicData>
            </a:graphic>
          </wp:inline>
        </w:drawing>
      </w:r>
    </w:p>
    <w:p w14:paraId="29370885" w14:textId="59132E10" w:rsidR="00BD770F" w:rsidRPr="00E60B8D" w:rsidRDefault="00BD770F" w:rsidP="002C4BF8">
      <w:pPr>
        <w:pStyle w:val="Caption"/>
        <w:jc w:val="both"/>
        <w:rPr>
          <w:i w:val="0"/>
          <w:iCs w:val="0"/>
          <w:color w:val="auto"/>
          <w:sz w:val="24"/>
          <w:szCs w:val="24"/>
        </w:rPr>
      </w:pPr>
      <w:bookmarkStart w:id="140" w:name="_Toc131948741"/>
      <w:r w:rsidRPr="00E60B8D">
        <w:rPr>
          <w:b/>
          <w:bCs/>
          <w:i w:val="0"/>
          <w:iCs w:val="0"/>
          <w:color w:val="auto"/>
          <w:sz w:val="24"/>
          <w:szCs w:val="24"/>
        </w:rPr>
        <w:t xml:space="preserve">Figure </w:t>
      </w:r>
      <w:r w:rsidRPr="00E60B8D">
        <w:rPr>
          <w:b/>
          <w:bCs/>
          <w:i w:val="0"/>
          <w:iCs w:val="0"/>
          <w:color w:val="auto"/>
          <w:sz w:val="24"/>
          <w:szCs w:val="24"/>
        </w:rPr>
        <w:fldChar w:fldCharType="begin"/>
      </w:r>
      <w:r w:rsidRPr="00E60B8D">
        <w:rPr>
          <w:b/>
          <w:bCs/>
          <w:i w:val="0"/>
          <w:iCs w:val="0"/>
          <w:color w:val="auto"/>
          <w:sz w:val="24"/>
          <w:szCs w:val="24"/>
        </w:rPr>
        <w:instrText xml:space="preserve"> SEQ Figure \* ARABIC </w:instrText>
      </w:r>
      <w:r w:rsidRPr="00E60B8D">
        <w:rPr>
          <w:b/>
          <w:bCs/>
          <w:i w:val="0"/>
          <w:iCs w:val="0"/>
          <w:color w:val="auto"/>
          <w:sz w:val="24"/>
          <w:szCs w:val="24"/>
        </w:rPr>
        <w:fldChar w:fldCharType="separate"/>
      </w:r>
      <w:r w:rsidR="001F4741">
        <w:rPr>
          <w:b/>
          <w:bCs/>
          <w:i w:val="0"/>
          <w:iCs w:val="0"/>
          <w:noProof/>
          <w:color w:val="auto"/>
          <w:sz w:val="24"/>
          <w:szCs w:val="24"/>
        </w:rPr>
        <w:t>77</w:t>
      </w:r>
      <w:r w:rsidRPr="00E60B8D">
        <w:rPr>
          <w:b/>
          <w:bCs/>
          <w:i w:val="0"/>
          <w:iCs w:val="0"/>
          <w:color w:val="auto"/>
          <w:sz w:val="24"/>
          <w:szCs w:val="24"/>
        </w:rPr>
        <w:fldChar w:fldCharType="end"/>
      </w:r>
      <w:r w:rsidRPr="00E60B8D">
        <w:rPr>
          <w:b/>
          <w:bCs/>
          <w:i w:val="0"/>
          <w:iCs w:val="0"/>
          <w:color w:val="auto"/>
          <w:sz w:val="24"/>
          <w:szCs w:val="24"/>
        </w:rPr>
        <w:t>:</w:t>
      </w:r>
      <w:r w:rsidRPr="00E60B8D">
        <w:rPr>
          <w:i w:val="0"/>
          <w:iCs w:val="0"/>
          <w:color w:val="auto"/>
          <w:sz w:val="24"/>
          <w:szCs w:val="24"/>
        </w:rPr>
        <w:t xml:space="preserve"> Relative isooctane conversion activity as a function of percentage of titrates sites in zeolite Y15 and Y30 in flow mode reactions.</w:t>
      </w:r>
      <w:bookmarkEnd w:id="140"/>
    </w:p>
    <w:p w14:paraId="3F4E9748" w14:textId="46B9C277" w:rsidR="00BD770F" w:rsidRDefault="00BD770F" w:rsidP="00782FA5">
      <w:pPr>
        <w:spacing w:line="480" w:lineRule="auto"/>
        <w:jc w:val="both"/>
      </w:pPr>
      <w:r>
        <w:tab/>
        <w:t xml:space="preserve">In order to investigate accurately these synergistic sites and the possible proximity influence over activity, the steamed and acid leached zeolite Y15 is chosen as the studied catalyst due to the less or none effect of MTL, the moderate site concentration, and also the larger contribution on catalytic activity some sites have. </w:t>
      </w:r>
    </w:p>
    <w:p w14:paraId="144089AB" w14:textId="0E813BC4" w:rsidR="000C5292" w:rsidRDefault="000C5292" w:rsidP="00782FA5">
      <w:pPr>
        <w:spacing w:line="480" w:lineRule="auto"/>
        <w:jc w:val="both"/>
      </w:pPr>
    </w:p>
    <w:p w14:paraId="450E6B24" w14:textId="77777777" w:rsidR="00BD770F" w:rsidRPr="008968F0" w:rsidRDefault="00BD770F" w:rsidP="000C5292">
      <w:pPr>
        <w:pStyle w:val="Heading3"/>
        <w:rPr>
          <w:u w:val="single"/>
        </w:rPr>
      </w:pPr>
      <w:bookmarkStart w:id="141" w:name="_Toc132924221"/>
      <w:r w:rsidRPr="008968F0">
        <w:rPr>
          <w:u w:val="single"/>
        </w:rPr>
        <w:t>4.3.4 Pair-Acid Site Study over Y15: A Product Selectivity Analysis</w:t>
      </w:r>
      <w:bookmarkEnd w:id="141"/>
    </w:p>
    <w:p w14:paraId="55311094" w14:textId="72258C39" w:rsidR="00BD770F" w:rsidRDefault="00BD770F" w:rsidP="00782FA5">
      <w:pPr>
        <w:spacing w:line="480" w:lineRule="auto"/>
        <w:jc w:val="both"/>
      </w:pPr>
      <w:r w:rsidRPr="002F2C15">
        <w:tab/>
      </w:r>
      <w:r w:rsidRPr="0083056D">
        <w:t>I</w:t>
      </w:r>
      <w:r>
        <w:t>n early results it was observed existing differences between the two commercial steamed zeolites in regards of C</w:t>
      </w:r>
      <w:r w:rsidRPr="002F2C15">
        <w:rPr>
          <w:vertAlign w:val="subscript"/>
        </w:rPr>
        <w:t>4</w:t>
      </w:r>
      <w:r>
        <w:t xml:space="preserve"> selectivity, by using the H-transfer ratio (C</w:t>
      </w:r>
      <w:r w:rsidRPr="00CD4D69">
        <w:rPr>
          <w:vertAlign w:val="subscript"/>
        </w:rPr>
        <w:t>4</w:t>
      </w:r>
      <w:r>
        <w:t>/C</w:t>
      </w:r>
      <w:r w:rsidRPr="00B71B13">
        <w:rPr>
          <w:vertAlign w:val="subscript"/>
        </w:rPr>
        <w:t>4=</w:t>
      </w:r>
      <w:r>
        <w:t xml:space="preserve">) as a mean to compare in which proportion the adsorbed isobutoxide receives a H from a donor specie. Besides zeolite properties, the mode in which the gas phase reactions are run does also interfere in the results and their interpretation. Pulse mode is characterized to expose the reactant to the catalyst bed for short and intermittent period of times whereas flow mode </w:t>
      </w:r>
      <w:r>
        <w:lastRenderedPageBreak/>
        <w:t xml:space="preserve">provides a continuous contact between the reacting specie and reaction environment. Reaction wise in isooctane cracking one can visualize a low surface coverage and low reactant concentrations around the active site in pulse mode, while a high coverage and concentrations enough to provide a higher H-transfer rate for those absorbed H-donor species. In Y15 this behavior </w:t>
      </w:r>
      <w:r w:rsidRPr="00131442">
        <w:t>is evident when H-transfer ratio is plotted with increasing conversion in both modes (</w:t>
      </w:r>
      <w:r w:rsidRPr="00131442">
        <w:rPr>
          <w:b/>
          <w:bCs/>
        </w:rPr>
        <w:t xml:space="preserve">Figure </w:t>
      </w:r>
      <w:r w:rsidR="001154F4" w:rsidRPr="00131442">
        <w:rPr>
          <w:b/>
          <w:bCs/>
        </w:rPr>
        <w:t>78</w:t>
      </w:r>
      <w:r w:rsidRPr="00131442">
        <w:rPr>
          <w:b/>
          <w:bCs/>
        </w:rPr>
        <w:t>.a)</w:t>
      </w:r>
      <w:r w:rsidRPr="00131442">
        <w:t>). It is obvious that at higher conversions of isooctane from both mechanisms would generate higher concentrations of adsorbed C</w:t>
      </w:r>
      <w:r w:rsidRPr="00131442">
        <w:rPr>
          <w:vertAlign w:val="subscript"/>
        </w:rPr>
        <w:t>4</w:t>
      </w:r>
      <w:r w:rsidRPr="00131442">
        <w:rPr>
          <w:vertAlign w:val="superscript"/>
        </w:rPr>
        <w:t>+</w:t>
      </w:r>
      <w:r w:rsidRPr="00131442">
        <w:t>s and a following increase in that iC</w:t>
      </w:r>
      <w:r w:rsidRPr="00131442">
        <w:rPr>
          <w:vertAlign w:val="subscript"/>
        </w:rPr>
        <w:t>8</w:t>
      </w:r>
      <w:r w:rsidRPr="00131442">
        <w:rPr>
          <w:vertAlign w:val="superscript"/>
        </w:rPr>
        <w:t>+</w:t>
      </w:r>
      <w:r w:rsidRPr="00131442">
        <w:t xml:space="preserve"> carbenium ion formation rate, as a result of its dependence on H-receptors concentration to initiate this reaction pathway. A consequent drop in C</w:t>
      </w:r>
      <w:r w:rsidRPr="00131442">
        <w:rPr>
          <w:vertAlign w:val="subscript"/>
        </w:rPr>
        <w:t>1</w:t>
      </w:r>
      <w:r w:rsidRPr="00131442">
        <w:t xml:space="preserve"> selectivity is followed (</w:t>
      </w:r>
      <w:r w:rsidRPr="00131442">
        <w:rPr>
          <w:b/>
          <w:bCs/>
        </w:rPr>
        <w:t xml:space="preserve">Figure </w:t>
      </w:r>
      <w:r w:rsidR="001154F4" w:rsidRPr="00131442">
        <w:rPr>
          <w:b/>
          <w:bCs/>
        </w:rPr>
        <w:t>78</w:t>
      </w:r>
      <w:r w:rsidRPr="00131442">
        <w:rPr>
          <w:b/>
          <w:bCs/>
        </w:rPr>
        <w:t>.b)</w:t>
      </w:r>
      <w:r w:rsidRPr="00131442">
        <w:t>).</w:t>
      </w:r>
    </w:p>
    <w:p w14:paraId="5655E910" w14:textId="77777777" w:rsidR="00BD770F" w:rsidRDefault="00BD770F" w:rsidP="002C4BF8">
      <w:pPr>
        <w:keepNext/>
        <w:jc w:val="center"/>
      </w:pPr>
      <w:r w:rsidRPr="00FA36A9">
        <w:rPr>
          <w:noProof/>
        </w:rPr>
        <w:lastRenderedPageBreak/>
        <w:drawing>
          <wp:inline distT="0" distB="0" distL="0" distR="0" wp14:anchorId="50E36E84" wp14:editId="4013AA26">
            <wp:extent cx="3471348" cy="4572000"/>
            <wp:effectExtent l="0" t="0" r="0" b="0"/>
            <wp:docPr id="81" name="Picture 8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Chart, scatter chart&#10;&#10;Description automatically generated"/>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471348" cy="4572000"/>
                    </a:xfrm>
                    <a:prstGeom prst="rect">
                      <a:avLst/>
                    </a:prstGeom>
                    <a:noFill/>
                  </pic:spPr>
                </pic:pic>
              </a:graphicData>
            </a:graphic>
          </wp:inline>
        </w:drawing>
      </w:r>
    </w:p>
    <w:p w14:paraId="38DAE8D9" w14:textId="16A61824" w:rsidR="00BD770F" w:rsidRPr="00E60B8D" w:rsidRDefault="00BD770F" w:rsidP="002C4BF8">
      <w:pPr>
        <w:pStyle w:val="Caption"/>
        <w:jc w:val="both"/>
        <w:rPr>
          <w:i w:val="0"/>
          <w:iCs w:val="0"/>
          <w:color w:val="auto"/>
          <w:sz w:val="24"/>
          <w:szCs w:val="24"/>
        </w:rPr>
      </w:pPr>
      <w:bookmarkStart w:id="142" w:name="_Toc131948742"/>
      <w:r w:rsidRPr="00E60B8D">
        <w:rPr>
          <w:b/>
          <w:bCs/>
          <w:i w:val="0"/>
          <w:iCs w:val="0"/>
          <w:color w:val="auto"/>
          <w:sz w:val="24"/>
          <w:szCs w:val="24"/>
        </w:rPr>
        <w:t xml:space="preserve">Figure </w:t>
      </w:r>
      <w:r w:rsidRPr="00E60B8D">
        <w:rPr>
          <w:b/>
          <w:bCs/>
          <w:i w:val="0"/>
          <w:iCs w:val="0"/>
          <w:color w:val="auto"/>
          <w:sz w:val="24"/>
          <w:szCs w:val="24"/>
        </w:rPr>
        <w:fldChar w:fldCharType="begin"/>
      </w:r>
      <w:r w:rsidRPr="00E60B8D">
        <w:rPr>
          <w:b/>
          <w:bCs/>
          <w:i w:val="0"/>
          <w:iCs w:val="0"/>
          <w:color w:val="auto"/>
          <w:sz w:val="24"/>
          <w:szCs w:val="24"/>
        </w:rPr>
        <w:instrText xml:space="preserve"> SEQ Figure \* ARABIC </w:instrText>
      </w:r>
      <w:r w:rsidRPr="00E60B8D">
        <w:rPr>
          <w:b/>
          <w:bCs/>
          <w:i w:val="0"/>
          <w:iCs w:val="0"/>
          <w:color w:val="auto"/>
          <w:sz w:val="24"/>
          <w:szCs w:val="24"/>
        </w:rPr>
        <w:fldChar w:fldCharType="separate"/>
      </w:r>
      <w:r w:rsidR="001F4741">
        <w:rPr>
          <w:b/>
          <w:bCs/>
          <w:i w:val="0"/>
          <w:iCs w:val="0"/>
          <w:noProof/>
          <w:color w:val="auto"/>
          <w:sz w:val="24"/>
          <w:szCs w:val="24"/>
        </w:rPr>
        <w:t>78</w:t>
      </w:r>
      <w:r w:rsidRPr="00E60B8D">
        <w:rPr>
          <w:b/>
          <w:bCs/>
          <w:i w:val="0"/>
          <w:iCs w:val="0"/>
          <w:color w:val="auto"/>
          <w:sz w:val="24"/>
          <w:szCs w:val="24"/>
        </w:rPr>
        <w:fldChar w:fldCharType="end"/>
      </w:r>
      <w:r w:rsidRPr="001154F4">
        <w:rPr>
          <w:b/>
          <w:bCs/>
          <w:i w:val="0"/>
          <w:iCs w:val="0"/>
          <w:color w:val="auto"/>
          <w:sz w:val="24"/>
          <w:szCs w:val="24"/>
        </w:rPr>
        <w:t>: a)</w:t>
      </w:r>
      <w:r w:rsidRPr="00E60B8D">
        <w:rPr>
          <w:i w:val="0"/>
          <w:iCs w:val="0"/>
          <w:color w:val="auto"/>
          <w:sz w:val="24"/>
          <w:szCs w:val="24"/>
        </w:rPr>
        <w:t xml:space="preserve"> H-transfer ratio (C</w:t>
      </w:r>
      <w:r w:rsidRPr="001154F4">
        <w:rPr>
          <w:i w:val="0"/>
          <w:iCs w:val="0"/>
          <w:color w:val="auto"/>
          <w:sz w:val="24"/>
          <w:szCs w:val="24"/>
          <w:vertAlign w:val="subscript"/>
        </w:rPr>
        <w:t>4</w:t>
      </w:r>
      <w:r w:rsidRPr="00E60B8D">
        <w:rPr>
          <w:i w:val="0"/>
          <w:iCs w:val="0"/>
          <w:color w:val="auto"/>
          <w:sz w:val="24"/>
          <w:szCs w:val="24"/>
        </w:rPr>
        <w:t>/C</w:t>
      </w:r>
      <w:r w:rsidRPr="001154F4">
        <w:rPr>
          <w:i w:val="0"/>
          <w:iCs w:val="0"/>
          <w:color w:val="auto"/>
          <w:sz w:val="24"/>
          <w:szCs w:val="24"/>
          <w:vertAlign w:val="subscript"/>
        </w:rPr>
        <w:t>4=</w:t>
      </w:r>
      <w:r w:rsidRPr="00E60B8D">
        <w:rPr>
          <w:i w:val="0"/>
          <w:iCs w:val="0"/>
          <w:color w:val="auto"/>
          <w:sz w:val="24"/>
          <w:szCs w:val="24"/>
        </w:rPr>
        <w:t xml:space="preserve">) and </w:t>
      </w:r>
      <w:r w:rsidRPr="001154F4">
        <w:rPr>
          <w:b/>
          <w:bCs/>
          <w:i w:val="0"/>
          <w:iCs w:val="0"/>
          <w:color w:val="auto"/>
          <w:sz w:val="24"/>
          <w:szCs w:val="24"/>
        </w:rPr>
        <w:t>b)</w:t>
      </w:r>
      <w:r w:rsidRPr="00E60B8D">
        <w:rPr>
          <w:i w:val="0"/>
          <w:iCs w:val="0"/>
          <w:color w:val="auto"/>
          <w:sz w:val="24"/>
          <w:szCs w:val="24"/>
        </w:rPr>
        <w:t xml:space="preserve"> C</w:t>
      </w:r>
      <w:r w:rsidRPr="001154F4">
        <w:rPr>
          <w:i w:val="0"/>
          <w:iCs w:val="0"/>
          <w:color w:val="auto"/>
          <w:sz w:val="24"/>
          <w:szCs w:val="24"/>
          <w:vertAlign w:val="subscript"/>
        </w:rPr>
        <w:t>1</w:t>
      </w:r>
      <w:r w:rsidRPr="00E60B8D">
        <w:rPr>
          <w:i w:val="0"/>
          <w:iCs w:val="0"/>
          <w:color w:val="auto"/>
          <w:sz w:val="24"/>
          <w:szCs w:val="24"/>
        </w:rPr>
        <w:t xml:space="preserve"> selectivity as a function isooctane conversion in zeolite Y15. A comparison between reaction modes.</w:t>
      </w:r>
      <w:bookmarkEnd w:id="142"/>
    </w:p>
    <w:p w14:paraId="4123A519" w14:textId="77777777" w:rsidR="00BD770F" w:rsidRDefault="00BD770F" w:rsidP="00782FA5">
      <w:pPr>
        <w:spacing w:line="480" w:lineRule="auto"/>
        <w:jc w:val="both"/>
      </w:pPr>
      <w:r>
        <w:tab/>
        <w:t>The observed abrupt drop in activity at low Na-loadings can also be examined with two other bivalent metal cations such as calcium (Ca) and cobalt (Co). The difference stands in their capability of titrating pair-sites instead for their 2</w:t>
      </w:r>
      <w:r w:rsidRPr="00BD11A4">
        <w:rPr>
          <w:vertAlign w:val="superscript"/>
        </w:rPr>
        <w:t>+</w:t>
      </w:r>
      <w:r>
        <w:t xml:space="preserve"> positive charge. By exchanging similar loadings to that used in the low Na-exchanged catalyst (0.01 mol of alkaline salt per liter of solution) a resulting BAS density of 0.29 and 0.33 mmol of H</w:t>
      </w:r>
      <w:r w:rsidRPr="00877640">
        <w:rPr>
          <w:vertAlign w:val="superscript"/>
        </w:rPr>
        <w:t>+</w:t>
      </w:r>
      <w:r>
        <w:t xml:space="preserve"> per gram of catalyst respective to Ca and Co is found, in close exchange degree compared to 0.33 mmol/g</w:t>
      </w:r>
      <w:r w:rsidRPr="00AC5030">
        <w:rPr>
          <w:vertAlign w:val="subscript"/>
        </w:rPr>
        <w:t>cat</w:t>
      </w:r>
      <w:r>
        <w:t xml:space="preserve"> in Na. If this pair-site titration functionality is true for both metals, a loss in activity in similar degrees of Na is expected as well as a contrast in H-transfer ratio to that parent zeolite.</w:t>
      </w:r>
    </w:p>
    <w:p w14:paraId="0F8188E0" w14:textId="6D76A471" w:rsidR="00BD770F" w:rsidRDefault="00BD770F" w:rsidP="00782FA5">
      <w:pPr>
        <w:spacing w:line="480" w:lineRule="auto"/>
        <w:jc w:val="both"/>
      </w:pPr>
      <w:r>
        <w:lastRenderedPageBreak/>
        <w:tab/>
        <w:t xml:space="preserve">The gas phase isooctane cracking reactions over zeolite Y15 and exchanged samples presented differences in conversions as </w:t>
      </w:r>
      <w:r w:rsidRPr="00FA36A9">
        <w:t xml:space="preserve">shown in </w:t>
      </w:r>
      <w:r w:rsidRPr="00FA36A9">
        <w:rPr>
          <w:b/>
          <w:bCs/>
        </w:rPr>
        <w:t xml:space="preserve">Figure </w:t>
      </w:r>
      <w:r w:rsidR="001154F4" w:rsidRPr="00FA36A9">
        <w:rPr>
          <w:b/>
          <w:bCs/>
        </w:rPr>
        <w:t>79</w:t>
      </w:r>
      <w:r w:rsidRPr="00FA36A9">
        <w:t>. Conversion</w:t>
      </w:r>
      <w:r>
        <w:t xml:space="preserve"> per mmol of acid sites basis is capable of demonstrating a higher site activity comparison among samples, and as for those exchanged zeolites a similar conversion degree is occured.</w:t>
      </w:r>
    </w:p>
    <w:p w14:paraId="776CB637" w14:textId="77777777" w:rsidR="00BD770F" w:rsidRDefault="00BD770F" w:rsidP="002C4BF8">
      <w:pPr>
        <w:keepNext/>
        <w:jc w:val="center"/>
      </w:pPr>
      <w:r>
        <w:rPr>
          <w:noProof/>
        </w:rPr>
        <w:drawing>
          <wp:inline distT="0" distB="0" distL="0" distR="0" wp14:anchorId="4D7358BC" wp14:editId="5D1FF179">
            <wp:extent cx="4497972" cy="2560320"/>
            <wp:effectExtent l="0" t="0" r="0" b="0"/>
            <wp:docPr id="82" name="Picture 8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Chart&#10;&#10;Description automatically generated"/>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497972" cy="2560320"/>
                    </a:xfrm>
                    <a:prstGeom prst="rect">
                      <a:avLst/>
                    </a:prstGeom>
                    <a:noFill/>
                  </pic:spPr>
                </pic:pic>
              </a:graphicData>
            </a:graphic>
          </wp:inline>
        </w:drawing>
      </w:r>
    </w:p>
    <w:p w14:paraId="209748B4" w14:textId="2A76A792" w:rsidR="00BD770F" w:rsidRPr="00E60B8D" w:rsidRDefault="00BD770F" w:rsidP="002C4BF8">
      <w:pPr>
        <w:pStyle w:val="Caption"/>
        <w:jc w:val="both"/>
        <w:rPr>
          <w:i w:val="0"/>
          <w:iCs w:val="0"/>
          <w:color w:val="auto"/>
          <w:sz w:val="24"/>
          <w:szCs w:val="24"/>
        </w:rPr>
      </w:pPr>
      <w:bookmarkStart w:id="143" w:name="_Toc131948743"/>
      <w:r w:rsidRPr="00E60B8D">
        <w:rPr>
          <w:b/>
          <w:bCs/>
          <w:i w:val="0"/>
          <w:iCs w:val="0"/>
          <w:color w:val="auto"/>
          <w:sz w:val="24"/>
          <w:szCs w:val="24"/>
        </w:rPr>
        <w:t xml:space="preserve">Figure </w:t>
      </w:r>
      <w:r w:rsidRPr="00E60B8D">
        <w:rPr>
          <w:b/>
          <w:bCs/>
          <w:i w:val="0"/>
          <w:iCs w:val="0"/>
          <w:color w:val="auto"/>
          <w:sz w:val="24"/>
          <w:szCs w:val="24"/>
        </w:rPr>
        <w:fldChar w:fldCharType="begin"/>
      </w:r>
      <w:r w:rsidRPr="00E60B8D">
        <w:rPr>
          <w:b/>
          <w:bCs/>
          <w:i w:val="0"/>
          <w:iCs w:val="0"/>
          <w:color w:val="auto"/>
          <w:sz w:val="24"/>
          <w:szCs w:val="24"/>
        </w:rPr>
        <w:instrText xml:space="preserve"> SEQ Figure \* ARABIC </w:instrText>
      </w:r>
      <w:r w:rsidRPr="00E60B8D">
        <w:rPr>
          <w:b/>
          <w:bCs/>
          <w:i w:val="0"/>
          <w:iCs w:val="0"/>
          <w:color w:val="auto"/>
          <w:sz w:val="24"/>
          <w:szCs w:val="24"/>
        </w:rPr>
        <w:fldChar w:fldCharType="separate"/>
      </w:r>
      <w:r w:rsidR="001F4741">
        <w:rPr>
          <w:b/>
          <w:bCs/>
          <w:i w:val="0"/>
          <w:iCs w:val="0"/>
          <w:noProof/>
          <w:color w:val="auto"/>
          <w:sz w:val="24"/>
          <w:szCs w:val="24"/>
        </w:rPr>
        <w:t>79</w:t>
      </w:r>
      <w:r w:rsidRPr="00E60B8D">
        <w:rPr>
          <w:b/>
          <w:bCs/>
          <w:i w:val="0"/>
          <w:iCs w:val="0"/>
          <w:color w:val="auto"/>
          <w:sz w:val="24"/>
          <w:szCs w:val="24"/>
        </w:rPr>
        <w:fldChar w:fldCharType="end"/>
      </w:r>
      <w:r w:rsidRPr="00E60B8D">
        <w:rPr>
          <w:b/>
          <w:bCs/>
          <w:i w:val="0"/>
          <w:iCs w:val="0"/>
          <w:color w:val="auto"/>
          <w:sz w:val="24"/>
          <w:szCs w:val="24"/>
        </w:rPr>
        <w:t>:</w:t>
      </w:r>
      <w:r w:rsidRPr="00E60B8D">
        <w:rPr>
          <w:i w:val="0"/>
          <w:iCs w:val="0"/>
          <w:color w:val="auto"/>
          <w:sz w:val="24"/>
          <w:szCs w:val="24"/>
        </w:rPr>
        <w:t xml:space="preserve"> Conversion difference between initial Y15 and metal-exchanged zeolites, both as per Brønsted acid site basis gram of catalysis basis.</w:t>
      </w:r>
      <w:bookmarkEnd w:id="143"/>
    </w:p>
    <w:p w14:paraId="66CCEA72" w14:textId="0FB1A9F2" w:rsidR="00BD770F" w:rsidRDefault="00BD770F" w:rsidP="00782FA5">
      <w:pPr>
        <w:spacing w:line="480" w:lineRule="auto"/>
        <w:jc w:val="both"/>
      </w:pPr>
      <w:r>
        <w:tab/>
        <w:t>As the C</w:t>
      </w:r>
      <w:r w:rsidRPr="00F672C0">
        <w:rPr>
          <w:vertAlign w:val="subscript"/>
        </w:rPr>
        <w:t>4</w:t>
      </w:r>
      <w:r>
        <w:t>/C</w:t>
      </w:r>
      <w:r w:rsidRPr="00F672C0">
        <w:rPr>
          <w:vertAlign w:val="subscript"/>
        </w:rPr>
        <w:t>4=</w:t>
      </w:r>
      <w:r>
        <w:t xml:space="preserve"> ratio is analyzed an improvement is noticed as sites were titrated mainly for that Ca-exchanged sample in pulse mode </w:t>
      </w:r>
      <w:r w:rsidRPr="00131442">
        <w:t>reactions (</w:t>
      </w:r>
      <w:r w:rsidRPr="00131442">
        <w:rPr>
          <w:b/>
          <w:bCs/>
        </w:rPr>
        <w:t xml:space="preserve">Figure </w:t>
      </w:r>
      <w:r w:rsidR="001154F4" w:rsidRPr="00131442">
        <w:rPr>
          <w:b/>
          <w:bCs/>
        </w:rPr>
        <w:t>80</w:t>
      </w:r>
      <w:r w:rsidRPr="00131442">
        <w:rPr>
          <w:b/>
          <w:bCs/>
        </w:rPr>
        <w:t>.a)</w:t>
      </w:r>
      <w:r w:rsidRPr="00131442">
        <w:t>). The Na-Y15 had similar C</w:t>
      </w:r>
      <w:r w:rsidRPr="00131442">
        <w:rPr>
          <w:vertAlign w:val="subscript"/>
        </w:rPr>
        <w:t>4</w:t>
      </w:r>
      <w:r w:rsidRPr="00131442">
        <w:t xml:space="preserve"> formation as the parent Y15 at low conversions but as conversion increases contrast becomes more evident. No distinguishable differences among samples were noticed in flow mode, but with an apparent improvement in H-transfer rate as discussed before (</w:t>
      </w:r>
      <w:r w:rsidRPr="00131442">
        <w:rPr>
          <w:b/>
          <w:bCs/>
        </w:rPr>
        <w:t xml:space="preserve">Figure </w:t>
      </w:r>
      <w:r w:rsidR="001154F4" w:rsidRPr="00131442">
        <w:rPr>
          <w:b/>
          <w:bCs/>
        </w:rPr>
        <w:t>80</w:t>
      </w:r>
      <w:r w:rsidRPr="00131442">
        <w:rPr>
          <w:b/>
          <w:bCs/>
        </w:rPr>
        <w:t>.b)</w:t>
      </w:r>
      <w:r w:rsidRPr="00131442">
        <w:t>). The premise</w:t>
      </w:r>
      <w:r>
        <w:t xml:space="preserve"> of calcium titrating effectively the pair-sites is confirmed and affects C</w:t>
      </w:r>
      <w:r w:rsidRPr="00F1507B">
        <w:rPr>
          <w:vertAlign w:val="subscript"/>
        </w:rPr>
        <w:t>4</w:t>
      </w:r>
      <w:r>
        <w:t xml:space="preserve"> and C</w:t>
      </w:r>
      <w:r w:rsidRPr="00F1507B">
        <w:rPr>
          <w:vertAlign w:val="subscript"/>
        </w:rPr>
        <w:t>4=</w:t>
      </w:r>
      <w:r>
        <w:t xml:space="preserve"> distribution in comparison to sodium, indeed a greater effect is seen. Cobalt trends slightly deviate upward from Y15 in which a close proximity to calcium as predicted, however this disparity in product distribution shows to favor C</w:t>
      </w:r>
      <w:r w:rsidRPr="00F1507B">
        <w:rPr>
          <w:vertAlign w:val="subscript"/>
        </w:rPr>
        <w:t>4=</w:t>
      </w:r>
      <w:r>
        <w:t xml:space="preserve"> formation confirming cobalt ability to serve as a dehydrogenation catalyst.</w:t>
      </w:r>
    </w:p>
    <w:p w14:paraId="7CA8B5B0" w14:textId="77777777" w:rsidR="00BD770F" w:rsidRDefault="00BD770F" w:rsidP="002C4BF8">
      <w:pPr>
        <w:keepNext/>
        <w:jc w:val="center"/>
      </w:pPr>
      <w:r>
        <w:rPr>
          <w:noProof/>
        </w:rPr>
        <w:lastRenderedPageBreak/>
        <w:drawing>
          <wp:inline distT="0" distB="0" distL="0" distR="0" wp14:anchorId="2D7F8C3F" wp14:editId="113405D6">
            <wp:extent cx="3791711" cy="5029200"/>
            <wp:effectExtent l="0" t="0" r="0" b="0"/>
            <wp:docPr id="83" name="Picture 8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Chart, scatter chart&#10;&#10;Description automatically generated"/>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791711" cy="5029200"/>
                    </a:xfrm>
                    <a:prstGeom prst="rect">
                      <a:avLst/>
                    </a:prstGeom>
                    <a:noFill/>
                  </pic:spPr>
                </pic:pic>
              </a:graphicData>
            </a:graphic>
          </wp:inline>
        </w:drawing>
      </w:r>
    </w:p>
    <w:p w14:paraId="6F4F0E55" w14:textId="7D25C0BC" w:rsidR="00BD770F" w:rsidRPr="00E60B8D" w:rsidRDefault="00BD770F" w:rsidP="002C4BF8">
      <w:pPr>
        <w:pStyle w:val="Caption"/>
        <w:jc w:val="both"/>
        <w:rPr>
          <w:i w:val="0"/>
          <w:iCs w:val="0"/>
          <w:color w:val="auto"/>
          <w:sz w:val="24"/>
          <w:szCs w:val="24"/>
        </w:rPr>
      </w:pPr>
      <w:bookmarkStart w:id="144" w:name="_Toc131948744"/>
      <w:r w:rsidRPr="00E60B8D">
        <w:rPr>
          <w:b/>
          <w:bCs/>
          <w:i w:val="0"/>
          <w:iCs w:val="0"/>
          <w:color w:val="auto"/>
          <w:sz w:val="24"/>
          <w:szCs w:val="24"/>
        </w:rPr>
        <w:t xml:space="preserve">Figure </w:t>
      </w:r>
      <w:r w:rsidRPr="00E60B8D">
        <w:rPr>
          <w:b/>
          <w:bCs/>
          <w:i w:val="0"/>
          <w:iCs w:val="0"/>
          <w:color w:val="auto"/>
          <w:sz w:val="24"/>
          <w:szCs w:val="24"/>
        </w:rPr>
        <w:fldChar w:fldCharType="begin"/>
      </w:r>
      <w:r w:rsidRPr="00E60B8D">
        <w:rPr>
          <w:b/>
          <w:bCs/>
          <w:i w:val="0"/>
          <w:iCs w:val="0"/>
          <w:color w:val="auto"/>
          <w:sz w:val="24"/>
          <w:szCs w:val="24"/>
        </w:rPr>
        <w:instrText xml:space="preserve"> SEQ Figure \* ARABIC </w:instrText>
      </w:r>
      <w:r w:rsidRPr="00E60B8D">
        <w:rPr>
          <w:b/>
          <w:bCs/>
          <w:i w:val="0"/>
          <w:iCs w:val="0"/>
          <w:color w:val="auto"/>
          <w:sz w:val="24"/>
          <w:szCs w:val="24"/>
        </w:rPr>
        <w:fldChar w:fldCharType="separate"/>
      </w:r>
      <w:r w:rsidR="001F4741">
        <w:rPr>
          <w:b/>
          <w:bCs/>
          <w:i w:val="0"/>
          <w:iCs w:val="0"/>
          <w:noProof/>
          <w:color w:val="auto"/>
          <w:sz w:val="24"/>
          <w:szCs w:val="24"/>
        </w:rPr>
        <w:t>80</w:t>
      </w:r>
      <w:r w:rsidRPr="00E60B8D">
        <w:rPr>
          <w:b/>
          <w:bCs/>
          <w:i w:val="0"/>
          <w:iCs w:val="0"/>
          <w:color w:val="auto"/>
          <w:sz w:val="24"/>
          <w:szCs w:val="24"/>
        </w:rPr>
        <w:fldChar w:fldCharType="end"/>
      </w:r>
      <w:r w:rsidRPr="00E60B8D">
        <w:rPr>
          <w:b/>
          <w:bCs/>
          <w:i w:val="0"/>
          <w:iCs w:val="0"/>
          <w:color w:val="auto"/>
          <w:sz w:val="24"/>
          <w:szCs w:val="24"/>
        </w:rPr>
        <w:t>:</w:t>
      </w:r>
      <w:r w:rsidRPr="00E60B8D">
        <w:rPr>
          <w:i w:val="0"/>
          <w:iCs w:val="0"/>
          <w:color w:val="auto"/>
          <w:sz w:val="24"/>
          <w:szCs w:val="24"/>
        </w:rPr>
        <w:t xml:space="preserve"> H-transfer ratio (C</w:t>
      </w:r>
      <w:r w:rsidRPr="00E60B8D">
        <w:rPr>
          <w:i w:val="0"/>
          <w:iCs w:val="0"/>
          <w:color w:val="auto"/>
          <w:sz w:val="24"/>
          <w:szCs w:val="24"/>
          <w:vertAlign w:val="subscript"/>
        </w:rPr>
        <w:t>4</w:t>
      </w:r>
      <w:r w:rsidRPr="00E60B8D">
        <w:rPr>
          <w:i w:val="0"/>
          <w:iCs w:val="0"/>
          <w:color w:val="auto"/>
          <w:sz w:val="24"/>
          <w:szCs w:val="24"/>
        </w:rPr>
        <w:t>/C</w:t>
      </w:r>
      <w:r w:rsidRPr="00E60B8D">
        <w:rPr>
          <w:i w:val="0"/>
          <w:iCs w:val="0"/>
          <w:color w:val="auto"/>
          <w:sz w:val="24"/>
          <w:szCs w:val="24"/>
          <w:vertAlign w:val="subscript"/>
        </w:rPr>
        <w:t>4=</w:t>
      </w:r>
      <w:r w:rsidRPr="00E60B8D">
        <w:rPr>
          <w:i w:val="0"/>
          <w:iCs w:val="0"/>
          <w:color w:val="auto"/>
          <w:sz w:val="24"/>
          <w:szCs w:val="24"/>
        </w:rPr>
        <w:t>) as a function isooctane conversion in zeolite Y15 and Na, Ca and Co-exchanged samples in a) pulse and b) flow reaction mode.</w:t>
      </w:r>
      <w:bookmarkEnd w:id="144"/>
    </w:p>
    <w:p w14:paraId="46E5B436" w14:textId="74A17864" w:rsidR="00BD770F" w:rsidRDefault="00BD770F" w:rsidP="00782FA5">
      <w:pPr>
        <w:spacing w:line="480" w:lineRule="auto"/>
        <w:jc w:val="both"/>
      </w:pPr>
      <w:r w:rsidRPr="00EA6552">
        <w:tab/>
      </w:r>
      <w:r w:rsidRPr="00CF1601">
        <w:t>I</w:t>
      </w:r>
      <w:r>
        <w:t>f C</w:t>
      </w:r>
      <w:r w:rsidRPr="00CF1601">
        <w:rPr>
          <w:vertAlign w:val="subscript"/>
        </w:rPr>
        <w:t>1</w:t>
      </w:r>
      <w:r>
        <w:t xml:space="preserve"> selectivity is analyzed for these runs it is clear an inverse correlation with H-transfer </w:t>
      </w:r>
      <w:r w:rsidRPr="00131442">
        <w:t>rate (</w:t>
      </w:r>
      <w:r w:rsidRPr="00131442">
        <w:rPr>
          <w:b/>
          <w:bCs/>
        </w:rPr>
        <w:t xml:space="preserve">Figure </w:t>
      </w:r>
      <w:r w:rsidR="001154F4" w:rsidRPr="00131442">
        <w:rPr>
          <w:b/>
          <w:bCs/>
        </w:rPr>
        <w:t>8</w:t>
      </w:r>
      <w:r w:rsidRPr="00131442">
        <w:rPr>
          <w:b/>
          <w:bCs/>
        </w:rPr>
        <w:t>1</w:t>
      </w:r>
      <w:r w:rsidRPr="00131442">
        <w:t>). These</w:t>
      </w:r>
      <w:r>
        <w:t xml:space="preserve"> results suggest a site distribution along the mesoporous faujasite samples favoring the protolytic cracking of iC</w:t>
      </w:r>
      <w:r w:rsidRPr="00CF66DC">
        <w:rPr>
          <w:vertAlign w:val="subscript"/>
        </w:rPr>
        <w:t>8</w:t>
      </w:r>
      <w:r>
        <w:t xml:space="preserve"> alternative to H-transfer and iC</w:t>
      </w:r>
      <w:r w:rsidRPr="007A25F9">
        <w:rPr>
          <w:vertAlign w:val="subscript"/>
        </w:rPr>
        <w:t>8</w:t>
      </w:r>
      <w:r w:rsidRPr="007A25F9">
        <w:rPr>
          <w:vertAlign w:val="superscript"/>
        </w:rPr>
        <w:t>+</w:t>
      </w:r>
      <w:r>
        <w:t xml:space="preserve"> carbenium ion formation. These sites are preferentially titrated by the metal cations and in general manage to participate in the reaction mechanism in synergism with a nearby site. Such is inferred due to the more pronounced drop in C</w:t>
      </w:r>
      <w:r w:rsidRPr="001C6A16">
        <w:rPr>
          <w:vertAlign w:val="subscript"/>
        </w:rPr>
        <w:t>1</w:t>
      </w:r>
      <w:r>
        <w:t xml:space="preserve"> selectivity for that Ca-Y15 which has close site exchange extent to Na-Y15. As conversion increases, C</w:t>
      </w:r>
      <w:r w:rsidRPr="00867043">
        <w:rPr>
          <w:vertAlign w:val="subscript"/>
        </w:rPr>
        <w:t>4</w:t>
      </w:r>
      <w:r w:rsidRPr="00867043">
        <w:rPr>
          <w:vertAlign w:val="superscript"/>
        </w:rPr>
        <w:t>+</w:t>
      </w:r>
      <w:r>
        <w:t xml:space="preserve"> carbenium ion is </w:t>
      </w:r>
      <w:r>
        <w:lastRenderedPageBreak/>
        <w:t>abundant and a resulting higher probability of H-transfer takes place explaining the proximity of C</w:t>
      </w:r>
      <w:r w:rsidRPr="00020BCE">
        <w:rPr>
          <w:vertAlign w:val="subscript"/>
        </w:rPr>
        <w:t>1</w:t>
      </w:r>
      <w:r>
        <w:t xml:space="preserve"> selectivity and C</w:t>
      </w:r>
      <w:r w:rsidRPr="00020BCE">
        <w:rPr>
          <w:vertAlign w:val="subscript"/>
        </w:rPr>
        <w:t>4</w:t>
      </w:r>
      <w:r>
        <w:t>/C</w:t>
      </w:r>
      <w:r w:rsidRPr="00020BCE">
        <w:rPr>
          <w:vertAlign w:val="subscript"/>
        </w:rPr>
        <w:t>4=</w:t>
      </w:r>
      <w:r>
        <w:t xml:space="preserve"> ratios between Ca- and Na-samples.</w:t>
      </w:r>
    </w:p>
    <w:p w14:paraId="753F53A8" w14:textId="77777777" w:rsidR="00BD770F" w:rsidRDefault="00BD770F" w:rsidP="002C4BF8">
      <w:pPr>
        <w:keepNext/>
        <w:jc w:val="center"/>
      </w:pPr>
      <w:r>
        <w:rPr>
          <w:b/>
          <w:bCs/>
          <w:noProof/>
        </w:rPr>
        <w:drawing>
          <wp:inline distT="0" distB="0" distL="0" distR="0" wp14:anchorId="13D09805" wp14:editId="4464B0E9">
            <wp:extent cx="3774080" cy="5029200"/>
            <wp:effectExtent l="0" t="0" r="0" b="0"/>
            <wp:docPr id="84" name="Picture 8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Chart, scatter chart&#10;&#10;Description automatically generated"/>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774080" cy="5029200"/>
                    </a:xfrm>
                    <a:prstGeom prst="rect">
                      <a:avLst/>
                    </a:prstGeom>
                    <a:noFill/>
                  </pic:spPr>
                </pic:pic>
              </a:graphicData>
            </a:graphic>
          </wp:inline>
        </w:drawing>
      </w:r>
    </w:p>
    <w:p w14:paraId="19793E48" w14:textId="551BB6B0" w:rsidR="00BD770F" w:rsidRPr="00131442" w:rsidRDefault="00BD770F" w:rsidP="002C4BF8">
      <w:pPr>
        <w:pStyle w:val="Caption"/>
        <w:jc w:val="both"/>
        <w:rPr>
          <w:i w:val="0"/>
          <w:iCs w:val="0"/>
          <w:color w:val="auto"/>
          <w:sz w:val="24"/>
          <w:szCs w:val="24"/>
        </w:rPr>
      </w:pPr>
      <w:bookmarkStart w:id="145" w:name="_Toc131948745"/>
      <w:r w:rsidRPr="00E60B8D">
        <w:rPr>
          <w:b/>
          <w:bCs/>
          <w:i w:val="0"/>
          <w:iCs w:val="0"/>
          <w:color w:val="auto"/>
          <w:sz w:val="24"/>
          <w:szCs w:val="24"/>
        </w:rPr>
        <w:t xml:space="preserve">Figure </w:t>
      </w:r>
      <w:r w:rsidRPr="00E60B8D">
        <w:rPr>
          <w:b/>
          <w:bCs/>
          <w:i w:val="0"/>
          <w:iCs w:val="0"/>
          <w:color w:val="auto"/>
          <w:sz w:val="24"/>
          <w:szCs w:val="24"/>
        </w:rPr>
        <w:fldChar w:fldCharType="begin"/>
      </w:r>
      <w:r w:rsidRPr="00E60B8D">
        <w:rPr>
          <w:b/>
          <w:bCs/>
          <w:i w:val="0"/>
          <w:iCs w:val="0"/>
          <w:color w:val="auto"/>
          <w:sz w:val="24"/>
          <w:szCs w:val="24"/>
        </w:rPr>
        <w:instrText xml:space="preserve"> SEQ Figure \* ARABIC </w:instrText>
      </w:r>
      <w:r w:rsidRPr="00E60B8D">
        <w:rPr>
          <w:b/>
          <w:bCs/>
          <w:i w:val="0"/>
          <w:iCs w:val="0"/>
          <w:color w:val="auto"/>
          <w:sz w:val="24"/>
          <w:szCs w:val="24"/>
        </w:rPr>
        <w:fldChar w:fldCharType="separate"/>
      </w:r>
      <w:r w:rsidR="001F4741">
        <w:rPr>
          <w:b/>
          <w:bCs/>
          <w:i w:val="0"/>
          <w:iCs w:val="0"/>
          <w:noProof/>
          <w:color w:val="auto"/>
          <w:sz w:val="24"/>
          <w:szCs w:val="24"/>
        </w:rPr>
        <w:t>81</w:t>
      </w:r>
      <w:r w:rsidRPr="00E60B8D">
        <w:rPr>
          <w:b/>
          <w:bCs/>
          <w:i w:val="0"/>
          <w:iCs w:val="0"/>
          <w:color w:val="auto"/>
          <w:sz w:val="24"/>
          <w:szCs w:val="24"/>
        </w:rPr>
        <w:fldChar w:fldCharType="end"/>
      </w:r>
      <w:r w:rsidRPr="00E60B8D">
        <w:rPr>
          <w:i w:val="0"/>
          <w:iCs w:val="0"/>
          <w:color w:val="auto"/>
          <w:sz w:val="24"/>
          <w:szCs w:val="24"/>
        </w:rPr>
        <w:t>: C</w:t>
      </w:r>
      <w:r w:rsidRPr="00E60B8D">
        <w:rPr>
          <w:i w:val="0"/>
          <w:iCs w:val="0"/>
          <w:color w:val="auto"/>
          <w:sz w:val="24"/>
          <w:szCs w:val="24"/>
          <w:vertAlign w:val="subscript"/>
        </w:rPr>
        <w:t>1</w:t>
      </w:r>
      <w:r w:rsidRPr="00E60B8D">
        <w:rPr>
          <w:i w:val="0"/>
          <w:iCs w:val="0"/>
          <w:color w:val="auto"/>
          <w:sz w:val="24"/>
          <w:szCs w:val="24"/>
        </w:rPr>
        <w:t xml:space="preserve"> selectivity as a function isooctane conversion in zeolite Y15, Na, Ca and Co-exchanged samples in pulse and </w:t>
      </w:r>
      <w:r w:rsidRPr="00131442">
        <w:rPr>
          <w:i w:val="0"/>
          <w:iCs w:val="0"/>
          <w:color w:val="auto"/>
          <w:sz w:val="24"/>
          <w:szCs w:val="24"/>
        </w:rPr>
        <w:t>flow reaction mode.</w:t>
      </w:r>
      <w:bookmarkEnd w:id="145"/>
    </w:p>
    <w:p w14:paraId="5B571982" w14:textId="0A516677" w:rsidR="00BD770F" w:rsidRDefault="00BD770F" w:rsidP="00782FA5">
      <w:pPr>
        <w:spacing w:line="480" w:lineRule="auto"/>
        <w:jc w:val="both"/>
      </w:pPr>
      <w:r w:rsidRPr="00131442">
        <w:tab/>
        <w:t>Yet, computing C</w:t>
      </w:r>
      <w:r w:rsidRPr="00131442">
        <w:rPr>
          <w:vertAlign w:val="subscript"/>
        </w:rPr>
        <w:t>4</w:t>
      </w:r>
      <w:r w:rsidRPr="00131442">
        <w:t>/C</w:t>
      </w:r>
      <w:r w:rsidRPr="00131442">
        <w:rPr>
          <w:vertAlign w:val="subscript"/>
        </w:rPr>
        <w:t>4=</w:t>
      </w:r>
      <w:r w:rsidRPr="00131442">
        <w:t xml:space="preserve"> versus C</w:t>
      </w:r>
      <w:r w:rsidRPr="00131442">
        <w:rPr>
          <w:vertAlign w:val="subscript"/>
        </w:rPr>
        <w:t>1</w:t>
      </w:r>
      <w:r w:rsidRPr="00131442">
        <w:t xml:space="preserve"> selectivity (</w:t>
      </w:r>
      <w:r w:rsidRPr="00131442">
        <w:rPr>
          <w:b/>
          <w:bCs/>
        </w:rPr>
        <w:t xml:space="preserve">Figure </w:t>
      </w:r>
      <w:r w:rsidR="001154F4" w:rsidRPr="00131442">
        <w:rPr>
          <w:b/>
          <w:bCs/>
        </w:rPr>
        <w:t>82</w:t>
      </w:r>
      <w:r w:rsidRPr="00131442">
        <w:t>) it is remarked</w:t>
      </w:r>
      <w:r>
        <w:t xml:space="preserve"> the overlap between Y15, Y15Na and Y15Ca, showing that the actual differences exist due to suppressing iC</w:t>
      </w:r>
      <w:r w:rsidRPr="00730549">
        <w:rPr>
          <w:vertAlign w:val="subscript"/>
        </w:rPr>
        <w:t>8</w:t>
      </w:r>
      <w:r>
        <w:t xml:space="preserve"> protolytic cracking through titrating those so called synergistic sites. At very low C</w:t>
      </w:r>
      <w:r w:rsidRPr="00A2158F">
        <w:rPr>
          <w:vertAlign w:val="subscript"/>
        </w:rPr>
        <w:t>1</w:t>
      </w:r>
      <w:r>
        <w:t xml:space="preserve"> levels, i.e. close to zero protolytic cracking rates, the C</w:t>
      </w:r>
      <w:r w:rsidRPr="00E7153A">
        <w:rPr>
          <w:vertAlign w:val="subscript"/>
        </w:rPr>
        <w:t>4</w:t>
      </w:r>
      <w:r>
        <w:t>/C</w:t>
      </w:r>
      <w:r w:rsidRPr="00E7153A">
        <w:rPr>
          <w:vertAlign w:val="subscript"/>
        </w:rPr>
        <w:t>4=</w:t>
      </w:r>
      <w:r>
        <w:t xml:space="preserve"> ratio goes to values higher than 1 meaning that a higher formation rate exists for that C</w:t>
      </w:r>
      <w:r w:rsidRPr="00E7153A">
        <w:rPr>
          <w:vertAlign w:val="subscript"/>
        </w:rPr>
        <w:t>4</w:t>
      </w:r>
      <w:r>
        <w:t xml:space="preserve"> paraffin compared to C</w:t>
      </w:r>
      <w:r w:rsidRPr="00E7153A">
        <w:rPr>
          <w:vertAlign w:val="subscript"/>
        </w:rPr>
        <w:t>4</w:t>
      </w:r>
      <w:r>
        <w:t xml:space="preserve"> olefin. The trends point to conclude that a re-adsorption of iC</w:t>
      </w:r>
      <w:r w:rsidRPr="00976732">
        <w:rPr>
          <w:vertAlign w:val="subscript"/>
        </w:rPr>
        <w:t>4=</w:t>
      </w:r>
      <w:r>
        <w:t xml:space="preserve"> occurs and </w:t>
      </w:r>
      <w:r>
        <w:lastRenderedPageBreak/>
        <w:t>are likely to happen at those synergistic sites, because as those are titrated, within the same level of C</w:t>
      </w:r>
      <w:r w:rsidRPr="001F63DC">
        <w:rPr>
          <w:vertAlign w:val="subscript"/>
        </w:rPr>
        <w:t>1</w:t>
      </w:r>
      <w:r>
        <w:t xml:space="preserve"> selectivity, a higher C</w:t>
      </w:r>
      <w:r w:rsidRPr="001F63DC">
        <w:rPr>
          <w:vertAlign w:val="subscript"/>
        </w:rPr>
        <w:t>4</w:t>
      </w:r>
      <w:r>
        <w:t xml:space="preserve"> formation is found, whereas in those exchanged samples to reach similar C</w:t>
      </w:r>
      <w:r w:rsidRPr="001F63DC">
        <w:rPr>
          <w:vertAlign w:val="subscript"/>
        </w:rPr>
        <w:t>4</w:t>
      </w:r>
      <w:r>
        <w:t>/C</w:t>
      </w:r>
      <w:r w:rsidRPr="001F63DC">
        <w:rPr>
          <w:vertAlign w:val="subscript"/>
        </w:rPr>
        <w:t>4=</w:t>
      </w:r>
      <w:r>
        <w:t xml:space="preserve"> ratios a lower rate of protolytic cracking must occur.</w:t>
      </w:r>
    </w:p>
    <w:p w14:paraId="377A89C3" w14:textId="77777777" w:rsidR="00BD770F" w:rsidRDefault="00BD770F" w:rsidP="002C4BF8">
      <w:pPr>
        <w:keepNext/>
        <w:jc w:val="center"/>
      </w:pPr>
      <w:r>
        <w:rPr>
          <w:noProof/>
          <w:lang w:val="pt-BR"/>
        </w:rPr>
        <w:drawing>
          <wp:inline distT="0" distB="0" distL="0" distR="0" wp14:anchorId="65E3C437" wp14:editId="6DEB6F8F">
            <wp:extent cx="3703747" cy="2468880"/>
            <wp:effectExtent l="0" t="0" r="0" b="7620"/>
            <wp:docPr id="85" name="Picture 8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Chart, scatter chart&#10;&#10;Description automatically generated"/>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703747" cy="2468880"/>
                    </a:xfrm>
                    <a:prstGeom prst="rect">
                      <a:avLst/>
                    </a:prstGeom>
                    <a:noFill/>
                  </pic:spPr>
                </pic:pic>
              </a:graphicData>
            </a:graphic>
          </wp:inline>
        </w:drawing>
      </w:r>
    </w:p>
    <w:p w14:paraId="7303C924" w14:textId="3A392627" w:rsidR="00BD770F" w:rsidRPr="00E60B8D" w:rsidRDefault="00BD770F" w:rsidP="002C4BF8">
      <w:pPr>
        <w:pStyle w:val="Caption"/>
        <w:jc w:val="both"/>
        <w:rPr>
          <w:i w:val="0"/>
          <w:iCs w:val="0"/>
          <w:color w:val="auto"/>
          <w:sz w:val="24"/>
          <w:szCs w:val="24"/>
        </w:rPr>
      </w:pPr>
      <w:bookmarkStart w:id="146" w:name="_Toc131948746"/>
      <w:r w:rsidRPr="00E60B8D">
        <w:rPr>
          <w:b/>
          <w:bCs/>
          <w:i w:val="0"/>
          <w:iCs w:val="0"/>
          <w:color w:val="auto"/>
          <w:sz w:val="24"/>
          <w:szCs w:val="24"/>
        </w:rPr>
        <w:t xml:space="preserve">Figure </w:t>
      </w:r>
      <w:r w:rsidRPr="00E60B8D">
        <w:rPr>
          <w:b/>
          <w:bCs/>
          <w:i w:val="0"/>
          <w:iCs w:val="0"/>
          <w:color w:val="auto"/>
          <w:sz w:val="24"/>
          <w:szCs w:val="24"/>
        </w:rPr>
        <w:fldChar w:fldCharType="begin"/>
      </w:r>
      <w:r w:rsidRPr="00E60B8D">
        <w:rPr>
          <w:b/>
          <w:bCs/>
          <w:i w:val="0"/>
          <w:iCs w:val="0"/>
          <w:color w:val="auto"/>
          <w:sz w:val="24"/>
          <w:szCs w:val="24"/>
        </w:rPr>
        <w:instrText xml:space="preserve"> SEQ Figure \* ARABIC </w:instrText>
      </w:r>
      <w:r w:rsidRPr="00E60B8D">
        <w:rPr>
          <w:b/>
          <w:bCs/>
          <w:i w:val="0"/>
          <w:iCs w:val="0"/>
          <w:color w:val="auto"/>
          <w:sz w:val="24"/>
          <w:szCs w:val="24"/>
        </w:rPr>
        <w:fldChar w:fldCharType="separate"/>
      </w:r>
      <w:r w:rsidR="001F4741">
        <w:rPr>
          <w:b/>
          <w:bCs/>
          <w:i w:val="0"/>
          <w:iCs w:val="0"/>
          <w:noProof/>
          <w:color w:val="auto"/>
          <w:sz w:val="24"/>
          <w:szCs w:val="24"/>
        </w:rPr>
        <w:t>82</w:t>
      </w:r>
      <w:r w:rsidRPr="00E60B8D">
        <w:rPr>
          <w:b/>
          <w:bCs/>
          <w:i w:val="0"/>
          <w:iCs w:val="0"/>
          <w:color w:val="auto"/>
          <w:sz w:val="24"/>
          <w:szCs w:val="24"/>
        </w:rPr>
        <w:fldChar w:fldCharType="end"/>
      </w:r>
      <w:r w:rsidRPr="00E60B8D">
        <w:rPr>
          <w:b/>
          <w:bCs/>
          <w:i w:val="0"/>
          <w:iCs w:val="0"/>
          <w:color w:val="auto"/>
          <w:sz w:val="24"/>
          <w:szCs w:val="24"/>
        </w:rPr>
        <w:t>:</w:t>
      </w:r>
      <w:r w:rsidRPr="00E60B8D">
        <w:rPr>
          <w:i w:val="0"/>
          <w:iCs w:val="0"/>
          <w:color w:val="auto"/>
          <w:sz w:val="24"/>
          <w:szCs w:val="24"/>
        </w:rPr>
        <w:t xml:space="preserve"> The inverse correlation between H-transfer ratio (C</w:t>
      </w:r>
      <w:r w:rsidRPr="00E60B8D">
        <w:rPr>
          <w:i w:val="0"/>
          <w:iCs w:val="0"/>
          <w:color w:val="auto"/>
          <w:sz w:val="24"/>
          <w:szCs w:val="24"/>
          <w:vertAlign w:val="subscript"/>
        </w:rPr>
        <w:t>4</w:t>
      </w:r>
      <w:r w:rsidRPr="00E60B8D">
        <w:rPr>
          <w:i w:val="0"/>
          <w:iCs w:val="0"/>
          <w:color w:val="auto"/>
          <w:sz w:val="24"/>
          <w:szCs w:val="24"/>
        </w:rPr>
        <w:t>/C</w:t>
      </w:r>
      <w:r w:rsidRPr="00E60B8D">
        <w:rPr>
          <w:i w:val="0"/>
          <w:iCs w:val="0"/>
          <w:color w:val="auto"/>
          <w:sz w:val="24"/>
          <w:szCs w:val="24"/>
          <w:vertAlign w:val="subscript"/>
        </w:rPr>
        <w:t>4=</w:t>
      </w:r>
      <w:r w:rsidRPr="00E60B8D">
        <w:rPr>
          <w:i w:val="0"/>
          <w:iCs w:val="0"/>
          <w:color w:val="auto"/>
          <w:sz w:val="24"/>
          <w:szCs w:val="24"/>
        </w:rPr>
        <w:t>) and C</w:t>
      </w:r>
      <w:r w:rsidRPr="00E60B8D">
        <w:rPr>
          <w:i w:val="0"/>
          <w:iCs w:val="0"/>
          <w:color w:val="auto"/>
          <w:sz w:val="24"/>
          <w:szCs w:val="24"/>
          <w:vertAlign w:val="subscript"/>
        </w:rPr>
        <w:t>1</w:t>
      </w:r>
      <w:r w:rsidRPr="00E60B8D">
        <w:rPr>
          <w:i w:val="0"/>
          <w:iCs w:val="0"/>
          <w:color w:val="auto"/>
          <w:sz w:val="24"/>
          <w:szCs w:val="24"/>
        </w:rPr>
        <w:t xml:space="preserve"> selectivity over zeolite Y15, Na and Ca-exchanged samples in both reaction modes.</w:t>
      </w:r>
      <w:bookmarkEnd w:id="146"/>
    </w:p>
    <w:p w14:paraId="734858F8" w14:textId="77777777" w:rsidR="00BD770F" w:rsidRDefault="00BD770F" w:rsidP="00782FA5">
      <w:pPr>
        <w:spacing w:line="480" w:lineRule="auto"/>
        <w:jc w:val="both"/>
        <w:rPr>
          <w:sz w:val="28"/>
          <w:szCs w:val="28"/>
        </w:rPr>
      </w:pPr>
    </w:p>
    <w:p w14:paraId="410330C0" w14:textId="77777777" w:rsidR="00782FA5" w:rsidRDefault="00782FA5" w:rsidP="00782FA5">
      <w:pPr>
        <w:spacing w:line="480" w:lineRule="auto"/>
        <w:jc w:val="both"/>
        <w:rPr>
          <w:sz w:val="28"/>
          <w:szCs w:val="28"/>
        </w:rPr>
      </w:pPr>
    </w:p>
    <w:p w14:paraId="5F060BEB" w14:textId="77777777" w:rsidR="00782FA5" w:rsidRDefault="00782FA5" w:rsidP="00782FA5">
      <w:pPr>
        <w:spacing w:line="480" w:lineRule="auto"/>
        <w:jc w:val="both"/>
        <w:rPr>
          <w:sz w:val="28"/>
          <w:szCs w:val="28"/>
        </w:rPr>
      </w:pPr>
    </w:p>
    <w:p w14:paraId="6DC327CC" w14:textId="77777777" w:rsidR="00454844" w:rsidRDefault="00454844" w:rsidP="00782FA5">
      <w:pPr>
        <w:spacing w:line="480" w:lineRule="auto"/>
        <w:jc w:val="both"/>
        <w:rPr>
          <w:sz w:val="28"/>
          <w:szCs w:val="28"/>
        </w:rPr>
      </w:pPr>
    </w:p>
    <w:p w14:paraId="7C0E247E" w14:textId="77777777" w:rsidR="00454844" w:rsidRDefault="00454844" w:rsidP="00782FA5">
      <w:pPr>
        <w:spacing w:line="480" w:lineRule="auto"/>
        <w:jc w:val="both"/>
        <w:rPr>
          <w:sz w:val="28"/>
          <w:szCs w:val="28"/>
        </w:rPr>
      </w:pPr>
    </w:p>
    <w:p w14:paraId="63F553E9" w14:textId="77777777" w:rsidR="00454844" w:rsidRDefault="00454844" w:rsidP="00782FA5">
      <w:pPr>
        <w:spacing w:line="480" w:lineRule="auto"/>
        <w:jc w:val="both"/>
        <w:rPr>
          <w:sz w:val="28"/>
          <w:szCs w:val="28"/>
        </w:rPr>
      </w:pPr>
    </w:p>
    <w:p w14:paraId="1DDAB328" w14:textId="77777777" w:rsidR="00454844" w:rsidRDefault="00454844" w:rsidP="00782FA5">
      <w:pPr>
        <w:spacing w:line="480" w:lineRule="auto"/>
        <w:jc w:val="both"/>
        <w:rPr>
          <w:sz w:val="28"/>
          <w:szCs w:val="28"/>
        </w:rPr>
      </w:pPr>
    </w:p>
    <w:p w14:paraId="2B0D344E" w14:textId="77777777" w:rsidR="00454844" w:rsidRDefault="00454844" w:rsidP="00782FA5">
      <w:pPr>
        <w:spacing w:line="480" w:lineRule="auto"/>
        <w:jc w:val="both"/>
        <w:rPr>
          <w:sz w:val="28"/>
          <w:szCs w:val="28"/>
        </w:rPr>
      </w:pPr>
    </w:p>
    <w:p w14:paraId="691089B2" w14:textId="77777777" w:rsidR="00782FA5" w:rsidRPr="00CE76DC" w:rsidRDefault="00782FA5" w:rsidP="00782FA5">
      <w:pPr>
        <w:spacing w:line="480" w:lineRule="auto"/>
        <w:jc w:val="both"/>
        <w:rPr>
          <w:sz w:val="28"/>
          <w:szCs w:val="28"/>
        </w:rPr>
      </w:pPr>
    </w:p>
    <w:p w14:paraId="398A1BB4" w14:textId="77777777" w:rsidR="00BD770F" w:rsidRPr="000C5292" w:rsidRDefault="00BD770F" w:rsidP="000C5292">
      <w:pPr>
        <w:pStyle w:val="Heading2"/>
        <w:rPr>
          <w:i w:val="0"/>
          <w:iCs/>
          <w:sz w:val="28"/>
          <w:szCs w:val="28"/>
        </w:rPr>
      </w:pPr>
      <w:bookmarkStart w:id="147" w:name="_Toc132924222"/>
      <w:r w:rsidRPr="000C5292">
        <w:rPr>
          <w:i w:val="0"/>
          <w:iCs/>
          <w:sz w:val="28"/>
          <w:szCs w:val="28"/>
        </w:rPr>
        <w:lastRenderedPageBreak/>
        <w:t>4.4 Conclusion</w:t>
      </w:r>
      <w:bookmarkEnd w:id="147"/>
    </w:p>
    <w:p w14:paraId="02559ABE" w14:textId="77777777" w:rsidR="00BD770F" w:rsidRDefault="00BD770F" w:rsidP="00782FA5">
      <w:pPr>
        <w:spacing w:line="480" w:lineRule="auto"/>
        <w:jc w:val="both"/>
      </w:pPr>
      <w:r w:rsidRPr="00917CE2">
        <w:rPr>
          <w:b/>
          <w:bCs/>
        </w:rPr>
        <w:tab/>
      </w:r>
      <w:r>
        <w:t>The introduction of m</w:t>
      </w:r>
      <w:r w:rsidRPr="0049718E">
        <w:t>eso</w:t>
      </w:r>
      <w:r>
        <w:t>porosity in zeolites theoretically mitigates possible mass-transfer limitations existed in the non-modified parent catalyst, fastening reactant diffusion, and exposing active sites to optimum reaction conditions. Through steaming over the parent form of commercial faujasite a consistent drop in concentration of BAS is followed and it progresses as the thermal severity increases. Even with such drop in BAS density, the catalytic cracking conversion of isooctane boosted from 3.9% in Y2.6 to 64.3% in Y15, being 16-times higher per gram of catalysis basis and 100-times per mmol of acid site. Under severe steaming a resulting Y30 zeolite showed a conversion of 15.7%, a 75% reduction to that observed in the other mesoporous sample. This drop was not proportional to the BAS density decrease, and thus inferred the presence of synergistic sites in a higher concentration in Y15.</w:t>
      </w:r>
    </w:p>
    <w:p w14:paraId="291E100A" w14:textId="77777777" w:rsidR="00BD770F" w:rsidRDefault="00BD770F" w:rsidP="00782FA5">
      <w:pPr>
        <w:spacing w:line="480" w:lineRule="auto"/>
        <w:jc w:val="both"/>
      </w:pPr>
      <w:r>
        <w:tab/>
        <w:t>Na-titration helped understanding the impact of these alleged synergistic sites. In the parent zeolite Y2.6 a small degree of MTL is found and the sites presented comparable performance throughout the whole range of titration. Whereas in Y15 and Y30 an unusual and sharp drop was observed within low degrees of exchange. As titration progressed a linear drop was observed for these two catalysts showing that the majority of the sites are alike and that only a fraction has this synergism. An important observation was the near zero conversion of around 60% of the site density in all the cases. It was pointed out a probable isooctane inaccessibility to some sites, but it is also possible that those are active enough to adsorb isopropyl amine and be counted during the characterization technique but does not have enough strength to contribute into isooctane catalytic activity.</w:t>
      </w:r>
    </w:p>
    <w:p w14:paraId="015A1F23" w14:textId="77777777" w:rsidR="00BD770F" w:rsidRDefault="00BD770F" w:rsidP="00782FA5">
      <w:pPr>
        <w:spacing w:line="480" w:lineRule="auto"/>
        <w:jc w:val="both"/>
      </w:pPr>
      <w:r>
        <w:lastRenderedPageBreak/>
        <w:tab/>
        <w:t>Within the particularities of isooctane cracking, t</w:t>
      </w:r>
      <w:r w:rsidRPr="00D435E5">
        <w:t xml:space="preserve">he changes in product selectivity favoring </w:t>
      </w:r>
      <w:r>
        <w:t>an initial H-transfer from the reactant and carbenium formation ion rather than isooctane protonation and carbonium ion formation were a mere result of inactivating sites that are kinetic relevant to one step over the other. Sodium was able to detect their presence, however by using a bivalent cation metal as calcium, sites in close proximity were simultaneously titrated, and thus a shift towards H-transfer occurred. Cobalt was also used to titrate the pair-sites but this catalyst is likely to also participate in dehydrogenation reactions and distorts the results understanding.</w:t>
      </w:r>
    </w:p>
    <w:p w14:paraId="7969417A" w14:textId="77777777" w:rsidR="00BD770F" w:rsidRPr="00BF5361" w:rsidRDefault="00BD770F" w:rsidP="00782FA5">
      <w:pPr>
        <w:spacing w:line="480" w:lineRule="auto"/>
        <w:jc w:val="both"/>
      </w:pPr>
      <w:r>
        <w:tab/>
        <w:t xml:space="preserve">Differences in flow and pulse mode reactions in the gas-phase demonstrate the particularity of each reaction mode and how important it is to choose the appropriate conditions beforehand. Pulse reactions presented to be more relevant in detecting zeolite uniqueness while flow mode revealed a similar behavior for all the catalysts besides the contrast difference in the concentration of acid sites. </w:t>
      </w:r>
      <w:r w:rsidRPr="00BF5361">
        <w:t xml:space="preserve">Yet, the results combination clarified </w:t>
      </w:r>
      <w:r>
        <w:t>the hypotheses and assisted in proving them individually.</w:t>
      </w:r>
    </w:p>
    <w:p w14:paraId="5601D543" w14:textId="77777777" w:rsidR="00BD770F" w:rsidRPr="00514D3F" w:rsidRDefault="00BD770F" w:rsidP="00BD770F">
      <w:pPr>
        <w:jc w:val="both"/>
      </w:pPr>
    </w:p>
    <w:p w14:paraId="34ECFF02" w14:textId="77777777" w:rsidR="00A35A08" w:rsidRDefault="00A35A08" w:rsidP="00CA0F0A"/>
    <w:p w14:paraId="43210746" w14:textId="77777777" w:rsidR="00782FA5" w:rsidRDefault="00782FA5" w:rsidP="00CA0F0A"/>
    <w:p w14:paraId="38BACC91" w14:textId="77777777" w:rsidR="00782FA5" w:rsidRDefault="00782FA5" w:rsidP="00CA0F0A"/>
    <w:p w14:paraId="40CEBF8A" w14:textId="77777777" w:rsidR="00782FA5" w:rsidRDefault="00782FA5" w:rsidP="00CA0F0A"/>
    <w:p w14:paraId="74823DFE" w14:textId="77777777" w:rsidR="00782FA5" w:rsidRDefault="00782FA5" w:rsidP="00CA0F0A"/>
    <w:p w14:paraId="324EB1FC" w14:textId="77777777" w:rsidR="00782FA5" w:rsidRDefault="00782FA5" w:rsidP="00CA0F0A"/>
    <w:p w14:paraId="28427E21" w14:textId="77777777" w:rsidR="00782FA5" w:rsidRDefault="00782FA5" w:rsidP="00CA0F0A"/>
    <w:p w14:paraId="46B60994" w14:textId="77777777" w:rsidR="00782FA5" w:rsidRDefault="00782FA5" w:rsidP="00CA0F0A"/>
    <w:p w14:paraId="4D22E954" w14:textId="77777777" w:rsidR="00782FA5" w:rsidRDefault="00782FA5" w:rsidP="00CA0F0A"/>
    <w:p w14:paraId="6A7112AE" w14:textId="77777777" w:rsidR="00782FA5" w:rsidRDefault="00782FA5" w:rsidP="00CA0F0A"/>
    <w:p w14:paraId="3F7CA554" w14:textId="77777777" w:rsidR="00782FA5" w:rsidRDefault="00782FA5" w:rsidP="00CA0F0A"/>
    <w:p w14:paraId="323F61E6" w14:textId="77777777" w:rsidR="00782FA5" w:rsidRDefault="00782FA5" w:rsidP="00CA0F0A"/>
    <w:p w14:paraId="1B571109" w14:textId="77777777" w:rsidR="00782FA5" w:rsidRDefault="00782FA5" w:rsidP="00CA0F0A"/>
    <w:p w14:paraId="73933EF1" w14:textId="77777777" w:rsidR="00782FA5" w:rsidRDefault="00782FA5" w:rsidP="00CA0F0A"/>
    <w:p w14:paraId="7C29AF6D" w14:textId="77777777" w:rsidR="00782FA5" w:rsidRDefault="00782FA5" w:rsidP="00CA0F0A"/>
    <w:p w14:paraId="216AA8B9" w14:textId="77777777" w:rsidR="00782FA5" w:rsidRDefault="00782FA5" w:rsidP="00CA0F0A"/>
    <w:p w14:paraId="5097D636" w14:textId="77777777" w:rsidR="00782FA5" w:rsidRDefault="00782FA5" w:rsidP="00CA0F0A"/>
    <w:p w14:paraId="772F3BF8" w14:textId="77777777" w:rsidR="00CA0F0A" w:rsidRPr="0048189E" w:rsidRDefault="00CA0F0A" w:rsidP="000C5292">
      <w:pPr>
        <w:pStyle w:val="Heading1"/>
        <w:rPr>
          <w:sz w:val="36"/>
          <w:szCs w:val="44"/>
        </w:rPr>
      </w:pPr>
      <w:bookmarkStart w:id="148" w:name="_Toc132924223"/>
      <w:r w:rsidRPr="0048189E">
        <w:rPr>
          <w:sz w:val="36"/>
          <w:szCs w:val="44"/>
        </w:rPr>
        <w:lastRenderedPageBreak/>
        <w:t>References</w:t>
      </w:r>
      <w:bookmarkEnd w:id="148"/>
    </w:p>
    <w:p w14:paraId="3C859EE2" w14:textId="77777777" w:rsidR="00153C10" w:rsidRPr="00DB0390" w:rsidRDefault="00153C10" w:rsidP="00CA0F0A">
      <w:pPr>
        <w:jc w:val="both"/>
        <w:rPr>
          <w:b/>
          <w:bCs/>
          <w:sz w:val="32"/>
          <w:szCs w:val="32"/>
        </w:rPr>
      </w:pPr>
    </w:p>
    <w:p w14:paraId="305B343A" w14:textId="77777777" w:rsidR="00D307FA" w:rsidRPr="00D307FA" w:rsidRDefault="00CA0F0A" w:rsidP="00D307FA">
      <w:pPr>
        <w:pStyle w:val="EndNoteBibliography"/>
        <w:ind w:left="720" w:hanging="720"/>
      </w:pPr>
      <w:r w:rsidRPr="00DB0390">
        <w:fldChar w:fldCharType="begin"/>
      </w:r>
      <w:r w:rsidRPr="00DB0390">
        <w:instrText xml:space="preserve"> ADDIN EN.REFLIST </w:instrText>
      </w:r>
      <w:r w:rsidRPr="00DB0390">
        <w:fldChar w:fldCharType="separate"/>
      </w:r>
      <w:bookmarkStart w:id="149" w:name="_ENREF_1"/>
      <w:r w:rsidR="00D307FA" w:rsidRPr="00D307FA">
        <w:t>[1]</w:t>
      </w:r>
      <w:r w:rsidR="00D307FA" w:rsidRPr="00D307FA">
        <w:tab/>
        <w:t xml:space="preserve">A. Corma, S. Zones, and J. Cejka, </w:t>
      </w:r>
      <w:r w:rsidR="00D307FA" w:rsidRPr="00D307FA">
        <w:rPr>
          <w:i/>
        </w:rPr>
        <w:t>Zeolites and Catalysis: Synthesis, Reactions and Applications</w:t>
      </w:r>
      <w:r w:rsidR="00D307FA" w:rsidRPr="00D307FA">
        <w:t>, p.^pp. 918: John Wiley &amp; Sons, 2010.</w:t>
      </w:r>
      <w:bookmarkEnd w:id="149"/>
    </w:p>
    <w:p w14:paraId="3B9BC80B" w14:textId="77777777" w:rsidR="00D307FA" w:rsidRPr="00D307FA" w:rsidRDefault="00D307FA" w:rsidP="00D307FA">
      <w:pPr>
        <w:pStyle w:val="EndNoteBibliography"/>
        <w:ind w:left="720" w:hanging="720"/>
      </w:pPr>
      <w:bookmarkStart w:id="150" w:name="_ENREF_2"/>
      <w:r w:rsidRPr="00D307FA">
        <w:t>[2]</w:t>
      </w:r>
      <w:r w:rsidRPr="00D307FA">
        <w:tab/>
        <w:t xml:space="preserve">J. Weitkamp, “Zeolites and catalysis,” </w:t>
      </w:r>
      <w:r w:rsidRPr="00D307FA">
        <w:rPr>
          <w:i/>
        </w:rPr>
        <w:t>Solid State Ionics,</w:t>
      </w:r>
      <w:r w:rsidRPr="00D307FA">
        <w:t xml:space="preserve"> vol. 131, no. 1-2, pp. 175-188, 2000.</w:t>
      </w:r>
      <w:bookmarkEnd w:id="150"/>
    </w:p>
    <w:p w14:paraId="4E8043EE" w14:textId="77777777" w:rsidR="00D307FA" w:rsidRPr="00D307FA" w:rsidRDefault="00D307FA" w:rsidP="00D307FA">
      <w:pPr>
        <w:pStyle w:val="EndNoteBibliography"/>
        <w:ind w:left="720" w:hanging="720"/>
      </w:pPr>
      <w:bookmarkStart w:id="151" w:name="_ENREF_3"/>
      <w:r w:rsidRPr="00D307FA">
        <w:t>[3]</w:t>
      </w:r>
      <w:r w:rsidRPr="00D307FA">
        <w:tab/>
        <w:t xml:space="preserve">K. Margeta, and A. Farkaš, </w:t>
      </w:r>
      <w:r w:rsidRPr="00D307FA">
        <w:rPr>
          <w:i/>
        </w:rPr>
        <w:t>"Introductory Chapter: Zeolites - From Discovery to New Applications on the Global Market,” Zeolites - New Challenges</w:t>
      </w:r>
      <w:r w:rsidRPr="00D307FA">
        <w:t>, p.^pp. 150, 2020.</w:t>
      </w:r>
      <w:bookmarkEnd w:id="151"/>
    </w:p>
    <w:p w14:paraId="2D04B270" w14:textId="77777777" w:rsidR="00D307FA" w:rsidRPr="00D307FA" w:rsidRDefault="00D307FA" w:rsidP="00D307FA">
      <w:pPr>
        <w:pStyle w:val="EndNoteBibliography"/>
        <w:ind w:left="720" w:hanging="720"/>
      </w:pPr>
      <w:bookmarkStart w:id="152" w:name="_ENREF_4"/>
      <w:r w:rsidRPr="00D307FA">
        <w:t>[4]</w:t>
      </w:r>
      <w:r w:rsidRPr="00D307FA">
        <w:tab/>
        <w:t xml:space="preserve">R. L. Hay, and R. A. Sheppard, “Occurrence of Zeolites in Sedimentary Rocks: An Overview,” </w:t>
      </w:r>
      <w:r w:rsidRPr="00D307FA">
        <w:rPr>
          <w:i/>
        </w:rPr>
        <w:t>Reviews in Mineralogy and Geochemistry,</w:t>
      </w:r>
      <w:r w:rsidRPr="00D307FA">
        <w:t xml:space="preserve"> vol. 45, pp. 217-234, 2001.</w:t>
      </w:r>
      <w:bookmarkEnd w:id="152"/>
    </w:p>
    <w:p w14:paraId="7966A493" w14:textId="77777777" w:rsidR="00D307FA" w:rsidRPr="00D307FA" w:rsidRDefault="00D307FA" w:rsidP="00D307FA">
      <w:pPr>
        <w:pStyle w:val="EndNoteBibliography"/>
        <w:ind w:left="720" w:hanging="720"/>
      </w:pPr>
      <w:bookmarkStart w:id="153" w:name="_ENREF_5"/>
      <w:r w:rsidRPr="00D307FA">
        <w:t>[5]</w:t>
      </w:r>
      <w:r w:rsidRPr="00D307FA">
        <w:tab/>
        <w:t xml:space="preserve">M. E. Davis, “Ordered porous materials for emerging applications,” </w:t>
      </w:r>
      <w:r w:rsidRPr="00D307FA">
        <w:rPr>
          <w:i/>
        </w:rPr>
        <w:t>Nature,</w:t>
      </w:r>
      <w:r w:rsidRPr="00D307FA">
        <w:t xml:space="preserve"> vol. 417, pp. 813-821, 2002.</w:t>
      </w:r>
      <w:bookmarkEnd w:id="153"/>
    </w:p>
    <w:p w14:paraId="5C78E5AA" w14:textId="77777777" w:rsidR="00D307FA" w:rsidRPr="00D307FA" w:rsidRDefault="00D307FA" w:rsidP="00D307FA">
      <w:pPr>
        <w:pStyle w:val="EndNoteBibliography"/>
        <w:ind w:left="720" w:hanging="720"/>
      </w:pPr>
      <w:bookmarkStart w:id="154" w:name="_ENREF_6"/>
      <w:r w:rsidRPr="00D307FA">
        <w:t>[6]</w:t>
      </w:r>
      <w:r w:rsidRPr="00D307FA">
        <w:tab/>
        <w:t xml:space="preserve">M. E. Davis, “New Vistas in Zeolite and Molecular Sieve Catalysis,” </w:t>
      </w:r>
      <w:r w:rsidRPr="00D307FA">
        <w:rPr>
          <w:i/>
        </w:rPr>
        <w:t>Accounts of Chemical Research,</w:t>
      </w:r>
      <w:r w:rsidRPr="00D307FA">
        <w:t xml:space="preserve"> vol. 26, pp. 111-115, 1993.</w:t>
      </w:r>
      <w:bookmarkEnd w:id="154"/>
    </w:p>
    <w:p w14:paraId="6263F077" w14:textId="77777777" w:rsidR="00D307FA" w:rsidRPr="00D307FA" w:rsidRDefault="00D307FA" w:rsidP="00D307FA">
      <w:pPr>
        <w:pStyle w:val="EndNoteBibliography"/>
        <w:ind w:left="720" w:hanging="720"/>
      </w:pPr>
      <w:bookmarkStart w:id="155" w:name="_ENREF_7"/>
      <w:r w:rsidRPr="00D307FA">
        <w:t>[7]</w:t>
      </w:r>
      <w:r w:rsidRPr="00D307FA">
        <w:tab/>
        <w:t xml:space="preserve">M. Vallet-Regi, A. Rámila, R. P. d. Real, and J. Pérez-Pariente, “A New Property of MCM-41:  Drug Delivery System,” </w:t>
      </w:r>
      <w:r w:rsidRPr="00D307FA">
        <w:rPr>
          <w:i/>
        </w:rPr>
        <w:t>Chemistry of Materials,</w:t>
      </w:r>
      <w:r w:rsidRPr="00D307FA">
        <w:t xml:space="preserve"> vol. 13, pp. 308-311, 2001.</w:t>
      </w:r>
      <w:bookmarkEnd w:id="155"/>
    </w:p>
    <w:p w14:paraId="4EFB6CDE" w14:textId="77777777" w:rsidR="00D307FA" w:rsidRPr="00D307FA" w:rsidRDefault="00D307FA" w:rsidP="00D307FA">
      <w:pPr>
        <w:pStyle w:val="EndNoteBibliography"/>
        <w:ind w:left="720" w:hanging="720"/>
      </w:pPr>
      <w:bookmarkStart w:id="156" w:name="_ENREF_8"/>
      <w:r w:rsidRPr="00D307FA">
        <w:t>[8]</w:t>
      </w:r>
      <w:r w:rsidRPr="00D307FA">
        <w:tab/>
        <w:t xml:space="preserve">L. D. Rollmann, and D. E. Walsh, “Shape selectivity and carbon formation in zeolites,” </w:t>
      </w:r>
      <w:r w:rsidRPr="00D307FA">
        <w:rPr>
          <w:i/>
        </w:rPr>
        <w:t>Journal of Catalysis,</w:t>
      </w:r>
      <w:r w:rsidRPr="00D307FA">
        <w:t xml:space="preserve"> vol. 56, pp. 139-140, 1979.</w:t>
      </w:r>
      <w:bookmarkEnd w:id="156"/>
    </w:p>
    <w:p w14:paraId="0A5E34BD" w14:textId="77777777" w:rsidR="00D307FA" w:rsidRPr="00D307FA" w:rsidRDefault="00D307FA" w:rsidP="00D307FA">
      <w:pPr>
        <w:pStyle w:val="EndNoteBibliography"/>
        <w:ind w:left="720" w:hanging="720"/>
      </w:pPr>
      <w:bookmarkStart w:id="157" w:name="_ENREF_9"/>
      <w:r w:rsidRPr="00D307FA">
        <w:t>[9]</w:t>
      </w:r>
      <w:r w:rsidRPr="00D307FA">
        <w:tab/>
        <w:t xml:space="preserve">B. Smit, and T. L. M. Maesen, “Towards a molecular understanding of shape selectivity,” </w:t>
      </w:r>
      <w:r w:rsidRPr="00D307FA">
        <w:rPr>
          <w:i/>
        </w:rPr>
        <w:t>Nature,</w:t>
      </w:r>
      <w:r w:rsidRPr="00D307FA">
        <w:t xml:space="preserve"> vol. 451, pp. 671-678, 2008.</w:t>
      </w:r>
      <w:bookmarkEnd w:id="157"/>
    </w:p>
    <w:p w14:paraId="61B5C744" w14:textId="77777777" w:rsidR="00D307FA" w:rsidRPr="00D307FA" w:rsidRDefault="00D307FA" w:rsidP="00D307FA">
      <w:pPr>
        <w:pStyle w:val="EndNoteBibliography"/>
        <w:ind w:left="720" w:hanging="720"/>
      </w:pPr>
      <w:bookmarkStart w:id="158" w:name="_ENREF_10"/>
      <w:r w:rsidRPr="00D307FA">
        <w:t>[10]</w:t>
      </w:r>
      <w:r w:rsidRPr="00D307FA">
        <w:tab/>
        <w:t xml:space="preserve">C. N. Satterfield, “Mass transfer in heterogeneous catalysis,” </w:t>
      </w:r>
      <w:r w:rsidRPr="00D307FA">
        <w:rPr>
          <w:i/>
        </w:rPr>
        <w:t>MIT Press,</w:t>
      </w:r>
      <w:r w:rsidRPr="00D307FA">
        <w:t xml:space="preserve"> vol. 16, pp. 267, 1970.</w:t>
      </w:r>
      <w:bookmarkEnd w:id="158"/>
    </w:p>
    <w:p w14:paraId="63C63682" w14:textId="77777777" w:rsidR="00D307FA" w:rsidRPr="00D307FA" w:rsidRDefault="00D307FA" w:rsidP="00D307FA">
      <w:pPr>
        <w:pStyle w:val="EndNoteBibliography"/>
        <w:ind w:left="720" w:hanging="720"/>
      </w:pPr>
      <w:bookmarkStart w:id="159" w:name="_ENREF_11"/>
      <w:r w:rsidRPr="00D307FA">
        <w:t>[11]</w:t>
      </w:r>
      <w:r w:rsidRPr="00D307FA">
        <w:tab/>
        <w:t xml:space="preserve">M. Chiappero, P. T. M. Do, S. Crossley, L. L. Lobban, and D. E. Resasco, “Direct conversion of triglycerides to olefins and paraffins over noble metal supported catalysts,” </w:t>
      </w:r>
      <w:r w:rsidRPr="00D307FA">
        <w:rPr>
          <w:i/>
        </w:rPr>
        <w:t>Fuel,</w:t>
      </w:r>
      <w:r w:rsidRPr="00D307FA">
        <w:t xml:space="preserve"> vol. 90, no. 3, pp. 1155-1165, 2011.</w:t>
      </w:r>
      <w:bookmarkEnd w:id="159"/>
    </w:p>
    <w:p w14:paraId="392FA1BF" w14:textId="77777777" w:rsidR="00D307FA" w:rsidRPr="00D307FA" w:rsidRDefault="00D307FA" w:rsidP="00D307FA">
      <w:pPr>
        <w:pStyle w:val="EndNoteBibliography"/>
        <w:ind w:left="720" w:hanging="720"/>
      </w:pPr>
      <w:bookmarkStart w:id="160" w:name="_ENREF_12"/>
      <w:r w:rsidRPr="00D307FA">
        <w:t>[12]</w:t>
      </w:r>
      <w:r w:rsidRPr="00D307FA">
        <w:tab/>
        <w:t xml:space="preserve">J. A. Moulijn, M. Makkee, and R. J. Berger, “Catalyst testing in multiphase micro-packed-bed reactors; criterion for radial mass transport,” </w:t>
      </w:r>
      <w:r w:rsidRPr="00D307FA">
        <w:rPr>
          <w:i/>
        </w:rPr>
        <w:t>Catalysis Today,</w:t>
      </w:r>
      <w:r w:rsidRPr="00D307FA">
        <w:t xml:space="preserve"> vol. 259, pp. 354-359, 2016.</w:t>
      </w:r>
      <w:bookmarkEnd w:id="160"/>
    </w:p>
    <w:p w14:paraId="4BCFC76F" w14:textId="77777777" w:rsidR="00D307FA" w:rsidRPr="00D307FA" w:rsidRDefault="00D307FA" w:rsidP="00D307FA">
      <w:pPr>
        <w:pStyle w:val="EndNoteBibliography"/>
        <w:ind w:left="720" w:hanging="720"/>
      </w:pPr>
      <w:bookmarkStart w:id="161" w:name="_ENREF_13"/>
      <w:r w:rsidRPr="00D307FA">
        <w:t>[13]</w:t>
      </w:r>
      <w:r w:rsidRPr="00D307FA">
        <w:tab/>
        <w:t xml:space="preserve">A. J. Porter, and A. J. O’Malley, “A Classical Molecular Dynamics Study on the Effect of Si/Al Ratio and Silanol Nest Defects on Water Diffusion in Zeolite HY,” </w:t>
      </w:r>
      <w:r w:rsidRPr="00D307FA">
        <w:rPr>
          <w:i/>
        </w:rPr>
        <w:t>Journal of Physical Chemistry C,</w:t>
      </w:r>
      <w:r w:rsidRPr="00D307FA">
        <w:t xml:space="preserve"> vol. 125, no. 21, pp. 11567-11579, 2021.</w:t>
      </w:r>
      <w:bookmarkEnd w:id="161"/>
    </w:p>
    <w:p w14:paraId="1C079308" w14:textId="77777777" w:rsidR="00D307FA" w:rsidRPr="00D307FA" w:rsidRDefault="00D307FA" w:rsidP="00D307FA">
      <w:pPr>
        <w:pStyle w:val="EndNoteBibliography"/>
        <w:ind w:left="720" w:hanging="720"/>
      </w:pPr>
      <w:bookmarkStart w:id="162" w:name="_ENREF_14"/>
      <w:r w:rsidRPr="00D307FA">
        <w:t>[14]</w:t>
      </w:r>
      <w:r w:rsidRPr="00D307FA">
        <w:tab/>
        <w:t xml:space="preserve">A. Corma, M. S. Grande, V. Gonzalez-Alfaro, and A. V. Orchilles, “Cracking Activity and Hydrothermal Stability of MCM-41 and Its Comparison with Amorphous Silica-Alumina and a USY Zeolite,” </w:t>
      </w:r>
      <w:r w:rsidRPr="00D307FA">
        <w:rPr>
          <w:i/>
        </w:rPr>
        <w:t>Journal of Catalysis,</w:t>
      </w:r>
      <w:r w:rsidRPr="00D307FA">
        <w:t xml:space="preserve"> vol. 159, no. 2, pp. 375-382, 1996.</w:t>
      </w:r>
      <w:bookmarkEnd w:id="162"/>
    </w:p>
    <w:p w14:paraId="5121C829" w14:textId="77777777" w:rsidR="00D307FA" w:rsidRPr="00D307FA" w:rsidRDefault="00D307FA" w:rsidP="00D307FA">
      <w:pPr>
        <w:pStyle w:val="EndNoteBibliography"/>
        <w:ind w:left="720" w:hanging="720"/>
      </w:pPr>
      <w:bookmarkStart w:id="163" w:name="_ENREF_15"/>
      <w:r w:rsidRPr="00D307FA">
        <w:t>[15]</w:t>
      </w:r>
      <w:r w:rsidRPr="00D307FA">
        <w:tab/>
        <w:t xml:space="preserve">R. Srivastava, M. Choi, and R. Ryoo, “Mesoporous materials with zeolite framework: remarkable effect of the hierarchical structure for retardation of catalyst deactivation,” </w:t>
      </w:r>
      <w:r w:rsidRPr="00D307FA">
        <w:rPr>
          <w:i/>
        </w:rPr>
        <w:t>Chemical Communications</w:t>
      </w:r>
      <w:r w:rsidRPr="00D307FA">
        <w:t>, no. 43, pp. 4489-4491, 2006.</w:t>
      </w:r>
      <w:bookmarkEnd w:id="163"/>
    </w:p>
    <w:p w14:paraId="00D46A14" w14:textId="77777777" w:rsidR="00D307FA" w:rsidRPr="00D307FA" w:rsidRDefault="00D307FA" w:rsidP="00D307FA">
      <w:pPr>
        <w:pStyle w:val="EndNoteBibliography"/>
        <w:ind w:left="720" w:hanging="720"/>
      </w:pPr>
      <w:bookmarkStart w:id="164" w:name="_ENREF_16"/>
      <w:r w:rsidRPr="00D307FA">
        <w:t>[16]</w:t>
      </w:r>
      <w:r w:rsidRPr="00D307FA">
        <w:tab/>
        <w:t xml:space="preserve">Y. Zhang, J. Song, J. Q. Mayta, F. Pan, X. Gao, M. Li, Y. Song, M. Wang, X. Cao, and Z. Jiang, “Enhanced desulfurization performance of hybrid membranes using embedded hierarchical porous SBA-15,” </w:t>
      </w:r>
      <w:r w:rsidRPr="00D307FA">
        <w:rPr>
          <w:i/>
        </w:rPr>
        <w:t>Frontiers of Chemical Science and Engineering,</w:t>
      </w:r>
      <w:r w:rsidRPr="00D307FA">
        <w:t xml:space="preserve"> vol. 14, pp. 661-672, 2020.</w:t>
      </w:r>
      <w:bookmarkEnd w:id="164"/>
    </w:p>
    <w:p w14:paraId="0D40B896" w14:textId="77777777" w:rsidR="00D307FA" w:rsidRPr="00D307FA" w:rsidRDefault="00D307FA" w:rsidP="00D307FA">
      <w:pPr>
        <w:pStyle w:val="EndNoteBibliography"/>
        <w:ind w:left="720" w:hanging="720"/>
      </w:pPr>
      <w:bookmarkStart w:id="165" w:name="_ENREF_17"/>
      <w:r w:rsidRPr="00D307FA">
        <w:lastRenderedPageBreak/>
        <w:t>[17]</w:t>
      </w:r>
      <w:r w:rsidRPr="00D307FA">
        <w:tab/>
        <w:t xml:space="preserve">G. Noh, E. Iglesia, Z. Shi, and S. I. Zones, “Isomerization and β-scission reactions of alkanes on bifunctional metal-acid catalysts: Consequences of confinement and diffusional constraints on reactivity and selectivity,” </w:t>
      </w:r>
      <w:r w:rsidRPr="00D307FA">
        <w:rPr>
          <w:i/>
        </w:rPr>
        <w:t>Journal of Catalysis,</w:t>
      </w:r>
      <w:r w:rsidRPr="00D307FA">
        <w:t xml:space="preserve"> vol. 368, pp. 389-410, 2018.</w:t>
      </w:r>
      <w:bookmarkEnd w:id="165"/>
    </w:p>
    <w:p w14:paraId="7C43A984" w14:textId="77777777" w:rsidR="00D307FA" w:rsidRPr="00D307FA" w:rsidRDefault="00D307FA" w:rsidP="00D307FA">
      <w:pPr>
        <w:pStyle w:val="EndNoteBibliography"/>
        <w:ind w:left="720" w:hanging="720"/>
      </w:pPr>
      <w:bookmarkStart w:id="166" w:name="_ENREF_18"/>
      <w:r w:rsidRPr="00D307FA">
        <w:t>[18]</w:t>
      </w:r>
      <w:r w:rsidRPr="00D307FA">
        <w:tab/>
        <w:t xml:space="preserve">J. V. Smith, “Definition of a zeolite,” </w:t>
      </w:r>
      <w:r w:rsidRPr="00D307FA">
        <w:rPr>
          <w:i/>
        </w:rPr>
        <w:t>Zeolites,</w:t>
      </w:r>
      <w:r w:rsidRPr="00D307FA">
        <w:t xml:space="preserve"> vol. 4, no. 4, pp. 309-310, 1984.</w:t>
      </w:r>
      <w:bookmarkEnd w:id="166"/>
    </w:p>
    <w:p w14:paraId="6CBBC9DE" w14:textId="77777777" w:rsidR="00D307FA" w:rsidRPr="00D307FA" w:rsidRDefault="00D307FA" w:rsidP="00D307FA">
      <w:pPr>
        <w:pStyle w:val="EndNoteBibliography"/>
        <w:ind w:left="720" w:hanging="720"/>
      </w:pPr>
      <w:bookmarkStart w:id="167" w:name="_ENREF_19"/>
      <w:r w:rsidRPr="00D307FA">
        <w:t>[19]</w:t>
      </w:r>
      <w:r w:rsidRPr="00D307FA">
        <w:tab/>
        <w:t xml:space="preserve">S. Wang, and Y. Peng, “Natural zeolites as effective adsorbents in water and wastewater treatment,” </w:t>
      </w:r>
      <w:r w:rsidRPr="00D307FA">
        <w:rPr>
          <w:i/>
        </w:rPr>
        <w:t>Chemical Engineering Journal,</w:t>
      </w:r>
      <w:r w:rsidRPr="00D307FA">
        <w:t xml:space="preserve"> vol. 156, no. 1, pp. 11-24, 2010.</w:t>
      </w:r>
      <w:bookmarkEnd w:id="167"/>
    </w:p>
    <w:p w14:paraId="655D5362" w14:textId="77777777" w:rsidR="00D307FA" w:rsidRPr="00D307FA" w:rsidRDefault="00D307FA" w:rsidP="00D307FA">
      <w:pPr>
        <w:pStyle w:val="EndNoteBibliography"/>
        <w:ind w:left="720" w:hanging="720"/>
      </w:pPr>
      <w:bookmarkStart w:id="168" w:name="_ENREF_20"/>
      <w:r w:rsidRPr="00D307FA">
        <w:t>[20]</w:t>
      </w:r>
      <w:r w:rsidRPr="00D307FA">
        <w:tab/>
        <w:t xml:space="preserve">B. Yue, S. Liu, Y. Chai, G. Wu, N. Guan, and L. Li, “Zeolites for separation: Fundamental and application,” </w:t>
      </w:r>
      <w:r w:rsidRPr="00D307FA">
        <w:rPr>
          <w:i/>
        </w:rPr>
        <w:t>Journal of Energy Chemistry,</w:t>
      </w:r>
      <w:r w:rsidRPr="00D307FA">
        <w:t xml:space="preserve"> vol. 71, pp. 288-303, 2022.</w:t>
      </w:r>
      <w:bookmarkEnd w:id="168"/>
    </w:p>
    <w:p w14:paraId="53BEC029" w14:textId="77777777" w:rsidR="00D307FA" w:rsidRPr="00D307FA" w:rsidRDefault="00D307FA" w:rsidP="00D307FA">
      <w:pPr>
        <w:pStyle w:val="EndNoteBibliography"/>
        <w:ind w:left="720" w:hanging="720"/>
      </w:pPr>
      <w:bookmarkStart w:id="169" w:name="_ENREF_21"/>
      <w:r w:rsidRPr="00D307FA">
        <w:t>[21]</w:t>
      </w:r>
      <w:r w:rsidRPr="00D307FA">
        <w:tab/>
        <w:t xml:space="preserve">W.-X. Zhang, H. Yahiro, N. Mizuno, J. IzumV, and M. Iwamoto, “Removal of Nitrogen Monoxide on Copper Ion-Exchanged Zeolites by Pressure Swing Adsorption,” </w:t>
      </w:r>
      <w:r w:rsidRPr="00D307FA">
        <w:rPr>
          <w:i/>
        </w:rPr>
        <w:t>Langmuir,</w:t>
      </w:r>
      <w:r w:rsidRPr="00D307FA">
        <w:t xml:space="preserve"> vol. 9, pp. 2337-2343, 1993.</w:t>
      </w:r>
      <w:bookmarkEnd w:id="169"/>
    </w:p>
    <w:p w14:paraId="6C1A112B" w14:textId="77777777" w:rsidR="00D307FA" w:rsidRPr="00D307FA" w:rsidRDefault="00D307FA" w:rsidP="00D307FA">
      <w:pPr>
        <w:pStyle w:val="EndNoteBibliography"/>
        <w:ind w:left="720" w:hanging="720"/>
      </w:pPr>
      <w:bookmarkStart w:id="170" w:name="_ENREF_22"/>
      <w:r w:rsidRPr="00D307FA">
        <w:t>[22]</w:t>
      </w:r>
      <w:r w:rsidRPr="00D307FA">
        <w:tab/>
        <w:t xml:space="preserve">C. S. Cundy, and P. A. Cox, “The Hydrothermal Synthesis of Zeolites:  History and Development from the Earliest Days to the Present Time,” </w:t>
      </w:r>
      <w:r w:rsidRPr="00D307FA">
        <w:rPr>
          <w:i/>
        </w:rPr>
        <w:t>Chemical Reviews,</w:t>
      </w:r>
      <w:r w:rsidRPr="00D307FA">
        <w:t xml:space="preserve"> vol. 103, no. 3, pp. 663-702, 2003.</w:t>
      </w:r>
      <w:bookmarkEnd w:id="170"/>
    </w:p>
    <w:p w14:paraId="20F5C29D" w14:textId="77777777" w:rsidR="00D307FA" w:rsidRPr="00D307FA" w:rsidRDefault="00D307FA" w:rsidP="00D307FA">
      <w:pPr>
        <w:pStyle w:val="EndNoteBibliography"/>
        <w:ind w:left="720" w:hanging="720"/>
      </w:pPr>
      <w:bookmarkStart w:id="171" w:name="_ENREF_23"/>
      <w:r w:rsidRPr="00D307FA">
        <w:t>[23]</w:t>
      </w:r>
      <w:r w:rsidRPr="00D307FA">
        <w:tab/>
        <w:t xml:space="preserve">R. Szostak, </w:t>
      </w:r>
      <w:r w:rsidRPr="00D307FA">
        <w:rPr>
          <w:i/>
        </w:rPr>
        <w:t>Handbook Of Molecular Sieves</w:t>
      </w:r>
      <w:r w:rsidRPr="00D307FA">
        <w:t>, p.^pp. 584: Springer Dordrecht, 1992.</w:t>
      </w:r>
      <w:bookmarkEnd w:id="171"/>
    </w:p>
    <w:p w14:paraId="4ACDF1E8" w14:textId="77777777" w:rsidR="00D307FA" w:rsidRPr="00D307FA" w:rsidRDefault="00D307FA" w:rsidP="00D307FA">
      <w:pPr>
        <w:pStyle w:val="EndNoteBibliography"/>
        <w:ind w:left="720" w:hanging="720"/>
      </w:pPr>
      <w:bookmarkStart w:id="172" w:name="_ENREF_24"/>
      <w:r w:rsidRPr="00D307FA">
        <w:t>[24]</w:t>
      </w:r>
      <w:r w:rsidRPr="00D307FA">
        <w:tab/>
        <w:t xml:space="preserve">J. Cejka, H. v. Bekkum, A. Corma, and F. Schueth, </w:t>
      </w:r>
      <w:r w:rsidRPr="00D307FA">
        <w:rPr>
          <w:i/>
        </w:rPr>
        <w:t>Introduction to Zeolite: Science and Practice</w:t>
      </w:r>
      <w:r w:rsidRPr="00D307FA">
        <w:t>, p.^pp. 1094: Elsevier Science, 2007.</w:t>
      </w:r>
      <w:bookmarkEnd w:id="172"/>
    </w:p>
    <w:p w14:paraId="2082AC2E" w14:textId="77777777" w:rsidR="00D307FA" w:rsidRPr="00D307FA" w:rsidRDefault="00D307FA" w:rsidP="00D307FA">
      <w:pPr>
        <w:pStyle w:val="EndNoteBibliography"/>
        <w:ind w:left="720" w:hanging="720"/>
      </w:pPr>
      <w:bookmarkStart w:id="173" w:name="_ENREF_25"/>
      <w:r w:rsidRPr="00D307FA">
        <w:t>[25]</w:t>
      </w:r>
      <w:r w:rsidRPr="00D307FA">
        <w:tab/>
        <w:t xml:space="preserve">I. Levin, and D. Brandon, “Metastable Alumina Polymorphs: Crystal Structures and Transition Sequences,” </w:t>
      </w:r>
      <w:r w:rsidRPr="00D307FA">
        <w:rPr>
          <w:i/>
        </w:rPr>
        <w:t>Journal of the American Ceramic Society,</w:t>
      </w:r>
      <w:r w:rsidRPr="00D307FA">
        <w:t xml:space="preserve"> vol. 81, no. 8, pp. 1995-2012, 2005.</w:t>
      </w:r>
      <w:bookmarkEnd w:id="173"/>
    </w:p>
    <w:p w14:paraId="0DC6488B" w14:textId="77777777" w:rsidR="00D307FA" w:rsidRPr="00D307FA" w:rsidRDefault="00D307FA" w:rsidP="00D307FA">
      <w:pPr>
        <w:pStyle w:val="EndNoteBibliography"/>
        <w:ind w:left="720" w:hanging="720"/>
      </w:pPr>
      <w:bookmarkStart w:id="174" w:name="_ENREF_26"/>
      <w:r w:rsidRPr="00D307FA">
        <w:t>[26]</w:t>
      </w:r>
      <w:r w:rsidRPr="00D307FA">
        <w:tab/>
        <w:t xml:space="preserve">A. Navrotsky, K. L. Geisinger, P. McMillan, and G. V. Gibbs, “The tetrahedral framework in glasses and melts — inferences from molecular orbital calculations and implications for structure, thermodynamics, and physical properties,” </w:t>
      </w:r>
      <w:r w:rsidRPr="00D307FA">
        <w:rPr>
          <w:i/>
        </w:rPr>
        <w:t>Physics and Chemistry of Minerals,</w:t>
      </w:r>
      <w:r w:rsidRPr="00D307FA">
        <w:t xml:space="preserve"> vol. 11, pp. 284-298, 1985.</w:t>
      </w:r>
      <w:bookmarkEnd w:id="174"/>
    </w:p>
    <w:p w14:paraId="7678192C" w14:textId="77777777" w:rsidR="00D307FA" w:rsidRPr="00D307FA" w:rsidRDefault="00D307FA" w:rsidP="00D307FA">
      <w:pPr>
        <w:pStyle w:val="EndNoteBibliography"/>
        <w:ind w:left="720" w:hanging="720"/>
      </w:pPr>
      <w:bookmarkStart w:id="175" w:name="_ENREF_27"/>
      <w:r w:rsidRPr="00D307FA">
        <w:t>[27]</w:t>
      </w:r>
      <w:r w:rsidRPr="00D307FA">
        <w:tab/>
        <w:t xml:space="preserve">S.-Z. Lu, and A. Hellawell, “The mechanism of silicon modification in aluminum-silicon alloys: Impurity induced twinning,” </w:t>
      </w:r>
      <w:r w:rsidRPr="00D307FA">
        <w:rPr>
          <w:i/>
        </w:rPr>
        <w:t>Metallurgical Transactions A,</w:t>
      </w:r>
      <w:r w:rsidRPr="00D307FA">
        <w:t xml:space="preserve"> vol. 18, pp. 1721-1733, 1987.</w:t>
      </w:r>
      <w:bookmarkEnd w:id="175"/>
    </w:p>
    <w:p w14:paraId="36C47A71" w14:textId="77777777" w:rsidR="00D307FA" w:rsidRPr="00D307FA" w:rsidRDefault="00D307FA" w:rsidP="00D307FA">
      <w:pPr>
        <w:pStyle w:val="EndNoteBibliography"/>
        <w:ind w:left="720" w:hanging="720"/>
      </w:pPr>
      <w:bookmarkStart w:id="176" w:name="_ENREF_28"/>
      <w:r w:rsidRPr="00D307FA">
        <w:t>[28]</w:t>
      </w:r>
      <w:r w:rsidRPr="00D307FA">
        <w:tab/>
        <w:t xml:space="preserve">A. Corma, “Inorganic Solid Acids and Their Use in Acid-Catalyzed Hydrocarbon Reactions,” </w:t>
      </w:r>
      <w:r w:rsidRPr="00D307FA">
        <w:rPr>
          <w:i/>
        </w:rPr>
        <w:t>Chemical Reviews,</w:t>
      </w:r>
      <w:r w:rsidRPr="00D307FA">
        <w:t xml:space="preserve"> vol. 95, no. 3, pp. 559-614, 1995.</w:t>
      </w:r>
      <w:bookmarkEnd w:id="176"/>
    </w:p>
    <w:p w14:paraId="57E88F5E" w14:textId="77777777" w:rsidR="00D307FA" w:rsidRPr="00D307FA" w:rsidRDefault="00D307FA" w:rsidP="00D307FA">
      <w:pPr>
        <w:pStyle w:val="EndNoteBibliography"/>
        <w:ind w:left="720" w:hanging="720"/>
      </w:pPr>
      <w:bookmarkStart w:id="177" w:name="_ENREF_29"/>
      <w:r w:rsidRPr="00D307FA">
        <w:t>[29]</w:t>
      </w:r>
      <w:r w:rsidRPr="00D307FA">
        <w:tab/>
        <w:t xml:space="preserve">B. Xu, S. Bordiga, R. Prins, and J. A. v. Bokhoven, “Effect of framework Si/Al ratio and extra-framework aluminum on the catalytic activity of Y zeolite,” </w:t>
      </w:r>
      <w:r w:rsidRPr="00D307FA">
        <w:rPr>
          <w:i/>
        </w:rPr>
        <w:t>Applied Catalysis A: General,</w:t>
      </w:r>
      <w:r w:rsidRPr="00D307FA">
        <w:t xml:space="preserve"> vol. 333, no. 2, pp. 245-253, 2007.</w:t>
      </w:r>
      <w:bookmarkEnd w:id="177"/>
    </w:p>
    <w:p w14:paraId="72CCD8E7" w14:textId="77777777" w:rsidR="00D307FA" w:rsidRPr="00D307FA" w:rsidRDefault="00D307FA" w:rsidP="00D307FA">
      <w:pPr>
        <w:pStyle w:val="EndNoteBibliography"/>
        <w:ind w:left="720" w:hanging="720"/>
      </w:pPr>
      <w:bookmarkStart w:id="178" w:name="_ENREF_30"/>
      <w:r w:rsidRPr="00D307FA">
        <w:t>[30]</w:t>
      </w:r>
      <w:r w:rsidRPr="00D307FA">
        <w:tab/>
        <w:t xml:space="preserve">M. A. Ali, B. Brisdon, and W. J. Thomas, “Synthesis, characterization and catalytic activity of ZSM-5 zeolites having variable silicon-to-aluminum ratios,” </w:t>
      </w:r>
      <w:r w:rsidRPr="00D307FA">
        <w:rPr>
          <w:i/>
        </w:rPr>
        <w:t>Applied Catalysis A: General,</w:t>
      </w:r>
      <w:r w:rsidRPr="00D307FA">
        <w:t xml:space="preserve"> vol. 252, no. 1, pp. 149-162, 2003.</w:t>
      </w:r>
      <w:bookmarkEnd w:id="178"/>
    </w:p>
    <w:p w14:paraId="36CFCD0B" w14:textId="77777777" w:rsidR="00D307FA" w:rsidRPr="00D307FA" w:rsidRDefault="00D307FA" w:rsidP="00D307FA">
      <w:pPr>
        <w:pStyle w:val="EndNoteBibliography"/>
        <w:ind w:left="720" w:hanging="720"/>
      </w:pPr>
      <w:bookmarkStart w:id="179" w:name="_ENREF_31"/>
      <w:r w:rsidRPr="00D307FA">
        <w:t>[31]</w:t>
      </w:r>
      <w:r w:rsidRPr="00D307FA">
        <w:tab/>
        <w:t xml:space="preserve">D. Si, M. Zhu, X. Sun, M. Xue, Y. Li, T. Wu, T. Gui, I. Kumakiri, X. Chen, and H. Kita, “Formation process and pervaporation of high aluminum ZSM-5 zeolite membrane with fluoride-containing and organic template-free gel,” </w:t>
      </w:r>
      <w:r w:rsidRPr="00D307FA">
        <w:rPr>
          <w:i/>
        </w:rPr>
        <w:t>Separation and Purification Technology,</w:t>
      </w:r>
      <w:r w:rsidRPr="00D307FA">
        <w:t xml:space="preserve"> vol. 257, pp. 117963, 2021.</w:t>
      </w:r>
      <w:bookmarkEnd w:id="179"/>
    </w:p>
    <w:p w14:paraId="69B8C7FD" w14:textId="77777777" w:rsidR="00D307FA" w:rsidRPr="00D307FA" w:rsidRDefault="00D307FA" w:rsidP="00D307FA">
      <w:pPr>
        <w:pStyle w:val="EndNoteBibliography"/>
        <w:ind w:left="720" w:hanging="720"/>
      </w:pPr>
      <w:bookmarkStart w:id="180" w:name="_ENREF_32"/>
      <w:r w:rsidRPr="00D307FA">
        <w:t>[32]</w:t>
      </w:r>
      <w:r w:rsidRPr="00D307FA">
        <w:tab/>
        <w:t xml:space="preserve">A. Mitra, Z. Wang, T. Cao, H. Wang, L. Huang, and Y. Yan, “Synthesis and Corrosion Resistance of High-Silica Zeolite MTW, BEA, and MFI Coatings on Steel and Aluminum,” </w:t>
      </w:r>
      <w:r w:rsidRPr="00D307FA">
        <w:rPr>
          <w:i/>
        </w:rPr>
        <w:t>Journal of The Electrochemical Society,</w:t>
      </w:r>
      <w:r w:rsidRPr="00D307FA">
        <w:t xml:space="preserve"> vol. 149, pp. B472-B478, 2002.</w:t>
      </w:r>
      <w:bookmarkEnd w:id="180"/>
    </w:p>
    <w:p w14:paraId="1540481A" w14:textId="77777777" w:rsidR="00D307FA" w:rsidRPr="00D307FA" w:rsidRDefault="00D307FA" w:rsidP="00D307FA">
      <w:pPr>
        <w:pStyle w:val="EndNoteBibliography"/>
        <w:ind w:left="720" w:hanging="720"/>
      </w:pPr>
      <w:bookmarkStart w:id="181" w:name="_ENREF_33"/>
      <w:r w:rsidRPr="00D307FA">
        <w:lastRenderedPageBreak/>
        <w:t>[33]</w:t>
      </w:r>
      <w:r w:rsidRPr="00D307FA">
        <w:tab/>
        <w:t xml:space="preserve">K. D. Hammonds, V. Heine, and M. T. Dove, “Rigid-Unit Modes and the Quantitative Determination of the Flexibility Possessed by Zeolite Frameworks,” </w:t>
      </w:r>
      <w:r w:rsidRPr="00D307FA">
        <w:rPr>
          <w:i/>
        </w:rPr>
        <w:t>Journal of Physical Chemistry B,</w:t>
      </w:r>
      <w:r w:rsidRPr="00D307FA">
        <w:t xml:space="preserve"> vol. 102, no. 10, pp. 1759-1767, 1998.</w:t>
      </w:r>
      <w:bookmarkEnd w:id="181"/>
    </w:p>
    <w:p w14:paraId="43CF6AC0" w14:textId="77777777" w:rsidR="00D307FA" w:rsidRPr="00D307FA" w:rsidRDefault="00D307FA" w:rsidP="00D307FA">
      <w:pPr>
        <w:pStyle w:val="EndNoteBibliography"/>
        <w:ind w:left="720" w:hanging="720"/>
      </w:pPr>
      <w:bookmarkStart w:id="182" w:name="_ENREF_34"/>
      <w:r w:rsidRPr="00D307FA">
        <w:t>[34]</w:t>
      </w:r>
      <w:r w:rsidRPr="00D307FA">
        <w:tab/>
        <w:t xml:space="preserve">A. Corma, “State of the art and future challenges of zeolites as catalysts,” </w:t>
      </w:r>
      <w:r w:rsidRPr="00D307FA">
        <w:rPr>
          <w:i/>
        </w:rPr>
        <w:t>Journal of Catalysis,</w:t>
      </w:r>
      <w:r w:rsidRPr="00D307FA">
        <w:t xml:space="preserve"> vol. 216, no. 1-2, pp. 298-312, 2003.</w:t>
      </w:r>
      <w:bookmarkEnd w:id="182"/>
    </w:p>
    <w:p w14:paraId="59E90CA7" w14:textId="77777777" w:rsidR="00D307FA" w:rsidRPr="00D307FA" w:rsidRDefault="00D307FA" w:rsidP="00D307FA">
      <w:pPr>
        <w:pStyle w:val="EndNoteBibliography"/>
        <w:ind w:left="720" w:hanging="720"/>
      </w:pPr>
      <w:bookmarkStart w:id="183" w:name="_ENREF_35"/>
      <w:r w:rsidRPr="00D307FA">
        <w:t>[35]</w:t>
      </w:r>
      <w:r w:rsidRPr="00D307FA">
        <w:tab/>
        <w:t xml:space="preserve">J. Liang, Z. Liang, R. Zou, and Y. Zhao, “Heterogeneous Catalysis in Zeolites, Mesoporous Silica, and Metal–Organic Frameworks,” </w:t>
      </w:r>
      <w:r w:rsidRPr="00D307FA">
        <w:rPr>
          <w:i/>
        </w:rPr>
        <w:t>Advanced Materials,</w:t>
      </w:r>
      <w:r w:rsidRPr="00D307FA">
        <w:t xml:space="preserve"> vol. 29, no. 30, 2017.</w:t>
      </w:r>
      <w:bookmarkEnd w:id="183"/>
    </w:p>
    <w:p w14:paraId="32B6A4DB" w14:textId="77777777" w:rsidR="00D307FA" w:rsidRPr="00D307FA" w:rsidRDefault="00D307FA" w:rsidP="00D307FA">
      <w:pPr>
        <w:pStyle w:val="EndNoteBibliography"/>
        <w:ind w:left="720" w:hanging="720"/>
      </w:pPr>
      <w:bookmarkStart w:id="184" w:name="_ENREF_36"/>
      <w:r w:rsidRPr="00D307FA">
        <w:t>[36]</w:t>
      </w:r>
      <w:r w:rsidRPr="00D307FA">
        <w:tab/>
        <w:t xml:space="preserve">J. Scherzer, </w:t>
      </w:r>
      <w:r w:rsidRPr="00D307FA">
        <w:rPr>
          <w:i/>
        </w:rPr>
        <w:t>Octane-Enhancing Zeolitic FCC Catalysts: Scientific and Technical Aspects</w:t>
      </w:r>
      <w:r w:rsidRPr="00D307FA">
        <w:t>: New York, 1990.</w:t>
      </w:r>
      <w:bookmarkEnd w:id="184"/>
    </w:p>
    <w:p w14:paraId="15C76907" w14:textId="77777777" w:rsidR="00D307FA" w:rsidRPr="00D307FA" w:rsidRDefault="00D307FA" w:rsidP="00D307FA">
      <w:pPr>
        <w:pStyle w:val="EndNoteBibliography"/>
        <w:ind w:left="720" w:hanging="720"/>
      </w:pPr>
      <w:bookmarkStart w:id="185" w:name="_ENREF_37"/>
      <w:r w:rsidRPr="00D307FA">
        <w:t>[37]</w:t>
      </w:r>
      <w:r w:rsidRPr="00D307FA">
        <w:tab/>
        <w:t xml:space="preserve">J. E. Naber, K. P. d. Jong, W. H. J. Stork, H. P. C. E. Kuipers, and M. F. M. Post, “Industrial applications of zeolite catalysis,” </w:t>
      </w:r>
      <w:r w:rsidRPr="00D307FA">
        <w:rPr>
          <w:i/>
        </w:rPr>
        <w:t>Studies in Surface Science and Catalysis,</w:t>
      </w:r>
      <w:r w:rsidRPr="00D307FA">
        <w:t xml:space="preserve"> vol. 84, pp. 2197-2219, 1994.</w:t>
      </w:r>
      <w:bookmarkEnd w:id="185"/>
    </w:p>
    <w:p w14:paraId="2381F527" w14:textId="77777777" w:rsidR="00D307FA" w:rsidRPr="00D307FA" w:rsidRDefault="00D307FA" w:rsidP="00D307FA">
      <w:pPr>
        <w:pStyle w:val="EndNoteBibliography"/>
        <w:ind w:left="720" w:hanging="720"/>
      </w:pPr>
      <w:bookmarkStart w:id="186" w:name="_ENREF_38"/>
      <w:r w:rsidRPr="00D307FA">
        <w:t>[38]</w:t>
      </w:r>
      <w:r w:rsidRPr="00D307FA">
        <w:tab/>
        <w:t xml:space="preserve">M. Guisnet, and N. S. Gnep, “Mechanism of short-chain alkane transformation over protonic zeolites. Alkylation, disproportionation and aromatization,” </w:t>
      </w:r>
      <w:r w:rsidRPr="00D307FA">
        <w:rPr>
          <w:i/>
        </w:rPr>
        <w:t>Applied Catalysis A: General,</w:t>
      </w:r>
      <w:r w:rsidRPr="00D307FA">
        <w:t xml:space="preserve"> vol. 146, no. 1, pp. 33-64, 1996.</w:t>
      </w:r>
      <w:bookmarkEnd w:id="186"/>
    </w:p>
    <w:p w14:paraId="7C61661B" w14:textId="77777777" w:rsidR="00D307FA" w:rsidRPr="00D307FA" w:rsidRDefault="00D307FA" w:rsidP="00D307FA">
      <w:pPr>
        <w:pStyle w:val="EndNoteBibliography"/>
        <w:ind w:left="720" w:hanging="720"/>
      </w:pPr>
      <w:bookmarkStart w:id="187" w:name="_ENREF_39"/>
      <w:r w:rsidRPr="00D307FA">
        <w:t>[39]</w:t>
      </w:r>
      <w:r w:rsidRPr="00D307FA">
        <w:tab/>
        <w:t xml:space="preserve">E. F. Iliopoulou, S. D. Stefanidis, K. G. Kalogiannis, A. Delimitis, A. A. Lappas, and K. S. Triantafyllidis, “Catalytic upgrading of biomass pyrolysis vapors using transition metal-modified ZSM-5 zeolite,” </w:t>
      </w:r>
      <w:r w:rsidRPr="00D307FA">
        <w:rPr>
          <w:i/>
        </w:rPr>
        <w:t>Applied Catalysis B: Environmental,</w:t>
      </w:r>
      <w:r w:rsidRPr="00D307FA">
        <w:t xml:space="preserve"> vol. 127, pp. 281-290, 2012.</w:t>
      </w:r>
      <w:bookmarkEnd w:id="187"/>
    </w:p>
    <w:p w14:paraId="0C04A06A" w14:textId="77777777" w:rsidR="00D307FA" w:rsidRPr="00D307FA" w:rsidRDefault="00D307FA" w:rsidP="00D307FA">
      <w:pPr>
        <w:pStyle w:val="EndNoteBibliography"/>
        <w:ind w:left="720" w:hanging="720"/>
      </w:pPr>
      <w:bookmarkStart w:id="188" w:name="_ENREF_40"/>
      <w:r w:rsidRPr="00D307FA">
        <w:t>[40]</w:t>
      </w:r>
      <w:r w:rsidRPr="00D307FA">
        <w:tab/>
        <w:t xml:space="preserve">J. Xiao, M. Yang, Q. Che, Y. Chen, X. Chen, H. Yang, P. Bartocci, F. Fantozzi, and H. Chen, “Effect of potassium on catalytic characteristics of ZSM-5 zeolite in fast pyrolysis of biomass-based furan,” </w:t>
      </w:r>
      <w:r w:rsidRPr="00D307FA">
        <w:rPr>
          <w:i/>
        </w:rPr>
        <w:t>Journal of Analytical and Applied Pyrolysis,</w:t>
      </w:r>
      <w:r w:rsidRPr="00D307FA">
        <w:t xml:space="preserve"> vol. 157, pp. 105230, 2021.</w:t>
      </w:r>
      <w:bookmarkEnd w:id="188"/>
    </w:p>
    <w:p w14:paraId="2CA83843" w14:textId="77777777" w:rsidR="00D307FA" w:rsidRPr="00D307FA" w:rsidRDefault="00D307FA" w:rsidP="00D307FA">
      <w:pPr>
        <w:pStyle w:val="EndNoteBibliography"/>
        <w:ind w:left="720" w:hanging="720"/>
      </w:pPr>
      <w:bookmarkStart w:id="189" w:name="_ENREF_41"/>
      <w:r w:rsidRPr="00D307FA">
        <w:t>[41]</w:t>
      </w:r>
      <w:r w:rsidRPr="00D307FA">
        <w:tab/>
        <w:t xml:space="preserve">L. B. Young, S. A. Butter, and W. W. Kaeding, “Shape selective reactions with zeolite catalysts: III. Selectivity in xylene isomerization, toluene-methanol alkylation, and toluene disproportionation over ZSM-5 zeolite catalysts,” </w:t>
      </w:r>
      <w:r w:rsidRPr="00D307FA">
        <w:rPr>
          <w:i/>
        </w:rPr>
        <w:t>Journal of Catalysis,</w:t>
      </w:r>
      <w:r w:rsidRPr="00D307FA">
        <w:t xml:space="preserve"> vol. 76, no. 2, pp. 418-432, 1982.</w:t>
      </w:r>
      <w:bookmarkEnd w:id="189"/>
    </w:p>
    <w:p w14:paraId="4FD1867D" w14:textId="77777777" w:rsidR="00D307FA" w:rsidRPr="00D307FA" w:rsidRDefault="00D307FA" w:rsidP="00D307FA">
      <w:pPr>
        <w:pStyle w:val="EndNoteBibliography"/>
        <w:ind w:left="720" w:hanging="720"/>
      </w:pPr>
      <w:bookmarkStart w:id="190" w:name="_ENREF_42"/>
      <w:r w:rsidRPr="00D307FA">
        <w:t>[42]</w:t>
      </w:r>
      <w:r w:rsidRPr="00D307FA">
        <w:tab/>
        <w:t xml:space="preserve">M. Guisnet, N. S. Gnep, D. Aittaleb, and Y. J. Doyemet, “Conversion of light alkanes into aromatic hydrocarbons: VI. Aromatization of C2-C4 alkanes on H-ZSM-5 —reaction mechanisms,” </w:t>
      </w:r>
      <w:r w:rsidRPr="00D307FA">
        <w:rPr>
          <w:i/>
        </w:rPr>
        <w:t>Applied Catalysis A: General,</w:t>
      </w:r>
      <w:r w:rsidRPr="00D307FA">
        <w:t xml:space="preserve"> vol. 87, no. 2, pp. 255-270, 1992.</w:t>
      </w:r>
      <w:bookmarkEnd w:id="190"/>
    </w:p>
    <w:p w14:paraId="1B881696" w14:textId="77777777" w:rsidR="00D307FA" w:rsidRPr="00D307FA" w:rsidRDefault="00D307FA" w:rsidP="00D307FA">
      <w:pPr>
        <w:pStyle w:val="EndNoteBibliography"/>
        <w:ind w:left="720" w:hanging="720"/>
      </w:pPr>
      <w:bookmarkStart w:id="191" w:name="_ENREF_43"/>
      <w:r w:rsidRPr="00D307FA">
        <w:t>[43]</w:t>
      </w:r>
      <w:r w:rsidRPr="00D307FA">
        <w:tab/>
        <w:t xml:space="preserve">L. Calabrese, and E. Proverbio, “A Brief Overview on the Anticorrosion Performances of Sol-Gel Zeolite Coatings,” </w:t>
      </w:r>
      <w:r w:rsidRPr="00D307FA">
        <w:rPr>
          <w:i/>
        </w:rPr>
        <w:t>Coatings,</w:t>
      </w:r>
      <w:r w:rsidRPr="00D307FA">
        <w:t xml:space="preserve"> vol. 9, no. 6, pp. 409, 2019.</w:t>
      </w:r>
      <w:bookmarkEnd w:id="191"/>
    </w:p>
    <w:p w14:paraId="1648879C" w14:textId="77777777" w:rsidR="00D307FA" w:rsidRPr="00D307FA" w:rsidRDefault="00D307FA" w:rsidP="00D307FA">
      <w:pPr>
        <w:pStyle w:val="EndNoteBibliography"/>
        <w:ind w:left="720" w:hanging="720"/>
      </w:pPr>
      <w:bookmarkStart w:id="192" w:name="_ENREF_44"/>
      <w:r w:rsidRPr="00D307FA">
        <w:t>[44]</w:t>
      </w:r>
      <w:r w:rsidRPr="00D307FA">
        <w:tab/>
        <w:t xml:space="preserve">Q. L. Wang, G. Giannetto, M. Torrealba, G. Perot, C. Kappenstein, and M. Guisnet, “Dealumination of zeolites II. Kinetic study of the dealumination by hydrothermal treatment of a NH4NaY zeolite,” </w:t>
      </w:r>
      <w:r w:rsidRPr="00D307FA">
        <w:rPr>
          <w:i/>
        </w:rPr>
        <w:t>Journal of Catalysis,</w:t>
      </w:r>
      <w:r w:rsidRPr="00D307FA">
        <w:t xml:space="preserve"> vol. 130, no. 2, pp. 459-470, 1991.</w:t>
      </w:r>
      <w:bookmarkEnd w:id="192"/>
    </w:p>
    <w:p w14:paraId="393D6BBC" w14:textId="77777777" w:rsidR="00D307FA" w:rsidRPr="00D307FA" w:rsidRDefault="00D307FA" w:rsidP="00D307FA">
      <w:pPr>
        <w:pStyle w:val="EndNoteBibliography"/>
        <w:ind w:left="720" w:hanging="720"/>
      </w:pPr>
      <w:bookmarkStart w:id="193" w:name="_ENREF_45"/>
      <w:r w:rsidRPr="00D307FA">
        <w:t>[45]</w:t>
      </w:r>
      <w:r w:rsidRPr="00D307FA">
        <w:tab/>
        <w:t xml:space="preserve">B. H. Wouters, T. Chen, and P. J. Grobet, “Steaming of Zeolite Y: Formation of Transient Al Species,” </w:t>
      </w:r>
      <w:r w:rsidRPr="00D307FA">
        <w:rPr>
          <w:i/>
        </w:rPr>
        <w:t>Journal of Physical Chemistry B,</w:t>
      </w:r>
      <w:r w:rsidRPr="00D307FA">
        <w:t xml:space="preserve"> vol. 105, pp. 1135-1139, 2001.</w:t>
      </w:r>
      <w:bookmarkEnd w:id="193"/>
    </w:p>
    <w:p w14:paraId="2E06E209" w14:textId="77777777" w:rsidR="00D307FA" w:rsidRPr="00D307FA" w:rsidRDefault="00D307FA" w:rsidP="00D307FA">
      <w:pPr>
        <w:pStyle w:val="EndNoteBibliography"/>
        <w:ind w:left="720" w:hanging="720"/>
      </w:pPr>
      <w:bookmarkStart w:id="194" w:name="_ENREF_46"/>
      <w:r w:rsidRPr="00D307FA">
        <w:t>[46]</w:t>
      </w:r>
      <w:r w:rsidRPr="00D307FA">
        <w:tab/>
        <w:t xml:space="preserve">B. H. Wouters, T. H. Chen, and P. J. Grobet, “Reversible Tetrahedral−Octahedral Framework Aluminum Transformation in Zeolite Y,” </w:t>
      </w:r>
      <w:r w:rsidRPr="00D307FA">
        <w:rPr>
          <w:i/>
        </w:rPr>
        <w:t>Journal of American Chemical Society,</w:t>
      </w:r>
      <w:r w:rsidRPr="00D307FA">
        <w:t xml:space="preserve"> vol. 120, pp. 11419-11425, 1998.</w:t>
      </w:r>
      <w:bookmarkEnd w:id="194"/>
    </w:p>
    <w:p w14:paraId="1D76406E" w14:textId="77777777" w:rsidR="00D307FA" w:rsidRPr="00D307FA" w:rsidRDefault="00D307FA" w:rsidP="00D307FA">
      <w:pPr>
        <w:pStyle w:val="EndNoteBibliography"/>
        <w:ind w:left="720" w:hanging="720"/>
      </w:pPr>
      <w:bookmarkStart w:id="195" w:name="_ENREF_47"/>
      <w:r w:rsidRPr="00D307FA">
        <w:lastRenderedPageBreak/>
        <w:t>[47]</w:t>
      </w:r>
      <w:r w:rsidRPr="00D307FA">
        <w:tab/>
        <w:t xml:space="preserve">R. Dimitrijevic, W. Lutz, and A. Ritzmann, “Hydrothermal stability of zeolites: Determination of extra-framework species of H-Y faujasite-type steamed zeolite,” </w:t>
      </w:r>
      <w:r w:rsidRPr="00D307FA">
        <w:rPr>
          <w:i/>
        </w:rPr>
        <w:t>Journal of Physics and Chemistry of Solids,</w:t>
      </w:r>
      <w:r w:rsidRPr="00D307FA">
        <w:t xml:space="preserve"> vol. 67, no. 8, pp. 1741-1748, 2006.</w:t>
      </w:r>
      <w:bookmarkEnd w:id="195"/>
    </w:p>
    <w:p w14:paraId="774C65A9" w14:textId="77777777" w:rsidR="00D307FA" w:rsidRPr="00D307FA" w:rsidRDefault="00D307FA" w:rsidP="00D307FA">
      <w:pPr>
        <w:pStyle w:val="EndNoteBibliography"/>
        <w:ind w:left="720" w:hanging="720"/>
      </w:pPr>
      <w:bookmarkStart w:id="196" w:name="_ENREF_48"/>
      <w:r w:rsidRPr="00D307FA">
        <w:t>[48]</w:t>
      </w:r>
      <w:r w:rsidRPr="00D307FA">
        <w:tab/>
        <w:t xml:space="preserve">K. Khivantsev, N. R. Jaegers, L. Kovarik, M. A. Derewinski, J.-H. Kwak, and J. Szanyi, “On the Nature of Extra-Framework Aluminum Species and Improved Catalytic Properties in Steamed Zeolites,” </w:t>
      </w:r>
      <w:r w:rsidRPr="00D307FA">
        <w:rPr>
          <w:i/>
        </w:rPr>
        <w:t>Molecules,</w:t>
      </w:r>
      <w:r w:rsidRPr="00D307FA">
        <w:t xml:space="preserve"> vol. 27, pp. 2352, 2022.</w:t>
      </w:r>
      <w:bookmarkEnd w:id="196"/>
    </w:p>
    <w:p w14:paraId="297C0BED" w14:textId="77777777" w:rsidR="00D307FA" w:rsidRPr="00D307FA" w:rsidRDefault="00D307FA" w:rsidP="00D307FA">
      <w:pPr>
        <w:pStyle w:val="EndNoteBibliography"/>
        <w:ind w:left="720" w:hanging="720"/>
      </w:pPr>
      <w:bookmarkStart w:id="197" w:name="_ENREF_49"/>
      <w:r w:rsidRPr="00D307FA">
        <w:t>[49]</w:t>
      </w:r>
      <w:r w:rsidRPr="00D307FA">
        <w:tab/>
        <w:t xml:space="preserve">P. J. Grobet, H. Geerts, M. Tielen, J. A. Martens, and P. A. Jacobs, “Framework and Non-Framework Al Species in Dealuminated Zeolite Y,” </w:t>
      </w:r>
      <w:r w:rsidRPr="00D307FA">
        <w:rPr>
          <w:i/>
        </w:rPr>
        <w:t>Studies in Surface Science and Catalysis,</w:t>
      </w:r>
      <w:r w:rsidRPr="00D307FA">
        <w:t xml:space="preserve"> vol. 46, pp. 721-734, 1989.</w:t>
      </w:r>
      <w:bookmarkEnd w:id="197"/>
    </w:p>
    <w:p w14:paraId="1D5D7694" w14:textId="77777777" w:rsidR="00D307FA" w:rsidRPr="00D307FA" w:rsidRDefault="00D307FA" w:rsidP="00D307FA">
      <w:pPr>
        <w:pStyle w:val="EndNoteBibliography"/>
        <w:ind w:left="720" w:hanging="720"/>
      </w:pPr>
      <w:bookmarkStart w:id="198" w:name="_ENREF_50"/>
      <w:r w:rsidRPr="00D307FA">
        <w:t>[50]</w:t>
      </w:r>
      <w:r w:rsidRPr="00D307FA">
        <w:tab/>
        <w:t xml:space="preserve">X. Yi, K. Liu, W. Chen, J. Li, S. Xu, C. Li, Y. Xiao, H. Liu, X. Guo, S.-B. Liu, and A. Zheng, “Origin and Structural Characteristics of Tri-coordinated Extra-framework Aluminum Species in Dealuminated Zeolites,” </w:t>
      </w:r>
      <w:r w:rsidRPr="00D307FA">
        <w:rPr>
          <w:i/>
        </w:rPr>
        <w:t>Journal of American Chemical Society,</w:t>
      </w:r>
      <w:r w:rsidRPr="00D307FA">
        <w:t xml:space="preserve"> vol. 140, no. 34, pp. 10764-10774, 2018.</w:t>
      </w:r>
      <w:bookmarkEnd w:id="198"/>
    </w:p>
    <w:p w14:paraId="50A54813" w14:textId="77777777" w:rsidR="00D307FA" w:rsidRPr="00D307FA" w:rsidRDefault="00D307FA" w:rsidP="00D307FA">
      <w:pPr>
        <w:pStyle w:val="EndNoteBibliography"/>
        <w:ind w:left="720" w:hanging="720"/>
      </w:pPr>
      <w:bookmarkStart w:id="199" w:name="_ENREF_51"/>
      <w:r w:rsidRPr="00D307FA">
        <w:t>[51]</w:t>
      </w:r>
      <w:r w:rsidRPr="00D307FA">
        <w:tab/>
        <w:t xml:space="preserve">A. Primo, and H. Garcia, “Zeolites as catalysts in oil refining,” </w:t>
      </w:r>
      <w:r w:rsidRPr="00D307FA">
        <w:rPr>
          <w:i/>
        </w:rPr>
        <w:t>Chemical Society Reviews,</w:t>
      </w:r>
      <w:r w:rsidRPr="00D307FA">
        <w:t xml:space="preserve"> vol. 43, pp. 7548-7561, 2014.</w:t>
      </w:r>
      <w:bookmarkEnd w:id="199"/>
    </w:p>
    <w:p w14:paraId="0C540556" w14:textId="77777777" w:rsidR="00D307FA" w:rsidRPr="00D307FA" w:rsidRDefault="00D307FA" w:rsidP="00D307FA">
      <w:pPr>
        <w:pStyle w:val="EndNoteBibliography"/>
        <w:ind w:left="720" w:hanging="720"/>
      </w:pPr>
      <w:bookmarkStart w:id="200" w:name="_ENREF_52"/>
      <w:r w:rsidRPr="00D307FA">
        <w:t>[52]</w:t>
      </w:r>
      <w:r w:rsidRPr="00D307FA">
        <w:tab/>
        <w:t xml:space="preserve">A. Corma, A. Martínez, P. A. Arroyo, J. L. F. Monteiro, and E. F. Sousa-Aguiar, “Isobutane/2-butene alkylation on zeolite beta: Influence of post-synthesis treatments,” </w:t>
      </w:r>
      <w:r w:rsidRPr="00D307FA">
        <w:rPr>
          <w:i/>
        </w:rPr>
        <w:t>Applied Catalysis A: General,</w:t>
      </w:r>
      <w:r w:rsidRPr="00D307FA">
        <w:t xml:space="preserve"> vol. 142, no. 1, pp. 139-150, 1996.</w:t>
      </w:r>
      <w:bookmarkEnd w:id="200"/>
    </w:p>
    <w:p w14:paraId="2F107EA6" w14:textId="77777777" w:rsidR="00D307FA" w:rsidRPr="00D307FA" w:rsidRDefault="00D307FA" w:rsidP="00D307FA">
      <w:pPr>
        <w:pStyle w:val="EndNoteBibliography"/>
        <w:ind w:left="720" w:hanging="720"/>
      </w:pPr>
      <w:bookmarkStart w:id="201" w:name="_ENREF_53"/>
      <w:r w:rsidRPr="00D307FA">
        <w:t>[53]</w:t>
      </w:r>
      <w:r w:rsidRPr="00D307FA">
        <w:tab/>
        <w:t xml:space="preserve">M. Guisnet, and P. Magnoux, “Coking and deactivation of zeolites: Influence of the Pore Structure,” </w:t>
      </w:r>
      <w:r w:rsidRPr="00D307FA">
        <w:rPr>
          <w:i/>
        </w:rPr>
        <w:t>Applied Catalysis,</w:t>
      </w:r>
      <w:r w:rsidRPr="00D307FA">
        <w:t xml:space="preserve"> vol. 54, no. 1, pp. 1-27, 1989.</w:t>
      </w:r>
      <w:bookmarkEnd w:id="201"/>
    </w:p>
    <w:p w14:paraId="7ACE95BE" w14:textId="77777777" w:rsidR="00D307FA" w:rsidRPr="00D307FA" w:rsidRDefault="00D307FA" w:rsidP="00D307FA">
      <w:pPr>
        <w:pStyle w:val="EndNoteBibliography"/>
        <w:ind w:left="720" w:hanging="720"/>
      </w:pPr>
      <w:bookmarkStart w:id="202" w:name="_ENREF_54"/>
      <w:r w:rsidRPr="00D307FA">
        <w:t>[54]</w:t>
      </w:r>
      <w:r w:rsidRPr="00D307FA">
        <w:tab/>
        <w:t xml:space="preserve">Q. L. Wang, G. Giannetto, and M. Guisnet, “Dealumination of zeolites III. Effect of extra-framework aluminum species on the activity, selectivity, and stability of Y zeolites in n-heptane cracking,” </w:t>
      </w:r>
      <w:r w:rsidRPr="00D307FA">
        <w:rPr>
          <w:i/>
        </w:rPr>
        <w:t>Journal of Catalysis,</w:t>
      </w:r>
      <w:r w:rsidRPr="00D307FA">
        <w:t xml:space="preserve"> vol. 130, no. 2, pp. 471-482, 1991.</w:t>
      </w:r>
      <w:bookmarkEnd w:id="202"/>
    </w:p>
    <w:p w14:paraId="60744F5E" w14:textId="77777777" w:rsidR="00D307FA" w:rsidRPr="00D307FA" w:rsidRDefault="00D307FA" w:rsidP="00D307FA">
      <w:pPr>
        <w:pStyle w:val="EndNoteBibliography"/>
        <w:ind w:left="720" w:hanging="720"/>
      </w:pPr>
      <w:bookmarkStart w:id="203" w:name="_ENREF_55"/>
      <w:r w:rsidRPr="00D307FA">
        <w:t>[55]</w:t>
      </w:r>
      <w:r w:rsidRPr="00D307FA">
        <w:tab/>
        <w:t xml:space="preserve">B. Paweewan, P. J. Barrie, and L. F. Gladden, “Coking and deactivation during n-hexane cracking in ultrastable zeolite Y,” </w:t>
      </w:r>
      <w:r w:rsidRPr="00D307FA">
        <w:rPr>
          <w:i/>
        </w:rPr>
        <w:t>Applied Catalysis A: General,</w:t>
      </w:r>
      <w:r w:rsidRPr="00D307FA">
        <w:t xml:space="preserve"> vol. 185, no. 2, pp. 259-268, 1999.</w:t>
      </w:r>
      <w:bookmarkEnd w:id="203"/>
    </w:p>
    <w:p w14:paraId="23CFA6F5" w14:textId="77777777" w:rsidR="00D307FA" w:rsidRPr="00D307FA" w:rsidRDefault="00D307FA" w:rsidP="00D307FA">
      <w:pPr>
        <w:pStyle w:val="EndNoteBibliography"/>
        <w:ind w:left="720" w:hanging="720"/>
      </w:pPr>
      <w:bookmarkStart w:id="204" w:name="_ENREF_56"/>
      <w:r w:rsidRPr="00D307FA">
        <w:t>[56]</w:t>
      </w:r>
      <w:r w:rsidRPr="00D307FA">
        <w:tab/>
        <w:t xml:space="preserve">M. Guisnet, and P. Magnoux, “Deactivation by coking of zeolite catalysts. Prevention of deactivation. Optimal conditions for regeneration,” </w:t>
      </w:r>
      <w:r w:rsidRPr="00D307FA">
        <w:rPr>
          <w:i/>
        </w:rPr>
        <w:t>Catalysis Today,</w:t>
      </w:r>
      <w:r w:rsidRPr="00D307FA">
        <w:t xml:space="preserve"> vol. 36, no. 4, pp. 477-483, 1997.</w:t>
      </w:r>
      <w:bookmarkEnd w:id="204"/>
    </w:p>
    <w:p w14:paraId="5BB9037E" w14:textId="77777777" w:rsidR="00D307FA" w:rsidRPr="00D307FA" w:rsidRDefault="00D307FA" w:rsidP="00D307FA">
      <w:pPr>
        <w:pStyle w:val="EndNoteBibliography"/>
        <w:ind w:left="720" w:hanging="720"/>
      </w:pPr>
      <w:bookmarkStart w:id="205" w:name="_ENREF_57"/>
      <w:r w:rsidRPr="00D307FA">
        <w:t>[57]</w:t>
      </w:r>
      <w:r w:rsidRPr="00D307FA">
        <w:tab/>
        <w:t xml:space="preserve">E. Tabor, M. Bernauer, B. Wichterlová, and J. Dedecek, “Enhancement of propene oligomerization and aromatization by proximate protons in zeolites; FTIR study of the reaction pathway in ZSM-5,” </w:t>
      </w:r>
      <w:r w:rsidRPr="00D307FA">
        <w:rPr>
          <w:i/>
        </w:rPr>
        <w:t>Catalysis Science &amp; Technology,</w:t>
      </w:r>
      <w:r w:rsidRPr="00D307FA">
        <w:t xml:space="preserve"> vol. 9, pp. 4262-4275, 2019.</w:t>
      </w:r>
      <w:bookmarkEnd w:id="205"/>
    </w:p>
    <w:p w14:paraId="7A136940" w14:textId="77777777" w:rsidR="00D307FA" w:rsidRPr="00D307FA" w:rsidRDefault="00D307FA" w:rsidP="00D307FA">
      <w:pPr>
        <w:pStyle w:val="EndNoteBibliography"/>
        <w:ind w:left="720" w:hanging="720"/>
      </w:pPr>
      <w:bookmarkStart w:id="206" w:name="_ENREF_58"/>
      <w:r w:rsidRPr="00D307FA">
        <w:t>[58]</w:t>
      </w:r>
      <w:r w:rsidRPr="00D307FA">
        <w:tab/>
        <w:t xml:space="preserve">J. Dědeček, D. Kaucký, B. Wichterlová, and O. Gonsiorováb, “Co2+ ions as probes of Al distribution in the framework of zeolites. ZSM-5 study,” </w:t>
      </w:r>
      <w:r w:rsidRPr="00D307FA">
        <w:rPr>
          <w:i/>
        </w:rPr>
        <w:t>Physical Chemistry Chemical Physics,</w:t>
      </w:r>
      <w:r w:rsidRPr="00D307FA">
        <w:t xml:space="preserve"> vol. 4, no. 5406-5413, 2002.</w:t>
      </w:r>
      <w:bookmarkEnd w:id="206"/>
    </w:p>
    <w:p w14:paraId="4FB39494" w14:textId="77777777" w:rsidR="00D307FA" w:rsidRPr="00D307FA" w:rsidRDefault="00D307FA" w:rsidP="00D307FA">
      <w:pPr>
        <w:pStyle w:val="EndNoteBibliography"/>
        <w:ind w:left="720" w:hanging="720"/>
      </w:pPr>
      <w:bookmarkStart w:id="207" w:name="_ENREF_59"/>
      <w:r w:rsidRPr="00D307FA">
        <w:t>[59]</w:t>
      </w:r>
      <w:r w:rsidRPr="00D307FA">
        <w:tab/>
        <w:t>J. Li, “Continuous Flow Hydrothermal Synthesis of ZSM-5 Zeolite,” University of Pittsburgh, 2022.</w:t>
      </w:r>
      <w:bookmarkEnd w:id="207"/>
    </w:p>
    <w:p w14:paraId="5F0F8A90" w14:textId="77777777" w:rsidR="00D307FA" w:rsidRPr="00D307FA" w:rsidRDefault="00D307FA" w:rsidP="00D307FA">
      <w:pPr>
        <w:pStyle w:val="EndNoteBibliography"/>
        <w:ind w:left="720" w:hanging="720"/>
      </w:pPr>
      <w:bookmarkStart w:id="208" w:name="_ENREF_60"/>
      <w:r w:rsidRPr="00D307FA">
        <w:t>[60]</w:t>
      </w:r>
      <w:r w:rsidRPr="00D307FA">
        <w:tab/>
        <w:t xml:space="preserve">C. S. Cundy, M. S. Henty, and R. J. Plaisted, “Investigation of Na, TPA-ZSM-5 zeolite synthesis by chemical methods,” </w:t>
      </w:r>
      <w:r w:rsidRPr="00D307FA">
        <w:rPr>
          <w:i/>
        </w:rPr>
        <w:t>Zeolies,</w:t>
      </w:r>
      <w:r w:rsidRPr="00D307FA">
        <w:t xml:space="preserve"> vol. 15, no. 4, pp. 342-352, 1995.</w:t>
      </w:r>
      <w:bookmarkEnd w:id="208"/>
    </w:p>
    <w:p w14:paraId="27C6D9C5" w14:textId="77777777" w:rsidR="00D307FA" w:rsidRPr="00D307FA" w:rsidRDefault="00D307FA" w:rsidP="00D307FA">
      <w:pPr>
        <w:pStyle w:val="EndNoteBibliography"/>
        <w:ind w:left="720" w:hanging="720"/>
      </w:pPr>
      <w:bookmarkStart w:id="209" w:name="_ENREF_61"/>
      <w:r w:rsidRPr="00D307FA">
        <w:t>[61]</w:t>
      </w:r>
      <w:r w:rsidRPr="00D307FA">
        <w:tab/>
        <w:t xml:space="preserve">M. Ghamami, and L. B. Sand, “Synthesis and crystal growth of zeolite (NH4, TPA)-ZSM-5,” </w:t>
      </w:r>
      <w:r w:rsidRPr="00D307FA">
        <w:rPr>
          <w:i/>
        </w:rPr>
        <w:t>Zeolites,</w:t>
      </w:r>
      <w:r w:rsidRPr="00D307FA">
        <w:t xml:space="preserve"> vol. 3, no. 2, pp. 155-162, 1983.</w:t>
      </w:r>
      <w:bookmarkEnd w:id="209"/>
    </w:p>
    <w:p w14:paraId="213A26D5" w14:textId="77777777" w:rsidR="00D307FA" w:rsidRPr="00D307FA" w:rsidRDefault="00D307FA" w:rsidP="00D307FA">
      <w:pPr>
        <w:pStyle w:val="EndNoteBibliography"/>
        <w:ind w:left="720" w:hanging="720"/>
      </w:pPr>
      <w:bookmarkStart w:id="210" w:name="_ENREF_62"/>
      <w:r w:rsidRPr="00D307FA">
        <w:t>[62]</w:t>
      </w:r>
      <w:r w:rsidRPr="00D307FA">
        <w:tab/>
        <w:t xml:space="preserve">A. Chawla, R. Li, R. Jain, R. J. Clark, J. G. Sutjianto, J. C. Palmer, and J. D. Rimer, “Cooperative effects of inorganic and organic structure-directing agents in ZSM-5 </w:t>
      </w:r>
      <w:r w:rsidRPr="00D307FA">
        <w:lastRenderedPageBreak/>
        <w:t xml:space="preserve">crystallization,” </w:t>
      </w:r>
      <w:r w:rsidRPr="00D307FA">
        <w:rPr>
          <w:i/>
        </w:rPr>
        <w:t>Molecular Systems Design &amp; Engineering,</w:t>
      </w:r>
      <w:r w:rsidRPr="00D307FA">
        <w:t xml:space="preserve"> vol. 3, no. 1, pp. 159-170, 2018.</w:t>
      </w:r>
      <w:bookmarkEnd w:id="210"/>
    </w:p>
    <w:p w14:paraId="2D731459" w14:textId="77777777" w:rsidR="00D307FA" w:rsidRPr="00D307FA" w:rsidRDefault="00D307FA" w:rsidP="00D307FA">
      <w:pPr>
        <w:pStyle w:val="EndNoteBibliography"/>
        <w:ind w:left="720" w:hanging="720"/>
      </w:pPr>
      <w:bookmarkStart w:id="211" w:name="_ENREF_63"/>
      <w:r w:rsidRPr="00D307FA">
        <w:t>[63]</w:t>
      </w:r>
      <w:r w:rsidRPr="00D307FA">
        <w:tab/>
        <w:t xml:space="preserve">H. Liu, H. Wang, A.-H. Xing, and J.-H. Cheng, “Effect of Al Distribution in MFI Framework Channels on the Catalytic Performance of Ethane and Ethylene Aromatization,” </w:t>
      </w:r>
      <w:r w:rsidRPr="00D307FA">
        <w:rPr>
          <w:i/>
        </w:rPr>
        <w:t>Journal of Physical Chemistry C,</w:t>
      </w:r>
      <w:r w:rsidRPr="00D307FA">
        <w:t xml:space="preserve"> vol. 123, pp. 15637-15647, 2019.</w:t>
      </w:r>
      <w:bookmarkEnd w:id="211"/>
    </w:p>
    <w:p w14:paraId="5B5B48BB" w14:textId="77777777" w:rsidR="00D307FA" w:rsidRPr="00D307FA" w:rsidRDefault="00D307FA" w:rsidP="00D307FA">
      <w:pPr>
        <w:pStyle w:val="EndNoteBibliography"/>
        <w:ind w:left="720" w:hanging="720"/>
      </w:pPr>
      <w:bookmarkStart w:id="212" w:name="_ENREF_64"/>
      <w:r w:rsidRPr="00D307FA">
        <w:t>[64]</w:t>
      </w:r>
      <w:r w:rsidRPr="00D307FA">
        <w:tab/>
        <w:t xml:space="preserve">T. Yokoi, H. Mochizuki, T. Biligetu, Y. Wang, and T. Tatsumi, “Unique Al Distribution in the MFI Framework and Its Impact on Catalytic Properties,” </w:t>
      </w:r>
      <w:r w:rsidRPr="00D307FA">
        <w:rPr>
          <w:i/>
        </w:rPr>
        <w:t>Chemistry Letters,</w:t>
      </w:r>
      <w:r w:rsidRPr="00D307FA">
        <w:t xml:space="preserve"> vol. 46, no. 6, pp. 798-800, 2017.</w:t>
      </w:r>
      <w:bookmarkEnd w:id="212"/>
    </w:p>
    <w:p w14:paraId="0994AEDE" w14:textId="77777777" w:rsidR="00D307FA" w:rsidRPr="00D307FA" w:rsidRDefault="00D307FA" w:rsidP="00D307FA">
      <w:pPr>
        <w:pStyle w:val="EndNoteBibliography"/>
        <w:ind w:left="720" w:hanging="720"/>
      </w:pPr>
      <w:bookmarkStart w:id="213" w:name="_ENREF_65"/>
      <w:r w:rsidRPr="00D307FA">
        <w:t>[65]</w:t>
      </w:r>
      <w:r w:rsidRPr="00D307FA">
        <w:tab/>
        <w:t xml:space="preserve">R. Gounder, and E. Iglesia, “The Roles of Entropy and Enthalpy in Stabilizing Ion-Pairs at Transition States in Zeolite Acid Catalysis,” </w:t>
      </w:r>
      <w:r w:rsidRPr="00D307FA">
        <w:rPr>
          <w:i/>
        </w:rPr>
        <w:t>Accounts of Chemical Research,</w:t>
      </w:r>
      <w:r w:rsidRPr="00D307FA">
        <w:t xml:space="preserve"> vol. 45, no. 2, pp. 229-238, 2012.</w:t>
      </w:r>
      <w:bookmarkEnd w:id="213"/>
    </w:p>
    <w:p w14:paraId="622A2E85" w14:textId="77777777" w:rsidR="00D307FA" w:rsidRPr="00D307FA" w:rsidRDefault="00D307FA" w:rsidP="00D307FA">
      <w:pPr>
        <w:pStyle w:val="EndNoteBibliography"/>
        <w:ind w:left="720" w:hanging="720"/>
      </w:pPr>
      <w:bookmarkStart w:id="214" w:name="_ENREF_66"/>
      <w:r w:rsidRPr="00D307FA">
        <w:t>[66]</w:t>
      </w:r>
      <w:r w:rsidRPr="00D307FA">
        <w:tab/>
        <w:t xml:space="preserve">A. Bhan, and E. Iglesia, “A Link between Reactivity and Local Structure in Acid Catalysis on Zeolites,” </w:t>
      </w:r>
      <w:r w:rsidRPr="00D307FA">
        <w:rPr>
          <w:i/>
        </w:rPr>
        <w:t>Accounts of Chemical Research,</w:t>
      </w:r>
      <w:r w:rsidRPr="00D307FA">
        <w:t xml:space="preserve"> vol. 41, pp. 559-567, 2008.</w:t>
      </w:r>
      <w:bookmarkEnd w:id="214"/>
    </w:p>
    <w:p w14:paraId="60B088CF" w14:textId="77777777" w:rsidR="00D307FA" w:rsidRPr="00D307FA" w:rsidRDefault="00D307FA" w:rsidP="00D307FA">
      <w:pPr>
        <w:pStyle w:val="EndNoteBibliography"/>
        <w:ind w:left="720" w:hanging="720"/>
      </w:pPr>
      <w:bookmarkStart w:id="215" w:name="_ENREF_67"/>
      <w:r w:rsidRPr="00D307FA">
        <w:t>[67]</w:t>
      </w:r>
      <w:r w:rsidRPr="00D307FA">
        <w:tab/>
        <w:t xml:space="preserve">J. Cejka, </w:t>
      </w:r>
      <w:r w:rsidRPr="00D307FA">
        <w:rPr>
          <w:i/>
        </w:rPr>
        <w:t>Zeolites and Ordered Mesoporous Materials: Progress and Prospects</w:t>
      </w:r>
      <w:r w:rsidRPr="00D307FA">
        <w:t>: Elsevier Science, 2005.</w:t>
      </w:r>
      <w:bookmarkEnd w:id="215"/>
    </w:p>
    <w:p w14:paraId="35BBE98E" w14:textId="77777777" w:rsidR="00D307FA" w:rsidRPr="00D307FA" w:rsidRDefault="00D307FA" w:rsidP="00D307FA">
      <w:pPr>
        <w:pStyle w:val="EndNoteBibliography"/>
        <w:ind w:left="720" w:hanging="720"/>
      </w:pPr>
      <w:bookmarkStart w:id="216" w:name="_ENREF_68"/>
      <w:r w:rsidRPr="00D307FA">
        <w:t>[68]</w:t>
      </w:r>
      <w:r w:rsidRPr="00D307FA">
        <w:tab/>
        <w:t xml:space="preserve">C. D. Chang, “Methanol Conversion to Light Olefins,” </w:t>
      </w:r>
      <w:r w:rsidRPr="00D307FA">
        <w:rPr>
          <w:i/>
        </w:rPr>
        <w:t>Catalysis Reviews,</w:t>
      </w:r>
      <w:r w:rsidRPr="00D307FA">
        <w:t xml:space="preserve"> vol. 26, pp. 323-345, 1984.</w:t>
      </w:r>
      <w:bookmarkEnd w:id="216"/>
    </w:p>
    <w:p w14:paraId="12D0BA43" w14:textId="77777777" w:rsidR="00D307FA" w:rsidRPr="00D307FA" w:rsidRDefault="00D307FA" w:rsidP="00D307FA">
      <w:pPr>
        <w:pStyle w:val="EndNoteBibliography"/>
        <w:ind w:left="720" w:hanging="720"/>
      </w:pPr>
      <w:bookmarkStart w:id="217" w:name="_ENREF_69"/>
      <w:r w:rsidRPr="00D307FA">
        <w:t>[69]</w:t>
      </w:r>
      <w:r w:rsidRPr="00D307FA">
        <w:tab/>
        <w:t xml:space="preserve">T. W. G. Solomons, and C. B. Fryhle, </w:t>
      </w:r>
      <w:r w:rsidRPr="00D307FA">
        <w:rPr>
          <w:i/>
        </w:rPr>
        <w:t>Organic Chemistry</w:t>
      </w:r>
      <w:r w:rsidRPr="00D307FA">
        <w:t>, 8th ed.: Wiley, 2003.</w:t>
      </w:r>
      <w:bookmarkEnd w:id="217"/>
    </w:p>
    <w:p w14:paraId="765AC5FC" w14:textId="77777777" w:rsidR="00D307FA" w:rsidRPr="00D307FA" w:rsidRDefault="00D307FA" w:rsidP="00D307FA">
      <w:pPr>
        <w:pStyle w:val="EndNoteBibliography"/>
        <w:ind w:left="720" w:hanging="720"/>
      </w:pPr>
      <w:bookmarkStart w:id="218" w:name="_ENREF_70"/>
      <w:r w:rsidRPr="00D307FA">
        <w:t>[70]</w:t>
      </w:r>
      <w:r w:rsidRPr="00D307FA">
        <w:tab/>
        <w:t xml:space="preserve">D. G. Truhlar, B. C. Garrett, and S. J. Klippenstein, “Current Status of Transition-State Theory,” </w:t>
      </w:r>
      <w:r w:rsidRPr="00D307FA">
        <w:rPr>
          <w:i/>
        </w:rPr>
        <w:t>Journal of Physical Chemistry,</w:t>
      </w:r>
      <w:r w:rsidRPr="00D307FA">
        <w:t xml:space="preserve"> vol. 100, pp. 12771-12800, 1996.</w:t>
      </w:r>
      <w:bookmarkEnd w:id="218"/>
    </w:p>
    <w:p w14:paraId="183DBC2E" w14:textId="77777777" w:rsidR="00D307FA" w:rsidRPr="00D307FA" w:rsidRDefault="00D307FA" w:rsidP="00D307FA">
      <w:pPr>
        <w:pStyle w:val="EndNoteBibliography"/>
        <w:ind w:left="720" w:hanging="720"/>
      </w:pPr>
      <w:bookmarkStart w:id="219" w:name="_ENREF_71"/>
      <w:r w:rsidRPr="00D307FA">
        <w:t>[71]</w:t>
      </w:r>
      <w:r w:rsidRPr="00D307FA">
        <w:tab/>
        <w:t xml:space="preserve">A. Warshel, M. Štrajbl, J. Villà, and J. Florián, “Remarkable Rate Enhancement of Orotidine 5‘-Monophosphate Decarboxylase Is Due to Transition-State Stabilization Rather Than to Ground-State Destabilization,” </w:t>
      </w:r>
      <w:r w:rsidRPr="00D307FA">
        <w:rPr>
          <w:i/>
        </w:rPr>
        <w:t>Biochemistry,</w:t>
      </w:r>
      <w:r w:rsidRPr="00D307FA">
        <w:t xml:space="preserve"> vol. 39, pp. 14728-14738, 2000.</w:t>
      </w:r>
      <w:bookmarkEnd w:id="219"/>
    </w:p>
    <w:p w14:paraId="5C60C4C2" w14:textId="77777777" w:rsidR="00D307FA" w:rsidRPr="00D307FA" w:rsidRDefault="00D307FA" w:rsidP="00D307FA">
      <w:pPr>
        <w:pStyle w:val="EndNoteBibliography"/>
        <w:ind w:left="720" w:hanging="720"/>
      </w:pPr>
      <w:bookmarkStart w:id="220" w:name="_ENREF_72"/>
      <w:r w:rsidRPr="00D307FA">
        <w:t>[72]</w:t>
      </w:r>
      <w:r w:rsidRPr="00D307FA">
        <w:tab/>
        <w:t xml:space="preserve">H. Chongfu, “Principle of information diffusion,” </w:t>
      </w:r>
      <w:r w:rsidRPr="00D307FA">
        <w:rPr>
          <w:i/>
        </w:rPr>
        <w:t>Fuzzy Sets and Systems,</w:t>
      </w:r>
      <w:r w:rsidRPr="00D307FA">
        <w:t xml:space="preserve"> vol. 91, no. 1, pp. 69-90, 1997.</w:t>
      </w:r>
      <w:bookmarkEnd w:id="220"/>
    </w:p>
    <w:p w14:paraId="670C74F7" w14:textId="77777777" w:rsidR="00D307FA" w:rsidRPr="00D307FA" w:rsidRDefault="00D307FA" w:rsidP="00D307FA">
      <w:pPr>
        <w:pStyle w:val="EndNoteBibliography"/>
        <w:ind w:left="720" w:hanging="720"/>
      </w:pPr>
      <w:bookmarkStart w:id="221" w:name="_ENREF_73"/>
      <w:r w:rsidRPr="00D307FA">
        <w:t>[73]</w:t>
      </w:r>
      <w:r w:rsidRPr="00D307FA">
        <w:tab/>
        <w:t xml:space="preserve">A. Fick, “Ueber Diffusion,” </w:t>
      </w:r>
      <w:r w:rsidRPr="00D307FA">
        <w:rPr>
          <w:i/>
        </w:rPr>
        <w:t>Annalen der Physik,</w:t>
      </w:r>
      <w:r w:rsidRPr="00D307FA">
        <w:t xml:space="preserve"> vol. 170, no. 1, pp. 59-86, 1855.</w:t>
      </w:r>
      <w:bookmarkEnd w:id="221"/>
    </w:p>
    <w:p w14:paraId="4A691F32" w14:textId="77777777" w:rsidR="00D307FA" w:rsidRPr="00D307FA" w:rsidRDefault="00D307FA" w:rsidP="00D307FA">
      <w:pPr>
        <w:pStyle w:val="EndNoteBibliography"/>
        <w:ind w:left="720" w:hanging="720"/>
      </w:pPr>
      <w:bookmarkStart w:id="222" w:name="_ENREF_74"/>
      <w:r w:rsidRPr="00D307FA">
        <w:t>[74]</w:t>
      </w:r>
      <w:r w:rsidRPr="00D307FA">
        <w:tab/>
        <w:t xml:space="preserve">K. Cao, D. Fan, L. Li, B. Fan, L. Wang, D. Zhu, Q. Wang, P. Tian, and Z. Liu, “Insights into the Pyridine-Modified MOR Zeolite Catalysts for DME Carbonylation,” </w:t>
      </w:r>
      <w:r w:rsidRPr="00D307FA">
        <w:rPr>
          <w:i/>
        </w:rPr>
        <w:t>ACS Catalysis,</w:t>
      </w:r>
      <w:r w:rsidRPr="00D307FA">
        <w:t xml:space="preserve"> vol. 10, pp. 3372-3380, 2020.</w:t>
      </w:r>
      <w:bookmarkEnd w:id="222"/>
    </w:p>
    <w:p w14:paraId="53187FF9" w14:textId="77777777" w:rsidR="00D307FA" w:rsidRPr="00D307FA" w:rsidRDefault="00D307FA" w:rsidP="00D307FA">
      <w:pPr>
        <w:pStyle w:val="EndNoteBibliography"/>
        <w:ind w:left="720" w:hanging="720"/>
      </w:pPr>
      <w:bookmarkStart w:id="223" w:name="_ENREF_75"/>
      <w:r w:rsidRPr="00D307FA">
        <w:t>[75]</w:t>
      </w:r>
      <w:r w:rsidRPr="00D307FA">
        <w:tab/>
        <w:t>D. H. OLSON, and W. O. HAAG, “Structure-Selectivity Relationship in Xylene Isomerization and Selective Toluene Disproportionation,” 1984.</w:t>
      </w:r>
      <w:bookmarkEnd w:id="223"/>
    </w:p>
    <w:p w14:paraId="04BA00B5" w14:textId="77777777" w:rsidR="00D307FA" w:rsidRPr="00D307FA" w:rsidRDefault="00D307FA" w:rsidP="00D307FA">
      <w:pPr>
        <w:pStyle w:val="EndNoteBibliography"/>
        <w:ind w:left="720" w:hanging="720"/>
      </w:pPr>
      <w:bookmarkStart w:id="224" w:name="_ENREF_76"/>
      <w:r w:rsidRPr="00D307FA">
        <w:t>[76]</w:t>
      </w:r>
      <w:r w:rsidRPr="00D307FA">
        <w:tab/>
        <w:t xml:space="preserve">H. S. Fogler, </w:t>
      </w:r>
      <w:r w:rsidRPr="00D307FA">
        <w:rPr>
          <w:i/>
        </w:rPr>
        <w:t>Elements of Chemical Reaction Engineering</w:t>
      </w:r>
      <w:r w:rsidRPr="00D307FA">
        <w:t>: Pearson, 2016.</w:t>
      </w:r>
      <w:bookmarkEnd w:id="224"/>
    </w:p>
    <w:p w14:paraId="75FDBD87" w14:textId="77777777" w:rsidR="00D307FA" w:rsidRPr="00D307FA" w:rsidRDefault="00D307FA" w:rsidP="00D307FA">
      <w:pPr>
        <w:pStyle w:val="EndNoteBibliography"/>
        <w:ind w:left="720" w:hanging="720"/>
      </w:pPr>
      <w:bookmarkStart w:id="225" w:name="_ENREF_77"/>
      <w:r w:rsidRPr="00D307FA">
        <w:t>[77]</w:t>
      </w:r>
      <w:r w:rsidRPr="00D307FA">
        <w:tab/>
        <w:t xml:space="preserve">M. J. Wulfers, and R. F. Lobo, “Assessment of mass transfer limitations in oligomerization of butene at high pressure on H-beta,” </w:t>
      </w:r>
      <w:r w:rsidRPr="00D307FA">
        <w:rPr>
          <w:i/>
        </w:rPr>
        <w:t>Applied Catalysis A: General,</w:t>
      </w:r>
      <w:r w:rsidRPr="00D307FA">
        <w:t xml:space="preserve"> vol. 505, pp. 394-401, 2015.</w:t>
      </w:r>
      <w:bookmarkEnd w:id="225"/>
    </w:p>
    <w:p w14:paraId="0F1D889F" w14:textId="77777777" w:rsidR="00D307FA" w:rsidRPr="00D307FA" w:rsidRDefault="00D307FA" w:rsidP="00D307FA">
      <w:pPr>
        <w:pStyle w:val="EndNoteBibliography"/>
        <w:ind w:left="720" w:hanging="720"/>
      </w:pPr>
      <w:bookmarkStart w:id="226" w:name="_ENREF_78"/>
      <w:r w:rsidRPr="00D307FA">
        <w:t>[78]</w:t>
      </w:r>
      <w:r w:rsidRPr="00D307FA">
        <w:tab/>
        <w:t xml:space="preserve">M. Tromp, J. A. v. Bokhoven, M. T. G. Oostenbrink, J. H. Bitter, K. P. d. Jong, and D. C. Koningsberger, “Influence of the Generation of Mesopores on the Hydroisomerization Activity and Selectivity of n-Hexane over Pt/Mordenite,” </w:t>
      </w:r>
      <w:r w:rsidRPr="00D307FA">
        <w:rPr>
          <w:i/>
        </w:rPr>
        <w:t>Journal of Catalysis,</w:t>
      </w:r>
      <w:r w:rsidRPr="00D307FA">
        <w:t xml:space="preserve"> vol. 190, no. 2, pp. 209-214, 2000.</w:t>
      </w:r>
      <w:bookmarkEnd w:id="226"/>
    </w:p>
    <w:p w14:paraId="5D5BB97F" w14:textId="77777777" w:rsidR="00D307FA" w:rsidRPr="00D307FA" w:rsidRDefault="00D307FA" w:rsidP="00D307FA">
      <w:pPr>
        <w:pStyle w:val="EndNoteBibliography"/>
        <w:ind w:left="720" w:hanging="720"/>
      </w:pPr>
      <w:bookmarkStart w:id="227" w:name="_ENREF_79"/>
      <w:r w:rsidRPr="00D307FA">
        <w:t>[79]</w:t>
      </w:r>
      <w:r w:rsidRPr="00D307FA">
        <w:tab/>
        <w:t xml:space="preserve">K. Sun, J. Lu, L. Ma, Y. Han, Z. Fu, and J. Ding, “A comparative study on the catalytic performance of different types of zeolites for biodiesel production,” </w:t>
      </w:r>
      <w:r w:rsidRPr="00D307FA">
        <w:rPr>
          <w:i/>
        </w:rPr>
        <w:t>Fuel,</w:t>
      </w:r>
      <w:r w:rsidRPr="00D307FA">
        <w:t xml:space="preserve"> vol. 158, pp. 848-854, 2015.</w:t>
      </w:r>
      <w:bookmarkEnd w:id="227"/>
    </w:p>
    <w:p w14:paraId="3F97C608" w14:textId="77777777" w:rsidR="00D307FA" w:rsidRPr="00D307FA" w:rsidRDefault="00D307FA" w:rsidP="00D307FA">
      <w:pPr>
        <w:pStyle w:val="EndNoteBibliography"/>
        <w:ind w:left="720" w:hanging="720"/>
      </w:pPr>
      <w:bookmarkStart w:id="228" w:name="_ENREF_80"/>
      <w:r w:rsidRPr="00D307FA">
        <w:t>[80]</w:t>
      </w:r>
      <w:r w:rsidRPr="00D307FA">
        <w:tab/>
        <w:t xml:space="preserve">H. G. Karge, and W. Nießen, “A new method for the study of diffusion and counter-diffusion in zeolites,” </w:t>
      </w:r>
      <w:r w:rsidRPr="00D307FA">
        <w:rPr>
          <w:i/>
        </w:rPr>
        <w:t>Catalysis Today,</w:t>
      </w:r>
      <w:r w:rsidRPr="00D307FA">
        <w:t xml:space="preserve"> vol. 8, no. 4, pp. 451-465, 1991.</w:t>
      </w:r>
      <w:bookmarkEnd w:id="228"/>
    </w:p>
    <w:p w14:paraId="4D00D06B" w14:textId="77777777" w:rsidR="00D307FA" w:rsidRPr="00D307FA" w:rsidRDefault="00D307FA" w:rsidP="00D307FA">
      <w:pPr>
        <w:pStyle w:val="EndNoteBibliography"/>
        <w:ind w:left="720" w:hanging="720"/>
      </w:pPr>
      <w:bookmarkStart w:id="229" w:name="_ENREF_81"/>
      <w:r w:rsidRPr="00D307FA">
        <w:lastRenderedPageBreak/>
        <w:t>[81]</w:t>
      </w:r>
      <w:r w:rsidRPr="00D307FA">
        <w:tab/>
        <w:t xml:space="preserve">P. Peng, D. Stosic, A. Aitblal, A. Vimont, P. Bazin, X.-M. Liu, Z.-F. Yan, S. Mintova, and A. Travert, “Unraveling the Diffusion Properties of Zeolite-Based Multicomponent Catalyst by Combined Gravimetric Analysis and IR Spectroscopy (AGIR),” </w:t>
      </w:r>
      <w:r w:rsidRPr="00D307FA">
        <w:rPr>
          <w:i/>
        </w:rPr>
        <w:t>ACS Catalysis,</w:t>
      </w:r>
      <w:r w:rsidRPr="00D307FA">
        <w:t xml:space="preserve"> vol. 10, pp. 6822-6830, 2020.</w:t>
      </w:r>
      <w:bookmarkEnd w:id="229"/>
    </w:p>
    <w:p w14:paraId="756FC19C" w14:textId="77777777" w:rsidR="00D307FA" w:rsidRPr="00D307FA" w:rsidRDefault="00D307FA" w:rsidP="00D307FA">
      <w:pPr>
        <w:pStyle w:val="EndNoteBibliography"/>
        <w:ind w:left="720" w:hanging="720"/>
      </w:pPr>
      <w:bookmarkStart w:id="230" w:name="_ENREF_82"/>
      <w:r w:rsidRPr="00D307FA">
        <w:t>[82]</w:t>
      </w:r>
      <w:r w:rsidRPr="00D307FA">
        <w:tab/>
        <w:t xml:space="preserve">J. Kärger, and H. Pfeifer, “N.m.r. self-diffusion studies in zeolite science and technology,” </w:t>
      </w:r>
      <w:r w:rsidRPr="00D307FA">
        <w:rPr>
          <w:i/>
        </w:rPr>
        <w:t>Zeolites,</w:t>
      </w:r>
      <w:r w:rsidRPr="00D307FA">
        <w:t xml:space="preserve"> vol. 7, no. 2, pp. 90-107, 1987.</w:t>
      </w:r>
      <w:bookmarkEnd w:id="230"/>
    </w:p>
    <w:p w14:paraId="33B593AE" w14:textId="77777777" w:rsidR="00D307FA" w:rsidRPr="00D307FA" w:rsidRDefault="00D307FA" w:rsidP="00D307FA">
      <w:pPr>
        <w:pStyle w:val="EndNoteBibliography"/>
        <w:ind w:left="720" w:hanging="720"/>
      </w:pPr>
      <w:bookmarkStart w:id="231" w:name="_ENREF_83"/>
      <w:r w:rsidRPr="00D307FA">
        <w:t>[83]</w:t>
      </w:r>
      <w:r w:rsidRPr="00D307FA">
        <w:tab/>
        <w:t xml:space="preserve">P. Cnudde, E. A. Redekop, W. Dai, N. G. Porcaro, M. Waroquier, S. Bordiga, M. Hunger, L. Li, U. Olsbye, and V. V. Speybroeck, “Experimental and Theoretical Evidence for the Promotional Effect of Acid Sites on the Diffusion of Alkenes through Small-Pore Zeolites,” </w:t>
      </w:r>
      <w:r w:rsidRPr="00D307FA">
        <w:rPr>
          <w:i/>
        </w:rPr>
        <w:t>Angewandte Chemie,</w:t>
      </w:r>
      <w:r w:rsidRPr="00D307FA">
        <w:t xml:space="preserve"> vol. 133, no. 18, pp. 10104-10110, 2021.</w:t>
      </w:r>
      <w:bookmarkEnd w:id="231"/>
    </w:p>
    <w:p w14:paraId="7908C95A" w14:textId="77777777" w:rsidR="00D307FA" w:rsidRPr="00D307FA" w:rsidRDefault="00D307FA" w:rsidP="00D307FA">
      <w:pPr>
        <w:pStyle w:val="EndNoteBibliography"/>
        <w:ind w:left="720" w:hanging="720"/>
      </w:pPr>
      <w:bookmarkStart w:id="232" w:name="_ENREF_84"/>
      <w:r w:rsidRPr="00D307FA">
        <w:t>[84]</w:t>
      </w:r>
      <w:r w:rsidRPr="00D307FA">
        <w:tab/>
        <w:t xml:space="preserve">D. E. Mears, “Tests for Transport Limitations in Experimental Catalytic Reactors,” </w:t>
      </w:r>
      <w:r w:rsidRPr="00D307FA">
        <w:rPr>
          <w:i/>
        </w:rPr>
        <w:t>Industrial &amp; Engineering Chemistry Process Design and Development,</w:t>
      </w:r>
      <w:r w:rsidRPr="00D307FA">
        <w:t xml:space="preserve"> vol. 10, pp. 541-547, 1971.</w:t>
      </w:r>
      <w:bookmarkEnd w:id="232"/>
    </w:p>
    <w:p w14:paraId="5E643C28" w14:textId="77777777" w:rsidR="00D307FA" w:rsidRPr="00D307FA" w:rsidRDefault="00D307FA" w:rsidP="00D307FA">
      <w:pPr>
        <w:pStyle w:val="EndNoteBibliography"/>
        <w:ind w:left="720" w:hanging="720"/>
      </w:pPr>
      <w:bookmarkStart w:id="233" w:name="_ENREF_85"/>
      <w:r w:rsidRPr="00D307FA">
        <w:t>[85]</w:t>
      </w:r>
      <w:r w:rsidRPr="00D307FA">
        <w:tab/>
        <w:t xml:space="preserve">P. B. Weisz, and C. D. Prater, “Interpretation of Measurements in Experimental Catalysis,” </w:t>
      </w:r>
      <w:r w:rsidRPr="00D307FA">
        <w:rPr>
          <w:i/>
        </w:rPr>
        <w:t>Advances in Catalysis,</w:t>
      </w:r>
      <w:r w:rsidRPr="00D307FA">
        <w:t xml:space="preserve"> vol. 6, pp. 143-196, 1954.</w:t>
      </w:r>
      <w:bookmarkEnd w:id="233"/>
    </w:p>
    <w:p w14:paraId="39EDFC07" w14:textId="77777777" w:rsidR="00D307FA" w:rsidRPr="00D307FA" w:rsidRDefault="00D307FA" w:rsidP="00D307FA">
      <w:pPr>
        <w:pStyle w:val="EndNoteBibliography"/>
        <w:ind w:left="720" w:hanging="720"/>
      </w:pPr>
      <w:bookmarkStart w:id="234" w:name="_ENREF_86"/>
      <w:r w:rsidRPr="00D307FA">
        <w:t>[86]</w:t>
      </w:r>
      <w:r w:rsidRPr="00D307FA">
        <w:tab/>
        <w:t xml:space="preserve">M. Mohagheghi, G. Bakeri, and M. Saeedizad, “Study of the Effects of External and Internal Diffusion on the Propane Dehydrogenation Reaction over Pt-Sn/Al2O3 Catalyst,” </w:t>
      </w:r>
      <w:r w:rsidRPr="00D307FA">
        <w:rPr>
          <w:i/>
        </w:rPr>
        <w:t>Chemical Engineering Technology,</w:t>
      </w:r>
      <w:r w:rsidRPr="00D307FA">
        <w:t xml:space="preserve"> vol. 30, no. 12, pp. 1721-1725, 2007.</w:t>
      </w:r>
      <w:bookmarkEnd w:id="234"/>
    </w:p>
    <w:p w14:paraId="11C5ACA9" w14:textId="77777777" w:rsidR="00D307FA" w:rsidRPr="00D307FA" w:rsidRDefault="00D307FA" w:rsidP="00D307FA">
      <w:pPr>
        <w:pStyle w:val="EndNoteBibliography"/>
        <w:ind w:left="720" w:hanging="720"/>
      </w:pPr>
      <w:bookmarkStart w:id="235" w:name="_ENREF_87"/>
      <w:r w:rsidRPr="00D307FA">
        <w:t>[87]</w:t>
      </w:r>
      <w:r w:rsidRPr="00D307FA">
        <w:tab/>
        <w:t xml:space="preserve">H. Konno, T. Okamura, T. Kawahara, Y. Nakasaka, T. Tago, and T. Masuda, “Kinetics of n-hexane cracking over ZSM-5 zeolites – Effect of crystal size on effectiveness factor and catalyst lifetime,” </w:t>
      </w:r>
      <w:r w:rsidRPr="00D307FA">
        <w:rPr>
          <w:i/>
        </w:rPr>
        <w:t>Chemical Engineering Journal,</w:t>
      </w:r>
      <w:r w:rsidRPr="00D307FA">
        <w:t xml:space="preserve"> vol. 207-208, pp. 490-496, 2012.</w:t>
      </w:r>
      <w:bookmarkEnd w:id="235"/>
    </w:p>
    <w:p w14:paraId="73679503" w14:textId="77777777" w:rsidR="00D307FA" w:rsidRPr="00D307FA" w:rsidRDefault="00D307FA" w:rsidP="00D307FA">
      <w:pPr>
        <w:pStyle w:val="EndNoteBibliography"/>
        <w:ind w:left="720" w:hanging="720"/>
      </w:pPr>
      <w:bookmarkStart w:id="236" w:name="_ENREF_88"/>
      <w:r w:rsidRPr="00D307FA">
        <w:t>[88]</w:t>
      </w:r>
      <w:r w:rsidRPr="00D307FA">
        <w:tab/>
        <w:t xml:space="preserve">E. W. Thiele, “Relation between Catalytic Activity and Size of Particle,” </w:t>
      </w:r>
      <w:r w:rsidRPr="00D307FA">
        <w:rPr>
          <w:i/>
        </w:rPr>
        <w:t>Industrial and Engineering Chemistry,</w:t>
      </w:r>
      <w:r w:rsidRPr="00D307FA">
        <w:t xml:space="preserve"> vol. 31, pp. 916-920, 1939.</w:t>
      </w:r>
      <w:bookmarkEnd w:id="236"/>
    </w:p>
    <w:p w14:paraId="279889D0" w14:textId="77777777" w:rsidR="00D307FA" w:rsidRPr="00D307FA" w:rsidRDefault="00D307FA" w:rsidP="00D307FA">
      <w:pPr>
        <w:pStyle w:val="EndNoteBibliography"/>
        <w:ind w:left="720" w:hanging="720"/>
      </w:pPr>
      <w:bookmarkStart w:id="237" w:name="_ENREF_89"/>
      <w:r w:rsidRPr="00D307FA">
        <w:t>[89]</w:t>
      </w:r>
      <w:r w:rsidRPr="00D307FA">
        <w:tab/>
        <w:t xml:space="preserve">F. C. Meunier, D. Verboekend, J.-P. Gilson, J. C. Groen, and J. Pérez-Ramírez, “Influence of crystal size and probe molecule on diffusion in hierarchical ZSM-5 zeolites prepared by desilication,” </w:t>
      </w:r>
      <w:r w:rsidRPr="00D307FA">
        <w:rPr>
          <w:i/>
        </w:rPr>
        <w:t>Microporous and Mesoporous Materials,</w:t>
      </w:r>
      <w:r w:rsidRPr="00D307FA">
        <w:t xml:space="preserve"> vol. 148, no. 1, pp. 115-121, 2012.</w:t>
      </w:r>
      <w:bookmarkEnd w:id="237"/>
    </w:p>
    <w:p w14:paraId="1A93C1A5" w14:textId="77777777" w:rsidR="00D307FA" w:rsidRPr="00D307FA" w:rsidRDefault="00D307FA" w:rsidP="00D307FA">
      <w:pPr>
        <w:pStyle w:val="EndNoteBibliography"/>
        <w:ind w:left="720" w:hanging="720"/>
      </w:pPr>
      <w:bookmarkStart w:id="238" w:name="_ENREF_90"/>
      <w:r w:rsidRPr="00D307FA">
        <w:t>[90]</w:t>
      </w:r>
      <w:r w:rsidRPr="00D307FA">
        <w:tab/>
        <w:t xml:space="preserve">J. C. Groen, W. Zhu, S. Brouwer, S. J. Huynink, F. Kapteijn, J. A. Moulijn, and J. Pérez-Ramírez, “Direct Demonstration of Enhanced Diffusion in Mesoporous ZSM-5 Zeolite Obtained via Controlled Desilication,” </w:t>
      </w:r>
      <w:r w:rsidRPr="00D307FA">
        <w:rPr>
          <w:i/>
        </w:rPr>
        <w:t>Journal of American Chemical Society,</w:t>
      </w:r>
      <w:r w:rsidRPr="00D307FA">
        <w:t xml:space="preserve"> vol. 129, pp. 355-360, 2007.</w:t>
      </w:r>
      <w:bookmarkEnd w:id="238"/>
    </w:p>
    <w:p w14:paraId="024E1945" w14:textId="77777777" w:rsidR="00D307FA" w:rsidRPr="00D307FA" w:rsidRDefault="00D307FA" w:rsidP="00D307FA">
      <w:pPr>
        <w:pStyle w:val="EndNoteBibliography"/>
        <w:ind w:left="720" w:hanging="720"/>
      </w:pPr>
      <w:bookmarkStart w:id="239" w:name="_ENREF_91"/>
      <w:r w:rsidRPr="00D307FA">
        <w:t>[91]</w:t>
      </w:r>
      <w:r w:rsidRPr="00D307FA">
        <w:tab/>
        <w:t xml:space="preserve">B. A. Williams, S. M. Babitz, J. T. Miller, R. Q. Snurr, and H. H. Kung, “The roles of acid strength and pore diffusion in the enhanced cracking activity of steamed Y zeolites,” </w:t>
      </w:r>
      <w:r w:rsidRPr="00D307FA">
        <w:rPr>
          <w:i/>
        </w:rPr>
        <w:t>Applied Catalysis A: General,</w:t>
      </w:r>
      <w:r w:rsidRPr="00D307FA">
        <w:t xml:space="preserve"> vol. 177, no. 2, pp. 161-175, 1999.</w:t>
      </w:r>
      <w:bookmarkEnd w:id="239"/>
    </w:p>
    <w:p w14:paraId="39B700D0" w14:textId="77777777" w:rsidR="00D307FA" w:rsidRPr="00D307FA" w:rsidRDefault="00D307FA" w:rsidP="00D307FA">
      <w:pPr>
        <w:pStyle w:val="EndNoteBibliography"/>
        <w:ind w:left="720" w:hanging="720"/>
      </w:pPr>
      <w:bookmarkStart w:id="240" w:name="_ENREF_92"/>
      <w:r w:rsidRPr="00D307FA">
        <w:t>[92]</w:t>
      </w:r>
      <w:r w:rsidRPr="00D307FA">
        <w:tab/>
        <w:t xml:space="preserve">J. G. S. Monteiro, A. G. H. Barbosa, A. M. Henriques, P. H. G. Neves, R. S. Furtado, R. M. Menezes, A. R. d. Santos, and F. P. Fleming, “Assessing the Molecular Basis of the Fuel Octane Scale: A Detailed Investigation on the Rate Controlling Steps of the Autoignition of Heptane and Isooctane,” </w:t>
      </w:r>
      <w:r w:rsidRPr="00D307FA">
        <w:rPr>
          <w:i/>
        </w:rPr>
        <w:t>Journal of Physical Chemistry A,</w:t>
      </w:r>
      <w:r w:rsidRPr="00D307FA">
        <w:t xml:space="preserve"> vol. 122, no. 2, pp. 610-630, 2018.</w:t>
      </w:r>
      <w:bookmarkEnd w:id="240"/>
    </w:p>
    <w:p w14:paraId="6AB2DE30" w14:textId="77777777" w:rsidR="00D307FA" w:rsidRPr="00D307FA" w:rsidRDefault="00D307FA" w:rsidP="00D307FA">
      <w:pPr>
        <w:pStyle w:val="EndNoteBibliography"/>
        <w:ind w:left="720" w:hanging="720"/>
      </w:pPr>
      <w:bookmarkStart w:id="241" w:name="_ENREF_93"/>
      <w:r w:rsidRPr="00D307FA">
        <w:t>[93]</w:t>
      </w:r>
      <w:r w:rsidRPr="00D307FA">
        <w:tab/>
        <w:t xml:space="preserve">K. A. CUMMING, and W. WOJCIECHOWSKI, “Hydrogen Transfer, Coke Formation, and Catalyst Decay and Their Role in the Chain Mechanism of Catalytic Cracking,” </w:t>
      </w:r>
      <w:r w:rsidRPr="00D307FA">
        <w:rPr>
          <w:i/>
        </w:rPr>
        <w:t>Catalysis Letters,</w:t>
      </w:r>
      <w:r w:rsidRPr="00D307FA">
        <w:t xml:space="preserve"> vol. 38, pp. 101-157, 1996.</w:t>
      </w:r>
      <w:bookmarkEnd w:id="241"/>
    </w:p>
    <w:p w14:paraId="0BFD480A" w14:textId="77777777" w:rsidR="00D307FA" w:rsidRPr="00D307FA" w:rsidRDefault="00D307FA" w:rsidP="00D307FA">
      <w:pPr>
        <w:pStyle w:val="EndNoteBibliography"/>
        <w:ind w:left="720" w:hanging="720"/>
      </w:pPr>
      <w:bookmarkStart w:id="242" w:name="_ENREF_94"/>
      <w:r w:rsidRPr="00D307FA">
        <w:t>[94]</w:t>
      </w:r>
      <w:r w:rsidRPr="00D307FA">
        <w:tab/>
        <w:t xml:space="preserve">M. V. Twigg, </w:t>
      </w:r>
      <w:r w:rsidRPr="00D307FA">
        <w:rPr>
          <w:i/>
        </w:rPr>
        <w:t>Catalyst Handbook</w:t>
      </w:r>
      <w:r w:rsidRPr="00D307FA">
        <w:t>, p.^pp. 608, New York, 1989.</w:t>
      </w:r>
      <w:bookmarkEnd w:id="242"/>
    </w:p>
    <w:p w14:paraId="2AABB487" w14:textId="77777777" w:rsidR="00D307FA" w:rsidRPr="00D307FA" w:rsidRDefault="00D307FA" w:rsidP="00D307FA">
      <w:pPr>
        <w:pStyle w:val="EndNoteBibliography"/>
        <w:ind w:left="720" w:hanging="720"/>
      </w:pPr>
      <w:bookmarkStart w:id="243" w:name="_ENREF_95"/>
      <w:r w:rsidRPr="00D307FA">
        <w:lastRenderedPageBreak/>
        <w:t>[95]</w:t>
      </w:r>
      <w:r w:rsidRPr="00D307FA">
        <w:tab/>
        <w:t xml:space="preserve">M. B. Smith, and J. March, </w:t>
      </w:r>
      <w:r w:rsidRPr="00D307FA">
        <w:rPr>
          <w:i/>
        </w:rPr>
        <w:t>March's Advanced Organic Chemistry: Reactions, Mechanisms, and Structure</w:t>
      </w:r>
      <w:r w:rsidRPr="00D307FA">
        <w:t>, p.^pp. 2083: Wiley-Interscience, 2001.</w:t>
      </w:r>
      <w:bookmarkEnd w:id="243"/>
    </w:p>
    <w:p w14:paraId="332D04C3" w14:textId="77777777" w:rsidR="00D307FA" w:rsidRPr="00D307FA" w:rsidRDefault="00D307FA" w:rsidP="00D307FA">
      <w:pPr>
        <w:pStyle w:val="EndNoteBibliography"/>
        <w:ind w:left="720" w:hanging="720"/>
      </w:pPr>
      <w:bookmarkStart w:id="244" w:name="_ENREF_96"/>
      <w:r w:rsidRPr="00D307FA">
        <w:t>[96]</w:t>
      </w:r>
      <w:r w:rsidRPr="00D307FA">
        <w:tab/>
        <w:t xml:space="preserve">A. T. Nielsen, and W. J. Houlihan, “The Aldol Condensation,” </w:t>
      </w:r>
      <w:r w:rsidRPr="00D307FA">
        <w:rPr>
          <w:i/>
        </w:rPr>
        <w:t>Organic Reactions</w:t>
      </w:r>
      <w:r w:rsidRPr="00D307FA">
        <w:t>, no. 16, pp. 1-438, 2004.</w:t>
      </w:r>
      <w:bookmarkEnd w:id="244"/>
    </w:p>
    <w:p w14:paraId="1C3FABB7" w14:textId="77777777" w:rsidR="00D307FA" w:rsidRPr="00D307FA" w:rsidRDefault="00D307FA" w:rsidP="00D307FA">
      <w:pPr>
        <w:pStyle w:val="EndNoteBibliography"/>
        <w:ind w:left="720" w:hanging="720"/>
      </w:pPr>
      <w:bookmarkStart w:id="245" w:name="_ENREF_97"/>
      <w:r w:rsidRPr="00D307FA">
        <w:t>[97]</w:t>
      </w:r>
      <w:r w:rsidRPr="00D307FA">
        <w:tab/>
        <w:t xml:space="preserve">Y. C., and M. Z.Y., “Bimolecular Condensation of Ethanol to 1-Butanol Catalyzed by Alkali Cation Zeolites,” </w:t>
      </w:r>
      <w:r w:rsidRPr="00D307FA">
        <w:rPr>
          <w:i/>
        </w:rPr>
        <w:t>Journal of Catalysis,</w:t>
      </w:r>
      <w:r w:rsidRPr="00D307FA">
        <w:t xml:space="preserve"> vol. 142, no. 1, pp. 37-44, 1993.</w:t>
      </w:r>
      <w:bookmarkEnd w:id="245"/>
    </w:p>
    <w:p w14:paraId="66ECBDE7" w14:textId="77777777" w:rsidR="00D307FA" w:rsidRPr="00D307FA" w:rsidRDefault="00D307FA" w:rsidP="00D307FA">
      <w:pPr>
        <w:pStyle w:val="EndNoteBibliography"/>
        <w:ind w:left="720" w:hanging="720"/>
      </w:pPr>
      <w:bookmarkStart w:id="246" w:name="_ENREF_98"/>
      <w:r w:rsidRPr="00D307FA">
        <w:t>[98]</w:t>
      </w:r>
      <w:r w:rsidRPr="00D307FA">
        <w:tab/>
        <w:t xml:space="preserve">G. Li, D. T. Ngo, Y. Yan, Q. Tan, B. Wang, and D. E. Resasco, “Factors Determining Selectivity of Acid- and Base-Catalyzed Self- and Cross-Condensation of Acetone and Cyclopentanone,” </w:t>
      </w:r>
      <w:r w:rsidRPr="00D307FA">
        <w:rPr>
          <w:i/>
        </w:rPr>
        <w:t>ACS Catalysis,</w:t>
      </w:r>
      <w:r w:rsidRPr="00D307FA">
        <w:t xml:space="preserve"> vol. 10, pp. 12790-12800, 2020.</w:t>
      </w:r>
      <w:bookmarkEnd w:id="246"/>
    </w:p>
    <w:p w14:paraId="08153A72" w14:textId="77777777" w:rsidR="00D307FA" w:rsidRPr="00D307FA" w:rsidRDefault="00D307FA" w:rsidP="00D307FA">
      <w:pPr>
        <w:pStyle w:val="EndNoteBibliography"/>
        <w:ind w:left="720" w:hanging="720"/>
      </w:pPr>
      <w:bookmarkStart w:id="247" w:name="_ENREF_99"/>
      <w:r w:rsidRPr="00D307FA">
        <w:t>[99]</w:t>
      </w:r>
      <w:r w:rsidRPr="00D307FA">
        <w:tab/>
        <w:t xml:space="preserve">W. O. Haag, R. M. Dessau, and R. M. Lago, “Kinetics and Mechanism of Paraffin Cracking with Zeolite Catalysts,” </w:t>
      </w:r>
      <w:r w:rsidRPr="00D307FA">
        <w:rPr>
          <w:i/>
        </w:rPr>
        <w:t>Studies in Surface Science and Catalysis,</w:t>
      </w:r>
      <w:r w:rsidRPr="00D307FA">
        <w:t xml:space="preserve"> vol. 60, pp. 255-265, 1991.</w:t>
      </w:r>
      <w:bookmarkEnd w:id="247"/>
    </w:p>
    <w:p w14:paraId="37FAF106" w14:textId="77777777" w:rsidR="00D307FA" w:rsidRPr="00D307FA" w:rsidRDefault="00D307FA" w:rsidP="00D307FA">
      <w:pPr>
        <w:pStyle w:val="EndNoteBibliography"/>
        <w:ind w:left="720" w:hanging="720"/>
      </w:pPr>
      <w:bookmarkStart w:id="248" w:name="_ENREF_100"/>
      <w:r w:rsidRPr="00D307FA">
        <w:t>[100]</w:t>
      </w:r>
      <w:r w:rsidRPr="00D307FA">
        <w:tab/>
        <w:t xml:space="preserve">A. Corma, and B. W. Wojciechowski, “The Chemistry of Catalytic Cracking,” </w:t>
      </w:r>
      <w:r w:rsidRPr="00D307FA">
        <w:rPr>
          <w:i/>
        </w:rPr>
        <w:t>Catalysis Letters,</w:t>
      </w:r>
      <w:r w:rsidRPr="00D307FA">
        <w:t xml:space="preserve"> vol. 27, no. 1, pp. 29-150, 1985.</w:t>
      </w:r>
      <w:bookmarkEnd w:id="248"/>
    </w:p>
    <w:p w14:paraId="0215D842" w14:textId="77777777" w:rsidR="00D307FA" w:rsidRPr="00D307FA" w:rsidRDefault="00D307FA" w:rsidP="00D307FA">
      <w:pPr>
        <w:pStyle w:val="EndNoteBibliography"/>
        <w:ind w:left="720" w:hanging="720"/>
      </w:pPr>
      <w:bookmarkStart w:id="249" w:name="_ENREF_101"/>
      <w:r w:rsidRPr="00D307FA">
        <w:t>[101]</w:t>
      </w:r>
      <w:r w:rsidRPr="00D307FA">
        <w:tab/>
        <w:t xml:space="preserve">S. Kotrel, H. Knözinger, and B. C. Gates, “The Haag–Dessau mechanism of protolytic cracking of alkanes,” </w:t>
      </w:r>
      <w:r w:rsidRPr="00D307FA">
        <w:rPr>
          <w:i/>
        </w:rPr>
        <w:t>Microporous and Mesoporous Materials,</w:t>
      </w:r>
      <w:r w:rsidRPr="00D307FA">
        <w:t xml:space="preserve"> vol. 35-36, pp. 11-20, 2000.</w:t>
      </w:r>
      <w:bookmarkEnd w:id="249"/>
    </w:p>
    <w:p w14:paraId="4AD3E8D0" w14:textId="77777777" w:rsidR="00D307FA" w:rsidRPr="00D307FA" w:rsidRDefault="00D307FA" w:rsidP="00D307FA">
      <w:pPr>
        <w:pStyle w:val="EndNoteBibliography"/>
        <w:ind w:left="720" w:hanging="720"/>
      </w:pPr>
      <w:bookmarkStart w:id="250" w:name="_ENREF_102"/>
      <w:r w:rsidRPr="00D307FA">
        <w:t>[102]</w:t>
      </w:r>
      <w:r w:rsidRPr="00D307FA">
        <w:tab/>
        <w:t xml:space="preserve">W. O. Haag, R. M. Lago, and P. B. Weisz, “Transport and reactivity of hydrocarbon molecules in a shape-selective zeolite,” </w:t>
      </w:r>
      <w:r w:rsidRPr="00D307FA">
        <w:rPr>
          <w:i/>
        </w:rPr>
        <w:t>Faraday Discussions of the Chemical Society,</w:t>
      </w:r>
      <w:r w:rsidRPr="00D307FA">
        <w:t xml:space="preserve"> vol. 72, pp. 317-330, 1981.</w:t>
      </w:r>
      <w:bookmarkEnd w:id="250"/>
    </w:p>
    <w:p w14:paraId="4B9B6FF2" w14:textId="77777777" w:rsidR="00D307FA" w:rsidRPr="00D307FA" w:rsidRDefault="00D307FA" w:rsidP="00D307FA">
      <w:pPr>
        <w:pStyle w:val="EndNoteBibliography"/>
        <w:ind w:left="720" w:hanging="720"/>
      </w:pPr>
      <w:bookmarkStart w:id="251" w:name="_ENREF_103"/>
      <w:r w:rsidRPr="00D307FA">
        <w:t>[103]</w:t>
      </w:r>
      <w:r w:rsidRPr="00D307FA">
        <w:tab/>
        <w:t xml:space="preserve">E. V. Anslyn, and D. A. Dougherty, </w:t>
      </w:r>
      <w:r w:rsidRPr="00D307FA">
        <w:rPr>
          <w:i/>
        </w:rPr>
        <w:t>Modern Physical Organic Chemistry</w:t>
      </w:r>
      <w:r w:rsidRPr="00D307FA">
        <w:t>, p.^pp. 1104: University Science, 2005.</w:t>
      </w:r>
      <w:bookmarkEnd w:id="251"/>
    </w:p>
    <w:p w14:paraId="4230C36D" w14:textId="77777777" w:rsidR="00D307FA" w:rsidRPr="00D307FA" w:rsidRDefault="00D307FA" w:rsidP="00D307FA">
      <w:pPr>
        <w:pStyle w:val="EndNoteBibliography"/>
        <w:ind w:left="720" w:hanging="720"/>
      </w:pPr>
      <w:bookmarkStart w:id="252" w:name="_ENREF_104"/>
      <w:r w:rsidRPr="00D307FA">
        <w:t>[104]</w:t>
      </w:r>
      <w:r w:rsidRPr="00D307FA">
        <w:tab/>
        <w:t xml:space="preserve">K. A. Gould, and I. A. Wiehe, “Natural Hydrogen Donors in Petroleum Resids,” </w:t>
      </w:r>
      <w:r w:rsidRPr="00D307FA">
        <w:rPr>
          <w:i/>
        </w:rPr>
        <w:t>Energy &amp; Fuels,</w:t>
      </w:r>
      <w:r w:rsidRPr="00D307FA">
        <w:t xml:space="preserve"> vol. 21, no. 3, pp. 1199-1204, 2007.</w:t>
      </w:r>
      <w:bookmarkEnd w:id="252"/>
    </w:p>
    <w:p w14:paraId="526327DA" w14:textId="77777777" w:rsidR="00D307FA" w:rsidRPr="00D307FA" w:rsidRDefault="00D307FA" w:rsidP="00D307FA">
      <w:pPr>
        <w:pStyle w:val="EndNoteBibliography"/>
        <w:ind w:left="720" w:hanging="720"/>
      </w:pPr>
      <w:bookmarkStart w:id="253" w:name="_ENREF_105"/>
      <w:r w:rsidRPr="00D307FA">
        <w:t>[105]</w:t>
      </w:r>
      <w:r w:rsidRPr="00D307FA">
        <w:tab/>
        <w:t xml:space="preserve">S. Herrmann, and E. Iglesia, “Selective conversion of acetone to isobutene and acetic acid on aluminosilicates: Kinetic coupling between acid-catalyzed and radical-mediated pathways,” </w:t>
      </w:r>
      <w:r w:rsidRPr="00D307FA">
        <w:rPr>
          <w:i/>
        </w:rPr>
        <w:t>Journal of Catalysis,</w:t>
      </w:r>
      <w:r w:rsidRPr="00D307FA">
        <w:t xml:space="preserve"> vol. 360, pp. 66-80, 2018.</w:t>
      </w:r>
      <w:bookmarkEnd w:id="253"/>
    </w:p>
    <w:p w14:paraId="5C6D0D0B" w14:textId="77777777" w:rsidR="00D307FA" w:rsidRPr="00D307FA" w:rsidRDefault="00D307FA" w:rsidP="00D307FA">
      <w:pPr>
        <w:pStyle w:val="EndNoteBibliography"/>
        <w:ind w:left="720" w:hanging="720"/>
      </w:pPr>
      <w:bookmarkStart w:id="254" w:name="_ENREF_106"/>
      <w:r w:rsidRPr="00D307FA">
        <w:t>[106]</w:t>
      </w:r>
      <w:r w:rsidRPr="00D307FA">
        <w:tab/>
        <w:t xml:space="preserve">Y. Nakagawa, M. Tamura, and K. Tomishige, “Recent development of production technology of diesel- and jet-fuel-range hydrocarbons from inedible biomass,” </w:t>
      </w:r>
      <w:r w:rsidRPr="00D307FA">
        <w:rPr>
          <w:i/>
        </w:rPr>
        <w:t>Fuel Processing Technology,</w:t>
      </w:r>
      <w:r w:rsidRPr="00D307FA">
        <w:t xml:space="preserve"> vol. 193, pp. 404-422, 2019.</w:t>
      </w:r>
      <w:bookmarkEnd w:id="254"/>
    </w:p>
    <w:p w14:paraId="0C27D269" w14:textId="77777777" w:rsidR="00D307FA" w:rsidRPr="00D307FA" w:rsidRDefault="00D307FA" w:rsidP="00D307FA">
      <w:pPr>
        <w:pStyle w:val="EndNoteBibliography"/>
        <w:ind w:left="720" w:hanging="720"/>
      </w:pPr>
      <w:bookmarkStart w:id="255" w:name="_ENREF_107"/>
      <w:r w:rsidRPr="00D307FA">
        <w:t>[107]</w:t>
      </w:r>
      <w:r w:rsidRPr="00D307FA">
        <w:tab/>
        <w:t xml:space="preserve">D. E. Resasco, and S. P. Crossley, “Implementation of concepts derived from model compound studies in the separation and conversion of bio-oil to fuel,” </w:t>
      </w:r>
      <w:r w:rsidRPr="00D307FA">
        <w:rPr>
          <w:i/>
        </w:rPr>
        <w:t>Catalysis Today,</w:t>
      </w:r>
      <w:r w:rsidRPr="00D307FA">
        <w:t xml:space="preserve"> vol. 257, pp. 185-199, 2015.</w:t>
      </w:r>
      <w:bookmarkEnd w:id="255"/>
    </w:p>
    <w:p w14:paraId="4B974210" w14:textId="77777777" w:rsidR="00D307FA" w:rsidRPr="00D307FA" w:rsidRDefault="00D307FA" w:rsidP="00D307FA">
      <w:pPr>
        <w:pStyle w:val="EndNoteBibliography"/>
        <w:ind w:left="720" w:hanging="720"/>
      </w:pPr>
      <w:bookmarkStart w:id="256" w:name="_ENREF_108"/>
      <w:r w:rsidRPr="00D307FA">
        <w:t>[108]</w:t>
      </w:r>
      <w:r w:rsidRPr="00D307FA">
        <w:tab/>
        <w:t xml:space="preserve">G. W. Huber, J. N. Chheda, C. J. Barrett, and J. A. Dumesic, “Production of Liquid Alkanes by Aqueous-Phase Processing of Biomass-Derived Carbohydrates,” </w:t>
      </w:r>
      <w:r w:rsidRPr="00D307FA">
        <w:rPr>
          <w:i/>
        </w:rPr>
        <w:t>Science,</w:t>
      </w:r>
      <w:r w:rsidRPr="00D307FA">
        <w:t xml:space="preserve"> vol. 308, no. 5727, pp. 1446-1450, 2005.</w:t>
      </w:r>
      <w:bookmarkEnd w:id="256"/>
    </w:p>
    <w:p w14:paraId="011E99A1" w14:textId="77777777" w:rsidR="00D307FA" w:rsidRPr="00D307FA" w:rsidRDefault="00D307FA" w:rsidP="00D307FA">
      <w:pPr>
        <w:pStyle w:val="EndNoteBibliography"/>
        <w:ind w:left="720" w:hanging="720"/>
      </w:pPr>
      <w:bookmarkStart w:id="257" w:name="_ENREF_109"/>
      <w:r w:rsidRPr="00D307FA">
        <w:t>[109]</w:t>
      </w:r>
      <w:r w:rsidRPr="00D307FA">
        <w:tab/>
        <w:t xml:space="preserve">G. W. Huber, and A. Corma, “Synergies between Bio- and Oil Refineries for the Production of Fuels from Biomass,” </w:t>
      </w:r>
      <w:r w:rsidRPr="00D307FA">
        <w:rPr>
          <w:i/>
        </w:rPr>
        <w:t>Angewandte Chemie International,</w:t>
      </w:r>
      <w:r w:rsidRPr="00D307FA">
        <w:t xml:space="preserve"> vol. 46, no. 38, pp. 7184-7201, 2007.</w:t>
      </w:r>
      <w:bookmarkEnd w:id="257"/>
    </w:p>
    <w:p w14:paraId="4A825649" w14:textId="77777777" w:rsidR="00D307FA" w:rsidRPr="00D307FA" w:rsidRDefault="00D307FA" w:rsidP="00D307FA">
      <w:pPr>
        <w:pStyle w:val="EndNoteBibliography"/>
        <w:ind w:left="720" w:hanging="720"/>
      </w:pPr>
      <w:bookmarkStart w:id="258" w:name="_ENREF_110"/>
      <w:r w:rsidRPr="00D307FA">
        <w:t>[110]</w:t>
      </w:r>
      <w:r w:rsidRPr="00D307FA">
        <w:tab/>
        <w:t xml:space="preserve">C. Liu, H. Wang, A. M. Karim, J. Suna, and Y. Wang, “Catalytic fast pyrolysis of lignocellulosic biomass,” </w:t>
      </w:r>
      <w:r w:rsidRPr="00D307FA">
        <w:rPr>
          <w:i/>
        </w:rPr>
        <w:t>Chemical Society Reviews,</w:t>
      </w:r>
      <w:r w:rsidRPr="00D307FA">
        <w:t xml:space="preserve"> vol. 43, no. 22, pp. 7594-7623, 2014.</w:t>
      </w:r>
      <w:bookmarkEnd w:id="258"/>
    </w:p>
    <w:p w14:paraId="380EA695" w14:textId="77777777" w:rsidR="00D307FA" w:rsidRPr="00D307FA" w:rsidRDefault="00D307FA" w:rsidP="00D307FA">
      <w:pPr>
        <w:pStyle w:val="EndNoteBibliography"/>
        <w:ind w:left="720" w:hanging="720"/>
      </w:pPr>
      <w:bookmarkStart w:id="259" w:name="_ENREF_111"/>
      <w:r w:rsidRPr="00D307FA">
        <w:t>[111]</w:t>
      </w:r>
      <w:r w:rsidRPr="00D307FA">
        <w:tab/>
        <w:t xml:space="preserve">M. Stöcker, “Biofuels and Biomass-To-Liquid Fuels in the Biorefinery: Catalytic Conversion of Lignocellulosic Biomass using Porous Materials,” </w:t>
      </w:r>
      <w:r w:rsidRPr="00D307FA">
        <w:rPr>
          <w:i/>
        </w:rPr>
        <w:t>Angewandte Chemie International,</w:t>
      </w:r>
      <w:r w:rsidRPr="00D307FA">
        <w:t xml:space="preserve"> vol. 47, no. 48, pp. 9200-9211, 2008.</w:t>
      </w:r>
      <w:bookmarkEnd w:id="259"/>
    </w:p>
    <w:p w14:paraId="0F792C9D" w14:textId="77777777" w:rsidR="00D307FA" w:rsidRPr="00D307FA" w:rsidRDefault="00D307FA" w:rsidP="00D307FA">
      <w:pPr>
        <w:pStyle w:val="EndNoteBibliography"/>
        <w:ind w:left="720" w:hanging="720"/>
      </w:pPr>
      <w:bookmarkStart w:id="260" w:name="_ENREF_112"/>
      <w:r w:rsidRPr="00D307FA">
        <w:lastRenderedPageBreak/>
        <w:t>[112]</w:t>
      </w:r>
      <w:r w:rsidRPr="00D307FA">
        <w:tab/>
        <w:t xml:space="preserve">D. C. Elliott, D. Beckman, A. V. Bridgwater, J. P. Diebold, S. B. Gevert, and Y. Solantausta, “Developments in Direct Thermochemical Liquefaction of Biomass: 1983-1990,” </w:t>
      </w:r>
      <w:r w:rsidRPr="00D307FA">
        <w:rPr>
          <w:i/>
        </w:rPr>
        <w:t>Energy &amp; Fuels,</w:t>
      </w:r>
      <w:r w:rsidRPr="00D307FA">
        <w:t xml:space="preserve"> vol. 5, pp. 399-410, 1991.</w:t>
      </w:r>
      <w:bookmarkEnd w:id="260"/>
    </w:p>
    <w:p w14:paraId="49E0B61A" w14:textId="77777777" w:rsidR="00D307FA" w:rsidRPr="00D307FA" w:rsidRDefault="00D307FA" w:rsidP="00D307FA">
      <w:pPr>
        <w:pStyle w:val="EndNoteBibliography"/>
        <w:ind w:left="720" w:hanging="720"/>
      </w:pPr>
      <w:bookmarkStart w:id="261" w:name="_ENREF_113"/>
      <w:r w:rsidRPr="00D307FA">
        <w:t>[113]</w:t>
      </w:r>
      <w:r w:rsidRPr="00D307FA">
        <w:tab/>
        <w:t xml:space="preserve">V. K. Díez, C. R. Apesteguía, and J. I. D. Cosimo, “Aldol condensation of citral with acetone on MgO and alkali-promoted MgO catalysts,” </w:t>
      </w:r>
      <w:r w:rsidRPr="00D307FA">
        <w:rPr>
          <w:i/>
        </w:rPr>
        <w:t>Journal of Catalysis,</w:t>
      </w:r>
      <w:r w:rsidRPr="00D307FA">
        <w:t xml:space="preserve"> vol. 240, no. 2, pp. 235-244, 2006.</w:t>
      </w:r>
      <w:bookmarkEnd w:id="261"/>
    </w:p>
    <w:p w14:paraId="5DC13022" w14:textId="77777777" w:rsidR="00D307FA" w:rsidRPr="00D307FA" w:rsidRDefault="00D307FA" w:rsidP="00D307FA">
      <w:pPr>
        <w:pStyle w:val="EndNoteBibliography"/>
        <w:ind w:left="720" w:hanging="720"/>
      </w:pPr>
      <w:bookmarkStart w:id="262" w:name="_ENREF_114"/>
      <w:r w:rsidRPr="00D307FA">
        <w:t>[114]</w:t>
      </w:r>
      <w:r w:rsidRPr="00D307FA">
        <w:tab/>
        <w:t xml:space="preserve">C. L. Perrin, and K.-L. Chang, “The Complete Mechanism of an Aldol Condensation,” </w:t>
      </w:r>
      <w:r w:rsidRPr="00D307FA">
        <w:rPr>
          <w:i/>
        </w:rPr>
        <w:t>The Journal of Organic Chemistry,</w:t>
      </w:r>
      <w:r w:rsidRPr="00D307FA">
        <w:t xml:space="preserve"> vol. 81, no. 13, pp. 5631-5635, 2016.</w:t>
      </w:r>
      <w:bookmarkEnd w:id="262"/>
    </w:p>
    <w:p w14:paraId="55A7ED01" w14:textId="77777777" w:rsidR="00D307FA" w:rsidRPr="00D307FA" w:rsidRDefault="00D307FA" w:rsidP="00D307FA">
      <w:pPr>
        <w:pStyle w:val="EndNoteBibliography"/>
        <w:ind w:left="720" w:hanging="720"/>
      </w:pPr>
      <w:bookmarkStart w:id="263" w:name="_ENREF_115"/>
      <w:r w:rsidRPr="00D307FA">
        <w:t>[115]</w:t>
      </w:r>
      <w:r w:rsidRPr="00D307FA">
        <w:tab/>
        <w:t xml:space="preserve">M. J. L. Gines, and E. Iglesia, “Bifunctional Condensation Reactions of Alcohols on Basic Oxides Modified by Copper and Potassium,” </w:t>
      </w:r>
      <w:r w:rsidRPr="00D307FA">
        <w:rPr>
          <w:i/>
        </w:rPr>
        <w:t>Journal of Catalysis,</w:t>
      </w:r>
      <w:r w:rsidRPr="00D307FA">
        <w:t xml:space="preserve"> vol. 176, no. 1, 1998.</w:t>
      </w:r>
      <w:bookmarkEnd w:id="263"/>
    </w:p>
    <w:p w14:paraId="2CF802DC" w14:textId="77777777" w:rsidR="00D307FA" w:rsidRPr="00D307FA" w:rsidRDefault="00D307FA" w:rsidP="00D307FA">
      <w:pPr>
        <w:pStyle w:val="EndNoteBibliography"/>
        <w:ind w:left="720" w:hanging="720"/>
      </w:pPr>
      <w:bookmarkStart w:id="264" w:name="_ENREF_116"/>
      <w:r w:rsidRPr="00D307FA">
        <w:t>[116]</w:t>
      </w:r>
      <w:r w:rsidRPr="00D307FA">
        <w:tab/>
        <w:t xml:space="preserve">G. Li, S. Dissanayake, S. L. Suib, and D. E. Resasco, “Activity and stability of mesoporous CeO2 and ZrO2 catalysts for the self-condensation of cyclopentanone,” </w:t>
      </w:r>
      <w:r w:rsidRPr="00D307FA">
        <w:rPr>
          <w:i/>
        </w:rPr>
        <w:t>Applied Catalysis B: Environmental,</w:t>
      </w:r>
      <w:r w:rsidRPr="00D307FA">
        <w:t xml:space="preserve"> vol. 267, pp. 118373, 2020.</w:t>
      </w:r>
      <w:bookmarkEnd w:id="264"/>
    </w:p>
    <w:p w14:paraId="2A28D621" w14:textId="77777777" w:rsidR="00D307FA" w:rsidRPr="00D307FA" w:rsidRDefault="00D307FA" w:rsidP="00D307FA">
      <w:pPr>
        <w:pStyle w:val="EndNoteBibliography"/>
        <w:ind w:left="720" w:hanging="720"/>
      </w:pPr>
      <w:bookmarkStart w:id="265" w:name="_ENREF_117"/>
      <w:r w:rsidRPr="00D307FA">
        <w:t>[117]</w:t>
      </w:r>
      <w:r w:rsidRPr="00D307FA">
        <w:tab/>
        <w:t xml:space="preserve">O. Kikhtyanin, V. Kelbichová, D. Vitvarová, M. Kubů, and D. Kubička, “Aldol condensation of furfural and acetone on zeolites,” </w:t>
      </w:r>
      <w:r w:rsidRPr="00D307FA">
        <w:rPr>
          <w:i/>
        </w:rPr>
        <w:t>Catalysis Today,</w:t>
      </w:r>
      <w:r w:rsidRPr="00D307FA">
        <w:t xml:space="preserve"> vol. 227, pp. 154-162, 2014.</w:t>
      </w:r>
      <w:bookmarkEnd w:id="265"/>
    </w:p>
    <w:p w14:paraId="52519FAB" w14:textId="77777777" w:rsidR="00D307FA" w:rsidRPr="00D307FA" w:rsidRDefault="00D307FA" w:rsidP="00D307FA">
      <w:pPr>
        <w:pStyle w:val="EndNoteBibliography"/>
        <w:ind w:left="720" w:hanging="720"/>
      </w:pPr>
      <w:bookmarkStart w:id="266" w:name="_ENREF_118"/>
      <w:r w:rsidRPr="00D307FA">
        <w:t>[118]</w:t>
      </w:r>
      <w:r w:rsidRPr="00D307FA">
        <w:tab/>
        <w:t xml:space="preserve">S. Herrmann, and E. Iglesia, “Elementary steps in acetone condensation reactions catalyzed by aluminosilicates with diverse void structures,” </w:t>
      </w:r>
      <w:r w:rsidRPr="00D307FA">
        <w:rPr>
          <w:i/>
        </w:rPr>
        <w:t>Journal of Catalysis,</w:t>
      </w:r>
      <w:r w:rsidRPr="00D307FA">
        <w:t xml:space="preserve"> vol. 346, pp. 134-153, 2017.</w:t>
      </w:r>
      <w:bookmarkEnd w:id="266"/>
    </w:p>
    <w:p w14:paraId="5A098106" w14:textId="77777777" w:rsidR="00D307FA" w:rsidRPr="00D307FA" w:rsidRDefault="00D307FA" w:rsidP="00D307FA">
      <w:pPr>
        <w:pStyle w:val="EndNoteBibliography"/>
        <w:ind w:left="720" w:hanging="720"/>
      </w:pPr>
      <w:bookmarkStart w:id="267" w:name="_ENREF_119"/>
      <w:r w:rsidRPr="00D307FA">
        <w:t>[119]</w:t>
      </w:r>
      <w:r w:rsidRPr="00D307FA">
        <w:tab/>
        <w:t xml:space="preserve">G. Li, B. Wang, B. Chen, and D. E. Resasco, “Role of water in cyclopentanone self-condensation reaction catalyzed by MCM-41 functionalized with sulfonic acid groups,” </w:t>
      </w:r>
      <w:r w:rsidRPr="00D307FA">
        <w:rPr>
          <w:i/>
        </w:rPr>
        <w:t>Journal of Catalysis,</w:t>
      </w:r>
      <w:r w:rsidRPr="00D307FA">
        <w:t xml:space="preserve"> vol. 377, pp. 245-254, 2019.</w:t>
      </w:r>
      <w:bookmarkEnd w:id="267"/>
    </w:p>
    <w:p w14:paraId="2C78C6C3" w14:textId="77777777" w:rsidR="00D307FA" w:rsidRPr="00D307FA" w:rsidRDefault="00D307FA" w:rsidP="00D307FA">
      <w:pPr>
        <w:pStyle w:val="EndNoteBibliography"/>
        <w:ind w:left="720" w:hanging="720"/>
      </w:pPr>
      <w:bookmarkStart w:id="268" w:name="_ENREF_120"/>
      <w:r w:rsidRPr="00D307FA">
        <w:t>[120]</w:t>
      </w:r>
      <w:r w:rsidRPr="00D307FA">
        <w:tab/>
        <w:t xml:space="preserve">X. Solans-Monfort, J. Bertran, V. Branchadell, and M. Sodupe, “Keto−Enol Isomerization of Acetaldehyde in HZSM5. A Theoretical Study Using the ONIOM2 Method,” </w:t>
      </w:r>
      <w:r w:rsidRPr="00D307FA">
        <w:rPr>
          <w:i/>
        </w:rPr>
        <w:t>Journal of Physical Chemistry,</w:t>
      </w:r>
      <w:r w:rsidRPr="00D307FA">
        <w:t xml:space="preserve"> vol. 106, pp. 10220-10226, 2002.</w:t>
      </w:r>
      <w:bookmarkEnd w:id="268"/>
    </w:p>
    <w:p w14:paraId="59B3F1FA" w14:textId="77777777" w:rsidR="00D307FA" w:rsidRPr="00D307FA" w:rsidRDefault="00D307FA" w:rsidP="00D307FA">
      <w:pPr>
        <w:pStyle w:val="EndNoteBibliography"/>
        <w:ind w:left="720" w:hanging="720"/>
      </w:pPr>
      <w:bookmarkStart w:id="269" w:name="_ENREF_121"/>
      <w:r w:rsidRPr="00D307FA">
        <w:t>[121]</w:t>
      </w:r>
      <w:r w:rsidRPr="00D307FA">
        <w:tab/>
        <w:t xml:space="preserve">T. Yan, S. Yao, W. Dai, G. Wu, N. Guan, and L. Li, “Self-aldol condensation of aldehydes over Lewis acidic rare-earth cations stabilized by zeolites,” </w:t>
      </w:r>
      <w:r w:rsidRPr="00D307FA">
        <w:rPr>
          <w:i/>
        </w:rPr>
        <w:t>Chinese Journal of Catalysis,</w:t>
      </w:r>
      <w:r w:rsidRPr="00D307FA">
        <w:t xml:space="preserve"> vol. 42, no. 2, pp. 595-605, 2021.</w:t>
      </w:r>
      <w:bookmarkEnd w:id="269"/>
    </w:p>
    <w:p w14:paraId="0C00D3DF" w14:textId="77777777" w:rsidR="00D307FA" w:rsidRPr="00D307FA" w:rsidRDefault="00D307FA" w:rsidP="00D307FA">
      <w:pPr>
        <w:pStyle w:val="EndNoteBibliography"/>
        <w:ind w:left="720" w:hanging="720"/>
      </w:pPr>
      <w:bookmarkStart w:id="270" w:name="_ENREF_122"/>
      <w:r w:rsidRPr="00D307FA">
        <w:t>[122]</w:t>
      </w:r>
      <w:r w:rsidRPr="00D307FA">
        <w:tab/>
        <w:t xml:space="preserve">C. L. Perrin, “The Complete Mechanism of an Aldol Condensation,” </w:t>
      </w:r>
      <w:r w:rsidRPr="00D307FA">
        <w:rPr>
          <w:i/>
        </w:rPr>
        <w:t>The Journal of Organic Chemistry,</w:t>
      </w:r>
      <w:r w:rsidRPr="00D307FA">
        <w:t xml:space="preserve"> vol. 81, no. 13, pp. 5631-5635, 2016.</w:t>
      </w:r>
      <w:bookmarkEnd w:id="270"/>
    </w:p>
    <w:p w14:paraId="392256FF" w14:textId="77777777" w:rsidR="00D307FA" w:rsidRPr="00D307FA" w:rsidRDefault="00D307FA" w:rsidP="00D307FA">
      <w:pPr>
        <w:pStyle w:val="EndNoteBibliography"/>
        <w:ind w:left="720" w:hanging="720"/>
      </w:pPr>
      <w:bookmarkStart w:id="271" w:name="_ENREF_123"/>
      <w:r w:rsidRPr="00D307FA">
        <w:t>[123]</w:t>
      </w:r>
      <w:r w:rsidRPr="00D307FA">
        <w:tab/>
        <w:t xml:space="preserve">R. J. Madon, and M. Boudart, “Experimental criterion for the absence of artifacts in the measurement of rates of heterogeneous catalytic reactions,” </w:t>
      </w:r>
      <w:r w:rsidRPr="00D307FA">
        <w:rPr>
          <w:i/>
        </w:rPr>
        <w:t>Industrial &amp; Chemical Engineering Fundamentals,</w:t>
      </w:r>
      <w:r w:rsidRPr="00D307FA">
        <w:t xml:space="preserve"> vol. 21, pp. 438-447, 1982.</w:t>
      </w:r>
      <w:bookmarkEnd w:id="271"/>
    </w:p>
    <w:p w14:paraId="20FEC98A" w14:textId="77777777" w:rsidR="00D307FA" w:rsidRPr="00D307FA" w:rsidRDefault="00D307FA" w:rsidP="00D307FA">
      <w:pPr>
        <w:pStyle w:val="EndNoteBibliography"/>
        <w:ind w:left="720" w:hanging="720"/>
      </w:pPr>
      <w:bookmarkStart w:id="272" w:name="_ENREF_124"/>
      <w:r w:rsidRPr="00D307FA">
        <w:t>[124]</w:t>
      </w:r>
      <w:r w:rsidRPr="00D307FA">
        <w:tab/>
        <w:t xml:space="preserve">H. K. Chau, D. E. Resasco, P. Dob, and S. P. Crossley, “Acylation of m-cresol with acetic acid supported by in-situ ester formation on H-ZSM-5 zeolites,” </w:t>
      </w:r>
      <w:r w:rsidRPr="00D307FA">
        <w:rPr>
          <w:i/>
        </w:rPr>
        <w:t>Journal of Catalysis,</w:t>
      </w:r>
      <w:r w:rsidRPr="00D307FA">
        <w:t xml:space="preserve"> vol. 406, pp. 48-55, 2022.</w:t>
      </w:r>
      <w:bookmarkEnd w:id="272"/>
    </w:p>
    <w:p w14:paraId="6ED9CE03" w14:textId="77777777" w:rsidR="00D307FA" w:rsidRPr="00D307FA" w:rsidRDefault="00D307FA" w:rsidP="00D307FA">
      <w:pPr>
        <w:pStyle w:val="EndNoteBibliography"/>
        <w:ind w:left="720" w:hanging="720"/>
      </w:pPr>
      <w:bookmarkStart w:id="273" w:name="_ENREF_125"/>
      <w:r w:rsidRPr="00D307FA">
        <w:t>[125]</w:t>
      </w:r>
      <w:r w:rsidRPr="00D307FA">
        <w:tab/>
        <w:t xml:space="preserve">A. Gumidyala, T. Sooknoi, and S. Crossley, “Selective ketonization of acetic acid over HZSM-5: The importance of acyl species and the influence of water,” </w:t>
      </w:r>
      <w:r w:rsidRPr="00D307FA">
        <w:rPr>
          <w:i/>
        </w:rPr>
        <w:t>Journal of Catalysis,</w:t>
      </w:r>
      <w:r w:rsidRPr="00D307FA">
        <w:t xml:space="preserve"> vol. 340, pp. 76-84, 2016.</w:t>
      </w:r>
      <w:bookmarkEnd w:id="273"/>
    </w:p>
    <w:p w14:paraId="69CBB1BA" w14:textId="77777777" w:rsidR="00D307FA" w:rsidRPr="00D307FA" w:rsidRDefault="00D307FA" w:rsidP="00D307FA">
      <w:pPr>
        <w:pStyle w:val="EndNoteBibliography"/>
        <w:ind w:left="720" w:hanging="720"/>
      </w:pPr>
      <w:bookmarkStart w:id="274" w:name="_ENREF_126"/>
      <w:r w:rsidRPr="00D307FA">
        <w:t>[126]</w:t>
      </w:r>
      <w:r w:rsidRPr="00D307FA">
        <w:tab/>
        <w:t xml:space="preserve">L. García, G. Giannetto, M. R. Goldwasser, M. Guisnet, and P. Magnoux, “Phenol alkylation with methanol: effect of sodium content and ammonia selective poisoning of an HY zeolite,” </w:t>
      </w:r>
      <w:r w:rsidRPr="00D307FA">
        <w:rPr>
          <w:i/>
        </w:rPr>
        <w:t>Catalysis Letters,</w:t>
      </w:r>
      <w:r w:rsidRPr="00D307FA">
        <w:t xml:space="preserve"> vol. 37, pp. 121-123, 1996.</w:t>
      </w:r>
      <w:bookmarkEnd w:id="274"/>
    </w:p>
    <w:p w14:paraId="1A020C45" w14:textId="77777777" w:rsidR="00D307FA" w:rsidRPr="00D307FA" w:rsidRDefault="00D307FA" w:rsidP="00D307FA">
      <w:pPr>
        <w:pStyle w:val="EndNoteBibliography"/>
        <w:ind w:left="720" w:hanging="720"/>
      </w:pPr>
      <w:bookmarkStart w:id="275" w:name="_ENREF_127"/>
      <w:r w:rsidRPr="00D307FA">
        <w:lastRenderedPageBreak/>
        <w:t>[127]</w:t>
      </w:r>
      <w:r w:rsidRPr="00D307FA">
        <w:tab/>
        <w:t xml:space="preserve">P. M. Kester, J. T. Crumb, S. Li, W. F. Schneider, and R. Gounder, “Effects of Brønsted acid site proximity in chabazite zeolites on OH infrared spectra and protolytic propane cracking kinetics,” </w:t>
      </w:r>
      <w:r w:rsidRPr="00D307FA">
        <w:rPr>
          <w:i/>
        </w:rPr>
        <w:t>Journal of Catalysis,</w:t>
      </w:r>
      <w:r w:rsidRPr="00D307FA">
        <w:t xml:space="preserve"> vol. 395, pp. 210-226, 2021.</w:t>
      </w:r>
      <w:bookmarkEnd w:id="275"/>
    </w:p>
    <w:p w14:paraId="4D4DF3A7" w14:textId="77777777" w:rsidR="00D307FA" w:rsidRPr="00D307FA" w:rsidRDefault="00D307FA" w:rsidP="00D307FA">
      <w:pPr>
        <w:pStyle w:val="EndNoteBibliography"/>
        <w:ind w:left="720" w:hanging="720"/>
      </w:pPr>
      <w:bookmarkStart w:id="276" w:name="_ENREF_128"/>
      <w:r w:rsidRPr="00D307FA">
        <w:t>[128]</w:t>
      </w:r>
      <w:r w:rsidRPr="00D307FA">
        <w:tab/>
        <w:t xml:space="preserve">K. Chen, M. Abdolrahmani, S. Horstmeier, T. N. Pham, V. T. Nguyen, M. Zeets, B. Wang, S. Crossley, and J. L. White, “Brønsted–Brønsted Synergies between Framework and Noncrystalline Protons in Zeolite H-ZSM-5,” </w:t>
      </w:r>
      <w:r w:rsidRPr="00D307FA">
        <w:rPr>
          <w:i/>
        </w:rPr>
        <w:t>ACS Catalysis,</w:t>
      </w:r>
      <w:r w:rsidRPr="00D307FA">
        <w:t xml:space="preserve"> vol. 9, no. 7, pp. 6124-6136, 2019.</w:t>
      </w:r>
      <w:bookmarkEnd w:id="276"/>
    </w:p>
    <w:p w14:paraId="1E6EC61B" w14:textId="77777777" w:rsidR="00D307FA" w:rsidRPr="00D307FA" w:rsidRDefault="00D307FA" w:rsidP="00D307FA">
      <w:pPr>
        <w:pStyle w:val="EndNoteBibliography"/>
        <w:ind w:left="720" w:hanging="720"/>
      </w:pPr>
      <w:bookmarkStart w:id="277" w:name="_ENREF_129"/>
      <w:r w:rsidRPr="00D307FA">
        <w:t>[129]</w:t>
      </w:r>
      <w:r w:rsidRPr="00D307FA">
        <w:tab/>
        <w:t xml:space="preserve">A. Bhan, A. D. Allian, G. J. Sunley, D. J. Law, and E. Iglesia, “Specificity of Sites within Eight-Membered Ring Zeolite Channels for Carbonylation of Methyls to Acetyls,” </w:t>
      </w:r>
      <w:r w:rsidRPr="00D307FA">
        <w:rPr>
          <w:i/>
        </w:rPr>
        <w:t>Journal of American Chemical Society,</w:t>
      </w:r>
      <w:r w:rsidRPr="00D307FA">
        <w:t xml:space="preserve"> vol. 129, no. 16, pp. 4919-4924, 2007.</w:t>
      </w:r>
      <w:bookmarkEnd w:id="277"/>
    </w:p>
    <w:p w14:paraId="7FA885EF" w14:textId="77777777" w:rsidR="00D307FA" w:rsidRPr="00D307FA" w:rsidRDefault="00D307FA" w:rsidP="00D307FA">
      <w:pPr>
        <w:pStyle w:val="EndNoteBibliography"/>
        <w:ind w:left="720" w:hanging="720"/>
      </w:pPr>
      <w:bookmarkStart w:id="278" w:name="_ENREF_130"/>
      <w:r w:rsidRPr="00D307FA">
        <w:t>[130]</w:t>
      </w:r>
      <w:r w:rsidRPr="00D307FA">
        <w:tab/>
        <w:t xml:space="preserve">V. A. Veefkind, M. L. Smidt, and J. A. Lercher, “On the role of strength and location of Brønsted acid sites for ethylamine synthesis on mordenite catalysts,” </w:t>
      </w:r>
      <w:r w:rsidRPr="00D307FA">
        <w:rPr>
          <w:i/>
        </w:rPr>
        <w:t>Applied Catalysis A: General,</w:t>
      </w:r>
      <w:r w:rsidRPr="00D307FA">
        <w:t xml:space="preserve"> vol. 194-195, pp. 319-332, 2000.</w:t>
      </w:r>
      <w:bookmarkEnd w:id="278"/>
    </w:p>
    <w:p w14:paraId="18E4543A" w14:textId="77777777" w:rsidR="00D307FA" w:rsidRPr="00D307FA" w:rsidRDefault="00D307FA" w:rsidP="00D307FA">
      <w:pPr>
        <w:pStyle w:val="EndNoteBibliography"/>
        <w:ind w:left="720" w:hanging="720"/>
      </w:pPr>
      <w:bookmarkStart w:id="279" w:name="_ENREF_131"/>
      <w:r w:rsidRPr="00D307FA">
        <w:t>[131]</w:t>
      </w:r>
      <w:r w:rsidRPr="00D307FA">
        <w:tab/>
        <w:t xml:space="preserve">V. L. Zholobenko, M. A. Makarova, and J. Dwyer, “Inhomogeneity of Broensted acid sites in H-mordenite,” </w:t>
      </w:r>
      <w:r w:rsidRPr="00D307FA">
        <w:rPr>
          <w:i/>
        </w:rPr>
        <w:t>Journal of Physical Chemistry,</w:t>
      </w:r>
      <w:r w:rsidRPr="00D307FA">
        <w:t xml:space="preserve"> vol. 97, no. 22, pp. 5962-5964, 1993.</w:t>
      </w:r>
      <w:bookmarkEnd w:id="279"/>
    </w:p>
    <w:p w14:paraId="7434E9CD" w14:textId="77777777" w:rsidR="00D307FA" w:rsidRPr="00D307FA" w:rsidRDefault="00D307FA" w:rsidP="00D307FA">
      <w:pPr>
        <w:pStyle w:val="EndNoteBibliography"/>
        <w:ind w:left="720" w:hanging="720"/>
      </w:pPr>
      <w:bookmarkStart w:id="280" w:name="_ENREF_132"/>
      <w:r w:rsidRPr="00D307FA">
        <w:t>[132]</w:t>
      </w:r>
      <w:r w:rsidRPr="00D307FA">
        <w:tab/>
        <w:t xml:space="preserve">M. A. Makarova, A. E. Wilson, B. J. v. Liemt, C. M. A. M. Mesters, A. W. d. Winter, and C. Williams, “Quantification of Brønsted Acidity in Mordenites,” </w:t>
      </w:r>
      <w:r w:rsidRPr="00D307FA">
        <w:rPr>
          <w:i/>
        </w:rPr>
        <w:t>Journal of Catalysis,</w:t>
      </w:r>
      <w:r w:rsidRPr="00D307FA">
        <w:t xml:space="preserve"> vol. 172, no. 1, pp. 170-177, 1997.</w:t>
      </w:r>
      <w:bookmarkEnd w:id="280"/>
    </w:p>
    <w:p w14:paraId="6C673CA6" w14:textId="77777777" w:rsidR="00D307FA" w:rsidRPr="00D307FA" w:rsidRDefault="00D307FA" w:rsidP="00D307FA">
      <w:pPr>
        <w:pStyle w:val="EndNoteBibliography"/>
        <w:ind w:left="720" w:hanging="720"/>
      </w:pPr>
      <w:bookmarkStart w:id="281" w:name="_ENREF_133"/>
      <w:r w:rsidRPr="00D307FA">
        <w:t>[133]</w:t>
      </w:r>
      <w:r w:rsidRPr="00D307FA">
        <w:tab/>
        <w:t xml:space="preserve">J. W. Ward, “A spectroscopic study of the surface of zeolite Y: the adsorption of pyridine,” </w:t>
      </w:r>
      <w:r w:rsidRPr="00D307FA">
        <w:rPr>
          <w:i/>
        </w:rPr>
        <w:t>Journal of Colloid and Interface Science,</w:t>
      </w:r>
      <w:r w:rsidRPr="00D307FA">
        <w:t xml:space="preserve"> vol. 28, no. 2, pp. 269-278, 1968.</w:t>
      </w:r>
      <w:bookmarkEnd w:id="281"/>
    </w:p>
    <w:p w14:paraId="070D5D87" w14:textId="77777777" w:rsidR="00D307FA" w:rsidRPr="00D307FA" w:rsidRDefault="00D307FA" w:rsidP="00D307FA">
      <w:pPr>
        <w:pStyle w:val="EndNoteBibliography"/>
        <w:ind w:left="720" w:hanging="720"/>
      </w:pPr>
      <w:bookmarkStart w:id="282" w:name="_ENREF_134"/>
      <w:r w:rsidRPr="00D307FA">
        <w:t>[134]</w:t>
      </w:r>
      <w:r w:rsidRPr="00D307FA">
        <w:tab/>
        <w:t xml:space="preserve">O. A. Abdelrahman, K. P. Vinter, L. Ren, D. Xu, R. J. Gorte, M. Tsapatsis, and P. J. Dauenhauer, “Simple quantification of zeolite acid site density by reactive gas chromatography,” </w:t>
      </w:r>
      <w:r w:rsidRPr="00D307FA">
        <w:rPr>
          <w:i/>
        </w:rPr>
        <w:t>Catalysis Science &amp; Technology,</w:t>
      </w:r>
      <w:r w:rsidRPr="00D307FA">
        <w:t xml:space="preserve"> vol. 7, no. 17, pp. 3831-3841, 2017.</w:t>
      </w:r>
      <w:bookmarkEnd w:id="282"/>
    </w:p>
    <w:p w14:paraId="29D6E7DF" w14:textId="77777777" w:rsidR="00D307FA" w:rsidRPr="00D307FA" w:rsidRDefault="00D307FA" w:rsidP="00D307FA">
      <w:pPr>
        <w:pStyle w:val="EndNoteBibliography"/>
        <w:ind w:left="720" w:hanging="720"/>
      </w:pPr>
      <w:bookmarkStart w:id="283" w:name="_ENREF_135"/>
      <w:r w:rsidRPr="00D307FA">
        <w:t>[135]</w:t>
      </w:r>
      <w:r w:rsidRPr="00D307FA">
        <w:tab/>
        <w:t xml:space="preserve">T. Danuthai, S. Jongpatiwut, T. Rirksomboon, S. Osuwana, and D. E. Resasco, “Conversion of methylesters to hydrocarbons over an H-ZSM5 zeolite catalyst,” </w:t>
      </w:r>
      <w:r w:rsidRPr="00D307FA">
        <w:rPr>
          <w:i/>
        </w:rPr>
        <w:t>Applied Catalysis A: General,</w:t>
      </w:r>
      <w:r w:rsidRPr="00D307FA">
        <w:t xml:space="preserve"> vol. 361, no. 1-2, pp. 99-105, 2009.</w:t>
      </w:r>
      <w:bookmarkEnd w:id="283"/>
    </w:p>
    <w:p w14:paraId="5891C0CB" w14:textId="77777777" w:rsidR="00D307FA" w:rsidRPr="00D307FA" w:rsidRDefault="00D307FA" w:rsidP="00D307FA">
      <w:pPr>
        <w:pStyle w:val="EndNoteBibliography"/>
        <w:ind w:left="720" w:hanging="720"/>
      </w:pPr>
      <w:bookmarkStart w:id="284" w:name="_ENREF_136"/>
      <w:r w:rsidRPr="00D307FA">
        <w:t>[136]</w:t>
      </w:r>
      <w:r w:rsidRPr="00D307FA">
        <w:tab/>
        <w:t xml:space="preserve">R. Gounder, A. J. Jones, R. T. Carr, and E. Iglesia, “Solvation and acid strength effects on catalysis by faujasite zeolites,” </w:t>
      </w:r>
      <w:r w:rsidRPr="00D307FA">
        <w:rPr>
          <w:i/>
        </w:rPr>
        <w:t>Journal of Catalysis,</w:t>
      </w:r>
      <w:r w:rsidRPr="00D307FA">
        <w:t xml:space="preserve"> vol. 286, pp. 214-223, 2012.</w:t>
      </w:r>
      <w:bookmarkEnd w:id="284"/>
    </w:p>
    <w:p w14:paraId="151C5772" w14:textId="77777777" w:rsidR="00D307FA" w:rsidRPr="00D307FA" w:rsidRDefault="00D307FA" w:rsidP="00D307FA">
      <w:pPr>
        <w:pStyle w:val="EndNoteBibliography"/>
        <w:ind w:left="720" w:hanging="720"/>
      </w:pPr>
      <w:bookmarkStart w:id="285" w:name="_ENREF_137"/>
      <w:r w:rsidRPr="00D307FA">
        <w:t>[137]</w:t>
      </w:r>
      <w:r w:rsidRPr="00D307FA">
        <w:tab/>
        <w:t xml:space="preserve">M. J. Kim, S. M. Park, S.-J. Song, J. Won, J. Y. Lee, M. Yoon, K. Kim, and G. Seo, “Adsorption of pyridine onto the metal organic framework MIL-101,” </w:t>
      </w:r>
      <w:r w:rsidRPr="00D307FA">
        <w:rPr>
          <w:i/>
        </w:rPr>
        <w:t>Journal of Colloid and Interface Science,</w:t>
      </w:r>
      <w:r w:rsidRPr="00D307FA">
        <w:t xml:space="preserve"> vol. 361, no. 2, pp. 612-617, 2011.</w:t>
      </w:r>
      <w:bookmarkEnd w:id="285"/>
    </w:p>
    <w:p w14:paraId="4BDAF497" w14:textId="77777777" w:rsidR="00D307FA" w:rsidRPr="00D307FA" w:rsidRDefault="00D307FA" w:rsidP="00D307FA">
      <w:pPr>
        <w:pStyle w:val="EndNoteBibliography"/>
        <w:ind w:left="720" w:hanging="720"/>
      </w:pPr>
      <w:bookmarkStart w:id="286" w:name="_ENREF_138"/>
      <w:r w:rsidRPr="00D307FA">
        <w:t>[138]</w:t>
      </w:r>
      <w:r w:rsidRPr="00D307FA">
        <w:tab/>
        <w:t xml:space="preserve">H. Bludau, H. G. Karge, and W. Niessen, “Sorption, sorption kinetics and diffusion of pyridine in zeolites,” </w:t>
      </w:r>
      <w:r w:rsidRPr="00D307FA">
        <w:rPr>
          <w:i/>
        </w:rPr>
        <w:t>Microporous and Mesoporous Materials,</w:t>
      </w:r>
      <w:r w:rsidRPr="00D307FA">
        <w:t xml:space="preserve"> vol. 22, no. 1-3, pp. 297-308, 1998.</w:t>
      </w:r>
      <w:bookmarkEnd w:id="286"/>
    </w:p>
    <w:p w14:paraId="498912EB" w14:textId="77777777" w:rsidR="00D307FA" w:rsidRPr="00D307FA" w:rsidRDefault="00D307FA" w:rsidP="00D307FA">
      <w:pPr>
        <w:pStyle w:val="EndNoteBibliography"/>
        <w:ind w:left="720" w:hanging="720"/>
      </w:pPr>
      <w:bookmarkStart w:id="287" w:name="_ENREF_139"/>
      <w:r w:rsidRPr="00D307FA">
        <w:t>[139]</w:t>
      </w:r>
      <w:r w:rsidRPr="00D307FA">
        <w:tab/>
        <w:t xml:space="preserve">D. T. Yazıcı, and C. Bilgiç, “Determining the surface acidic properties of solid catalysts by amine titration using Hammett indicators and FTIR-pyridine adsorption methods,” </w:t>
      </w:r>
      <w:r w:rsidRPr="00D307FA">
        <w:rPr>
          <w:i/>
        </w:rPr>
        <w:t>Surface and Interface Analysis,</w:t>
      </w:r>
      <w:r w:rsidRPr="00D307FA">
        <w:t xml:space="preserve"> vol. 42, no. 6-7, pp. 959-962, 2010.</w:t>
      </w:r>
      <w:bookmarkEnd w:id="287"/>
    </w:p>
    <w:p w14:paraId="73E9D886" w14:textId="77777777" w:rsidR="00D307FA" w:rsidRPr="00D307FA" w:rsidRDefault="00D307FA" w:rsidP="00D307FA">
      <w:pPr>
        <w:pStyle w:val="EndNoteBibliography"/>
        <w:ind w:left="720" w:hanging="720"/>
      </w:pPr>
      <w:bookmarkStart w:id="288" w:name="_ENREF_140"/>
      <w:r w:rsidRPr="00D307FA">
        <w:lastRenderedPageBreak/>
        <w:t>[140]</w:t>
      </w:r>
      <w:r w:rsidRPr="00D307FA">
        <w:tab/>
        <w:t xml:space="preserve">J. N. Hall, and P. Bollini, “Metal–Organic Framework MIL-100 Catalyzed Acetalization of Benzaldehyde with Methanol: Lewis or Brønsted Acid Catalysis?,” </w:t>
      </w:r>
      <w:r w:rsidRPr="00D307FA">
        <w:rPr>
          <w:i/>
        </w:rPr>
        <w:t>ACS Catalysis,</w:t>
      </w:r>
      <w:r w:rsidRPr="00D307FA">
        <w:t xml:space="preserve"> vol. 10, no. 6, pp. 3750-3763, 2020.</w:t>
      </w:r>
      <w:bookmarkEnd w:id="288"/>
    </w:p>
    <w:p w14:paraId="4D053A5C" w14:textId="77777777" w:rsidR="00D307FA" w:rsidRPr="00D307FA" w:rsidRDefault="00D307FA" w:rsidP="00D307FA">
      <w:pPr>
        <w:pStyle w:val="EndNoteBibliography"/>
        <w:ind w:left="720" w:hanging="720"/>
      </w:pPr>
      <w:bookmarkStart w:id="289" w:name="_ENREF_141"/>
      <w:r w:rsidRPr="00D307FA">
        <w:t>[141]</w:t>
      </w:r>
      <w:r w:rsidRPr="00D307FA">
        <w:tab/>
        <w:t xml:space="preserve">C. D. Baertsch, K. T. Komala, Y.-H. Chua, and E. Iglesia, “Genesis of Brønsted Acid Sites during Dehydration of 2-Butanol on Tungsten Oxide Catalysts,” </w:t>
      </w:r>
      <w:r w:rsidRPr="00D307FA">
        <w:rPr>
          <w:i/>
        </w:rPr>
        <w:t>Journal of Catalysis,</w:t>
      </w:r>
      <w:r w:rsidRPr="00D307FA">
        <w:t xml:space="preserve"> vol. 205, no. 1, pp. 44-57, 2002.</w:t>
      </w:r>
      <w:bookmarkEnd w:id="289"/>
    </w:p>
    <w:p w14:paraId="32C39EC0" w14:textId="77777777" w:rsidR="00D307FA" w:rsidRPr="00D307FA" w:rsidRDefault="00D307FA" w:rsidP="00D307FA">
      <w:pPr>
        <w:pStyle w:val="EndNoteBibliography"/>
        <w:ind w:left="720" w:hanging="720"/>
      </w:pPr>
      <w:bookmarkStart w:id="290" w:name="_ENREF_142"/>
      <w:r w:rsidRPr="00D307FA">
        <w:t>[142]</w:t>
      </w:r>
      <w:r w:rsidRPr="00D307FA">
        <w:tab/>
        <w:t xml:space="preserve">A. Corma, V. Fornés, L. Forni, F. Márquez, J. Martı́nez-Triguero, and D. Moscotti, “2,6-Di-Tert-Butyl-Pyridine as a Probe Molecule to Measure External Acidity of Zeolites,” </w:t>
      </w:r>
      <w:r w:rsidRPr="00D307FA">
        <w:rPr>
          <w:i/>
        </w:rPr>
        <w:t>Journal of Catalysis,</w:t>
      </w:r>
      <w:r w:rsidRPr="00D307FA">
        <w:t xml:space="preserve"> vol. 179, no. 2, pp. 451-458, 1998.</w:t>
      </w:r>
      <w:bookmarkEnd w:id="290"/>
    </w:p>
    <w:p w14:paraId="2B34F4B8" w14:textId="77777777" w:rsidR="00D307FA" w:rsidRPr="00D307FA" w:rsidRDefault="00D307FA" w:rsidP="00D307FA">
      <w:pPr>
        <w:pStyle w:val="EndNoteBibliography"/>
        <w:ind w:left="720" w:hanging="720"/>
      </w:pPr>
      <w:bookmarkStart w:id="291" w:name="_ENREF_143"/>
      <w:r w:rsidRPr="00D307FA">
        <w:t>[143]</w:t>
      </w:r>
      <w:r w:rsidRPr="00D307FA">
        <w:tab/>
        <w:t xml:space="preserve">K. Góra-Marek, K. Tarach, and M. Choi, “2,6-Di-tert-butylpyridine Sorption Approach to Quantify the External Acidity in Hierarchical Zeolites,” </w:t>
      </w:r>
      <w:r w:rsidRPr="00D307FA">
        <w:rPr>
          <w:i/>
        </w:rPr>
        <w:t>Journal of Physical Chemistry,</w:t>
      </w:r>
      <w:r w:rsidRPr="00D307FA">
        <w:t xml:space="preserve"> vol. 118, no. 23, pp. 12266-12274, 2014.</w:t>
      </w:r>
      <w:bookmarkEnd w:id="291"/>
    </w:p>
    <w:p w14:paraId="07991224" w14:textId="77777777" w:rsidR="00D307FA" w:rsidRPr="00D307FA" w:rsidRDefault="00D307FA" w:rsidP="00D307FA">
      <w:pPr>
        <w:pStyle w:val="EndNoteBibliography"/>
        <w:ind w:left="720" w:hanging="720"/>
      </w:pPr>
      <w:bookmarkStart w:id="292" w:name="_ENREF_144"/>
      <w:r w:rsidRPr="00D307FA">
        <w:t>[144]</w:t>
      </w:r>
      <w:r w:rsidRPr="00D307FA">
        <w:tab/>
        <w:t xml:space="preserve">R. J. Argauer, </w:t>
      </w:r>
      <w:r w:rsidRPr="00D307FA">
        <w:rPr>
          <w:i/>
        </w:rPr>
        <w:t>Crystalline zeolite ZSM-5 and method of preparing the same.</w:t>
      </w:r>
      <w:r w:rsidRPr="00D307FA">
        <w:t>, USA 3702886, U. S. P. Office, 1972.</w:t>
      </w:r>
      <w:bookmarkEnd w:id="292"/>
    </w:p>
    <w:p w14:paraId="0B706E43" w14:textId="77777777" w:rsidR="00D307FA" w:rsidRPr="00D307FA" w:rsidRDefault="00D307FA" w:rsidP="00D307FA">
      <w:pPr>
        <w:pStyle w:val="EndNoteBibliography"/>
        <w:ind w:left="720" w:hanging="720"/>
      </w:pPr>
      <w:bookmarkStart w:id="293" w:name="_ENREF_145"/>
      <w:r w:rsidRPr="00D307FA">
        <w:t>[145]</w:t>
      </w:r>
      <w:r w:rsidRPr="00D307FA">
        <w:tab/>
        <w:t xml:space="preserve">W. Song, R. E. Justice, C. A. Jones, V. H. Grassian, and S. C. Larsen, “Synthesis, Characterization, and Adsorption Properties of Nanocrystalline ZSM-5,” </w:t>
      </w:r>
      <w:r w:rsidRPr="00D307FA">
        <w:rPr>
          <w:i/>
        </w:rPr>
        <w:t>Langmuir,</w:t>
      </w:r>
      <w:r w:rsidRPr="00D307FA">
        <w:t xml:space="preserve"> vol. 20, pp. 8301-8306, 2004.</w:t>
      </w:r>
      <w:bookmarkEnd w:id="293"/>
    </w:p>
    <w:p w14:paraId="34A1FD5F" w14:textId="77777777" w:rsidR="00D307FA" w:rsidRPr="00D307FA" w:rsidRDefault="00D307FA" w:rsidP="00D307FA">
      <w:pPr>
        <w:pStyle w:val="EndNoteBibliography"/>
        <w:ind w:left="720" w:hanging="720"/>
      </w:pPr>
      <w:bookmarkStart w:id="294" w:name="_ENREF_146"/>
      <w:r w:rsidRPr="00D307FA">
        <w:t>[146]</w:t>
      </w:r>
      <w:r w:rsidRPr="00D307FA">
        <w:tab/>
        <w:t xml:space="preserve">E. Epelde, J. I. Santos, P. Florian, A. T. Aguayo, A. G. Gayubo, J. Bilbao, and P. Castaño, “Controlling coke deactivation and cracking selectivity of MFI zeolite by H3PO4 or KOH modification,” </w:t>
      </w:r>
      <w:r w:rsidRPr="00D307FA">
        <w:rPr>
          <w:i/>
        </w:rPr>
        <w:t>Applied Catalysis A: General,</w:t>
      </w:r>
      <w:r w:rsidRPr="00D307FA">
        <w:t xml:space="preserve"> vol. 505, pp. 105-107, 2015.</w:t>
      </w:r>
      <w:bookmarkEnd w:id="294"/>
    </w:p>
    <w:p w14:paraId="6B4CB586" w14:textId="77777777" w:rsidR="00D307FA" w:rsidRPr="00D307FA" w:rsidRDefault="00D307FA" w:rsidP="00D307FA">
      <w:pPr>
        <w:pStyle w:val="EndNoteBibliography"/>
        <w:ind w:left="720" w:hanging="720"/>
      </w:pPr>
      <w:bookmarkStart w:id="295" w:name="_ENREF_147"/>
      <w:r w:rsidRPr="00D307FA">
        <w:t>[147]</w:t>
      </w:r>
      <w:r w:rsidRPr="00D307FA">
        <w:tab/>
        <w:t xml:space="preserve">H. Kim, H.-G. Jang, E. Jang, S. J. Park, T. Lee, Y. Jeong, H. Baik, S. J. Cho, and J. Choi, “On methanol to hydrocarbons reactions in a hierarchically structured ZSM-5 zeolite catalyst,” </w:t>
      </w:r>
      <w:r w:rsidRPr="00D307FA">
        <w:rPr>
          <w:i/>
        </w:rPr>
        <w:t>Catalysis Today,</w:t>
      </w:r>
      <w:r w:rsidRPr="00D307FA">
        <w:t xml:space="preserve"> vol. 303, pp. 150-158, 2018.</w:t>
      </w:r>
      <w:bookmarkEnd w:id="295"/>
    </w:p>
    <w:p w14:paraId="3EF36D23" w14:textId="77777777" w:rsidR="00D307FA" w:rsidRPr="00D307FA" w:rsidRDefault="00D307FA" w:rsidP="00D307FA">
      <w:pPr>
        <w:pStyle w:val="EndNoteBibliography"/>
        <w:ind w:left="720" w:hanging="720"/>
      </w:pPr>
      <w:bookmarkStart w:id="296" w:name="_ENREF_148"/>
      <w:r w:rsidRPr="00D307FA">
        <w:t>[148]</w:t>
      </w:r>
      <w:r w:rsidRPr="00D307FA">
        <w:tab/>
        <w:t xml:space="preserve">S. H. Jhung, J. W. Yoon, J. S. Lee, and J.-S. Chang, “Low-Temperature Adsorption/Storage of Hydrogen on FAU, MFI, and MOR Zeolites with Various Si/Al Ratios: Effect of Electrostatic Fields and Pore Structures,” </w:t>
      </w:r>
      <w:r w:rsidRPr="00D307FA">
        <w:rPr>
          <w:i/>
        </w:rPr>
        <w:t>Chemistry - A European Journal,</w:t>
      </w:r>
      <w:r w:rsidRPr="00D307FA">
        <w:t xml:space="preserve"> vol. 13, no. 22, pp. 6502-6507, 2007.</w:t>
      </w:r>
      <w:bookmarkEnd w:id="296"/>
    </w:p>
    <w:p w14:paraId="5DA6458A" w14:textId="77777777" w:rsidR="00D307FA" w:rsidRPr="00D307FA" w:rsidRDefault="00D307FA" w:rsidP="00D307FA">
      <w:pPr>
        <w:pStyle w:val="EndNoteBibliography"/>
        <w:ind w:left="720" w:hanging="720"/>
      </w:pPr>
      <w:bookmarkStart w:id="297" w:name="_ENREF_149"/>
      <w:r w:rsidRPr="00D307FA">
        <w:t>[149]</w:t>
      </w:r>
      <w:r w:rsidRPr="00D307FA">
        <w:tab/>
        <w:t xml:space="preserve">Y. Xu, M. Chen, T. Wang, B. Liu, F. Jiang, and X. Liu, “Probing cobalt localization on HZSM-5 for efficient methane dehydroaromatization catalysts,” </w:t>
      </w:r>
      <w:r w:rsidRPr="00D307FA">
        <w:rPr>
          <w:i/>
        </w:rPr>
        <w:t>Journal of Catalysis,</w:t>
      </w:r>
      <w:r w:rsidRPr="00D307FA">
        <w:t xml:space="preserve"> vol. 387, 2020.</w:t>
      </w:r>
      <w:bookmarkEnd w:id="297"/>
    </w:p>
    <w:p w14:paraId="6AF9C330" w14:textId="77777777" w:rsidR="00D307FA" w:rsidRPr="00D307FA" w:rsidRDefault="00D307FA" w:rsidP="00D307FA">
      <w:pPr>
        <w:pStyle w:val="EndNoteBibliography"/>
        <w:ind w:left="720" w:hanging="720"/>
      </w:pPr>
      <w:bookmarkStart w:id="298" w:name="_ENREF_150"/>
      <w:r w:rsidRPr="00D307FA">
        <w:t>[150]</w:t>
      </w:r>
      <w:r w:rsidRPr="00D307FA">
        <w:tab/>
        <w:t xml:space="preserve">C. Li, P. Ferri, C. Paris, M. Moliner, M. Boronat, and A. Corma, “Design and Synthesis of the Active Site Environment in Zeolite Catalysts for Selectively Manipulating Mechanistic Pathways,” </w:t>
      </w:r>
      <w:r w:rsidRPr="00D307FA">
        <w:rPr>
          <w:i/>
        </w:rPr>
        <w:t xml:space="preserve">Journal of the American Chemical Society </w:t>
      </w:r>
      <w:r w:rsidRPr="00D307FA">
        <w:t>vol. 143, pp. 10718-10726, 2021.</w:t>
      </w:r>
      <w:bookmarkEnd w:id="298"/>
    </w:p>
    <w:p w14:paraId="5034345D" w14:textId="77777777" w:rsidR="00D307FA" w:rsidRPr="00D307FA" w:rsidRDefault="00D307FA" w:rsidP="00D307FA">
      <w:pPr>
        <w:pStyle w:val="EndNoteBibliography"/>
        <w:ind w:left="720" w:hanging="720"/>
      </w:pPr>
      <w:bookmarkStart w:id="299" w:name="_ENREF_151"/>
      <w:r w:rsidRPr="00D307FA">
        <w:t>[151]</w:t>
      </w:r>
      <w:r w:rsidRPr="00D307FA">
        <w:tab/>
        <w:t xml:space="preserve">H. Eyring, “The Activated Complex in Chemical Reactions,” </w:t>
      </w:r>
      <w:r w:rsidRPr="00D307FA">
        <w:rPr>
          <w:i/>
        </w:rPr>
        <w:t>The Journal of Chemical Physics,</w:t>
      </w:r>
      <w:r w:rsidRPr="00D307FA">
        <w:t xml:space="preserve"> vol. 33, no. 2, pp. 65-77, 1935.</w:t>
      </w:r>
      <w:bookmarkEnd w:id="299"/>
    </w:p>
    <w:p w14:paraId="5429135E" w14:textId="77777777" w:rsidR="00D307FA" w:rsidRPr="00D307FA" w:rsidRDefault="00D307FA" w:rsidP="00D307FA">
      <w:pPr>
        <w:pStyle w:val="EndNoteBibliography"/>
        <w:ind w:left="720" w:hanging="720"/>
      </w:pPr>
      <w:bookmarkStart w:id="300" w:name="_ENREF_152"/>
      <w:r w:rsidRPr="00D307FA">
        <w:t>[152]</w:t>
      </w:r>
      <w:r w:rsidRPr="00D307FA">
        <w:tab/>
        <w:t xml:space="preserve">M. Frenkel, </w:t>
      </w:r>
      <w:r w:rsidRPr="00D307FA">
        <w:rPr>
          <w:i/>
        </w:rPr>
        <w:t>Thermodynamics of Organic Compounds in the Gas State</w:t>
      </w:r>
      <w:r w:rsidRPr="00D307FA">
        <w:t>: CRC Press, 1994.</w:t>
      </w:r>
      <w:bookmarkEnd w:id="300"/>
    </w:p>
    <w:p w14:paraId="1573A84B" w14:textId="77777777" w:rsidR="00D307FA" w:rsidRPr="00D307FA" w:rsidRDefault="00D307FA" w:rsidP="00D307FA">
      <w:pPr>
        <w:pStyle w:val="EndNoteBibliography"/>
        <w:ind w:left="720" w:hanging="720"/>
      </w:pPr>
      <w:bookmarkStart w:id="301" w:name="_ENREF_153"/>
      <w:r w:rsidRPr="00D307FA">
        <w:t>[153]</w:t>
      </w:r>
      <w:r w:rsidRPr="00D307FA">
        <w:tab/>
        <w:t xml:space="preserve">S. Wang, Y. He, W. Jiao, J. Wang, and W. Fan, “Recent experimental and theoretical studies on Al siting/acid site distribution in zeolite framework,” </w:t>
      </w:r>
      <w:r w:rsidRPr="00D307FA">
        <w:rPr>
          <w:i/>
        </w:rPr>
        <w:t>Current Opinion in Chemical Engineering,</w:t>
      </w:r>
      <w:r w:rsidRPr="00D307FA">
        <w:t xml:space="preserve"> vol. 23, pp. 146-154, 2019.</w:t>
      </w:r>
      <w:bookmarkEnd w:id="301"/>
    </w:p>
    <w:p w14:paraId="16374184" w14:textId="77777777" w:rsidR="00D307FA" w:rsidRPr="00D307FA" w:rsidRDefault="00D307FA" w:rsidP="00D307FA">
      <w:pPr>
        <w:pStyle w:val="EndNoteBibliography"/>
        <w:ind w:left="720" w:hanging="720"/>
      </w:pPr>
      <w:bookmarkStart w:id="302" w:name="_ENREF_154"/>
      <w:r w:rsidRPr="00D307FA">
        <w:t>[154]</w:t>
      </w:r>
      <w:r w:rsidRPr="00D307FA">
        <w:tab/>
        <w:t xml:space="preserve">M. E. Z. Velthoen, S. Nab, and B. M. Weckhuysen, “Probing acid sites in solid catalysts with pyridine UV-Vis spectroscopy,” </w:t>
      </w:r>
      <w:r w:rsidRPr="00D307FA">
        <w:rPr>
          <w:i/>
        </w:rPr>
        <w:t>Physical Chemistry Chemical Physics,</w:t>
      </w:r>
      <w:r w:rsidRPr="00D307FA">
        <w:t xml:space="preserve"> vol. 20, no. 33, pp. 21647-21659, 2018.</w:t>
      </w:r>
      <w:bookmarkEnd w:id="302"/>
    </w:p>
    <w:p w14:paraId="55E5D9EF" w14:textId="77777777" w:rsidR="00D307FA" w:rsidRPr="00D307FA" w:rsidRDefault="00D307FA" w:rsidP="00D307FA">
      <w:pPr>
        <w:pStyle w:val="EndNoteBibliography"/>
        <w:ind w:left="720" w:hanging="720"/>
      </w:pPr>
      <w:bookmarkStart w:id="303" w:name="_ENREF_155"/>
      <w:r w:rsidRPr="00D307FA">
        <w:lastRenderedPageBreak/>
        <w:t>[155]</w:t>
      </w:r>
      <w:r w:rsidRPr="00D307FA">
        <w:tab/>
        <w:t xml:space="preserve">A. Palčić, and V. Valtchev, “Analysis and control of acid sites in zeolites,” </w:t>
      </w:r>
      <w:r w:rsidRPr="00D307FA">
        <w:rPr>
          <w:i/>
        </w:rPr>
        <w:t>Applied Catalysis A: General,</w:t>
      </w:r>
      <w:r w:rsidRPr="00D307FA">
        <w:t xml:space="preserve"> vol. 606, pp. 117795, 2020.</w:t>
      </w:r>
      <w:bookmarkEnd w:id="303"/>
    </w:p>
    <w:p w14:paraId="14F8F1D2" w14:textId="77777777" w:rsidR="00D307FA" w:rsidRPr="00D307FA" w:rsidRDefault="00D307FA" w:rsidP="00D307FA">
      <w:pPr>
        <w:pStyle w:val="EndNoteBibliography"/>
        <w:ind w:left="720" w:hanging="720"/>
      </w:pPr>
      <w:bookmarkStart w:id="304" w:name="_ENREF_156"/>
      <w:r w:rsidRPr="00D307FA">
        <w:t>[156]</w:t>
      </w:r>
      <w:r w:rsidRPr="00D307FA">
        <w:tab/>
        <w:t xml:space="preserve">R. B. Borade, A. Adnot, and S. Kaliaguine, “Acid sites in dehydroxylated Y zeolites: an X-ray photoelectron and infrared spectroscopic study using pyridine as a probe molecule,” </w:t>
      </w:r>
      <w:r w:rsidRPr="00D307FA">
        <w:rPr>
          <w:i/>
        </w:rPr>
        <w:t>Journal of the Chemical Society, Faraday Transactions,</w:t>
      </w:r>
      <w:r w:rsidRPr="00D307FA">
        <w:t xml:space="preserve"> vol. 86, no. 23, pp. 3949-3956, 1990.</w:t>
      </w:r>
      <w:bookmarkEnd w:id="304"/>
    </w:p>
    <w:p w14:paraId="2987ED81" w14:textId="77777777" w:rsidR="00D307FA" w:rsidRPr="00D307FA" w:rsidRDefault="00D307FA" w:rsidP="00D307FA">
      <w:pPr>
        <w:pStyle w:val="EndNoteBibliography"/>
        <w:ind w:left="720" w:hanging="720"/>
      </w:pPr>
      <w:bookmarkStart w:id="305" w:name="_ENREF_157"/>
      <w:r w:rsidRPr="00D307FA">
        <w:t>[157]</w:t>
      </w:r>
      <w:r w:rsidRPr="00D307FA">
        <w:tab/>
        <w:t xml:space="preserve">J. N. Kondo, R. Nishitani, E. Yoda, T. Yokoi, T. Tatsumia, and K. Domenc, “A comparative IR characterization of acidic sites on HYzeolite by pyridine and COprobes with silica–alumina and γ-alumina references,” </w:t>
      </w:r>
      <w:r w:rsidRPr="00D307FA">
        <w:rPr>
          <w:i/>
        </w:rPr>
        <w:t>Physical Chemistry Chemical Physics,</w:t>
      </w:r>
      <w:r w:rsidRPr="00D307FA">
        <w:t xml:space="preserve"> vol. 12, no. 37, pp. 11567-11586, 2010.</w:t>
      </w:r>
      <w:bookmarkEnd w:id="305"/>
    </w:p>
    <w:p w14:paraId="1EE0DDD3" w14:textId="77777777" w:rsidR="00D307FA" w:rsidRPr="00D307FA" w:rsidRDefault="00D307FA" w:rsidP="00D307FA">
      <w:pPr>
        <w:pStyle w:val="EndNoteBibliography"/>
        <w:ind w:left="720" w:hanging="720"/>
      </w:pPr>
      <w:bookmarkStart w:id="306" w:name="_ENREF_158"/>
      <w:r w:rsidRPr="00D307FA">
        <w:t>[158]</w:t>
      </w:r>
      <w:r w:rsidRPr="00D307FA">
        <w:tab/>
        <w:t xml:space="preserve">O. M. Busch, W. Brijoux, S. Thomson, and F. Schüth, “Spatially resolving infrared spectroscopy for parallelized characterization of acid sites of catalysts via pyridine sorption: Possibilities and limitations,” </w:t>
      </w:r>
      <w:r w:rsidRPr="00D307FA">
        <w:rPr>
          <w:i/>
        </w:rPr>
        <w:t>Journal of Catalysis,</w:t>
      </w:r>
      <w:r w:rsidRPr="00D307FA">
        <w:t xml:space="preserve"> vol. 222, no. 1, pp. 174-179, 2004.</w:t>
      </w:r>
      <w:bookmarkEnd w:id="306"/>
    </w:p>
    <w:p w14:paraId="31E9CCDE" w14:textId="77777777" w:rsidR="00D307FA" w:rsidRPr="00D307FA" w:rsidRDefault="00D307FA" w:rsidP="00D307FA">
      <w:pPr>
        <w:pStyle w:val="EndNoteBibliography"/>
        <w:ind w:left="720" w:hanging="720"/>
      </w:pPr>
      <w:bookmarkStart w:id="307" w:name="_ENREF_159"/>
      <w:r w:rsidRPr="00D307FA">
        <w:t>[159]</w:t>
      </w:r>
      <w:r w:rsidRPr="00D307FA">
        <w:tab/>
        <w:t xml:space="preserve">J. E. Leonard, G. S. Hammond, and H. E. Simmons, “The Apparent Symmetry of Cyclohexane,” </w:t>
      </w:r>
      <w:r w:rsidRPr="00D307FA">
        <w:rPr>
          <w:i/>
        </w:rPr>
        <w:t>Journal of American Chemical Society</w:t>
      </w:r>
      <w:r w:rsidRPr="00D307FA">
        <w:t>, pp. 5052-5054, 1975.</w:t>
      </w:r>
      <w:bookmarkEnd w:id="307"/>
    </w:p>
    <w:p w14:paraId="5222EEDC" w14:textId="77777777" w:rsidR="00D307FA" w:rsidRPr="00D307FA" w:rsidRDefault="00D307FA" w:rsidP="00D307FA">
      <w:pPr>
        <w:pStyle w:val="EndNoteBibliography"/>
        <w:ind w:left="720" w:hanging="720"/>
      </w:pPr>
      <w:bookmarkStart w:id="308" w:name="_ENREF_160"/>
      <w:r w:rsidRPr="00D307FA">
        <w:t>[160]</w:t>
      </w:r>
      <w:r w:rsidRPr="00D307FA">
        <w:tab/>
        <w:t xml:space="preserve">D. Mootz, and H. G. Wussow, “Crystal structures of pyridine and pyridine trihydrate,” </w:t>
      </w:r>
      <w:r w:rsidRPr="00D307FA">
        <w:rPr>
          <w:i/>
        </w:rPr>
        <w:t>The Journal of Chemical Physics,</w:t>
      </w:r>
      <w:r w:rsidRPr="00D307FA">
        <w:t xml:space="preserve"> vol. 75, pp. 1517-1522, 1981.</w:t>
      </w:r>
      <w:bookmarkEnd w:id="308"/>
    </w:p>
    <w:p w14:paraId="0BFAB6BC" w14:textId="77777777" w:rsidR="00D307FA" w:rsidRPr="00D307FA" w:rsidRDefault="00D307FA" w:rsidP="00D307FA">
      <w:pPr>
        <w:pStyle w:val="EndNoteBibliography"/>
        <w:ind w:left="720" w:hanging="720"/>
      </w:pPr>
      <w:bookmarkStart w:id="309" w:name="_ENREF_161"/>
      <w:r w:rsidRPr="00D307FA">
        <w:t>[161]</w:t>
      </w:r>
      <w:r w:rsidRPr="00D307FA">
        <w:tab/>
        <w:t xml:space="preserve">F. Pang, J. E. Boggs, P. Pulay, and G. Fogarasi, “The molecular structure of toluene,” </w:t>
      </w:r>
      <w:r w:rsidRPr="00D307FA">
        <w:rPr>
          <w:i/>
        </w:rPr>
        <w:t>Journal of Molecular Structure,</w:t>
      </w:r>
      <w:r w:rsidRPr="00D307FA">
        <w:t xml:space="preserve"> vol. 66, pp. 281-287, 1980.</w:t>
      </w:r>
      <w:bookmarkEnd w:id="309"/>
    </w:p>
    <w:p w14:paraId="6252240A" w14:textId="77777777" w:rsidR="00D307FA" w:rsidRPr="00D307FA" w:rsidRDefault="00D307FA" w:rsidP="00D307FA">
      <w:pPr>
        <w:pStyle w:val="EndNoteBibliography"/>
        <w:ind w:left="720" w:hanging="720"/>
      </w:pPr>
      <w:bookmarkStart w:id="310" w:name="_ENREF_162"/>
      <w:r w:rsidRPr="00D307FA">
        <w:t>[162]</w:t>
      </w:r>
      <w:r w:rsidRPr="00D307FA">
        <w:tab/>
        <w:t xml:space="preserve">J. Datka, “Adsorption of benzene and toluene on Y zeolites studied by infrared spectroscopy,” </w:t>
      </w:r>
      <w:r w:rsidRPr="00D307FA">
        <w:rPr>
          <w:i/>
        </w:rPr>
        <w:t>Journal of Chemical Society, Faraday Transactions 1: Physical Chemistry in Condensed Phases,</w:t>
      </w:r>
      <w:r w:rsidRPr="00D307FA">
        <w:t xml:space="preserve"> vol. 77, pp. 511-517, 1981.</w:t>
      </w:r>
      <w:bookmarkEnd w:id="310"/>
    </w:p>
    <w:p w14:paraId="5C6C845B" w14:textId="77777777" w:rsidR="00D307FA" w:rsidRPr="00D307FA" w:rsidRDefault="00D307FA" w:rsidP="00D307FA">
      <w:pPr>
        <w:pStyle w:val="EndNoteBibliography"/>
        <w:ind w:left="720" w:hanging="720"/>
      </w:pPr>
      <w:bookmarkStart w:id="311" w:name="_ENREF_163"/>
      <w:r w:rsidRPr="00D307FA">
        <w:t>[163]</w:t>
      </w:r>
      <w:r w:rsidRPr="00D307FA">
        <w:tab/>
        <w:t xml:space="preserve">T. N. Pham, V. Nguyen, H. Nguyen-Phu, B. Wang, and S. Crossley, “Influence of Brønsted Acid Site Proximity on Alkane Cracking in MFI Zeolites,” </w:t>
      </w:r>
      <w:r w:rsidRPr="00D307FA">
        <w:rPr>
          <w:i/>
        </w:rPr>
        <w:t>ACS Catalysis,</w:t>
      </w:r>
      <w:r w:rsidRPr="00D307FA">
        <w:t xml:space="preserve"> vol. 13, no. 2, pp. 1359-1370, 2023.</w:t>
      </w:r>
      <w:bookmarkEnd w:id="311"/>
    </w:p>
    <w:p w14:paraId="0EC9831D" w14:textId="77777777" w:rsidR="00D307FA" w:rsidRPr="00D307FA" w:rsidRDefault="00D307FA" w:rsidP="00D307FA">
      <w:pPr>
        <w:pStyle w:val="EndNoteBibliography"/>
        <w:ind w:left="720" w:hanging="720"/>
      </w:pPr>
      <w:bookmarkStart w:id="312" w:name="_ENREF_164"/>
      <w:r w:rsidRPr="00D307FA">
        <w:t>[164]</w:t>
      </w:r>
      <w:r w:rsidRPr="00D307FA">
        <w:tab/>
        <w:t xml:space="preserve">M. Yoldi, E. G. Fuentes-Ordoñez, S. A. Korili, and A. Gil, “Zeolite synthesis from industrial wastes,” </w:t>
      </w:r>
      <w:r w:rsidRPr="00D307FA">
        <w:rPr>
          <w:i/>
        </w:rPr>
        <w:t>Microporous and Mesoporous Materials,</w:t>
      </w:r>
      <w:r w:rsidRPr="00D307FA">
        <w:t xml:space="preserve"> vol. 287, pp. 183-191, 2019.</w:t>
      </w:r>
      <w:bookmarkEnd w:id="312"/>
    </w:p>
    <w:p w14:paraId="551612EF" w14:textId="77777777" w:rsidR="00D307FA" w:rsidRPr="00D307FA" w:rsidRDefault="00D307FA" w:rsidP="00D307FA">
      <w:pPr>
        <w:pStyle w:val="EndNoteBibliography"/>
        <w:ind w:left="720" w:hanging="720"/>
      </w:pPr>
      <w:bookmarkStart w:id="313" w:name="_ENREF_165"/>
      <w:r w:rsidRPr="00D307FA">
        <w:t>[165]</w:t>
      </w:r>
      <w:r w:rsidRPr="00D307FA">
        <w:tab/>
        <w:t xml:space="preserve">A. Khaleque, M. Alam, M. Hoque, S. Mondal, J. B. Haider, B. Xu, M. A. H. Johir, A. K. Karmakar, J. L. Zhou, M. B. Ahmed, and M. A. Moni, “Zeolite synthesis from low-cost materials and environmental applications: A review,” </w:t>
      </w:r>
      <w:r w:rsidRPr="00D307FA">
        <w:rPr>
          <w:i/>
        </w:rPr>
        <w:t>Environmental Advances,</w:t>
      </w:r>
      <w:r w:rsidRPr="00D307FA">
        <w:t xml:space="preserve"> vol. 2, pp. 100019, 2020.</w:t>
      </w:r>
      <w:bookmarkEnd w:id="313"/>
    </w:p>
    <w:p w14:paraId="3FC1CBFF" w14:textId="77777777" w:rsidR="00D307FA" w:rsidRPr="00D307FA" w:rsidRDefault="00D307FA" w:rsidP="00D307FA">
      <w:pPr>
        <w:pStyle w:val="EndNoteBibliography"/>
        <w:ind w:left="720" w:hanging="720"/>
      </w:pPr>
      <w:bookmarkStart w:id="314" w:name="_ENREF_166"/>
      <w:r w:rsidRPr="00D307FA">
        <w:t>[166]</w:t>
      </w:r>
      <w:r w:rsidRPr="00D307FA">
        <w:tab/>
        <w:t xml:space="preserve">J. Shin, D. Jo, and S. B. Hong, “Rediscovery of the Importance of Inorganic Synthesis Parameters in the Search for New Zeolites,” </w:t>
      </w:r>
      <w:r w:rsidRPr="00D307FA">
        <w:rPr>
          <w:i/>
        </w:rPr>
        <w:t>Accounts of Chemical Research,</w:t>
      </w:r>
      <w:r w:rsidRPr="00D307FA">
        <w:t xml:space="preserve"> vol. 52, no. 5, pp. 1419-1427, 2019.</w:t>
      </w:r>
      <w:bookmarkEnd w:id="314"/>
    </w:p>
    <w:p w14:paraId="50C73697" w14:textId="77777777" w:rsidR="00D307FA" w:rsidRPr="00D307FA" w:rsidRDefault="00D307FA" w:rsidP="00D307FA">
      <w:pPr>
        <w:pStyle w:val="EndNoteBibliography"/>
        <w:ind w:left="720" w:hanging="720"/>
      </w:pPr>
      <w:bookmarkStart w:id="315" w:name="_ENREF_167"/>
      <w:r w:rsidRPr="00D307FA">
        <w:t>[167]</w:t>
      </w:r>
      <w:r w:rsidRPr="00D307FA">
        <w:tab/>
        <w:t xml:space="preserve">M. Kanezashi, and J. O’Brien, “Template-free synthesis of MFI-type zeolite membranes: Permeation characteristics and thermal stability improvement of membrane structure,” </w:t>
      </w:r>
      <w:r w:rsidRPr="00D307FA">
        <w:rPr>
          <w:i/>
        </w:rPr>
        <w:t>Journal of Membrane Science,</w:t>
      </w:r>
      <w:r w:rsidRPr="00D307FA">
        <w:t xml:space="preserve"> vol. 286, no. 1-2, pp. 213-222, 2006.</w:t>
      </w:r>
      <w:bookmarkEnd w:id="315"/>
    </w:p>
    <w:p w14:paraId="63710A48" w14:textId="77777777" w:rsidR="00D307FA" w:rsidRPr="00D307FA" w:rsidRDefault="00D307FA" w:rsidP="00D307FA">
      <w:pPr>
        <w:pStyle w:val="EndNoteBibliography"/>
        <w:ind w:left="720" w:hanging="720"/>
      </w:pPr>
      <w:bookmarkStart w:id="316" w:name="_ENREF_168"/>
      <w:r w:rsidRPr="00D307FA">
        <w:t>[168]</w:t>
      </w:r>
      <w:r w:rsidRPr="00D307FA">
        <w:tab/>
        <w:t xml:space="preserve">X. H. Vu, M. S. Marschall, V. T. Tran, T. P. Ngo, T. T. Dang, D. M. Dinh, T. K. T. Dao, O. Busse, and J. J. Weigand, “Enhanced thermal stability of hierarchical Y zeolites obtained by acid and subsequent base treatments,” </w:t>
      </w:r>
      <w:r w:rsidRPr="00D307FA">
        <w:rPr>
          <w:i/>
        </w:rPr>
        <w:t>Journal of Physics and Chemistry of Solids,</w:t>
      </w:r>
      <w:r w:rsidRPr="00D307FA">
        <w:t xml:space="preserve"> vol. 152, pp. 109962, 2021.</w:t>
      </w:r>
      <w:bookmarkEnd w:id="316"/>
    </w:p>
    <w:p w14:paraId="17E48640" w14:textId="77777777" w:rsidR="00D307FA" w:rsidRPr="00D307FA" w:rsidRDefault="00D307FA" w:rsidP="00D307FA">
      <w:pPr>
        <w:pStyle w:val="EndNoteBibliography"/>
        <w:ind w:left="720" w:hanging="720"/>
      </w:pPr>
      <w:bookmarkStart w:id="317" w:name="_ENREF_169"/>
      <w:r w:rsidRPr="00D307FA">
        <w:t>[169]</w:t>
      </w:r>
      <w:r w:rsidRPr="00D307FA">
        <w:tab/>
        <w:t xml:space="preserve">D. E. Resasco, S. P. Crossley, B. Wang, and J. L. White, “Interaction of water with zeolites: a review,” </w:t>
      </w:r>
      <w:r w:rsidRPr="00D307FA">
        <w:rPr>
          <w:i/>
        </w:rPr>
        <w:t>Catalysis Reviews,</w:t>
      </w:r>
      <w:r w:rsidRPr="00D307FA">
        <w:t xml:space="preserve"> vol. 63, pp. 302-362, 2021.</w:t>
      </w:r>
      <w:bookmarkEnd w:id="317"/>
    </w:p>
    <w:p w14:paraId="5DFDCE14" w14:textId="77777777" w:rsidR="00D307FA" w:rsidRPr="00D307FA" w:rsidRDefault="00D307FA" w:rsidP="00D307FA">
      <w:pPr>
        <w:pStyle w:val="EndNoteBibliography"/>
        <w:ind w:left="720" w:hanging="720"/>
      </w:pPr>
      <w:bookmarkStart w:id="318" w:name="_ENREF_170"/>
      <w:r w:rsidRPr="00D307FA">
        <w:lastRenderedPageBreak/>
        <w:t>[170]</w:t>
      </w:r>
      <w:r w:rsidRPr="00D307FA">
        <w:tab/>
        <w:t xml:space="preserve">R. Jain, A. Chawla, N. Linares, J. G. Martínez, and J. D. Rimer, “Spontaneous Pillaring of Pentasil Zeolites,” </w:t>
      </w:r>
      <w:r w:rsidRPr="00D307FA">
        <w:rPr>
          <w:i/>
        </w:rPr>
        <w:t>Advanced Materials,</w:t>
      </w:r>
      <w:r w:rsidRPr="00D307FA">
        <w:t xml:space="preserve"> vol. 33, no. 22, pp. 2100897, 2021.</w:t>
      </w:r>
      <w:bookmarkEnd w:id="318"/>
    </w:p>
    <w:p w14:paraId="2BFD729C" w14:textId="77777777" w:rsidR="00D307FA" w:rsidRPr="00D307FA" w:rsidRDefault="00D307FA" w:rsidP="00D307FA">
      <w:pPr>
        <w:pStyle w:val="EndNoteBibliography"/>
        <w:ind w:left="720" w:hanging="720"/>
      </w:pPr>
      <w:bookmarkStart w:id="319" w:name="_ENREF_171"/>
      <w:r w:rsidRPr="00D307FA">
        <w:t>[171]</w:t>
      </w:r>
      <w:r w:rsidRPr="00D307FA">
        <w:tab/>
        <w:t xml:space="preserve">M. Moliner, C. Martínez, and A. Corma, “Multipore Zeolites: Synthesis and Catalytic Applications,” </w:t>
      </w:r>
      <w:r w:rsidRPr="00D307FA">
        <w:rPr>
          <w:i/>
        </w:rPr>
        <w:t>Angewandte Chemie International,</w:t>
      </w:r>
      <w:r w:rsidRPr="00D307FA">
        <w:t xml:space="preserve"> vol. 54, no. 12, pp. 3523-3825, 2015.</w:t>
      </w:r>
      <w:bookmarkEnd w:id="319"/>
    </w:p>
    <w:p w14:paraId="2626E0DF" w14:textId="77777777" w:rsidR="00D307FA" w:rsidRPr="00D307FA" w:rsidRDefault="00D307FA" w:rsidP="00D307FA">
      <w:pPr>
        <w:pStyle w:val="EndNoteBibliography"/>
        <w:ind w:left="720" w:hanging="720"/>
      </w:pPr>
      <w:bookmarkStart w:id="320" w:name="_ENREF_172"/>
      <w:r w:rsidRPr="00D307FA">
        <w:t>[172]</w:t>
      </w:r>
      <w:r w:rsidRPr="00D307FA">
        <w:tab/>
        <w:t xml:space="preserve">M. H. Nada, S. C. Larsena, and E. G. Gillan, “Solvent-free synthesis of crystalline ZSM-5 zeolite: Investigation of mechanochemical pre-reaction impact on growth of thermally stable zeolite structures,” </w:t>
      </w:r>
      <w:r w:rsidRPr="00D307FA">
        <w:rPr>
          <w:i/>
        </w:rPr>
        <w:t>Solid State Sciences,</w:t>
      </w:r>
      <w:r w:rsidRPr="00D307FA">
        <w:t xml:space="preserve"> vol. 94, pp. 15-22, 2019.</w:t>
      </w:r>
      <w:bookmarkEnd w:id="320"/>
    </w:p>
    <w:p w14:paraId="3AB62BC4" w14:textId="77777777" w:rsidR="00D307FA" w:rsidRPr="00D307FA" w:rsidRDefault="00D307FA" w:rsidP="00D307FA">
      <w:pPr>
        <w:pStyle w:val="EndNoteBibliography"/>
        <w:ind w:left="720" w:hanging="720"/>
      </w:pPr>
      <w:bookmarkStart w:id="321" w:name="_ENREF_173"/>
      <w:r w:rsidRPr="00D307FA">
        <w:t>[173]</w:t>
      </w:r>
      <w:r w:rsidRPr="00D307FA">
        <w:tab/>
        <w:t xml:space="preserve">A. Inayat, I. Knoke, E. Spiecker, and W. Schwieger, “Assemblies of Mesoporous FAU-Type Zeolite Nanosheets,” </w:t>
      </w:r>
      <w:r w:rsidRPr="00D307FA">
        <w:rPr>
          <w:i/>
        </w:rPr>
        <w:t>Angewandte Chemie International,</w:t>
      </w:r>
      <w:r w:rsidRPr="00D307FA">
        <w:t xml:space="preserve"> vol. 51, no. 8, pp. 1731-1976, 2012.</w:t>
      </w:r>
      <w:bookmarkEnd w:id="321"/>
    </w:p>
    <w:p w14:paraId="344A1FC3" w14:textId="77777777" w:rsidR="00D307FA" w:rsidRPr="00D307FA" w:rsidRDefault="00D307FA" w:rsidP="00D307FA">
      <w:pPr>
        <w:pStyle w:val="EndNoteBibliography"/>
        <w:ind w:left="720" w:hanging="720"/>
      </w:pPr>
      <w:bookmarkStart w:id="322" w:name="_ENREF_174"/>
      <w:r w:rsidRPr="00D307FA">
        <w:t>[174]</w:t>
      </w:r>
      <w:r w:rsidRPr="00D307FA">
        <w:tab/>
        <w:t xml:space="preserve">Y. Jiao, L. Forster, S. Xu, H. Chen, J. Han, X. Liu, Y. Zhou, J. Liu, J. Zhang, J. Yu, C. D'Agostino, and X. Fan, “Creation of Al-Enriched Mesoporous ZSM-5 Nanoboxes with High Catalytic Activity: Converting Tetrahedral Extra-Framework Al into Framework Sites by Post Treatment,” </w:t>
      </w:r>
      <w:r w:rsidRPr="00D307FA">
        <w:rPr>
          <w:i/>
        </w:rPr>
        <w:t>Angewandte Chemie International,</w:t>
      </w:r>
      <w:r w:rsidRPr="00D307FA">
        <w:t xml:space="preserve"> vol. 59, no. 44, pp. 19478-19486, 2020.</w:t>
      </w:r>
      <w:bookmarkEnd w:id="322"/>
    </w:p>
    <w:p w14:paraId="2085727B" w14:textId="77777777" w:rsidR="00D307FA" w:rsidRPr="00D307FA" w:rsidRDefault="00D307FA" w:rsidP="00D307FA">
      <w:pPr>
        <w:pStyle w:val="EndNoteBibliography"/>
        <w:ind w:left="720" w:hanging="720"/>
      </w:pPr>
      <w:bookmarkStart w:id="323" w:name="_ENREF_175"/>
      <w:r w:rsidRPr="00D307FA">
        <w:t>[175]</w:t>
      </w:r>
      <w:r w:rsidRPr="00D307FA">
        <w:tab/>
        <w:t xml:space="preserve">J. C. Groen, L. A. A. Peffer, J. A. Moulijn, and J. Pérez-Ramírez, “On the introduction of intracrystalline mesoporosity in zeolites upon desilication in alkaline medium,” </w:t>
      </w:r>
      <w:r w:rsidRPr="00D307FA">
        <w:rPr>
          <w:i/>
        </w:rPr>
        <w:t>Microporous and Mesoporous Materials,</w:t>
      </w:r>
      <w:r w:rsidRPr="00D307FA">
        <w:t xml:space="preserve"> vol. 69, no. 1-2, pp. 29-34, 2004.</w:t>
      </w:r>
      <w:bookmarkEnd w:id="323"/>
    </w:p>
    <w:p w14:paraId="1F53B305" w14:textId="77777777" w:rsidR="00D307FA" w:rsidRPr="00D307FA" w:rsidRDefault="00D307FA" w:rsidP="00D307FA">
      <w:pPr>
        <w:pStyle w:val="EndNoteBibliography"/>
        <w:ind w:left="720" w:hanging="720"/>
      </w:pPr>
      <w:bookmarkStart w:id="324" w:name="_ENREF_176"/>
      <w:r w:rsidRPr="00D307FA">
        <w:t>[176]</w:t>
      </w:r>
      <w:r w:rsidRPr="00D307FA">
        <w:tab/>
        <w:t xml:space="preserve">D. Verboekend, S. Mitchell, M. Milina, J. C. Groen, and J. Pérez-Ramírez, “Full Compositional Flexibility in the Preparation of Mesoporous MFI Zeolites by Desilication,” </w:t>
      </w:r>
      <w:r w:rsidRPr="00D307FA">
        <w:rPr>
          <w:i/>
        </w:rPr>
        <w:t>The Journal of Physical Chemistry C,</w:t>
      </w:r>
      <w:r w:rsidRPr="00D307FA">
        <w:t xml:space="preserve"> vol. 115, pp. 14193-14203, 2011.</w:t>
      </w:r>
      <w:bookmarkEnd w:id="324"/>
    </w:p>
    <w:p w14:paraId="61698435" w14:textId="77777777" w:rsidR="00D307FA" w:rsidRPr="00D307FA" w:rsidRDefault="00D307FA" w:rsidP="00D307FA">
      <w:pPr>
        <w:pStyle w:val="EndNoteBibliography"/>
        <w:ind w:left="720" w:hanging="720"/>
      </w:pPr>
      <w:bookmarkStart w:id="325" w:name="_ENREF_177"/>
      <w:r w:rsidRPr="00D307FA">
        <w:t>[177]</w:t>
      </w:r>
      <w:r w:rsidRPr="00D307FA">
        <w:tab/>
        <w:t xml:space="preserve">X. Zhu, L. L. .Lobban, R. G. Mallinson, and D. E. Resasco, “Tailoring the mesopore structure of HZSM-5 to control product distribution in the conversion of propanal,” </w:t>
      </w:r>
      <w:r w:rsidRPr="00D307FA">
        <w:rPr>
          <w:i/>
        </w:rPr>
        <w:t>Journal of Catalysis,</w:t>
      </w:r>
      <w:r w:rsidRPr="00D307FA">
        <w:t xml:space="preserve"> vol. 271, no. 1, pp. 88-98, 2010.</w:t>
      </w:r>
      <w:bookmarkEnd w:id="325"/>
    </w:p>
    <w:p w14:paraId="09BF45AC" w14:textId="77777777" w:rsidR="00D307FA" w:rsidRPr="00D307FA" w:rsidRDefault="00D307FA" w:rsidP="00D307FA">
      <w:pPr>
        <w:pStyle w:val="EndNoteBibliography"/>
        <w:ind w:left="720" w:hanging="720"/>
      </w:pPr>
      <w:bookmarkStart w:id="326" w:name="_ENREF_178"/>
      <w:r w:rsidRPr="00D307FA">
        <w:t>[178]</w:t>
      </w:r>
      <w:r w:rsidRPr="00D307FA">
        <w:tab/>
        <w:t xml:space="preserve">A. K. Patra, A. Dutta, M. Pramanik, M. Nandi, H. Uyama, and A. Bhaumik, “Synthesis of Hierarchical Mesoporous Mn–MFI Zeolite Nanoparticles: A Unique Architecture of Heterogeneous Catalyst for the Aerobic Oxidation of Thiols to Disulfides,” </w:t>
      </w:r>
      <w:r w:rsidRPr="00D307FA">
        <w:rPr>
          <w:i/>
        </w:rPr>
        <w:t>ChemCatChem,</w:t>
      </w:r>
      <w:r w:rsidRPr="00D307FA">
        <w:t xml:space="preserve"> vol. 6, no. 1, pp. 220-229, 2013.</w:t>
      </w:r>
      <w:bookmarkEnd w:id="326"/>
    </w:p>
    <w:p w14:paraId="06624F7E" w14:textId="77777777" w:rsidR="00D307FA" w:rsidRPr="00D307FA" w:rsidRDefault="00D307FA" w:rsidP="00D307FA">
      <w:pPr>
        <w:pStyle w:val="EndNoteBibliography"/>
        <w:ind w:left="720" w:hanging="720"/>
      </w:pPr>
      <w:bookmarkStart w:id="327" w:name="_ENREF_179"/>
      <w:r w:rsidRPr="00D307FA">
        <w:t>[179]</w:t>
      </w:r>
      <w:r w:rsidRPr="00D307FA">
        <w:tab/>
        <w:t xml:space="preserve">H. Wang, and T. J. Pinnavaia, “MFI Zeolite with Small and Uniform Intracrystal Mesopores,” </w:t>
      </w:r>
      <w:r w:rsidRPr="00D307FA">
        <w:rPr>
          <w:i/>
        </w:rPr>
        <w:t>Angewandte Chemie,</w:t>
      </w:r>
      <w:r w:rsidRPr="00D307FA">
        <w:t xml:space="preserve"> vol. 118, no. 45, pp. 7637-7805, 2006.</w:t>
      </w:r>
      <w:bookmarkEnd w:id="327"/>
    </w:p>
    <w:p w14:paraId="41D8D3F6" w14:textId="77777777" w:rsidR="00D307FA" w:rsidRPr="00D307FA" w:rsidRDefault="00D307FA" w:rsidP="00D307FA">
      <w:pPr>
        <w:pStyle w:val="EndNoteBibliography"/>
        <w:ind w:left="720" w:hanging="720"/>
      </w:pPr>
      <w:bookmarkStart w:id="328" w:name="_ENREF_180"/>
      <w:r w:rsidRPr="00D307FA">
        <w:t>[180]</w:t>
      </w:r>
      <w:r w:rsidRPr="00D307FA">
        <w:tab/>
        <w:t xml:space="preserve">R. F. Lobo, S. I. Zones, and M. E. Davis, “Structure-direction in zeolite synthesis,” </w:t>
      </w:r>
      <w:r w:rsidRPr="00D307FA">
        <w:rPr>
          <w:i/>
        </w:rPr>
        <w:t>Journal of inclusion phenomena and molecular recognition in chemistry volume,</w:t>
      </w:r>
      <w:r w:rsidRPr="00D307FA">
        <w:t xml:space="preserve"> vol. 21, pp. 47-78, 1995.</w:t>
      </w:r>
      <w:bookmarkEnd w:id="328"/>
    </w:p>
    <w:p w14:paraId="59F998A9" w14:textId="77777777" w:rsidR="00D307FA" w:rsidRPr="00D307FA" w:rsidRDefault="00D307FA" w:rsidP="00D307FA">
      <w:pPr>
        <w:pStyle w:val="EndNoteBibliography"/>
        <w:ind w:left="720" w:hanging="720"/>
      </w:pPr>
      <w:bookmarkStart w:id="329" w:name="_ENREF_181"/>
      <w:r w:rsidRPr="00D307FA">
        <w:t>[181]</w:t>
      </w:r>
      <w:r w:rsidRPr="00D307FA">
        <w:tab/>
        <w:t xml:space="preserve">M. Moliner, F. Rey, and A. Corma, “Towards the Rational Design of Efficient Organic Structure-Directing Agents for Zeolite Synthesis,” </w:t>
      </w:r>
      <w:r w:rsidRPr="00D307FA">
        <w:rPr>
          <w:i/>
        </w:rPr>
        <w:t>Angewandte Chemie International,</w:t>
      </w:r>
      <w:r w:rsidRPr="00D307FA">
        <w:t xml:space="preserve"> vol. 52, no. 52, pp. 13880-13889, 2013.</w:t>
      </w:r>
      <w:bookmarkEnd w:id="329"/>
    </w:p>
    <w:p w14:paraId="78A3D47F" w14:textId="77777777" w:rsidR="00D307FA" w:rsidRPr="00D307FA" w:rsidRDefault="00D307FA" w:rsidP="00D307FA">
      <w:pPr>
        <w:pStyle w:val="EndNoteBibliography"/>
        <w:ind w:left="720" w:hanging="720"/>
      </w:pPr>
      <w:bookmarkStart w:id="330" w:name="_ENREF_182"/>
      <w:r w:rsidRPr="00D307FA">
        <w:t>[182]</w:t>
      </w:r>
      <w:r w:rsidRPr="00D307FA">
        <w:tab/>
        <w:t xml:space="preserve">J. Čejka, A. Corma, and S. Zones, </w:t>
      </w:r>
      <w:r w:rsidRPr="00D307FA">
        <w:rPr>
          <w:i/>
        </w:rPr>
        <w:t>Zeolites and Catalysis: Synthesis, Reactions and Applications</w:t>
      </w:r>
      <w:r w:rsidRPr="00D307FA">
        <w:t>: John Wiley &amp; Sons, 2010.</w:t>
      </w:r>
      <w:bookmarkEnd w:id="330"/>
    </w:p>
    <w:p w14:paraId="41850203" w14:textId="77777777" w:rsidR="00D307FA" w:rsidRPr="00D307FA" w:rsidRDefault="00D307FA" w:rsidP="00D307FA">
      <w:pPr>
        <w:pStyle w:val="EndNoteBibliography"/>
        <w:ind w:left="720" w:hanging="720"/>
      </w:pPr>
      <w:bookmarkStart w:id="331" w:name="_ENREF_183"/>
      <w:r w:rsidRPr="00D307FA">
        <w:t>[183]</w:t>
      </w:r>
      <w:r w:rsidRPr="00D307FA">
        <w:tab/>
        <w:t xml:space="preserve">S. Soltanali, R. Halladj, A. Rashidi, and M. Bazmi, “Mixed templates application in ZSM-5 nanoparticles synthesis: Effect on the size, crystallinity, and surface area,” </w:t>
      </w:r>
      <w:r w:rsidRPr="00D307FA">
        <w:rPr>
          <w:i/>
        </w:rPr>
        <w:t>Advanced Power Technology,</w:t>
      </w:r>
      <w:r w:rsidRPr="00D307FA">
        <w:t xml:space="preserve"> vol. 25, no. 6, pp. 1767-1771, 2014.</w:t>
      </w:r>
      <w:bookmarkEnd w:id="331"/>
    </w:p>
    <w:p w14:paraId="53B2808D" w14:textId="77777777" w:rsidR="00D307FA" w:rsidRPr="00D307FA" w:rsidRDefault="00D307FA" w:rsidP="00D307FA">
      <w:pPr>
        <w:pStyle w:val="EndNoteBibliography"/>
        <w:ind w:left="720" w:hanging="720"/>
      </w:pPr>
      <w:bookmarkStart w:id="332" w:name="_ENREF_184"/>
      <w:r w:rsidRPr="00D307FA">
        <w:lastRenderedPageBreak/>
        <w:t>[184]</w:t>
      </w:r>
      <w:r w:rsidRPr="00D307FA">
        <w:tab/>
        <w:t xml:space="preserve">V. P. Valtchev, L. Tosheva, and K. N. Bozhilov, “Synthesis of Zeolite Nanocrystals at Room Temperature,” </w:t>
      </w:r>
      <w:r w:rsidRPr="00D307FA">
        <w:rPr>
          <w:i/>
        </w:rPr>
        <w:t>Langmuir,</w:t>
      </w:r>
      <w:r w:rsidRPr="00D307FA">
        <w:t xml:space="preserve"> vol. 21, pp. 10724-10729, 2005.</w:t>
      </w:r>
      <w:bookmarkEnd w:id="332"/>
    </w:p>
    <w:p w14:paraId="74F8A775" w14:textId="77777777" w:rsidR="00D307FA" w:rsidRPr="00D307FA" w:rsidRDefault="00D307FA" w:rsidP="00D307FA">
      <w:pPr>
        <w:pStyle w:val="EndNoteBibliography"/>
        <w:ind w:left="720" w:hanging="720"/>
      </w:pPr>
      <w:bookmarkStart w:id="333" w:name="_ENREF_185"/>
      <w:r w:rsidRPr="00D307FA">
        <w:t>[185]</w:t>
      </w:r>
      <w:r w:rsidRPr="00D307FA">
        <w:tab/>
        <w:t xml:space="preserve">A. E. Persson, B. J. Schoeman, J. Sterte, and J.-E. Otterstedt, “Synthesis of stable suspensions of discrete colloidal zeolite (Na, TPA)ZSM-5 crystals,” </w:t>
      </w:r>
      <w:r w:rsidRPr="00D307FA">
        <w:rPr>
          <w:i/>
        </w:rPr>
        <w:t>Zeolies,</w:t>
      </w:r>
      <w:r w:rsidRPr="00D307FA">
        <w:t xml:space="preserve"> vol. 15, no. 7, pp. 611-619, 1995.</w:t>
      </w:r>
      <w:bookmarkEnd w:id="333"/>
    </w:p>
    <w:p w14:paraId="4FCB3C95" w14:textId="77777777" w:rsidR="00D307FA" w:rsidRPr="00D307FA" w:rsidRDefault="00D307FA" w:rsidP="00D307FA">
      <w:pPr>
        <w:pStyle w:val="EndNoteBibliography"/>
        <w:ind w:left="720" w:hanging="720"/>
      </w:pPr>
      <w:bookmarkStart w:id="334" w:name="_ENREF_186"/>
      <w:r w:rsidRPr="00D307FA">
        <w:t>[186]</w:t>
      </w:r>
      <w:r w:rsidRPr="00D307FA">
        <w:tab/>
        <w:t xml:space="preserve">C. Li, Y. Wang, B. Shi, J. Ren, X. Liu, Y. Wang, Y. Guo, Y. Guo, and G. Lu, “Synthesis of hierarchical MFI zeolite microspheres with stacking nanocrystals,” </w:t>
      </w:r>
      <w:r w:rsidRPr="00D307FA">
        <w:rPr>
          <w:i/>
        </w:rPr>
        <w:t>Microporous and Mesoporous Materials,</w:t>
      </w:r>
      <w:r w:rsidRPr="00D307FA">
        <w:t xml:space="preserve"> vol. 117, no. 1-2, pp. 104-110, 2009.</w:t>
      </w:r>
      <w:bookmarkEnd w:id="334"/>
    </w:p>
    <w:p w14:paraId="26C1A28B" w14:textId="77777777" w:rsidR="00D307FA" w:rsidRPr="00D307FA" w:rsidRDefault="00D307FA" w:rsidP="00D307FA">
      <w:pPr>
        <w:pStyle w:val="EndNoteBibliography"/>
        <w:ind w:left="720" w:hanging="720"/>
      </w:pPr>
      <w:bookmarkStart w:id="335" w:name="_ENREF_187"/>
      <w:r w:rsidRPr="00D307FA">
        <w:t>[187]</w:t>
      </w:r>
      <w:r w:rsidRPr="00D307FA">
        <w:tab/>
        <w:t xml:space="preserve">V. P. Valtchev, A.-C. Faust, and J. Lézervant, “Rapid synthesis of silicalite-1 nanocrystals by conventional heating,” </w:t>
      </w:r>
      <w:r w:rsidRPr="00D307FA">
        <w:rPr>
          <w:i/>
        </w:rPr>
        <w:t>Microporous and Mesoporous Materials,</w:t>
      </w:r>
      <w:r w:rsidRPr="00D307FA">
        <w:t xml:space="preserve"> vol. 68, no. 1-3, pp. 91-95, 2004.</w:t>
      </w:r>
      <w:bookmarkEnd w:id="335"/>
    </w:p>
    <w:p w14:paraId="2ADEB4E8" w14:textId="77777777" w:rsidR="00D307FA" w:rsidRPr="00D307FA" w:rsidRDefault="00D307FA" w:rsidP="00D307FA">
      <w:pPr>
        <w:pStyle w:val="EndNoteBibliography"/>
        <w:ind w:left="720" w:hanging="720"/>
      </w:pPr>
      <w:bookmarkStart w:id="336" w:name="_ENREF_188"/>
      <w:r w:rsidRPr="00D307FA">
        <w:t>[188]</w:t>
      </w:r>
      <w:r w:rsidRPr="00D307FA">
        <w:tab/>
        <w:t>H. Konno, T. Okamura, Y. Nakasaka, T. Tago, and T. Masuda, “Effects of Crystal Size and Si/Al Ratio of MFI-type Zeolite Catalyst on</w:t>
      </w:r>
    </w:p>
    <w:p w14:paraId="6C1B563C" w14:textId="77777777" w:rsidR="00D307FA" w:rsidRPr="00D307FA" w:rsidRDefault="00D307FA" w:rsidP="00D307FA">
      <w:pPr>
        <w:pStyle w:val="EndNoteBibliography"/>
        <w:ind w:left="720" w:hanging="720"/>
      </w:pPr>
      <w:r w:rsidRPr="00D307FA">
        <w:t xml:space="preserve">n-Hexane Cracking for Light Olefin Synthesis,” </w:t>
      </w:r>
      <w:r w:rsidRPr="00D307FA">
        <w:rPr>
          <w:i/>
        </w:rPr>
        <w:t>Journal of the Japan Petroleum Institute,</w:t>
      </w:r>
      <w:r w:rsidRPr="00D307FA">
        <w:t xml:space="preserve"> vol. 55, pp. 267-274, 2012.</w:t>
      </w:r>
      <w:bookmarkEnd w:id="336"/>
    </w:p>
    <w:p w14:paraId="3ACD04F4" w14:textId="77777777" w:rsidR="00D307FA" w:rsidRPr="00D307FA" w:rsidRDefault="00D307FA" w:rsidP="00D307FA">
      <w:pPr>
        <w:pStyle w:val="EndNoteBibliography"/>
        <w:ind w:left="720" w:hanging="720"/>
      </w:pPr>
      <w:bookmarkStart w:id="337" w:name="_ENREF_189"/>
      <w:r w:rsidRPr="00D307FA">
        <w:t>[189]</w:t>
      </w:r>
      <w:r w:rsidRPr="00D307FA">
        <w:tab/>
        <w:t xml:space="preserve">S. Ahmed, M. Z. El-Faer, M. M. Abdillahi, M. A. B. Siddiqui, and S. A. I. Barri, “Investigation of the rapid crystallization method for the synthesis of MFI-type zeolites and study of the physicochemical properties of the products,” </w:t>
      </w:r>
      <w:r w:rsidRPr="00D307FA">
        <w:rPr>
          <w:i/>
        </w:rPr>
        <w:t>Zeolites,</w:t>
      </w:r>
      <w:r w:rsidRPr="00D307FA">
        <w:t xml:space="preserve"> vol. 17, no. 4, pp. 373-380, 1996.</w:t>
      </w:r>
      <w:bookmarkEnd w:id="337"/>
    </w:p>
    <w:p w14:paraId="2B22F332" w14:textId="77777777" w:rsidR="00D307FA" w:rsidRPr="00D307FA" w:rsidRDefault="00D307FA" w:rsidP="00D307FA">
      <w:pPr>
        <w:pStyle w:val="EndNoteBibliography"/>
        <w:ind w:left="720" w:hanging="720"/>
      </w:pPr>
      <w:bookmarkStart w:id="338" w:name="_ENREF_190"/>
      <w:r w:rsidRPr="00D307FA">
        <w:t>[190]</w:t>
      </w:r>
      <w:r w:rsidRPr="00D307FA">
        <w:tab/>
        <w:t xml:space="preserve">L. Shirazi, E. Jamshidi, and M. R. Ghasemi, “The effect of Si/Al ratio of ZSM-5 zeolite on its morphology, acidity and crystal size,” </w:t>
      </w:r>
      <w:r w:rsidRPr="00D307FA">
        <w:rPr>
          <w:i/>
        </w:rPr>
        <w:t>Crystal Research and Technology,</w:t>
      </w:r>
      <w:r w:rsidRPr="00D307FA">
        <w:t xml:space="preserve"> vol. 43, no. 12, pp. 1247-1344, 2008.</w:t>
      </w:r>
      <w:bookmarkEnd w:id="338"/>
    </w:p>
    <w:p w14:paraId="34385870" w14:textId="77777777" w:rsidR="00D307FA" w:rsidRPr="00D307FA" w:rsidRDefault="00D307FA" w:rsidP="00D307FA">
      <w:pPr>
        <w:pStyle w:val="EndNoteBibliography"/>
        <w:ind w:left="720" w:hanging="720"/>
      </w:pPr>
      <w:bookmarkStart w:id="339" w:name="_ENREF_191"/>
      <w:r w:rsidRPr="00D307FA">
        <w:t>[191]</w:t>
      </w:r>
      <w:r w:rsidRPr="00D307FA">
        <w:tab/>
        <w:t xml:space="preserve">R. V. Grieken, J. L. Sotelo, J. M. Menéndez, and J. A. Melero, “Anomalous crystallization mechanism in the synthesis of nanocrystalline ZSM-5,” </w:t>
      </w:r>
      <w:r w:rsidRPr="00D307FA">
        <w:rPr>
          <w:i/>
        </w:rPr>
        <w:t>Microporous and Mesoporous Materials,</w:t>
      </w:r>
      <w:r w:rsidRPr="00D307FA">
        <w:t xml:space="preserve"> vol. 39, no. 1-2, pp. 135-147, 2000.</w:t>
      </w:r>
      <w:bookmarkEnd w:id="339"/>
    </w:p>
    <w:p w14:paraId="14BF6233" w14:textId="77777777" w:rsidR="00D307FA" w:rsidRPr="00D307FA" w:rsidRDefault="00D307FA" w:rsidP="00D307FA">
      <w:pPr>
        <w:pStyle w:val="EndNoteBibliography"/>
        <w:ind w:left="720" w:hanging="720"/>
      </w:pPr>
      <w:bookmarkStart w:id="340" w:name="_ENREF_192"/>
      <w:r w:rsidRPr="00D307FA">
        <w:t>[192]</w:t>
      </w:r>
      <w:r w:rsidRPr="00D307FA">
        <w:tab/>
        <w:t xml:space="preserve">T. Fu, Z. Ma, Y. Wang, J. Shao, Q. Ma, C. Zhang, L. Cui, and Z. Li, “Si/Al ratio induced structure evolution during desilication-recrystallization of silicalite-1 to synthesize nano-ZSM-5 catalyst for MTH reaction,” </w:t>
      </w:r>
      <w:r w:rsidRPr="00D307FA">
        <w:rPr>
          <w:i/>
        </w:rPr>
        <w:t>Fuel Processing Technology,</w:t>
      </w:r>
      <w:r w:rsidRPr="00D307FA">
        <w:t xml:space="preserve"> vol. 194, pp. 106122, 2019.</w:t>
      </w:r>
      <w:bookmarkEnd w:id="340"/>
    </w:p>
    <w:p w14:paraId="0B41A637" w14:textId="77777777" w:rsidR="00D307FA" w:rsidRPr="00D307FA" w:rsidRDefault="00D307FA" w:rsidP="00D307FA">
      <w:pPr>
        <w:pStyle w:val="EndNoteBibliography"/>
        <w:ind w:left="720" w:hanging="720"/>
      </w:pPr>
      <w:bookmarkStart w:id="341" w:name="_ENREF_193"/>
      <w:r w:rsidRPr="00D307FA">
        <w:t>[193]</w:t>
      </w:r>
      <w:r w:rsidRPr="00D307FA">
        <w:tab/>
        <w:t xml:space="preserve">H. Dai, Y. Shen, T. Yang, C. Lee, D. Fu, A. Agarwal, T. T. Le, M. Tsapatsis, J. C. Palmer, B. M. Weckhuysen, P. J. Dauenhauer, X. Zou, and J. D. Rimer, “Finned zeolite catalysts,” </w:t>
      </w:r>
      <w:r w:rsidRPr="00D307FA">
        <w:rPr>
          <w:i/>
        </w:rPr>
        <w:t>Nature Materials,</w:t>
      </w:r>
      <w:r w:rsidRPr="00D307FA">
        <w:t xml:space="preserve"> vol. 19, pp. 1074-1080, 2020.</w:t>
      </w:r>
      <w:bookmarkEnd w:id="341"/>
    </w:p>
    <w:p w14:paraId="07F496F9" w14:textId="77777777" w:rsidR="00D307FA" w:rsidRPr="00D307FA" w:rsidRDefault="00D307FA" w:rsidP="00D307FA">
      <w:pPr>
        <w:pStyle w:val="EndNoteBibliography"/>
        <w:ind w:left="720" w:hanging="720"/>
      </w:pPr>
      <w:bookmarkStart w:id="342" w:name="_ENREF_194"/>
      <w:r w:rsidRPr="00D307FA">
        <w:t>[194]</w:t>
      </w:r>
      <w:r w:rsidRPr="00D307FA">
        <w:tab/>
        <w:t xml:space="preserve">R. Ravishankar, C. E. A. Kirschhock, P.-P. Knops-Gerrits, E. J. P. Feijen, P. J. Grobet, P. Vanoppen, F. C. D. Schryver, G. Miehe, H. Fuess, B. J. Schoeman, P. A. Jacobs, and J. A. Martens, “Characterization of Nanosized Material Extracted from Clear Suspensions for MFI Zeolite Synthesis,” </w:t>
      </w:r>
      <w:r w:rsidRPr="00D307FA">
        <w:rPr>
          <w:i/>
        </w:rPr>
        <w:t>Journal of Physical Chemistry B,</w:t>
      </w:r>
      <w:r w:rsidRPr="00D307FA">
        <w:t xml:space="preserve"> vol. 103, no. 24, pp. 4960-4964, 1999.</w:t>
      </w:r>
      <w:bookmarkEnd w:id="342"/>
    </w:p>
    <w:p w14:paraId="186E22CE" w14:textId="77777777" w:rsidR="00D307FA" w:rsidRPr="00D307FA" w:rsidRDefault="00D307FA" w:rsidP="00D307FA">
      <w:pPr>
        <w:pStyle w:val="EndNoteBibliography"/>
        <w:ind w:left="720" w:hanging="720"/>
      </w:pPr>
      <w:bookmarkStart w:id="343" w:name="_ENREF_195"/>
      <w:r w:rsidRPr="00D307FA">
        <w:t>[195]</w:t>
      </w:r>
      <w:r w:rsidRPr="00D307FA">
        <w:tab/>
        <w:t xml:space="preserve">J. Dedecek, V. Balgová, V. Pashkova, P. Klein, and B. Wichterlová, “Synthesis of ZSM-5 Zeolites with Defined Distribution of Al Atoms in the Framework and Multinuclear MAS NMR Analysis of the Control of Al Distribution,” </w:t>
      </w:r>
      <w:r w:rsidRPr="00D307FA">
        <w:rPr>
          <w:i/>
        </w:rPr>
        <w:t>Chemistry of Materials,</w:t>
      </w:r>
      <w:r w:rsidRPr="00D307FA">
        <w:t xml:space="preserve"> vol. 24, no. 16, pp. 3231-3239, 2012.</w:t>
      </w:r>
      <w:bookmarkEnd w:id="343"/>
    </w:p>
    <w:p w14:paraId="7A35320F" w14:textId="77777777" w:rsidR="00D307FA" w:rsidRPr="00D307FA" w:rsidRDefault="00D307FA" w:rsidP="00D307FA">
      <w:pPr>
        <w:pStyle w:val="EndNoteBibliography"/>
        <w:ind w:left="720" w:hanging="720"/>
      </w:pPr>
      <w:bookmarkStart w:id="344" w:name="_ENREF_196"/>
      <w:r w:rsidRPr="00D307FA">
        <w:t>[196]</w:t>
      </w:r>
      <w:r w:rsidRPr="00D307FA">
        <w:tab/>
        <w:t xml:space="preserve">V. Pashkova, S. Sklenak, P. Klein, M. Urbanova, and J. Dědeček, “Location of Framework Al Atoms in the Channels of ZSM-5: Effect of the (Hydrothermal) Synthesis,” </w:t>
      </w:r>
      <w:r w:rsidRPr="00D307FA">
        <w:rPr>
          <w:i/>
        </w:rPr>
        <w:t>Chemistry - A European Journal,</w:t>
      </w:r>
      <w:r w:rsidRPr="00D307FA">
        <w:t xml:space="preserve"> vol. 22, no. 12, pp. 3937-3941, 2016.</w:t>
      </w:r>
      <w:bookmarkEnd w:id="344"/>
    </w:p>
    <w:p w14:paraId="264BA29C" w14:textId="77777777" w:rsidR="00D307FA" w:rsidRPr="00D307FA" w:rsidRDefault="00D307FA" w:rsidP="00D307FA">
      <w:pPr>
        <w:pStyle w:val="EndNoteBibliography"/>
        <w:ind w:left="720" w:hanging="720"/>
      </w:pPr>
      <w:bookmarkStart w:id="345" w:name="_ENREF_197"/>
      <w:r w:rsidRPr="00D307FA">
        <w:lastRenderedPageBreak/>
        <w:t>[197]</w:t>
      </w:r>
      <w:r w:rsidRPr="00D307FA">
        <w:tab/>
        <w:t xml:space="preserve">S. M. Opalka, and T. Zhu, “Influence of the Si/Al ratio and Al distribution on the H-ZSM-5 lattice and Brønsted acid site characteristics,” </w:t>
      </w:r>
      <w:r w:rsidRPr="00D307FA">
        <w:rPr>
          <w:i/>
        </w:rPr>
        <w:t>Microporous and Mesoporous Materials,</w:t>
      </w:r>
      <w:r w:rsidRPr="00D307FA">
        <w:t xml:space="preserve"> vol. 222, pp. 256-270, 2016.</w:t>
      </w:r>
      <w:bookmarkEnd w:id="345"/>
    </w:p>
    <w:p w14:paraId="1D16E371" w14:textId="77777777" w:rsidR="00D307FA" w:rsidRPr="00D307FA" w:rsidRDefault="00D307FA" w:rsidP="00D307FA">
      <w:pPr>
        <w:pStyle w:val="EndNoteBibliography"/>
        <w:ind w:left="720" w:hanging="720"/>
      </w:pPr>
      <w:bookmarkStart w:id="346" w:name="_ENREF_198"/>
      <w:r w:rsidRPr="00D307FA">
        <w:t>[198]</w:t>
      </w:r>
      <w:r w:rsidRPr="00D307FA">
        <w:tab/>
        <w:t xml:space="preserve">C. E. A. Kirschhock, R. Ravishankar, F. Verspeurt, P. J. Grobet, P. A. Jacobs, and J. A. Martens, “Identification of Precursor Species in the Formation of MFI Zeolite in the TPAOH−TEOS−H2O System,” </w:t>
      </w:r>
      <w:r w:rsidRPr="00D307FA">
        <w:rPr>
          <w:i/>
        </w:rPr>
        <w:t>Journal of Physical Chemistry B,</w:t>
      </w:r>
      <w:r w:rsidRPr="00D307FA">
        <w:t xml:space="preserve"> vol. 103, no. 24, pp. 4965-4971, 1999.</w:t>
      </w:r>
      <w:bookmarkEnd w:id="346"/>
    </w:p>
    <w:p w14:paraId="7751A140" w14:textId="77777777" w:rsidR="00D307FA" w:rsidRPr="00D307FA" w:rsidRDefault="00D307FA" w:rsidP="00D307FA">
      <w:pPr>
        <w:pStyle w:val="EndNoteBibliography"/>
        <w:ind w:left="720" w:hanging="720"/>
      </w:pPr>
      <w:bookmarkStart w:id="347" w:name="_ENREF_199"/>
      <w:r w:rsidRPr="00D307FA">
        <w:t>[199]</w:t>
      </w:r>
      <w:r w:rsidRPr="00D307FA">
        <w:tab/>
        <w:t xml:space="preserve">N. V. Choudary, and B. L. Newalkar, “Use of zeolites in petroleum refining and petrochemical processes: recent advances,” </w:t>
      </w:r>
      <w:r w:rsidRPr="00D307FA">
        <w:rPr>
          <w:i/>
        </w:rPr>
        <w:t>Journal of Porous Materials,</w:t>
      </w:r>
      <w:r w:rsidRPr="00D307FA">
        <w:t xml:space="preserve"> vol. 18, pp. 685-692, 2011.</w:t>
      </w:r>
      <w:bookmarkEnd w:id="347"/>
    </w:p>
    <w:p w14:paraId="54D85480" w14:textId="77777777" w:rsidR="00D307FA" w:rsidRPr="00D307FA" w:rsidRDefault="00D307FA" w:rsidP="00D307FA">
      <w:pPr>
        <w:pStyle w:val="EndNoteBibliography"/>
        <w:ind w:left="720" w:hanging="720"/>
      </w:pPr>
      <w:bookmarkStart w:id="348" w:name="_ENREF_200"/>
      <w:r w:rsidRPr="00D307FA">
        <w:t>[200]</w:t>
      </w:r>
      <w:r w:rsidRPr="00D307FA">
        <w:tab/>
        <w:t xml:space="preserve">V. B. Kazansky, and I. N. Senchenya, “Quantum chemical study of the electronic structure and geometry of surface alkoxy groups as probable active intermediates of heterogeneous acidic catalysts: What are the adsorbed carbenium ions?,” </w:t>
      </w:r>
      <w:r w:rsidRPr="00D307FA">
        <w:rPr>
          <w:i/>
        </w:rPr>
        <w:t>Journal of Catalysis,</w:t>
      </w:r>
      <w:r w:rsidRPr="00D307FA">
        <w:t xml:space="preserve"> vol. 119, no. 1, pp. 108-120, 1989.</w:t>
      </w:r>
      <w:bookmarkEnd w:id="348"/>
    </w:p>
    <w:p w14:paraId="39545A0D" w14:textId="77777777" w:rsidR="00D307FA" w:rsidRPr="00D307FA" w:rsidRDefault="00D307FA" w:rsidP="00D307FA">
      <w:pPr>
        <w:pStyle w:val="EndNoteBibliography"/>
        <w:ind w:left="720" w:hanging="720"/>
      </w:pPr>
      <w:bookmarkStart w:id="349" w:name="_ENREF_201"/>
      <w:r w:rsidRPr="00D307FA">
        <w:t>[201]</w:t>
      </w:r>
      <w:r w:rsidRPr="00D307FA">
        <w:tab/>
        <w:t xml:space="preserve">A. F. H. Wielers, M. Vaarkamp, and M. F. M. Post, “Relation between properties and performance of zeolites in paraffin cracking,” </w:t>
      </w:r>
      <w:r w:rsidRPr="00D307FA">
        <w:rPr>
          <w:i/>
        </w:rPr>
        <w:t>Journal of Catalysis,</w:t>
      </w:r>
      <w:r w:rsidRPr="00D307FA">
        <w:t xml:space="preserve"> vol. 127, no. 1, pp. 51-66, 1991.</w:t>
      </w:r>
      <w:bookmarkEnd w:id="349"/>
    </w:p>
    <w:p w14:paraId="632A0444" w14:textId="77777777" w:rsidR="00D307FA" w:rsidRPr="00D307FA" w:rsidRDefault="00D307FA" w:rsidP="00D307FA">
      <w:pPr>
        <w:pStyle w:val="EndNoteBibliography"/>
        <w:ind w:left="720" w:hanging="720"/>
      </w:pPr>
      <w:bookmarkStart w:id="350" w:name="_ENREF_202"/>
      <w:r w:rsidRPr="00D307FA">
        <w:t>[202]</w:t>
      </w:r>
      <w:r w:rsidRPr="00D307FA">
        <w:tab/>
        <w:t xml:space="preserve">J. Abbot, and B. W. Wojciechowski, “The mechanism of paraffin reactions on HY zeolite,” </w:t>
      </w:r>
      <w:r w:rsidRPr="00D307FA">
        <w:rPr>
          <w:i/>
        </w:rPr>
        <w:t>Journal of Catalysis,</w:t>
      </w:r>
      <w:r w:rsidRPr="00D307FA">
        <w:t xml:space="preserve"> vol. 115, no. 1, pp. 1-15, 1989.</w:t>
      </w:r>
      <w:bookmarkEnd w:id="350"/>
    </w:p>
    <w:p w14:paraId="3E76E36E" w14:textId="77777777" w:rsidR="00D307FA" w:rsidRPr="00D307FA" w:rsidRDefault="00D307FA" w:rsidP="00D307FA">
      <w:pPr>
        <w:pStyle w:val="EndNoteBibliography"/>
        <w:ind w:left="720" w:hanging="720"/>
      </w:pPr>
      <w:bookmarkStart w:id="351" w:name="_ENREF_203"/>
      <w:r w:rsidRPr="00D307FA">
        <w:t>[203]</w:t>
      </w:r>
      <w:r w:rsidRPr="00D307FA">
        <w:tab/>
        <w:t xml:space="preserve">J. Abbot, “Active sites and intermediates for isomerization and cracking of cyclohexane on HY,” </w:t>
      </w:r>
      <w:r w:rsidRPr="00D307FA">
        <w:rPr>
          <w:i/>
        </w:rPr>
        <w:t>Journal of Catalysis,</w:t>
      </w:r>
      <w:r w:rsidRPr="00D307FA">
        <w:t xml:space="preserve"> vol. 123, no. 2, pp. 383-395, 1990.</w:t>
      </w:r>
      <w:bookmarkEnd w:id="351"/>
    </w:p>
    <w:p w14:paraId="2B008C7D" w14:textId="77777777" w:rsidR="00D307FA" w:rsidRPr="00D307FA" w:rsidRDefault="00D307FA" w:rsidP="00D307FA">
      <w:pPr>
        <w:pStyle w:val="EndNoteBibliography"/>
        <w:ind w:left="720" w:hanging="720"/>
      </w:pPr>
      <w:bookmarkStart w:id="352" w:name="_ENREF_204"/>
      <w:r w:rsidRPr="00D307FA">
        <w:t>[204]</w:t>
      </w:r>
      <w:r w:rsidRPr="00D307FA">
        <w:tab/>
        <w:t xml:space="preserve">Y. V. Kissin, “Chemical Mechanism of Hydrocarbon Cracking over Solid Acidic Catalysts,” </w:t>
      </w:r>
      <w:r w:rsidRPr="00D307FA">
        <w:rPr>
          <w:i/>
        </w:rPr>
        <w:t>Journal of Catalysis,</w:t>
      </w:r>
      <w:r w:rsidRPr="00D307FA">
        <w:t xml:space="preserve"> vol. 163, no. 1, pp. 50-622, 1996.</w:t>
      </w:r>
      <w:bookmarkEnd w:id="352"/>
    </w:p>
    <w:p w14:paraId="3A3DF4AE" w14:textId="77777777" w:rsidR="00D307FA" w:rsidRPr="00D307FA" w:rsidRDefault="00D307FA" w:rsidP="00D307FA">
      <w:pPr>
        <w:pStyle w:val="EndNoteBibliography"/>
        <w:ind w:left="720" w:hanging="720"/>
      </w:pPr>
      <w:bookmarkStart w:id="353" w:name="_ENREF_205"/>
      <w:r w:rsidRPr="00D307FA">
        <w:t>[205]</w:t>
      </w:r>
      <w:r w:rsidRPr="00D307FA">
        <w:tab/>
        <w:t xml:space="preserve">A. Bhan, R. Gounder, J. Macht, and E. Iglesia, “Entropy considerations in monomolecular cracking of alkanes on acidic zeolites,” </w:t>
      </w:r>
      <w:r w:rsidRPr="00D307FA">
        <w:rPr>
          <w:i/>
        </w:rPr>
        <w:t>Journal of Catalysis,</w:t>
      </w:r>
      <w:r w:rsidRPr="00D307FA">
        <w:t xml:space="preserve"> vol. 253, no. 1, pp. 221-224, 2008.</w:t>
      </w:r>
      <w:bookmarkEnd w:id="353"/>
    </w:p>
    <w:p w14:paraId="1268AAEC" w14:textId="77777777" w:rsidR="00D307FA" w:rsidRPr="00D307FA" w:rsidRDefault="00D307FA" w:rsidP="00D307FA">
      <w:pPr>
        <w:pStyle w:val="EndNoteBibliography"/>
        <w:ind w:left="720" w:hanging="720"/>
      </w:pPr>
      <w:bookmarkStart w:id="354" w:name="_ENREF_206"/>
      <w:r w:rsidRPr="00D307FA">
        <w:t>[206]</w:t>
      </w:r>
      <w:r w:rsidRPr="00D307FA">
        <w:tab/>
        <w:t xml:space="preserve">J. A. v. Bokhoven, B. A. Williams, W. Ji, D. C. Koningsberger, H. H. Kung, and J. T. Miller, “Observation of a compensation relation for monomolecular alkane cracking by zeolites: the dominant role of reactant sorption,” </w:t>
      </w:r>
      <w:r w:rsidRPr="00D307FA">
        <w:rPr>
          <w:i/>
        </w:rPr>
        <w:t>Journal of Catalysis,</w:t>
      </w:r>
      <w:r w:rsidRPr="00D307FA">
        <w:t xml:space="preserve"> vol. 224, no. 1, pp. 50-59, 2004.</w:t>
      </w:r>
      <w:bookmarkEnd w:id="354"/>
    </w:p>
    <w:p w14:paraId="3B8D8BE3" w14:textId="77777777" w:rsidR="00D307FA" w:rsidRPr="00D307FA" w:rsidRDefault="00D307FA" w:rsidP="00D307FA">
      <w:pPr>
        <w:pStyle w:val="EndNoteBibliography"/>
        <w:ind w:left="720" w:hanging="720"/>
      </w:pPr>
      <w:bookmarkStart w:id="355" w:name="_ENREF_207"/>
      <w:r w:rsidRPr="00D307FA">
        <w:t>[207]</w:t>
      </w:r>
      <w:r w:rsidRPr="00D307FA">
        <w:tab/>
        <w:t xml:space="preserve">N. Katada, S. Sota, N. Morishita, K. Okumura, and M. Niwa, “Relationship between activation energy and pre-exponential factor normalized by the number of Brønsted acid sites in cracking of short chain alkanes on zeolites,” </w:t>
      </w:r>
      <w:r w:rsidRPr="00D307FA">
        <w:rPr>
          <w:i/>
        </w:rPr>
        <w:t>Catalysis Science &amp; Technology,</w:t>
      </w:r>
      <w:r w:rsidRPr="00D307FA">
        <w:t xml:space="preserve"> vol. 5, pp. 1864-1869, 2015.</w:t>
      </w:r>
      <w:bookmarkEnd w:id="355"/>
    </w:p>
    <w:p w14:paraId="64AC63D6" w14:textId="77777777" w:rsidR="00D307FA" w:rsidRPr="00D307FA" w:rsidRDefault="00D307FA" w:rsidP="00D307FA">
      <w:pPr>
        <w:pStyle w:val="EndNoteBibliography"/>
        <w:ind w:left="720" w:hanging="720"/>
      </w:pPr>
      <w:bookmarkStart w:id="356" w:name="_ENREF_208"/>
      <w:r w:rsidRPr="00D307FA">
        <w:t>[208]</w:t>
      </w:r>
      <w:r w:rsidRPr="00D307FA">
        <w:tab/>
        <w:t xml:space="preserve">A. A. Avidan, </w:t>
      </w:r>
      <w:r w:rsidRPr="00D307FA">
        <w:rPr>
          <w:i/>
        </w:rPr>
        <w:t>Chapter 1 Origin, Development and Scope of Fcc Catalysis</w:t>
      </w:r>
      <w:r w:rsidRPr="00D307FA">
        <w:t>, 1993.</w:t>
      </w:r>
      <w:bookmarkEnd w:id="356"/>
    </w:p>
    <w:p w14:paraId="03455689" w14:textId="77777777" w:rsidR="00D307FA" w:rsidRPr="00D307FA" w:rsidRDefault="00D307FA" w:rsidP="00D307FA">
      <w:pPr>
        <w:pStyle w:val="EndNoteBibliography"/>
        <w:ind w:left="720" w:hanging="720"/>
      </w:pPr>
      <w:bookmarkStart w:id="357" w:name="_ENREF_209"/>
      <w:r w:rsidRPr="00D307FA">
        <w:t>[209]</w:t>
      </w:r>
      <w:r w:rsidRPr="00D307FA">
        <w:tab/>
        <w:t xml:space="preserve">S. v. Donk, A. H. Janssen, J. H. Bitter, and K. P. d. Jong, “Generation, Characterization, and Impact of Mesopores in Zeolite Catalysts,” </w:t>
      </w:r>
      <w:r w:rsidRPr="00D307FA">
        <w:rPr>
          <w:i/>
        </w:rPr>
        <w:t>Catalysis Reviews,</w:t>
      </w:r>
      <w:r w:rsidRPr="00D307FA">
        <w:t xml:space="preserve"> vol. 45, no. 2, pp. 297-319, 2007.</w:t>
      </w:r>
      <w:bookmarkEnd w:id="357"/>
    </w:p>
    <w:p w14:paraId="18ED4C93" w14:textId="77777777" w:rsidR="00D307FA" w:rsidRPr="00D307FA" w:rsidRDefault="00D307FA" w:rsidP="00D307FA">
      <w:pPr>
        <w:pStyle w:val="EndNoteBibliography"/>
        <w:ind w:left="720" w:hanging="720"/>
      </w:pPr>
      <w:bookmarkStart w:id="358" w:name="_ENREF_210"/>
      <w:r w:rsidRPr="00D307FA">
        <w:t>[210]</w:t>
      </w:r>
      <w:r w:rsidRPr="00D307FA">
        <w:tab/>
        <w:t xml:space="preserve">A. Corma, V. González-Alfaro, and A. V. Orchillés, “The role of pore topology on the behaviour of FCC zeolite additives,” </w:t>
      </w:r>
      <w:r w:rsidRPr="00D307FA">
        <w:rPr>
          <w:i/>
        </w:rPr>
        <w:t>Applied Catalysis A: General,</w:t>
      </w:r>
      <w:r w:rsidRPr="00D307FA">
        <w:t xml:space="preserve"> vol. 187, no. 2, pp. 245-254, 1999.</w:t>
      </w:r>
      <w:bookmarkEnd w:id="358"/>
    </w:p>
    <w:p w14:paraId="384806E6" w14:textId="77777777" w:rsidR="00D307FA" w:rsidRPr="00D307FA" w:rsidRDefault="00D307FA" w:rsidP="00D307FA">
      <w:pPr>
        <w:pStyle w:val="EndNoteBibliography"/>
        <w:ind w:left="720" w:hanging="720"/>
      </w:pPr>
      <w:bookmarkStart w:id="359" w:name="_ENREF_211"/>
      <w:r w:rsidRPr="00D307FA">
        <w:t>[211]</w:t>
      </w:r>
      <w:r w:rsidRPr="00D307FA">
        <w:tab/>
        <w:t xml:space="preserve">A. H. Janssen, A. J. Koster, and K. P. d. Jong, “On the Shape of the Mesopores in Zeolite Y:  A Three-Dimensional Transmission Electron Microscopy Study Combined with Texture Analysis,” </w:t>
      </w:r>
      <w:r w:rsidRPr="00D307FA">
        <w:rPr>
          <w:i/>
        </w:rPr>
        <w:t>Journal of Physical Chemistry B,</w:t>
      </w:r>
      <w:r w:rsidRPr="00D307FA">
        <w:t xml:space="preserve"> vol. 106, no. 46, pp. 11905-11909, 2002.</w:t>
      </w:r>
      <w:bookmarkEnd w:id="359"/>
    </w:p>
    <w:p w14:paraId="4DB9FEED" w14:textId="77777777" w:rsidR="00D307FA" w:rsidRPr="00D307FA" w:rsidRDefault="00D307FA" w:rsidP="00D307FA">
      <w:pPr>
        <w:pStyle w:val="EndNoteBibliography"/>
        <w:ind w:left="720" w:hanging="720"/>
      </w:pPr>
      <w:bookmarkStart w:id="360" w:name="_ENREF_212"/>
      <w:r w:rsidRPr="00D307FA">
        <w:lastRenderedPageBreak/>
        <w:t>[212]</w:t>
      </w:r>
      <w:r w:rsidRPr="00D307FA">
        <w:tab/>
        <w:t xml:space="preserve">A. Corma, A. Martinez, S. Pergher, S. Peratello, C. Perego, and G. Bellusi, “Hydrocracking-hydroisomerization of n-decane on amorphous silica-alumina with uniform pore diameter,” </w:t>
      </w:r>
      <w:r w:rsidRPr="00D307FA">
        <w:rPr>
          <w:i/>
        </w:rPr>
        <w:t>Applied Catalysis A: General,</w:t>
      </w:r>
      <w:r w:rsidRPr="00D307FA">
        <w:t xml:space="preserve"> vol. 152, no. 1, pp. 107-125, 1997.</w:t>
      </w:r>
      <w:bookmarkEnd w:id="360"/>
    </w:p>
    <w:p w14:paraId="74AB9D17" w14:textId="77777777" w:rsidR="00D307FA" w:rsidRPr="00D307FA" w:rsidRDefault="00D307FA" w:rsidP="00D307FA">
      <w:pPr>
        <w:pStyle w:val="EndNoteBibliography"/>
        <w:ind w:left="720" w:hanging="720"/>
      </w:pPr>
      <w:bookmarkStart w:id="361" w:name="_ENREF_213"/>
      <w:r w:rsidRPr="00D307FA">
        <w:t>[213]</w:t>
      </w:r>
      <w:r w:rsidRPr="00D307FA">
        <w:tab/>
        <w:t xml:space="preserve">J. Kenvin, S. Mitchell, M. Sterling, R. Warringham, T. C. Keller, P. Crivelli, J. Jagiello, and J. Pérez-Ramírez, “Quantifying the Complex Pore Architecture of Hierarchical Faujasite Zeolites and the Impact on Diffusion,” </w:t>
      </w:r>
      <w:r w:rsidRPr="00D307FA">
        <w:rPr>
          <w:i/>
        </w:rPr>
        <w:t>Advanced Functional Materials,</w:t>
      </w:r>
      <w:r w:rsidRPr="00D307FA">
        <w:t xml:space="preserve"> vol. 26, no. 31, pp. 5581-5763, 2016.</w:t>
      </w:r>
      <w:bookmarkEnd w:id="361"/>
    </w:p>
    <w:p w14:paraId="100F4143" w14:textId="77777777" w:rsidR="00D307FA" w:rsidRPr="00D307FA" w:rsidRDefault="00D307FA" w:rsidP="00D307FA">
      <w:pPr>
        <w:pStyle w:val="EndNoteBibliography"/>
        <w:ind w:left="720" w:hanging="720"/>
      </w:pPr>
      <w:bookmarkStart w:id="362" w:name="_ENREF_214"/>
      <w:r w:rsidRPr="00D307FA">
        <w:t>[214]</w:t>
      </w:r>
      <w:r w:rsidRPr="00D307FA">
        <w:tab/>
        <w:t xml:space="preserve">R. Chal, C. Gérardin, M. Bulut, and S. v. Donk, “Overview and Industrial Assessment of Synthesis Strategies towards Zeolites with Mesopores,” </w:t>
      </w:r>
      <w:r w:rsidRPr="00D307FA">
        <w:rPr>
          <w:i/>
        </w:rPr>
        <w:t>ChemCatChem,</w:t>
      </w:r>
      <w:r w:rsidRPr="00D307FA">
        <w:t xml:space="preserve"> vol. 3, no. 1, pp. 67-81, 2011.</w:t>
      </w:r>
      <w:bookmarkEnd w:id="362"/>
    </w:p>
    <w:p w14:paraId="7E446A45" w14:textId="77777777" w:rsidR="00D307FA" w:rsidRPr="00D307FA" w:rsidRDefault="00D307FA" w:rsidP="00D307FA">
      <w:pPr>
        <w:pStyle w:val="EndNoteBibliography"/>
        <w:ind w:left="720" w:hanging="720"/>
      </w:pPr>
      <w:bookmarkStart w:id="363" w:name="_ENREF_215"/>
      <w:r w:rsidRPr="00D307FA">
        <w:t>[215]</w:t>
      </w:r>
      <w:r w:rsidRPr="00D307FA">
        <w:tab/>
        <w:t xml:space="preserve">P. G. Smirniotis, and E. Ruckenstein, “Comparison of the Performance of ZSM-5,. beta. Zeolite, Y, USY, and Their Composites in the Catalytic Cracking of n-Octane, 2, 2, 4-Trimethylpentane, and 1-Octene,” </w:t>
      </w:r>
      <w:r w:rsidRPr="00D307FA">
        <w:rPr>
          <w:i/>
        </w:rPr>
        <w:t>Industrial &amp; engineering chemistry research,</w:t>
      </w:r>
      <w:r w:rsidRPr="00D307FA">
        <w:t xml:space="preserve"> vol. 33, no. 4, pp. 800-813, 1994.</w:t>
      </w:r>
      <w:bookmarkEnd w:id="363"/>
    </w:p>
    <w:p w14:paraId="37EB5B5B" w14:textId="77777777" w:rsidR="00D307FA" w:rsidRPr="00D307FA" w:rsidRDefault="00D307FA" w:rsidP="00D307FA">
      <w:pPr>
        <w:pStyle w:val="EndNoteBibliography"/>
        <w:ind w:left="720" w:hanging="720"/>
      </w:pPr>
      <w:bookmarkStart w:id="364" w:name="_ENREF_216"/>
      <w:r w:rsidRPr="00D307FA">
        <w:t>[216]</w:t>
      </w:r>
      <w:r w:rsidRPr="00D307FA">
        <w:tab/>
        <w:t xml:space="preserve">R. V. Borm, A. Aerts, M.-F. Reyniers, J. A. Martens, and G. B. Marin, “Catalytic Cracking of 2,2,4-Trimethylpentane on FAU, MFI, and Bimodal Porous Materials: Influence of Acid Properties and Pore Topology,” </w:t>
      </w:r>
      <w:r w:rsidRPr="00D307FA">
        <w:rPr>
          <w:i/>
        </w:rPr>
        <w:t>Industrial &amp; Chemical Engineering Fundamentals,</w:t>
      </w:r>
      <w:r w:rsidRPr="00D307FA">
        <w:t xml:space="preserve"> vol. 49, no. 15, pp. 6815-6823, 2010.</w:t>
      </w:r>
      <w:bookmarkEnd w:id="364"/>
    </w:p>
    <w:p w14:paraId="64E17E93" w14:textId="77777777" w:rsidR="00D307FA" w:rsidRPr="00D307FA" w:rsidRDefault="00D307FA" w:rsidP="00D307FA">
      <w:pPr>
        <w:pStyle w:val="EndNoteBibliography"/>
        <w:ind w:left="720" w:hanging="720"/>
      </w:pPr>
      <w:bookmarkStart w:id="365" w:name="_ENREF_217"/>
      <w:r w:rsidRPr="00D307FA">
        <w:t>[217]</w:t>
      </w:r>
      <w:r w:rsidRPr="00D307FA">
        <w:tab/>
        <w:t xml:space="preserve">M. M. Pereira, F. M. Santos, A. V. Silva, N. Batalha, F. J. F. d. S. Henrique, P. M. Esteves, and B. Louis, “Insights into the Role of Framework and Nonframework Aluminum in the Protolytic Reaction of Carbon–Carbon and Tertiary Carbon–Hydrogen Bonds of Isobutane,” </w:t>
      </w:r>
      <w:r w:rsidRPr="00D307FA">
        <w:rPr>
          <w:i/>
        </w:rPr>
        <w:t>Journal of Physical Chemistry,</w:t>
      </w:r>
      <w:r w:rsidRPr="00D307FA">
        <w:t xml:space="preserve"> vol. 125, no. 21, pp. 11636-11647, 2021.</w:t>
      </w:r>
      <w:bookmarkEnd w:id="365"/>
    </w:p>
    <w:p w14:paraId="591F3A51" w14:textId="77777777" w:rsidR="00D307FA" w:rsidRPr="00D307FA" w:rsidRDefault="00D307FA" w:rsidP="00D307FA">
      <w:pPr>
        <w:pStyle w:val="EndNoteBibliography"/>
        <w:ind w:left="720" w:hanging="720"/>
      </w:pPr>
      <w:bookmarkStart w:id="366" w:name="_ENREF_218"/>
      <w:r w:rsidRPr="00D307FA">
        <w:t>[218]</w:t>
      </w:r>
      <w:r w:rsidRPr="00D307FA">
        <w:tab/>
        <w:t xml:space="preserve">J. Engelhardt, and W. K. Hall, “Contribution to the understanding of the reaction chemistry of isobutane and neopentane over acid catalysts, I,” </w:t>
      </w:r>
      <w:r w:rsidRPr="00D307FA">
        <w:rPr>
          <w:i/>
        </w:rPr>
        <w:t>Journal of Catalysis,</w:t>
      </w:r>
      <w:r w:rsidRPr="00D307FA">
        <w:t xml:space="preserve"> vol. 125, no. 2, pp. 472-487, 1990.</w:t>
      </w:r>
      <w:bookmarkEnd w:id="366"/>
    </w:p>
    <w:p w14:paraId="047BB75C" w14:textId="77777777" w:rsidR="00D307FA" w:rsidRPr="00D307FA" w:rsidRDefault="00D307FA" w:rsidP="00D307FA">
      <w:pPr>
        <w:pStyle w:val="EndNoteBibliography"/>
        <w:ind w:left="720" w:hanging="720"/>
      </w:pPr>
      <w:bookmarkStart w:id="367" w:name="_ENREF_219"/>
      <w:r w:rsidRPr="00D307FA">
        <w:t>[219]</w:t>
      </w:r>
      <w:r w:rsidRPr="00D307FA">
        <w:tab/>
        <w:t xml:space="preserve">G. M. Mullen, and M. J. Janik, “Density Functional Theory Study of Alkane-Alkoxide Hydride Transfer in Zeolites,” </w:t>
      </w:r>
      <w:r w:rsidRPr="00D307FA">
        <w:rPr>
          <w:i/>
        </w:rPr>
        <w:t>ACS Catalysis,</w:t>
      </w:r>
      <w:r w:rsidRPr="00D307FA">
        <w:t xml:space="preserve"> vol. 1, no. 2, pp. 102-115, 2011.</w:t>
      </w:r>
      <w:bookmarkEnd w:id="367"/>
    </w:p>
    <w:p w14:paraId="013B3F98" w14:textId="77777777" w:rsidR="00D307FA" w:rsidRPr="00D307FA" w:rsidRDefault="00D307FA" w:rsidP="00D307FA">
      <w:pPr>
        <w:pStyle w:val="EndNoteBibliography"/>
        <w:ind w:left="720" w:hanging="720"/>
      </w:pPr>
      <w:bookmarkStart w:id="368" w:name="_ENREF_220"/>
      <w:r w:rsidRPr="00D307FA">
        <w:t>[220]</w:t>
      </w:r>
      <w:r w:rsidRPr="00D307FA">
        <w:tab/>
        <w:t xml:space="preserve">M. Gackowski, K. Tarach, Ł. Kuterasiński, J. Podobiński, B. Sulikowski, and J. Datka, “Spectroscopic IR and NMR studies of hierarchical zeolites obtained by desilication of zeolite Y: Optimization of the desilication route,” </w:t>
      </w:r>
      <w:r w:rsidRPr="00D307FA">
        <w:rPr>
          <w:i/>
        </w:rPr>
        <w:t>Microporous and Mesoporous Materials,</w:t>
      </w:r>
      <w:r w:rsidRPr="00D307FA">
        <w:t xml:space="preserve"> vol. 281, pp. 134-141, 2019.</w:t>
      </w:r>
      <w:bookmarkEnd w:id="368"/>
    </w:p>
    <w:p w14:paraId="3106F3AD" w14:textId="77777777" w:rsidR="00D307FA" w:rsidRPr="00D307FA" w:rsidRDefault="00D307FA" w:rsidP="00D307FA">
      <w:pPr>
        <w:pStyle w:val="EndNoteBibliography"/>
        <w:ind w:left="720" w:hanging="720"/>
      </w:pPr>
      <w:bookmarkStart w:id="369" w:name="_ENREF_221"/>
      <w:r w:rsidRPr="00D307FA">
        <w:t>[221]</w:t>
      </w:r>
      <w:r w:rsidRPr="00D307FA">
        <w:tab/>
        <w:t xml:space="preserve">J. V. Milato, R. J. França, A. S. Rocha, and M. R. C. M. Calderari, “Catalytic co-pyrolysis of oil sludge with HDPE to obtain paraffinic products over HUSY zeolites prepared by dealumination and desilication,” </w:t>
      </w:r>
      <w:r w:rsidRPr="00D307FA">
        <w:rPr>
          <w:i/>
        </w:rPr>
        <w:t>Journal of Analytical and Applied Pyrolysis,</w:t>
      </w:r>
      <w:r w:rsidRPr="00D307FA">
        <w:t xml:space="preserve"> vol. 151, pp. 104928, 2020.</w:t>
      </w:r>
      <w:bookmarkEnd w:id="369"/>
    </w:p>
    <w:p w14:paraId="335829A4" w14:textId="77777777" w:rsidR="00D307FA" w:rsidRPr="00D307FA" w:rsidRDefault="00D307FA" w:rsidP="00D307FA">
      <w:pPr>
        <w:pStyle w:val="EndNoteBibliography"/>
        <w:ind w:left="720" w:hanging="720"/>
      </w:pPr>
      <w:bookmarkStart w:id="370" w:name="_ENREF_222"/>
      <w:r w:rsidRPr="00D307FA">
        <w:t>[222]</w:t>
      </w:r>
      <w:r w:rsidRPr="00D307FA">
        <w:tab/>
        <w:t xml:space="preserve">S. Li, A. Zheng, Y. Su, H. Zhang, L. Chen, J. Yang, C. Ye, and F. Deng, “Brønsted/Lewis Acid Synergy in Dealuminated HY Zeolite:  A Combined Solid-State NMR and Theoretical Calculation Study,” </w:t>
      </w:r>
      <w:r w:rsidRPr="00D307FA">
        <w:rPr>
          <w:i/>
        </w:rPr>
        <w:t>Journal of American Chemical Society,</w:t>
      </w:r>
      <w:r w:rsidRPr="00D307FA">
        <w:t xml:space="preserve"> vol. 129, no. 36, pp. 11161-11171, 2007.</w:t>
      </w:r>
      <w:bookmarkEnd w:id="370"/>
    </w:p>
    <w:p w14:paraId="66603FB1" w14:textId="244983F6" w:rsidR="007458A0" w:rsidRPr="007458A0" w:rsidRDefault="00CA0F0A" w:rsidP="00CA0F0A">
      <w:pPr>
        <w:jc w:val="both"/>
      </w:pPr>
      <w:r w:rsidRPr="00DB0390">
        <w:fldChar w:fldCharType="end"/>
      </w:r>
    </w:p>
    <w:sectPr w:rsidR="007458A0" w:rsidRPr="007458A0" w:rsidSect="00E66659">
      <w:pgSz w:w="12240" w:h="15840"/>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0437A" w14:textId="77777777" w:rsidR="00A45527" w:rsidRDefault="00A45527" w:rsidP="004C3B97">
      <w:r>
        <w:separator/>
      </w:r>
    </w:p>
  </w:endnote>
  <w:endnote w:type="continuationSeparator" w:id="0">
    <w:p w14:paraId="25259690" w14:textId="77777777" w:rsidR="00A45527" w:rsidRDefault="00A45527" w:rsidP="004C3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963658"/>
      <w:docPartObj>
        <w:docPartGallery w:val="Page Numbers (Bottom of Page)"/>
        <w:docPartUnique/>
      </w:docPartObj>
    </w:sdtPr>
    <w:sdtEndPr>
      <w:rPr>
        <w:noProof/>
      </w:rPr>
    </w:sdtEndPr>
    <w:sdtContent>
      <w:p w14:paraId="6EE3D183" w14:textId="1E0FCE3B" w:rsidR="00D951F6" w:rsidRDefault="00A34BB5">
        <w:pPr>
          <w:pStyle w:val="Footer"/>
          <w:jc w:val="center"/>
        </w:pPr>
        <w:r>
          <w:fldChar w:fldCharType="begin"/>
        </w:r>
        <w:r>
          <w:instrText xml:space="preserve"> PAGE   \* MERGEFORMAT </w:instrText>
        </w:r>
        <w:r>
          <w:fldChar w:fldCharType="separate"/>
        </w:r>
        <w:r>
          <w:rPr>
            <w:noProof/>
          </w:rPr>
          <w:t>0</w:t>
        </w:r>
        <w:r>
          <w:fldChar w:fldCharType="end"/>
        </w:r>
      </w:p>
    </w:sdtContent>
  </w:sdt>
  <w:p w14:paraId="4D59FE42" w14:textId="77777777" w:rsidR="004C255A" w:rsidRDefault="004C255A" w:rsidP="00AA295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329C" w14:textId="651BA3FE" w:rsidR="00377B36" w:rsidRDefault="00377B36">
    <w:pPr>
      <w:pStyle w:val="Footer"/>
      <w:jc w:val="center"/>
    </w:pPr>
  </w:p>
  <w:p w14:paraId="1FEBF2C2" w14:textId="1CBA67A6" w:rsidR="00673544" w:rsidRPr="00673544" w:rsidRDefault="00673544" w:rsidP="00673544">
    <w:pPr>
      <w:pStyle w:val="Footer"/>
      <w:tabs>
        <w:tab w:val="clear" w:pos="4680"/>
        <w:tab w:val="clear" w:pos="9360"/>
      </w:tabs>
      <w:jc w:val="center"/>
      <w:rPr>
        <w:caps/>
        <w:noProof/>
        <w:color w:val="4472C4" w:themeColor="accen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957548"/>
      <w:docPartObj>
        <w:docPartGallery w:val="Page Numbers (Bottom of Page)"/>
        <w:docPartUnique/>
      </w:docPartObj>
    </w:sdtPr>
    <w:sdtEndPr>
      <w:rPr>
        <w:noProof/>
      </w:rPr>
    </w:sdtEndPr>
    <w:sdtContent>
      <w:p w14:paraId="46E1656B" w14:textId="77777777" w:rsidR="006C5549" w:rsidRDefault="006C5549">
        <w:pPr>
          <w:pStyle w:val="Footer"/>
          <w:jc w:val="center"/>
        </w:pPr>
        <w:r>
          <w:fldChar w:fldCharType="begin"/>
        </w:r>
        <w:r>
          <w:instrText xml:space="preserve"> PAGE   \* MERGEFORMAT </w:instrText>
        </w:r>
        <w:r>
          <w:fldChar w:fldCharType="separate"/>
        </w:r>
        <w:r>
          <w:rPr>
            <w:noProof/>
          </w:rPr>
          <w:t>0</w:t>
        </w:r>
        <w:r>
          <w:fldChar w:fldCharType="end"/>
        </w:r>
      </w:p>
    </w:sdtContent>
  </w:sdt>
  <w:p w14:paraId="4FFC986E" w14:textId="77777777" w:rsidR="006C5549" w:rsidRDefault="006C5549" w:rsidP="00AA295A">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4F6BC" w14:textId="77777777" w:rsidR="00363571" w:rsidRDefault="00363571">
    <w:pPr>
      <w:pStyle w:val="Footer"/>
      <w:jc w:val="center"/>
    </w:pPr>
  </w:p>
  <w:p w14:paraId="726A4C2D" w14:textId="77777777" w:rsidR="00363571" w:rsidRPr="00673544" w:rsidRDefault="00363571" w:rsidP="00673544">
    <w:pPr>
      <w:pStyle w:val="Footer"/>
      <w:tabs>
        <w:tab w:val="clear" w:pos="4680"/>
        <w:tab w:val="clear" w:pos="9360"/>
      </w:tabs>
      <w:jc w:val="center"/>
      <w:rPr>
        <w:caps/>
        <w:noProof/>
        <w:color w:val="4472C4" w:themeColor="accent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7864518"/>
      <w:docPartObj>
        <w:docPartGallery w:val="Page Numbers (Bottom of Page)"/>
        <w:docPartUnique/>
      </w:docPartObj>
    </w:sdtPr>
    <w:sdtEndPr>
      <w:rPr>
        <w:noProof/>
      </w:rPr>
    </w:sdtEndPr>
    <w:sdtContent>
      <w:p w14:paraId="3ABF3CE5" w14:textId="77777777" w:rsidR="00230B8A" w:rsidRDefault="00230B8A" w:rsidP="00230B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ADF78" w14:textId="0EC90F8A" w:rsidR="00084ED7" w:rsidRPr="00BE59CA" w:rsidRDefault="00084ED7" w:rsidP="00BE59CA">
    <w:pPr>
      <w:pStyle w:val="Footer"/>
      <w:tabs>
        <w:tab w:val="clear" w:pos="4680"/>
        <w:tab w:val="clear" w:pos="9360"/>
      </w:tabs>
      <w:jc w:val="center"/>
      <w:rPr>
        <w:caps/>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A8603" w14:textId="77777777" w:rsidR="00A45527" w:rsidRDefault="00A45527" w:rsidP="004C3B97">
      <w:r>
        <w:separator/>
      </w:r>
    </w:p>
  </w:footnote>
  <w:footnote w:type="continuationSeparator" w:id="0">
    <w:p w14:paraId="1ADBF51F" w14:textId="77777777" w:rsidR="00A45527" w:rsidRDefault="00A45527" w:rsidP="004C3B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1F41"/>
    <w:multiLevelType w:val="hybridMultilevel"/>
    <w:tmpl w:val="883CE890"/>
    <w:lvl w:ilvl="0" w:tplc="8228B17C">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D1A60"/>
    <w:multiLevelType w:val="hybridMultilevel"/>
    <w:tmpl w:val="1048160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746A3"/>
    <w:multiLevelType w:val="hybridMultilevel"/>
    <w:tmpl w:val="4D30AED4"/>
    <w:lvl w:ilvl="0" w:tplc="85A47FAC">
      <w:start w:val="200"/>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D2FB8"/>
    <w:multiLevelType w:val="hybridMultilevel"/>
    <w:tmpl w:val="17266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B34A5"/>
    <w:multiLevelType w:val="hybridMultilevel"/>
    <w:tmpl w:val="04B625B8"/>
    <w:lvl w:ilvl="0" w:tplc="6DA0F8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8774A3"/>
    <w:multiLevelType w:val="hybridMultilevel"/>
    <w:tmpl w:val="EDAED124"/>
    <w:lvl w:ilvl="0" w:tplc="77789CC0">
      <w:start w:val="2"/>
      <w:numFmt w:val="bullet"/>
      <w:lvlText w:val="-"/>
      <w:lvlJc w:val="left"/>
      <w:pPr>
        <w:ind w:left="720" w:hanging="360"/>
      </w:pPr>
      <w:rPr>
        <w:rFonts w:ascii="Times New Roman" w:eastAsia="Times New Roman"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4C2D41"/>
    <w:multiLevelType w:val="hybridMultilevel"/>
    <w:tmpl w:val="243A4C2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B621C2"/>
    <w:multiLevelType w:val="hybridMultilevel"/>
    <w:tmpl w:val="8EDE7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84213C"/>
    <w:multiLevelType w:val="hybridMultilevel"/>
    <w:tmpl w:val="A524D8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443D42"/>
    <w:multiLevelType w:val="hybridMultilevel"/>
    <w:tmpl w:val="1292D9AE"/>
    <w:lvl w:ilvl="0" w:tplc="5C709552">
      <w:start w:val="2"/>
      <w:numFmt w:val="bullet"/>
      <w:lvlText w:val="-"/>
      <w:lvlJc w:val="left"/>
      <w:pPr>
        <w:ind w:left="720" w:hanging="360"/>
      </w:pPr>
      <w:rPr>
        <w:rFonts w:ascii="Calibri" w:eastAsiaTheme="minorEastAsia"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CB7AC1"/>
    <w:multiLevelType w:val="hybridMultilevel"/>
    <w:tmpl w:val="FBF0F3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2D0934"/>
    <w:multiLevelType w:val="multilevel"/>
    <w:tmpl w:val="ED2EC646"/>
    <w:lvl w:ilvl="0">
      <w:start w:val="4"/>
      <w:numFmt w:val="decimal"/>
      <w:lvlText w:val="%1"/>
      <w:lvlJc w:val="left"/>
      <w:pPr>
        <w:ind w:left="480" w:hanging="480"/>
      </w:pPr>
      <w:rPr>
        <w:rFonts w:hint="default"/>
        <w:i/>
        <w:u w:val="single"/>
      </w:rPr>
    </w:lvl>
    <w:lvl w:ilvl="1">
      <w:start w:val="2"/>
      <w:numFmt w:val="decimal"/>
      <w:lvlText w:val="%1.%2"/>
      <w:lvlJc w:val="left"/>
      <w:pPr>
        <w:ind w:left="480" w:hanging="480"/>
      </w:pPr>
      <w:rPr>
        <w:rFonts w:hint="default"/>
        <w:i/>
        <w:u w:val="single"/>
      </w:rPr>
    </w:lvl>
    <w:lvl w:ilvl="2">
      <w:start w:val="1"/>
      <w:numFmt w:val="decimal"/>
      <w:lvlText w:val="%1.%2.%3"/>
      <w:lvlJc w:val="left"/>
      <w:pPr>
        <w:ind w:left="720" w:hanging="720"/>
      </w:pPr>
      <w:rPr>
        <w:rFonts w:hint="default"/>
        <w:i/>
        <w:u w:val="single"/>
      </w:rPr>
    </w:lvl>
    <w:lvl w:ilvl="3">
      <w:start w:val="1"/>
      <w:numFmt w:val="decimal"/>
      <w:lvlText w:val="%1.%2.%3.%4"/>
      <w:lvlJc w:val="left"/>
      <w:pPr>
        <w:ind w:left="720" w:hanging="720"/>
      </w:pPr>
      <w:rPr>
        <w:rFonts w:hint="default"/>
        <w:i/>
        <w:u w:val="single"/>
      </w:rPr>
    </w:lvl>
    <w:lvl w:ilvl="4">
      <w:start w:val="1"/>
      <w:numFmt w:val="decimal"/>
      <w:lvlText w:val="%1.%2.%3.%4.%5"/>
      <w:lvlJc w:val="left"/>
      <w:pPr>
        <w:ind w:left="1080" w:hanging="1080"/>
      </w:pPr>
      <w:rPr>
        <w:rFonts w:hint="default"/>
        <w:i/>
        <w:u w:val="single"/>
      </w:rPr>
    </w:lvl>
    <w:lvl w:ilvl="5">
      <w:start w:val="1"/>
      <w:numFmt w:val="decimal"/>
      <w:lvlText w:val="%1.%2.%3.%4.%5.%6"/>
      <w:lvlJc w:val="left"/>
      <w:pPr>
        <w:ind w:left="1080" w:hanging="1080"/>
      </w:pPr>
      <w:rPr>
        <w:rFonts w:hint="default"/>
        <w:i/>
        <w:u w:val="single"/>
      </w:rPr>
    </w:lvl>
    <w:lvl w:ilvl="6">
      <w:start w:val="1"/>
      <w:numFmt w:val="decimal"/>
      <w:lvlText w:val="%1.%2.%3.%4.%5.%6.%7"/>
      <w:lvlJc w:val="left"/>
      <w:pPr>
        <w:ind w:left="1440" w:hanging="1440"/>
      </w:pPr>
      <w:rPr>
        <w:rFonts w:hint="default"/>
        <w:i/>
        <w:u w:val="single"/>
      </w:rPr>
    </w:lvl>
    <w:lvl w:ilvl="7">
      <w:start w:val="1"/>
      <w:numFmt w:val="decimal"/>
      <w:lvlText w:val="%1.%2.%3.%4.%5.%6.%7.%8"/>
      <w:lvlJc w:val="left"/>
      <w:pPr>
        <w:ind w:left="1440" w:hanging="1440"/>
      </w:pPr>
      <w:rPr>
        <w:rFonts w:hint="default"/>
        <w:i/>
        <w:u w:val="single"/>
      </w:rPr>
    </w:lvl>
    <w:lvl w:ilvl="8">
      <w:start w:val="1"/>
      <w:numFmt w:val="decimal"/>
      <w:lvlText w:val="%1.%2.%3.%4.%5.%6.%7.%8.%9"/>
      <w:lvlJc w:val="left"/>
      <w:pPr>
        <w:ind w:left="1800" w:hanging="1800"/>
      </w:pPr>
      <w:rPr>
        <w:rFonts w:hint="default"/>
        <w:i/>
        <w:u w:val="single"/>
      </w:rPr>
    </w:lvl>
  </w:abstractNum>
  <w:abstractNum w:abstractNumId="12" w15:restartNumberingAfterBreak="0">
    <w:nsid w:val="32CC70EB"/>
    <w:multiLevelType w:val="hybridMultilevel"/>
    <w:tmpl w:val="A358E3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D64D7A"/>
    <w:multiLevelType w:val="multilevel"/>
    <w:tmpl w:val="8E943A80"/>
    <w:lvl w:ilvl="0">
      <w:start w:val="4"/>
      <w:numFmt w:val="decimal"/>
      <w:lvlText w:val="%1"/>
      <w:lvlJc w:val="left"/>
      <w:pPr>
        <w:ind w:left="480" w:hanging="480"/>
      </w:pPr>
      <w:rPr>
        <w:rFonts w:hint="default"/>
        <w:i/>
        <w:u w:val="single"/>
      </w:rPr>
    </w:lvl>
    <w:lvl w:ilvl="1">
      <w:start w:val="2"/>
      <w:numFmt w:val="decimal"/>
      <w:lvlText w:val="%1.%2"/>
      <w:lvlJc w:val="left"/>
      <w:pPr>
        <w:ind w:left="480" w:hanging="480"/>
      </w:pPr>
      <w:rPr>
        <w:rFonts w:hint="default"/>
        <w:i/>
        <w:u w:val="none"/>
      </w:rPr>
    </w:lvl>
    <w:lvl w:ilvl="2">
      <w:start w:val="1"/>
      <w:numFmt w:val="decimal"/>
      <w:lvlText w:val="%1.%2.%3"/>
      <w:lvlJc w:val="left"/>
      <w:pPr>
        <w:ind w:left="720" w:hanging="720"/>
      </w:pPr>
      <w:rPr>
        <w:rFonts w:hint="default"/>
        <w:i/>
        <w:u w:val="none"/>
      </w:rPr>
    </w:lvl>
    <w:lvl w:ilvl="3">
      <w:start w:val="1"/>
      <w:numFmt w:val="decimal"/>
      <w:lvlText w:val="%1.%2.%3.%4"/>
      <w:lvlJc w:val="left"/>
      <w:pPr>
        <w:ind w:left="720" w:hanging="720"/>
      </w:pPr>
      <w:rPr>
        <w:rFonts w:hint="default"/>
        <w:i/>
        <w:u w:val="single"/>
      </w:rPr>
    </w:lvl>
    <w:lvl w:ilvl="4">
      <w:start w:val="1"/>
      <w:numFmt w:val="decimal"/>
      <w:lvlText w:val="%1.%2.%3.%4.%5"/>
      <w:lvlJc w:val="left"/>
      <w:pPr>
        <w:ind w:left="1080" w:hanging="1080"/>
      </w:pPr>
      <w:rPr>
        <w:rFonts w:hint="default"/>
        <w:i/>
        <w:u w:val="single"/>
      </w:rPr>
    </w:lvl>
    <w:lvl w:ilvl="5">
      <w:start w:val="1"/>
      <w:numFmt w:val="decimal"/>
      <w:lvlText w:val="%1.%2.%3.%4.%5.%6"/>
      <w:lvlJc w:val="left"/>
      <w:pPr>
        <w:ind w:left="1080" w:hanging="1080"/>
      </w:pPr>
      <w:rPr>
        <w:rFonts w:hint="default"/>
        <w:i/>
        <w:u w:val="single"/>
      </w:rPr>
    </w:lvl>
    <w:lvl w:ilvl="6">
      <w:start w:val="1"/>
      <w:numFmt w:val="decimal"/>
      <w:lvlText w:val="%1.%2.%3.%4.%5.%6.%7"/>
      <w:lvlJc w:val="left"/>
      <w:pPr>
        <w:ind w:left="1440" w:hanging="1440"/>
      </w:pPr>
      <w:rPr>
        <w:rFonts w:hint="default"/>
        <w:i/>
        <w:u w:val="single"/>
      </w:rPr>
    </w:lvl>
    <w:lvl w:ilvl="7">
      <w:start w:val="1"/>
      <w:numFmt w:val="decimal"/>
      <w:lvlText w:val="%1.%2.%3.%4.%5.%6.%7.%8"/>
      <w:lvlJc w:val="left"/>
      <w:pPr>
        <w:ind w:left="1440" w:hanging="1440"/>
      </w:pPr>
      <w:rPr>
        <w:rFonts w:hint="default"/>
        <w:i/>
        <w:u w:val="single"/>
      </w:rPr>
    </w:lvl>
    <w:lvl w:ilvl="8">
      <w:start w:val="1"/>
      <w:numFmt w:val="decimal"/>
      <w:lvlText w:val="%1.%2.%3.%4.%5.%6.%7.%8.%9"/>
      <w:lvlJc w:val="left"/>
      <w:pPr>
        <w:ind w:left="1800" w:hanging="1800"/>
      </w:pPr>
      <w:rPr>
        <w:rFonts w:hint="default"/>
        <w:i/>
        <w:u w:val="single"/>
      </w:rPr>
    </w:lvl>
  </w:abstractNum>
  <w:abstractNum w:abstractNumId="14" w15:restartNumberingAfterBreak="0">
    <w:nsid w:val="427B2A39"/>
    <w:multiLevelType w:val="multilevel"/>
    <w:tmpl w:val="ED2EC646"/>
    <w:lvl w:ilvl="0">
      <w:start w:val="4"/>
      <w:numFmt w:val="decimal"/>
      <w:lvlText w:val="%1"/>
      <w:lvlJc w:val="left"/>
      <w:pPr>
        <w:ind w:left="480" w:hanging="480"/>
      </w:pPr>
      <w:rPr>
        <w:rFonts w:hint="default"/>
        <w:i/>
        <w:u w:val="single"/>
      </w:rPr>
    </w:lvl>
    <w:lvl w:ilvl="1">
      <w:start w:val="2"/>
      <w:numFmt w:val="decimal"/>
      <w:lvlText w:val="%1.%2"/>
      <w:lvlJc w:val="left"/>
      <w:pPr>
        <w:ind w:left="480" w:hanging="480"/>
      </w:pPr>
      <w:rPr>
        <w:rFonts w:hint="default"/>
        <w:i/>
        <w:u w:val="single"/>
      </w:rPr>
    </w:lvl>
    <w:lvl w:ilvl="2">
      <w:start w:val="1"/>
      <w:numFmt w:val="decimal"/>
      <w:lvlText w:val="%1.%2.%3"/>
      <w:lvlJc w:val="left"/>
      <w:pPr>
        <w:ind w:left="720" w:hanging="720"/>
      </w:pPr>
      <w:rPr>
        <w:rFonts w:hint="default"/>
        <w:i/>
        <w:u w:val="single"/>
      </w:rPr>
    </w:lvl>
    <w:lvl w:ilvl="3">
      <w:start w:val="1"/>
      <w:numFmt w:val="decimal"/>
      <w:lvlText w:val="%1.%2.%3.%4"/>
      <w:lvlJc w:val="left"/>
      <w:pPr>
        <w:ind w:left="720" w:hanging="720"/>
      </w:pPr>
      <w:rPr>
        <w:rFonts w:hint="default"/>
        <w:i/>
        <w:u w:val="single"/>
      </w:rPr>
    </w:lvl>
    <w:lvl w:ilvl="4">
      <w:start w:val="1"/>
      <w:numFmt w:val="decimal"/>
      <w:lvlText w:val="%1.%2.%3.%4.%5"/>
      <w:lvlJc w:val="left"/>
      <w:pPr>
        <w:ind w:left="1080" w:hanging="1080"/>
      </w:pPr>
      <w:rPr>
        <w:rFonts w:hint="default"/>
        <w:i/>
        <w:u w:val="single"/>
      </w:rPr>
    </w:lvl>
    <w:lvl w:ilvl="5">
      <w:start w:val="1"/>
      <w:numFmt w:val="decimal"/>
      <w:lvlText w:val="%1.%2.%3.%4.%5.%6"/>
      <w:lvlJc w:val="left"/>
      <w:pPr>
        <w:ind w:left="1080" w:hanging="1080"/>
      </w:pPr>
      <w:rPr>
        <w:rFonts w:hint="default"/>
        <w:i/>
        <w:u w:val="single"/>
      </w:rPr>
    </w:lvl>
    <w:lvl w:ilvl="6">
      <w:start w:val="1"/>
      <w:numFmt w:val="decimal"/>
      <w:lvlText w:val="%1.%2.%3.%4.%5.%6.%7"/>
      <w:lvlJc w:val="left"/>
      <w:pPr>
        <w:ind w:left="1440" w:hanging="1440"/>
      </w:pPr>
      <w:rPr>
        <w:rFonts w:hint="default"/>
        <w:i/>
        <w:u w:val="single"/>
      </w:rPr>
    </w:lvl>
    <w:lvl w:ilvl="7">
      <w:start w:val="1"/>
      <w:numFmt w:val="decimal"/>
      <w:lvlText w:val="%1.%2.%3.%4.%5.%6.%7.%8"/>
      <w:lvlJc w:val="left"/>
      <w:pPr>
        <w:ind w:left="1440" w:hanging="1440"/>
      </w:pPr>
      <w:rPr>
        <w:rFonts w:hint="default"/>
        <w:i/>
        <w:u w:val="single"/>
      </w:rPr>
    </w:lvl>
    <w:lvl w:ilvl="8">
      <w:start w:val="1"/>
      <w:numFmt w:val="decimal"/>
      <w:lvlText w:val="%1.%2.%3.%4.%5.%6.%7.%8.%9"/>
      <w:lvlJc w:val="left"/>
      <w:pPr>
        <w:ind w:left="1800" w:hanging="1800"/>
      </w:pPr>
      <w:rPr>
        <w:rFonts w:hint="default"/>
        <w:i/>
        <w:u w:val="single"/>
      </w:rPr>
    </w:lvl>
  </w:abstractNum>
  <w:abstractNum w:abstractNumId="15" w15:restartNumberingAfterBreak="0">
    <w:nsid w:val="4357335B"/>
    <w:multiLevelType w:val="hybridMultilevel"/>
    <w:tmpl w:val="330E1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947553"/>
    <w:multiLevelType w:val="hybridMultilevel"/>
    <w:tmpl w:val="3704128C"/>
    <w:lvl w:ilvl="0" w:tplc="04347E14">
      <w:start w:val="10"/>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174D9D"/>
    <w:multiLevelType w:val="hybridMultilevel"/>
    <w:tmpl w:val="243A4C20"/>
    <w:lvl w:ilvl="0" w:tplc="4BC65C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B20C7A"/>
    <w:multiLevelType w:val="hybridMultilevel"/>
    <w:tmpl w:val="864E052C"/>
    <w:lvl w:ilvl="0" w:tplc="DA28B9B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4A770A80"/>
    <w:multiLevelType w:val="hybridMultilevel"/>
    <w:tmpl w:val="87C03442"/>
    <w:lvl w:ilvl="0" w:tplc="56D00052">
      <w:start w:val="2"/>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4F5E1E11"/>
    <w:multiLevelType w:val="multilevel"/>
    <w:tmpl w:val="F422586E"/>
    <w:lvl w:ilvl="0">
      <w:start w:val="4"/>
      <w:numFmt w:val="decimal"/>
      <w:lvlText w:val="%1"/>
      <w:lvlJc w:val="left"/>
      <w:pPr>
        <w:ind w:left="360" w:hanging="360"/>
      </w:pPr>
      <w:rPr>
        <w:rFonts w:hint="default"/>
        <w:i/>
        <w:u w:val="single"/>
      </w:rPr>
    </w:lvl>
    <w:lvl w:ilvl="1">
      <w:start w:val="1"/>
      <w:numFmt w:val="decimal"/>
      <w:lvlText w:val="%1.%2"/>
      <w:lvlJc w:val="left"/>
      <w:pPr>
        <w:ind w:left="360" w:hanging="360"/>
      </w:pPr>
      <w:rPr>
        <w:rFonts w:hint="default"/>
        <w:i/>
        <w:iCs w:val="0"/>
        <w:u w:val="single"/>
      </w:rPr>
    </w:lvl>
    <w:lvl w:ilvl="2">
      <w:start w:val="1"/>
      <w:numFmt w:val="decimal"/>
      <w:lvlText w:val="%1.%2.%3"/>
      <w:lvlJc w:val="left"/>
      <w:pPr>
        <w:ind w:left="720" w:hanging="720"/>
      </w:pPr>
      <w:rPr>
        <w:rFonts w:hint="default"/>
        <w:i/>
        <w:u w:val="single"/>
      </w:rPr>
    </w:lvl>
    <w:lvl w:ilvl="3">
      <w:start w:val="1"/>
      <w:numFmt w:val="decimal"/>
      <w:lvlText w:val="%1.%2.%3.%4"/>
      <w:lvlJc w:val="left"/>
      <w:pPr>
        <w:ind w:left="720" w:hanging="720"/>
      </w:pPr>
      <w:rPr>
        <w:rFonts w:hint="default"/>
        <w:i/>
        <w:u w:val="single"/>
      </w:rPr>
    </w:lvl>
    <w:lvl w:ilvl="4">
      <w:start w:val="1"/>
      <w:numFmt w:val="decimal"/>
      <w:lvlText w:val="%1.%2.%3.%4.%5"/>
      <w:lvlJc w:val="left"/>
      <w:pPr>
        <w:ind w:left="1080" w:hanging="1080"/>
      </w:pPr>
      <w:rPr>
        <w:rFonts w:hint="default"/>
        <w:i/>
        <w:u w:val="single"/>
      </w:rPr>
    </w:lvl>
    <w:lvl w:ilvl="5">
      <w:start w:val="1"/>
      <w:numFmt w:val="decimal"/>
      <w:lvlText w:val="%1.%2.%3.%4.%5.%6"/>
      <w:lvlJc w:val="left"/>
      <w:pPr>
        <w:ind w:left="1080" w:hanging="1080"/>
      </w:pPr>
      <w:rPr>
        <w:rFonts w:hint="default"/>
        <w:i/>
        <w:u w:val="single"/>
      </w:rPr>
    </w:lvl>
    <w:lvl w:ilvl="6">
      <w:start w:val="1"/>
      <w:numFmt w:val="decimal"/>
      <w:lvlText w:val="%1.%2.%3.%4.%5.%6.%7"/>
      <w:lvlJc w:val="left"/>
      <w:pPr>
        <w:ind w:left="1440" w:hanging="1440"/>
      </w:pPr>
      <w:rPr>
        <w:rFonts w:hint="default"/>
        <w:i/>
        <w:u w:val="single"/>
      </w:rPr>
    </w:lvl>
    <w:lvl w:ilvl="7">
      <w:start w:val="1"/>
      <w:numFmt w:val="decimal"/>
      <w:lvlText w:val="%1.%2.%3.%4.%5.%6.%7.%8"/>
      <w:lvlJc w:val="left"/>
      <w:pPr>
        <w:ind w:left="1440" w:hanging="1440"/>
      </w:pPr>
      <w:rPr>
        <w:rFonts w:hint="default"/>
        <w:i/>
        <w:u w:val="single"/>
      </w:rPr>
    </w:lvl>
    <w:lvl w:ilvl="8">
      <w:start w:val="1"/>
      <w:numFmt w:val="decimal"/>
      <w:lvlText w:val="%1.%2.%3.%4.%5.%6.%7.%8.%9"/>
      <w:lvlJc w:val="left"/>
      <w:pPr>
        <w:ind w:left="1800" w:hanging="1800"/>
      </w:pPr>
      <w:rPr>
        <w:rFonts w:hint="default"/>
        <w:i/>
        <w:u w:val="single"/>
      </w:rPr>
    </w:lvl>
  </w:abstractNum>
  <w:abstractNum w:abstractNumId="21" w15:restartNumberingAfterBreak="0">
    <w:nsid w:val="4FB5217B"/>
    <w:multiLevelType w:val="hybridMultilevel"/>
    <w:tmpl w:val="C1765B00"/>
    <w:lvl w:ilvl="0" w:tplc="3F5AD9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746720"/>
    <w:multiLevelType w:val="hybridMultilevel"/>
    <w:tmpl w:val="A566B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E6318C"/>
    <w:multiLevelType w:val="hybridMultilevel"/>
    <w:tmpl w:val="14DC93F8"/>
    <w:lvl w:ilvl="0" w:tplc="DFE8442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A361AA"/>
    <w:multiLevelType w:val="hybridMultilevel"/>
    <w:tmpl w:val="07489C2E"/>
    <w:lvl w:ilvl="0" w:tplc="3056BA4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BF08CF"/>
    <w:multiLevelType w:val="hybridMultilevel"/>
    <w:tmpl w:val="371A6680"/>
    <w:lvl w:ilvl="0" w:tplc="20FA9C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8426F8"/>
    <w:multiLevelType w:val="hybridMultilevel"/>
    <w:tmpl w:val="C36CAD14"/>
    <w:lvl w:ilvl="0" w:tplc="CAD0179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2C4389"/>
    <w:multiLevelType w:val="hybridMultilevel"/>
    <w:tmpl w:val="239213AC"/>
    <w:lvl w:ilvl="0" w:tplc="4028AE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E64D44"/>
    <w:multiLevelType w:val="hybridMultilevel"/>
    <w:tmpl w:val="BE2647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D64F5F"/>
    <w:multiLevelType w:val="hybridMultilevel"/>
    <w:tmpl w:val="CF0C7966"/>
    <w:lvl w:ilvl="0" w:tplc="501465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D71ADA"/>
    <w:multiLevelType w:val="hybridMultilevel"/>
    <w:tmpl w:val="055ABFD6"/>
    <w:lvl w:ilvl="0" w:tplc="66FC4EC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260B12"/>
    <w:multiLevelType w:val="hybridMultilevel"/>
    <w:tmpl w:val="CDCCC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987EE5"/>
    <w:multiLevelType w:val="hybridMultilevel"/>
    <w:tmpl w:val="E216EFEA"/>
    <w:lvl w:ilvl="0" w:tplc="CA78DA22">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2A3C23"/>
    <w:multiLevelType w:val="hybridMultilevel"/>
    <w:tmpl w:val="B7E8BAF6"/>
    <w:lvl w:ilvl="0" w:tplc="77789CC0">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BB17BD"/>
    <w:multiLevelType w:val="hybridMultilevel"/>
    <w:tmpl w:val="239213AC"/>
    <w:lvl w:ilvl="0" w:tplc="4028AE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852310">
    <w:abstractNumId w:val="28"/>
  </w:num>
  <w:num w:numId="2" w16cid:durableId="326788493">
    <w:abstractNumId w:val="4"/>
  </w:num>
  <w:num w:numId="3" w16cid:durableId="901141955">
    <w:abstractNumId w:val="1"/>
  </w:num>
  <w:num w:numId="4" w16cid:durableId="930234804">
    <w:abstractNumId w:val="24"/>
  </w:num>
  <w:num w:numId="5" w16cid:durableId="1265308164">
    <w:abstractNumId w:val="25"/>
  </w:num>
  <w:num w:numId="6" w16cid:durableId="1450902414">
    <w:abstractNumId w:val="17"/>
  </w:num>
  <w:num w:numId="7" w16cid:durableId="222907567">
    <w:abstractNumId w:val="6"/>
  </w:num>
  <w:num w:numId="8" w16cid:durableId="379987170">
    <w:abstractNumId w:val="19"/>
  </w:num>
  <w:num w:numId="9" w16cid:durableId="906690788">
    <w:abstractNumId w:val="15"/>
  </w:num>
  <w:num w:numId="10" w16cid:durableId="1268385134">
    <w:abstractNumId w:val="29"/>
  </w:num>
  <w:num w:numId="11" w16cid:durableId="2114813679">
    <w:abstractNumId w:val="8"/>
  </w:num>
  <w:num w:numId="12" w16cid:durableId="2111193804">
    <w:abstractNumId w:val="23"/>
  </w:num>
  <w:num w:numId="13" w16cid:durableId="1225489309">
    <w:abstractNumId w:val="12"/>
  </w:num>
  <w:num w:numId="14" w16cid:durableId="448159911">
    <w:abstractNumId w:val="9"/>
  </w:num>
  <w:num w:numId="15" w16cid:durableId="798956338">
    <w:abstractNumId w:val="27"/>
  </w:num>
  <w:num w:numId="16" w16cid:durableId="356976846">
    <w:abstractNumId w:val="34"/>
  </w:num>
  <w:num w:numId="17" w16cid:durableId="1843660445">
    <w:abstractNumId w:val="7"/>
  </w:num>
  <w:num w:numId="18" w16cid:durableId="1482961531">
    <w:abstractNumId w:val="30"/>
  </w:num>
  <w:num w:numId="19" w16cid:durableId="1233127099">
    <w:abstractNumId w:val="2"/>
  </w:num>
  <w:num w:numId="20" w16cid:durableId="1704331262">
    <w:abstractNumId w:val="16"/>
  </w:num>
  <w:num w:numId="21" w16cid:durableId="1271351296">
    <w:abstractNumId w:val="21"/>
  </w:num>
  <w:num w:numId="22" w16cid:durableId="2059435269">
    <w:abstractNumId w:val="10"/>
  </w:num>
  <w:num w:numId="23" w16cid:durableId="1979333638">
    <w:abstractNumId w:val="3"/>
  </w:num>
  <w:num w:numId="24" w16cid:durableId="2063864127">
    <w:abstractNumId w:val="26"/>
  </w:num>
  <w:num w:numId="25" w16cid:durableId="1382364494">
    <w:abstractNumId w:val="0"/>
  </w:num>
  <w:num w:numId="26" w16cid:durableId="1013147139">
    <w:abstractNumId w:val="20"/>
  </w:num>
  <w:num w:numId="27" w16cid:durableId="1429618133">
    <w:abstractNumId w:val="13"/>
  </w:num>
  <w:num w:numId="28" w16cid:durableId="1712261762">
    <w:abstractNumId w:val="11"/>
  </w:num>
  <w:num w:numId="29" w16cid:durableId="1129670531">
    <w:abstractNumId w:val="14"/>
  </w:num>
  <w:num w:numId="30" w16cid:durableId="1630553884">
    <w:abstractNumId w:val="22"/>
  </w:num>
  <w:num w:numId="31" w16cid:durableId="1196237220">
    <w:abstractNumId w:val="18"/>
  </w:num>
  <w:num w:numId="32" w16cid:durableId="1494489479">
    <w:abstractNumId w:val="32"/>
  </w:num>
  <w:num w:numId="33" w16cid:durableId="298074086">
    <w:abstractNumId w:val="5"/>
  </w:num>
  <w:num w:numId="34" w16cid:durableId="565920346">
    <w:abstractNumId w:val="31"/>
  </w:num>
  <w:num w:numId="35" w16cid:durableId="866328678">
    <w:abstractNumId w:val="3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 ACM Trans Comp Biol Bioinf&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9dvwrfdof9dw8exf0kvp0atwazsazeeffsp&quot;&gt;9. My EndNote Library&lt;record-ids&gt;&lt;item&gt;2&lt;/item&gt;&lt;item&gt;3&lt;/item&gt;&lt;item&gt;4&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3&lt;/item&gt;&lt;item&gt;34&lt;/item&gt;&lt;item&gt;35&lt;/item&gt;&lt;item&gt;36&lt;/item&gt;&lt;item&gt;39&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4&lt;/item&gt;&lt;item&gt;65&lt;/item&gt;&lt;item&gt;66&lt;/item&gt;&lt;item&gt;67&lt;/item&gt;&lt;item&gt;68&lt;/item&gt;&lt;item&gt;69&lt;/item&gt;&lt;item&gt;70&lt;/item&gt;&lt;item&gt;71&lt;/item&gt;&lt;item&gt;72&lt;/item&gt;&lt;item&gt;73&lt;/item&gt;&lt;item&gt;74&lt;/item&gt;&lt;item&gt;75&lt;/item&gt;&lt;item&gt;76&lt;/item&gt;&lt;item&gt;77&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6&lt;/item&gt;&lt;item&gt;127&lt;/item&gt;&lt;item&gt;128&lt;/item&gt;&lt;item&gt;129&lt;/item&gt;&lt;item&gt;131&lt;/item&gt;&lt;item&gt;132&lt;/item&gt;&lt;item&gt;133&lt;/item&gt;&lt;item&gt;135&lt;/item&gt;&lt;item&gt;136&lt;/item&gt;&lt;item&gt;137&lt;/item&gt;&lt;item&gt;139&lt;/item&gt;&lt;item&gt;140&lt;/item&gt;&lt;item&gt;141&lt;/item&gt;&lt;item&gt;142&lt;/item&gt;&lt;item&gt;143&lt;/item&gt;&lt;item&gt;144&lt;/item&gt;&lt;item&gt;145&lt;/item&gt;&lt;item&gt;146&lt;/item&gt;&lt;item&gt;147&lt;/item&gt;&lt;item&gt;148&lt;/item&gt;&lt;item&gt;149&lt;/item&gt;&lt;item&gt;150&lt;/item&gt;&lt;item&gt;151&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record-ids&gt;&lt;/item&gt;&lt;/Libraries&gt;"/>
  </w:docVars>
  <w:rsids>
    <w:rsidRoot w:val="004312C3"/>
    <w:rsid w:val="00001088"/>
    <w:rsid w:val="000011C5"/>
    <w:rsid w:val="00001329"/>
    <w:rsid w:val="00001532"/>
    <w:rsid w:val="0000182B"/>
    <w:rsid w:val="000018F5"/>
    <w:rsid w:val="00001B8B"/>
    <w:rsid w:val="000024FB"/>
    <w:rsid w:val="0000336B"/>
    <w:rsid w:val="000067DF"/>
    <w:rsid w:val="0000690B"/>
    <w:rsid w:val="00006B17"/>
    <w:rsid w:val="00007BEC"/>
    <w:rsid w:val="00007D97"/>
    <w:rsid w:val="00011218"/>
    <w:rsid w:val="000112C3"/>
    <w:rsid w:val="00011C6D"/>
    <w:rsid w:val="000135EA"/>
    <w:rsid w:val="000136B9"/>
    <w:rsid w:val="00013EE2"/>
    <w:rsid w:val="00013F26"/>
    <w:rsid w:val="00015D75"/>
    <w:rsid w:val="00015E59"/>
    <w:rsid w:val="000168DD"/>
    <w:rsid w:val="00016992"/>
    <w:rsid w:val="00016E4B"/>
    <w:rsid w:val="00017294"/>
    <w:rsid w:val="00017C51"/>
    <w:rsid w:val="00020AD3"/>
    <w:rsid w:val="000211BE"/>
    <w:rsid w:val="00021A5B"/>
    <w:rsid w:val="000222E0"/>
    <w:rsid w:val="00022699"/>
    <w:rsid w:val="00022952"/>
    <w:rsid w:val="000235FB"/>
    <w:rsid w:val="00024881"/>
    <w:rsid w:val="0002546D"/>
    <w:rsid w:val="00025D14"/>
    <w:rsid w:val="000268A5"/>
    <w:rsid w:val="00026E92"/>
    <w:rsid w:val="00026FB9"/>
    <w:rsid w:val="0002718B"/>
    <w:rsid w:val="00027A1A"/>
    <w:rsid w:val="00027E7C"/>
    <w:rsid w:val="00027EC7"/>
    <w:rsid w:val="00027F52"/>
    <w:rsid w:val="000307A4"/>
    <w:rsid w:val="00031E57"/>
    <w:rsid w:val="00031E60"/>
    <w:rsid w:val="00031F34"/>
    <w:rsid w:val="0003238C"/>
    <w:rsid w:val="000323FB"/>
    <w:rsid w:val="00032B22"/>
    <w:rsid w:val="00032DB4"/>
    <w:rsid w:val="00035FD1"/>
    <w:rsid w:val="00035FF5"/>
    <w:rsid w:val="00036C38"/>
    <w:rsid w:val="00036F05"/>
    <w:rsid w:val="00037F1D"/>
    <w:rsid w:val="000401EF"/>
    <w:rsid w:val="00040CB7"/>
    <w:rsid w:val="0004154B"/>
    <w:rsid w:val="00041564"/>
    <w:rsid w:val="00041906"/>
    <w:rsid w:val="00041A6C"/>
    <w:rsid w:val="00042482"/>
    <w:rsid w:val="00042BC7"/>
    <w:rsid w:val="000442D0"/>
    <w:rsid w:val="000459BF"/>
    <w:rsid w:val="0004705F"/>
    <w:rsid w:val="000470EA"/>
    <w:rsid w:val="00047D08"/>
    <w:rsid w:val="00050005"/>
    <w:rsid w:val="00051A6B"/>
    <w:rsid w:val="00051CA6"/>
    <w:rsid w:val="00051E8B"/>
    <w:rsid w:val="000522CF"/>
    <w:rsid w:val="00053455"/>
    <w:rsid w:val="0005397B"/>
    <w:rsid w:val="00053C88"/>
    <w:rsid w:val="00054328"/>
    <w:rsid w:val="0005483C"/>
    <w:rsid w:val="00054FED"/>
    <w:rsid w:val="00056338"/>
    <w:rsid w:val="0005791A"/>
    <w:rsid w:val="00060045"/>
    <w:rsid w:val="000604F1"/>
    <w:rsid w:val="00060C32"/>
    <w:rsid w:val="00062620"/>
    <w:rsid w:val="000637F4"/>
    <w:rsid w:val="00063B8F"/>
    <w:rsid w:val="00064FFF"/>
    <w:rsid w:val="00065AE3"/>
    <w:rsid w:val="000661D4"/>
    <w:rsid w:val="0006654D"/>
    <w:rsid w:val="00066BA2"/>
    <w:rsid w:val="00066F5F"/>
    <w:rsid w:val="00067A38"/>
    <w:rsid w:val="00067C47"/>
    <w:rsid w:val="00067D14"/>
    <w:rsid w:val="00067D15"/>
    <w:rsid w:val="0007127A"/>
    <w:rsid w:val="00072228"/>
    <w:rsid w:val="00072738"/>
    <w:rsid w:val="00072924"/>
    <w:rsid w:val="00072CE1"/>
    <w:rsid w:val="00073545"/>
    <w:rsid w:val="00073E7F"/>
    <w:rsid w:val="000753EC"/>
    <w:rsid w:val="00075439"/>
    <w:rsid w:val="00076225"/>
    <w:rsid w:val="00077512"/>
    <w:rsid w:val="000776D1"/>
    <w:rsid w:val="000777AE"/>
    <w:rsid w:val="000800EF"/>
    <w:rsid w:val="0008032F"/>
    <w:rsid w:val="000809F9"/>
    <w:rsid w:val="00080A46"/>
    <w:rsid w:val="00081A52"/>
    <w:rsid w:val="00081F1C"/>
    <w:rsid w:val="000826D5"/>
    <w:rsid w:val="00082880"/>
    <w:rsid w:val="00082A26"/>
    <w:rsid w:val="00082E97"/>
    <w:rsid w:val="00083125"/>
    <w:rsid w:val="00083223"/>
    <w:rsid w:val="0008371F"/>
    <w:rsid w:val="000837F0"/>
    <w:rsid w:val="00084D4E"/>
    <w:rsid w:val="00084ED7"/>
    <w:rsid w:val="00085C9F"/>
    <w:rsid w:val="00085F1E"/>
    <w:rsid w:val="000867D0"/>
    <w:rsid w:val="00086A2A"/>
    <w:rsid w:val="0008720D"/>
    <w:rsid w:val="00087281"/>
    <w:rsid w:val="0009023F"/>
    <w:rsid w:val="00090377"/>
    <w:rsid w:val="00090460"/>
    <w:rsid w:val="00092503"/>
    <w:rsid w:val="0009265E"/>
    <w:rsid w:val="00092E35"/>
    <w:rsid w:val="00093429"/>
    <w:rsid w:val="00093950"/>
    <w:rsid w:val="00093C8B"/>
    <w:rsid w:val="000940CF"/>
    <w:rsid w:val="00094DE6"/>
    <w:rsid w:val="000953F8"/>
    <w:rsid w:val="00095A23"/>
    <w:rsid w:val="00095BE7"/>
    <w:rsid w:val="000964E8"/>
    <w:rsid w:val="00096E35"/>
    <w:rsid w:val="00097147"/>
    <w:rsid w:val="0009718A"/>
    <w:rsid w:val="00097B86"/>
    <w:rsid w:val="000A008D"/>
    <w:rsid w:val="000A01AF"/>
    <w:rsid w:val="000A0400"/>
    <w:rsid w:val="000A1713"/>
    <w:rsid w:val="000A1A40"/>
    <w:rsid w:val="000A1F3F"/>
    <w:rsid w:val="000A1F46"/>
    <w:rsid w:val="000A205C"/>
    <w:rsid w:val="000A2637"/>
    <w:rsid w:val="000A35EC"/>
    <w:rsid w:val="000A4458"/>
    <w:rsid w:val="000A4700"/>
    <w:rsid w:val="000A47A7"/>
    <w:rsid w:val="000A4E94"/>
    <w:rsid w:val="000A4F41"/>
    <w:rsid w:val="000A5A49"/>
    <w:rsid w:val="000A5DB1"/>
    <w:rsid w:val="000A7336"/>
    <w:rsid w:val="000A7705"/>
    <w:rsid w:val="000A7B5A"/>
    <w:rsid w:val="000A7DB0"/>
    <w:rsid w:val="000B0877"/>
    <w:rsid w:val="000B0CB3"/>
    <w:rsid w:val="000B0FB7"/>
    <w:rsid w:val="000B196F"/>
    <w:rsid w:val="000B1DD2"/>
    <w:rsid w:val="000B235E"/>
    <w:rsid w:val="000B2530"/>
    <w:rsid w:val="000B2822"/>
    <w:rsid w:val="000B2C4D"/>
    <w:rsid w:val="000B2E82"/>
    <w:rsid w:val="000B2E93"/>
    <w:rsid w:val="000B31A5"/>
    <w:rsid w:val="000B470B"/>
    <w:rsid w:val="000B5154"/>
    <w:rsid w:val="000B5CA0"/>
    <w:rsid w:val="000B5D87"/>
    <w:rsid w:val="000B6009"/>
    <w:rsid w:val="000B62B9"/>
    <w:rsid w:val="000B7643"/>
    <w:rsid w:val="000B7AC1"/>
    <w:rsid w:val="000C018B"/>
    <w:rsid w:val="000C0C64"/>
    <w:rsid w:val="000C1230"/>
    <w:rsid w:val="000C1A8F"/>
    <w:rsid w:val="000C1DF0"/>
    <w:rsid w:val="000C1EA9"/>
    <w:rsid w:val="000C1F53"/>
    <w:rsid w:val="000C355A"/>
    <w:rsid w:val="000C3C7C"/>
    <w:rsid w:val="000C4FB8"/>
    <w:rsid w:val="000C507B"/>
    <w:rsid w:val="000C5124"/>
    <w:rsid w:val="000C5292"/>
    <w:rsid w:val="000C53D4"/>
    <w:rsid w:val="000C5AFC"/>
    <w:rsid w:val="000C7618"/>
    <w:rsid w:val="000D0CA4"/>
    <w:rsid w:val="000D2098"/>
    <w:rsid w:val="000D23BF"/>
    <w:rsid w:val="000D2639"/>
    <w:rsid w:val="000D29A3"/>
    <w:rsid w:val="000D3D87"/>
    <w:rsid w:val="000D3EF0"/>
    <w:rsid w:val="000D3F63"/>
    <w:rsid w:val="000D4007"/>
    <w:rsid w:val="000D50A5"/>
    <w:rsid w:val="000D535C"/>
    <w:rsid w:val="000D5579"/>
    <w:rsid w:val="000D5981"/>
    <w:rsid w:val="000D6B81"/>
    <w:rsid w:val="000E0804"/>
    <w:rsid w:val="000E0B8E"/>
    <w:rsid w:val="000E0ED0"/>
    <w:rsid w:val="000E185A"/>
    <w:rsid w:val="000E1A96"/>
    <w:rsid w:val="000E2B40"/>
    <w:rsid w:val="000E4A5A"/>
    <w:rsid w:val="000E53C2"/>
    <w:rsid w:val="000E53F0"/>
    <w:rsid w:val="000E566F"/>
    <w:rsid w:val="000E5B06"/>
    <w:rsid w:val="000E754B"/>
    <w:rsid w:val="000E7660"/>
    <w:rsid w:val="000E7EF6"/>
    <w:rsid w:val="000F1DCE"/>
    <w:rsid w:val="000F32D7"/>
    <w:rsid w:val="000F3D27"/>
    <w:rsid w:val="000F48DF"/>
    <w:rsid w:val="000F584A"/>
    <w:rsid w:val="000F5863"/>
    <w:rsid w:val="000F596D"/>
    <w:rsid w:val="000F78E2"/>
    <w:rsid w:val="0010023B"/>
    <w:rsid w:val="001006BA"/>
    <w:rsid w:val="00101498"/>
    <w:rsid w:val="00101C34"/>
    <w:rsid w:val="00102E63"/>
    <w:rsid w:val="0010487F"/>
    <w:rsid w:val="00104F67"/>
    <w:rsid w:val="0010575C"/>
    <w:rsid w:val="001058B8"/>
    <w:rsid w:val="00105C4C"/>
    <w:rsid w:val="00106302"/>
    <w:rsid w:val="001068DE"/>
    <w:rsid w:val="00106CA8"/>
    <w:rsid w:val="00106CEA"/>
    <w:rsid w:val="00107A91"/>
    <w:rsid w:val="001105D7"/>
    <w:rsid w:val="00111013"/>
    <w:rsid w:val="00111F3B"/>
    <w:rsid w:val="001122A1"/>
    <w:rsid w:val="0011253C"/>
    <w:rsid w:val="001127AD"/>
    <w:rsid w:val="001131DA"/>
    <w:rsid w:val="00114794"/>
    <w:rsid w:val="00114BF9"/>
    <w:rsid w:val="00114F33"/>
    <w:rsid w:val="00115087"/>
    <w:rsid w:val="001154F4"/>
    <w:rsid w:val="00115905"/>
    <w:rsid w:val="00115C0E"/>
    <w:rsid w:val="0011753B"/>
    <w:rsid w:val="00117CA3"/>
    <w:rsid w:val="001207AA"/>
    <w:rsid w:val="00120B66"/>
    <w:rsid w:val="00120E1D"/>
    <w:rsid w:val="00121A4B"/>
    <w:rsid w:val="00121BEF"/>
    <w:rsid w:val="001228E5"/>
    <w:rsid w:val="00122A1B"/>
    <w:rsid w:val="00122A39"/>
    <w:rsid w:val="001234BE"/>
    <w:rsid w:val="00123810"/>
    <w:rsid w:val="00124220"/>
    <w:rsid w:val="00124337"/>
    <w:rsid w:val="00124713"/>
    <w:rsid w:val="001250D8"/>
    <w:rsid w:val="0012571B"/>
    <w:rsid w:val="00125D6D"/>
    <w:rsid w:val="001260D7"/>
    <w:rsid w:val="0012715B"/>
    <w:rsid w:val="001273DA"/>
    <w:rsid w:val="00127453"/>
    <w:rsid w:val="00127574"/>
    <w:rsid w:val="00130443"/>
    <w:rsid w:val="00130623"/>
    <w:rsid w:val="0013063B"/>
    <w:rsid w:val="00130D18"/>
    <w:rsid w:val="00130F31"/>
    <w:rsid w:val="00130F32"/>
    <w:rsid w:val="00131370"/>
    <w:rsid w:val="00131442"/>
    <w:rsid w:val="00131C48"/>
    <w:rsid w:val="00132094"/>
    <w:rsid w:val="0013225E"/>
    <w:rsid w:val="001322F5"/>
    <w:rsid w:val="001323CB"/>
    <w:rsid w:val="00132986"/>
    <w:rsid w:val="00132FEC"/>
    <w:rsid w:val="00134157"/>
    <w:rsid w:val="001345AD"/>
    <w:rsid w:val="00135FF1"/>
    <w:rsid w:val="00136352"/>
    <w:rsid w:val="00136A8C"/>
    <w:rsid w:val="0013714B"/>
    <w:rsid w:val="00137BF9"/>
    <w:rsid w:val="001417C0"/>
    <w:rsid w:val="00141995"/>
    <w:rsid w:val="001419D2"/>
    <w:rsid w:val="00142FE6"/>
    <w:rsid w:val="00143407"/>
    <w:rsid w:val="001435C1"/>
    <w:rsid w:val="001437D1"/>
    <w:rsid w:val="00144266"/>
    <w:rsid w:val="001445EA"/>
    <w:rsid w:val="00144947"/>
    <w:rsid w:val="00144A1A"/>
    <w:rsid w:val="00144C0F"/>
    <w:rsid w:val="00145334"/>
    <w:rsid w:val="001454D9"/>
    <w:rsid w:val="001456F7"/>
    <w:rsid w:val="00146146"/>
    <w:rsid w:val="001463D9"/>
    <w:rsid w:val="001464F9"/>
    <w:rsid w:val="00147923"/>
    <w:rsid w:val="001502F9"/>
    <w:rsid w:val="00153924"/>
    <w:rsid w:val="00153C10"/>
    <w:rsid w:val="001540EA"/>
    <w:rsid w:val="001544E9"/>
    <w:rsid w:val="00154D89"/>
    <w:rsid w:val="0015550B"/>
    <w:rsid w:val="001565ED"/>
    <w:rsid w:val="001565F0"/>
    <w:rsid w:val="00156881"/>
    <w:rsid w:val="00157731"/>
    <w:rsid w:val="0015797D"/>
    <w:rsid w:val="001601B3"/>
    <w:rsid w:val="00160420"/>
    <w:rsid w:val="00160641"/>
    <w:rsid w:val="001613E8"/>
    <w:rsid w:val="0016160E"/>
    <w:rsid w:val="00162591"/>
    <w:rsid w:val="00162FB3"/>
    <w:rsid w:val="001638E9"/>
    <w:rsid w:val="001643D0"/>
    <w:rsid w:val="0016446A"/>
    <w:rsid w:val="001648B1"/>
    <w:rsid w:val="001653F6"/>
    <w:rsid w:val="00165A31"/>
    <w:rsid w:val="00165B73"/>
    <w:rsid w:val="0016656E"/>
    <w:rsid w:val="00166EB9"/>
    <w:rsid w:val="001675F3"/>
    <w:rsid w:val="00167E2A"/>
    <w:rsid w:val="00170770"/>
    <w:rsid w:val="00170B2B"/>
    <w:rsid w:val="001712E0"/>
    <w:rsid w:val="001716B4"/>
    <w:rsid w:val="001732B4"/>
    <w:rsid w:val="001735CF"/>
    <w:rsid w:val="001739F2"/>
    <w:rsid w:val="00173A57"/>
    <w:rsid w:val="00173D7F"/>
    <w:rsid w:val="00174B6E"/>
    <w:rsid w:val="0017527B"/>
    <w:rsid w:val="001759E4"/>
    <w:rsid w:val="001765B3"/>
    <w:rsid w:val="00176D34"/>
    <w:rsid w:val="0017743A"/>
    <w:rsid w:val="00177C32"/>
    <w:rsid w:val="00180477"/>
    <w:rsid w:val="001804D9"/>
    <w:rsid w:val="00181524"/>
    <w:rsid w:val="0018215F"/>
    <w:rsid w:val="001827CE"/>
    <w:rsid w:val="001829B3"/>
    <w:rsid w:val="00182B66"/>
    <w:rsid w:val="001836BD"/>
    <w:rsid w:val="00183D67"/>
    <w:rsid w:val="00183EF5"/>
    <w:rsid w:val="00186096"/>
    <w:rsid w:val="00186130"/>
    <w:rsid w:val="00186618"/>
    <w:rsid w:val="0018727B"/>
    <w:rsid w:val="00187762"/>
    <w:rsid w:val="0018788D"/>
    <w:rsid w:val="001909E3"/>
    <w:rsid w:val="001915C3"/>
    <w:rsid w:val="00191751"/>
    <w:rsid w:val="00191B6C"/>
    <w:rsid w:val="00191B72"/>
    <w:rsid w:val="00192FB0"/>
    <w:rsid w:val="00193612"/>
    <w:rsid w:val="00193660"/>
    <w:rsid w:val="001939B2"/>
    <w:rsid w:val="001939F6"/>
    <w:rsid w:val="00193C98"/>
    <w:rsid w:val="00193DE3"/>
    <w:rsid w:val="00193DF1"/>
    <w:rsid w:val="00194167"/>
    <w:rsid w:val="0019483D"/>
    <w:rsid w:val="00194A41"/>
    <w:rsid w:val="001950FA"/>
    <w:rsid w:val="00196A56"/>
    <w:rsid w:val="00197E14"/>
    <w:rsid w:val="001A0313"/>
    <w:rsid w:val="001A0388"/>
    <w:rsid w:val="001A08E3"/>
    <w:rsid w:val="001A15AE"/>
    <w:rsid w:val="001A3735"/>
    <w:rsid w:val="001A3886"/>
    <w:rsid w:val="001A5A24"/>
    <w:rsid w:val="001A6D34"/>
    <w:rsid w:val="001B069E"/>
    <w:rsid w:val="001B2560"/>
    <w:rsid w:val="001B37A8"/>
    <w:rsid w:val="001B40EA"/>
    <w:rsid w:val="001B416B"/>
    <w:rsid w:val="001B5038"/>
    <w:rsid w:val="001B63AA"/>
    <w:rsid w:val="001B6D54"/>
    <w:rsid w:val="001B72B5"/>
    <w:rsid w:val="001B7A70"/>
    <w:rsid w:val="001B7B18"/>
    <w:rsid w:val="001B7D6A"/>
    <w:rsid w:val="001C0393"/>
    <w:rsid w:val="001C0BC1"/>
    <w:rsid w:val="001C0C55"/>
    <w:rsid w:val="001C2830"/>
    <w:rsid w:val="001C3569"/>
    <w:rsid w:val="001C413C"/>
    <w:rsid w:val="001C5AB1"/>
    <w:rsid w:val="001C5B8E"/>
    <w:rsid w:val="001C5C14"/>
    <w:rsid w:val="001C5D6C"/>
    <w:rsid w:val="001C6451"/>
    <w:rsid w:val="001D03E4"/>
    <w:rsid w:val="001D1B42"/>
    <w:rsid w:val="001D1E1A"/>
    <w:rsid w:val="001D1E92"/>
    <w:rsid w:val="001D21B2"/>
    <w:rsid w:val="001D22EE"/>
    <w:rsid w:val="001D2787"/>
    <w:rsid w:val="001D3DE8"/>
    <w:rsid w:val="001D4766"/>
    <w:rsid w:val="001D47CA"/>
    <w:rsid w:val="001D6E4E"/>
    <w:rsid w:val="001E0070"/>
    <w:rsid w:val="001E1723"/>
    <w:rsid w:val="001E2702"/>
    <w:rsid w:val="001E2F4C"/>
    <w:rsid w:val="001E3938"/>
    <w:rsid w:val="001E434B"/>
    <w:rsid w:val="001E4525"/>
    <w:rsid w:val="001E5339"/>
    <w:rsid w:val="001E53BD"/>
    <w:rsid w:val="001E5607"/>
    <w:rsid w:val="001E5920"/>
    <w:rsid w:val="001E6B9C"/>
    <w:rsid w:val="001E7155"/>
    <w:rsid w:val="001E71DA"/>
    <w:rsid w:val="001E73A6"/>
    <w:rsid w:val="001F0D80"/>
    <w:rsid w:val="001F0FE5"/>
    <w:rsid w:val="001F10E0"/>
    <w:rsid w:val="001F182B"/>
    <w:rsid w:val="001F2455"/>
    <w:rsid w:val="001F24F7"/>
    <w:rsid w:val="001F3332"/>
    <w:rsid w:val="001F3999"/>
    <w:rsid w:val="001F43E3"/>
    <w:rsid w:val="001F4741"/>
    <w:rsid w:val="001F5337"/>
    <w:rsid w:val="001F5C43"/>
    <w:rsid w:val="001F5D8C"/>
    <w:rsid w:val="001F5DBC"/>
    <w:rsid w:val="001F5FA8"/>
    <w:rsid w:val="001F6CC6"/>
    <w:rsid w:val="001F6D20"/>
    <w:rsid w:val="001F731A"/>
    <w:rsid w:val="001F78B1"/>
    <w:rsid w:val="001F7FD3"/>
    <w:rsid w:val="00200742"/>
    <w:rsid w:val="0020113A"/>
    <w:rsid w:val="0020137F"/>
    <w:rsid w:val="00201CF6"/>
    <w:rsid w:val="002025EC"/>
    <w:rsid w:val="002028D4"/>
    <w:rsid w:val="002035EC"/>
    <w:rsid w:val="00203D8A"/>
    <w:rsid w:val="002042C6"/>
    <w:rsid w:val="00204F8C"/>
    <w:rsid w:val="0020591B"/>
    <w:rsid w:val="00205977"/>
    <w:rsid w:val="00205A21"/>
    <w:rsid w:val="00205D4F"/>
    <w:rsid w:val="0020612D"/>
    <w:rsid w:val="0020623D"/>
    <w:rsid w:val="002062F2"/>
    <w:rsid w:val="002069E7"/>
    <w:rsid w:val="00207464"/>
    <w:rsid w:val="002075DA"/>
    <w:rsid w:val="002077F2"/>
    <w:rsid w:val="00210710"/>
    <w:rsid w:val="00210BB5"/>
    <w:rsid w:val="00212556"/>
    <w:rsid w:val="00212B78"/>
    <w:rsid w:val="00212DDF"/>
    <w:rsid w:val="00213285"/>
    <w:rsid w:val="002132E6"/>
    <w:rsid w:val="00213887"/>
    <w:rsid w:val="00213A04"/>
    <w:rsid w:val="00214952"/>
    <w:rsid w:val="002154ED"/>
    <w:rsid w:val="00215F7C"/>
    <w:rsid w:val="00217764"/>
    <w:rsid w:val="00221FB2"/>
    <w:rsid w:val="00223028"/>
    <w:rsid w:val="00223413"/>
    <w:rsid w:val="00224031"/>
    <w:rsid w:val="00224092"/>
    <w:rsid w:val="00224EB7"/>
    <w:rsid w:val="002259B7"/>
    <w:rsid w:val="00225D9F"/>
    <w:rsid w:val="002262B2"/>
    <w:rsid w:val="00226E0F"/>
    <w:rsid w:val="00226EF6"/>
    <w:rsid w:val="00227241"/>
    <w:rsid w:val="00227307"/>
    <w:rsid w:val="00227485"/>
    <w:rsid w:val="00227CE0"/>
    <w:rsid w:val="00227E9D"/>
    <w:rsid w:val="00230B8A"/>
    <w:rsid w:val="00230CB5"/>
    <w:rsid w:val="002312FC"/>
    <w:rsid w:val="00232422"/>
    <w:rsid w:val="00233149"/>
    <w:rsid w:val="00233834"/>
    <w:rsid w:val="00233C7D"/>
    <w:rsid w:val="0023464C"/>
    <w:rsid w:val="00234ED6"/>
    <w:rsid w:val="0023549D"/>
    <w:rsid w:val="0023593C"/>
    <w:rsid w:val="00235C3B"/>
    <w:rsid w:val="00236A78"/>
    <w:rsid w:val="0024116E"/>
    <w:rsid w:val="00241292"/>
    <w:rsid w:val="0024168E"/>
    <w:rsid w:val="00241A07"/>
    <w:rsid w:val="00241B32"/>
    <w:rsid w:val="00243411"/>
    <w:rsid w:val="00244299"/>
    <w:rsid w:val="00244322"/>
    <w:rsid w:val="0024464F"/>
    <w:rsid w:val="00244801"/>
    <w:rsid w:val="002448A8"/>
    <w:rsid w:val="0024492B"/>
    <w:rsid w:val="00244D55"/>
    <w:rsid w:val="002450ED"/>
    <w:rsid w:val="002451C1"/>
    <w:rsid w:val="00245CBF"/>
    <w:rsid w:val="00246F44"/>
    <w:rsid w:val="0024708F"/>
    <w:rsid w:val="002473AB"/>
    <w:rsid w:val="00247B76"/>
    <w:rsid w:val="00247F22"/>
    <w:rsid w:val="002505B7"/>
    <w:rsid w:val="00250CBA"/>
    <w:rsid w:val="002517E2"/>
    <w:rsid w:val="00251B4B"/>
    <w:rsid w:val="002528F2"/>
    <w:rsid w:val="00252E68"/>
    <w:rsid w:val="00253599"/>
    <w:rsid w:val="0025375B"/>
    <w:rsid w:val="00253EF7"/>
    <w:rsid w:val="0025477F"/>
    <w:rsid w:val="0025609C"/>
    <w:rsid w:val="00260F6A"/>
    <w:rsid w:val="002613FE"/>
    <w:rsid w:val="00261572"/>
    <w:rsid w:val="00262279"/>
    <w:rsid w:val="002629DB"/>
    <w:rsid w:val="00262A88"/>
    <w:rsid w:val="002635FA"/>
    <w:rsid w:val="00263E12"/>
    <w:rsid w:val="002640B8"/>
    <w:rsid w:val="00264330"/>
    <w:rsid w:val="002646D3"/>
    <w:rsid w:val="0026479D"/>
    <w:rsid w:val="00264A56"/>
    <w:rsid w:val="00266054"/>
    <w:rsid w:val="00266A7D"/>
    <w:rsid w:val="00266E28"/>
    <w:rsid w:val="0026700B"/>
    <w:rsid w:val="00267577"/>
    <w:rsid w:val="00267B58"/>
    <w:rsid w:val="00270378"/>
    <w:rsid w:val="00270A9F"/>
    <w:rsid w:val="00270C84"/>
    <w:rsid w:val="00271943"/>
    <w:rsid w:val="002722A0"/>
    <w:rsid w:val="002722D0"/>
    <w:rsid w:val="00272910"/>
    <w:rsid w:val="00273741"/>
    <w:rsid w:val="00273B8C"/>
    <w:rsid w:val="002745C7"/>
    <w:rsid w:val="00274625"/>
    <w:rsid w:val="00275921"/>
    <w:rsid w:val="00275DAC"/>
    <w:rsid w:val="002760C4"/>
    <w:rsid w:val="0027758A"/>
    <w:rsid w:val="00281FA0"/>
    <w:rsid w:val="00282004"/>
    <w:rsid w:val="002824B7"/>
    <w:rsid w:val="00282614"/>
    <w:rsid w:val="0028372D"/>
    <w:rsid w:val="00283B06"/>
    <w:rsid w:val="00283D7E"/>
    <w:rsid w:val="00284840"/>
    <w:rsid w:val="00284AE5"/>
    <w:rsid w:val="002856CD"/>
    <w:rsid w:val="002858DC"/>
    <w:rsid w:val="00285F5B"/>
    <w:rsid w:val="00286857"/>
    <w:rsid w:val="00286B23"/>
    <w:rsid w:val="00286BE3"/>
    <w:rsid w:val="002877ED"/>
    <w:rsid w:val="00290EB5"/>
    <w:rsid w:val="00291386"/>
    <w:rsid w:val="00291EEC"/>
    <w:rsid w:val="00292E44"/>
    <w:rsid w:val="002930AC"/>
    <w:rsid w:val="00293B6A"/>
    <w:rsid w:val="00294454"/>
    <w:rsid w:val="00295359"/>
    <w:rsid w:val="00295995"/>
    <w:rsid w:val="00295CFC"/>
    <w:rsid w:val="00295F59"/>
    <w:rsid w:val="00296937"/>
    <w:rsid w:val="00296EFD"/>
    <w:rsid w:val="002975F6"/>
    <w:rsid w:val="00297B8A"/>
    <w:rsid w:val="002A0560"/>
    <w:rsid w:val="002A07A6"/>
    <w:rsid w:val="002A1A9E"/>
    <w:rsid w:val="002A25A1"/>
    <w:rsid w:val="002A3187"/>
    <w:rsid w:val="002A4FB6"/>
    <w:rsid w:val="002A57A6"/>
    <w:rsid w:val="002A5C44"/>
    <w:rsid w:val="002B0999"/>
    <w:rsid w:val="002B0D17"/>
    <w:rsid w:val="002B0D7C"/>
    <w:rsid w:val="002B0F25"/>
    <w:rsid w:val="002B2602"/>
    <w:rsid w:val="002B2879"/>
    <w:rsid w:val="002B28A7"/>
    <w:rsid w:val="002B2AFE"/>
    <w:rsid w:val="002B2B67"/>
    <w:rsid w:val="002B2F75"/>
    <w:rsid w:val="002B318E"/>
    <w:rsid w:val="002B338F"/>
    <w:rsid w:val="002B4EFA"/>
    <w:rsid w:val="002B503D"/>
    <w:rsid w:val="002B5087"/>
    <w:rsid w:val="002B518E"/>
    <w:rsid w:val="002B6097"/>
    <w:rsid w:val="002B6272"/>
    <w:rsid w:val="002B6F6D"/>
    <w:rsid w:val="002B6F86"/>
    <w:rsid w:val="002B7018"/>
    <w:rsid w:val="002B7BEB"/>
    <w:rsid w:val="002B7CA8"/>
    <w:rsid w:val="002C04B6"/>
    <w:rsid w:val="002C094D"/>
    <w:rsid w:val="002C09B3"/>
    <w:rsid w:val="002C14BD"/>
    <w:rsid w:val="002C1573"/>
    <w:rsid w:val="002C27D6"/>
    <w:rsid w:val="002C3279"/>
    <w:rsid w:val="002C41FB"/>
    <w:rsid w:val="002C4BF8"/>
    <w:rsid w:val="002C4E46"/>
    <w:rsid w:val="002C55EF"/>
    <w:rsid w:val="002C572C"/>
    <w:rsid w:val="002C632F"/>
    <w:rsid w:val="002D2589"/>
    <w:rsid w:val="002D3EB3"/>
    <w:rsid w:val="002D4106"/>
    <w:rsid w:val="002D4B76"/>
    <w:rsid w:val="002D65AB"/>
    <w:rsid w:val="002D6B40"/>
    <w:rsid w:val="002D6F68"/>
    <w:rsid w:val="002E0E6B"/>
    <w:rsid w:val="002E172E"/>
    <w:rsid w:val="002E25A0"/>
    <w:rsid w:val="002E2902"/>
    <w:rsid w:val="002E359C"/>
    <w:rsid w:val="002E3AC1"/>
    <w:rsid w:val="002E3B73"/>
    <w:rsid w:val="002E59A8"/>
    <w:rsid w:val="002E5D10"/>
    <w:rsid w:val="002E6314"/>
    <w:rsid w:val="002E7214"/>
    <w:rsid w:val="002E7782"/>
    <w:rsid w:val="002F12FC"/>
    <w:rsid w:val="002F2B66"/>
    <w:rsid w:val="002F3B30"/>
    <w:rsid w:val="002F3E43"/>
    <w:rsid w:val="002F58A5"/>
    <w:rsid w:val="002F58C3"/>
    <w:rsid w:val="002F5BA3"/>
    <w:rsid w:val="002F5FC0"/>
    <w:rsid w:val="002F62C6"/>
    <w:rsid w:val="002F6558"/>
    <w:rsid w:val="002F7D52"/>
    <w:rsid w:val="00300625"/>
    <w:rsid w:val="00300C59"/>
    <w:rsid w:val="00300CDF"/>
    <w:rsid w:val="00301CD2"/>
    <w:rsid w:val="00302683"/>
    <w:rsid w:val="003032E5"/>
    <w:rsid w:val="003036C8"/>
    <w:rsid w:val="003038CC"/>
    <w:rsid w:val="00303B24"/>
    <w:rsid w:val="00303E21"/>
    <w:rsid w:val="00304732"/>
    <w:rsid w:val="00304C03"/>
    <w:rsid w:val="0030522C"/>
    <w:rsid w:val="00305B0F"/>
    <w:rsid w:val="00305D4F"/>
    <w:rsid w:val="00306201"/>
    <w:rsid w:val="00306C66"/>
    <w:rsid w:val="0030738C"/>
    <w:rsid w:val="003100D2"/>
    <w:rsid w:val="003108BA"/>
    <w:rsid w:val="00310F21"/>
    <w:rsid w:val="00311626"/>
    <w:rsid w:val="0031297D"/>
    <w:rsid w:val="00313431"/>
    <w:rsid w:val="00313506"/>
    <w:rsid w:val="00313BB0"/>
    <w:rsid w:val="00313F31"/>
    <w:rsid w:val="003140B5"/>
    <w:rsid w:val="003144B0"/>
    <w:rsid w:val="0031493B"/>
    <w:rsid w:val="003152BD"/>
    <w:rsid w:val="00316143"/>
    <w:rsid w:val="0031632B"/>
    <w:rsid w:val="00316428"/>
    <w:rsid w:val="00316765"/>
    <w:rsid w:val="00317425"/>
    <w:rsid w:val="00317DD0"/>
    <w:rsid w:val="00317DE6"/>
    <w:rsid w:val="003204AE"/>
    <w:rsid w:val="0032062E"/>
    <w:rsid w:val="00321084"/>
    <w:rsid w:val="003210B9"/>
    <w:rsid w:val="00321755"/>
    <w:rsid w:val="00322CDE"/>
    <w:rsid w:val="00323145"/>
    <w:rsid w:val="003232C4"/>
    <w:rsid w:val="00323ED1"/>
    <w:rsid w:val="00323FA4"/>
    <w:rsid w:val="003242CF"/>
    <w:rsid w:val="00324925"/>
    <w:rsid w:val="00324E5B"/>
    <w:rsid w:val="0032582D"/>
    <w:rsid w:val="00325B80"/>
    <w:rsid w:val="003262BC"/>
    <w:rsid w:val="0032631B"/>
    <w:rsid w:val="0033000C"/>
    <w:rsid w:val="0033050B"/>
    <w:rsid w:val="00330E12"/>
    <w:rsid w:val="00330F10"/>
    <w:rsid w:val="003312BB"/>
    <w:rsid w:val="003313DB"/>
    <w:rsid w:val="003315D0"/>
    <w:rsid w:val="00331D6A"/>
    <w:rsid w:val="00332404"/>
    <w:rsid w:val="003327EE"/>
    <w:rsid w:val="003328B7"/>
    <w:rsid w:val="003341CF"/>
    <w:rsid w:val="00334BAB"/>
    <w:rsid w:val="00334C22"/>
    <w:rsid w:val="0033509A"/>
    <w:rsid w:val="0033511E"/>
    <w:rsid w:val="00335811"/>
    <w:rsid w:val="00336E83"/>
    <w:rsid w:val="0033729D"/>
    <w:rsid w:val="00337783"/>
    <w:rsid w:val="003378C5"/>
    <w:rsid w:val="00337E33"/>
    <w:rsid w:val="00337F94"/>
    <w:rsid w:val="00340088"/>
    <w:rsid w:val="00340977"/>
    <w:rsid w:val="00340EF9"/>
    <w:rsid w:val="00341FEF"/>
    <w:rsid w:val="00342006"/>
    <w:rsid w:val="0034209B"/>
    <w:rsid w:val="0034227C"/>
    <w:rsid w:val="0034247E"/>
    <w:rsid w:val="003426A6"/>
    <w:rsid w:val="00342CA6"/>
    <w:rsid w:val="00342F41"/>
    <w:rsid w:val="00343600"/>
    <w:rsid w:val="003436AC"/>
    <w:rsid w:val="00343F0D"/>
    <w:rsid w:val="003443E9"/>
    <w:rsid w:val="00344595"/>
    <w:rsid w:val="003457A8"/>
    <w:rsid w:val="0034587A"/>
    <w:rsid w:val="003461A4"/>
    <w:rsid w:val="00346955"/>
    <w:rsid w:val="00346D71"/>
    <w:rsid w:val="0035022D"/>
    <w:rsid w:val="003506C0"/>
    <w:rsid w:val="00350C86"/>
    <w:rsid w:val="003512C7"/>
    <w:rsid w:val="003513F1"/>
    <w:rsid w:val="003518CE"/>
    <w:rsid w:val="003518E7"/>
    <w:rsid w:val="00351B3A"/>
    <w:rsid w:val="00353889"/>
    <w:rsid w:val="00354BEB"/>
    <w:rsid w:val="00356186"/>
    <w:rsid w:val="0035634F"/>
    <w:rsid w:val="00357205"/>
    <w:rsid w:val="00357274"/>
    <w:rsid w:val="003606B5"/>
    <w:rsid w:val="00360BF4"/>
    <w:rsid w:val="00362698"/>
    <w:rsid w:val="003629F3"/>
    <w:rsid w:val="00362CCB"/>
    <w:rsid w:val="00363402"/>
    <w:rsid w:val="0036356C"/>
    <w:rsid w:val="00363571"/>
    <w:rsid w:val="0036447F"/>
    <w:rsid w:val="003648FF"/>
    <w:rsid w:val="00364A08"/>
    <w:rsid w:val="00365CA4"/>
    <w:rsid w:val="003661D4"/>
    <w:rsid w:val="00366635"/>
    <w:rsid w:val="00367A4B"/>
    <w:rsid w:val="003722E3"/>
    <w:rsid w:val="003725BE"/>
    <w:rsid w:val="00372E16"/>
    <w:rsid w:val="003734F5"/>
    <w:rsid w:val="00374BD2"/>
    <w:rsid w:val="0037523D"/>
    <w:rsid w:val="0037550F"/>
    <w:rsid w:val="00375548"/>
    <w:rsid w:val="00376063"/>
    <w:rsid w:val="00377267"/>
    <w:rsid w:val="00377B36"/>
    <w:rsid w:val="00377D79"/>
    <w:rsid w:val="003817A2"/>
    <w:rsid w:val="00382AF3"/>
    <w:rsid w:val="00382D6E"/>
    <w:rsid w:val="00382DA9"/>
    <w:rsid w:val="00383510"/>
    <w:rsid w:val="003835C2"/>
    <w:rsid w:val="003843C6"/>
    <w:rsid w:val="00385408"/>
    <w:rsid w:val="0038618F"/>
    <w:rsid w:val="0038692C"/>
    <w:rsid w:val="00386953"/>
    <w:rsid w:val="00387483"/>
    <w:rsid w:val="003906FA"/>
    <w:rsid w:val="00390F98"/>
    <w:rsid w:val="00391057"/>
    <w:rsid w:val="00391B9C"/>
    <w:rsid w:val="00392195"/>
    <w:rsid w:val="00392747"/>
    <w:rsid w:val="00393475"/>
    <w:rsid w:val="00394482"/>
    <w:rsid w:val="003944AF"/>
    <w:rsid w:val="00394CCD"/>
    <w:rsid w:val="00394E1C"/>
    <w:rsid w:val="00395188"/>
    <w:rsid w:val="003958D9"/>
    <w:rsid w:val="0039706A"/>
    <w:rsid w:val="00397156"/>
    <w:rsid w:val="00397691"/>
    <w:rsid w:val="003A05F7"/>
    <w:rsid w:val="003A096A"/>
    <w:rsid w:val="003A1186"/>
    <w:rsid w:val="003A1210"/>
    <w:rsid w:val="003A202D"/>
    <w:rsid w:val="003A205B"/>
    <w:rsid w:val="003A2E0E"/>
    <w:rsid w:val="003A3D08"/>
    <w:rsid w:val="003A4EEF"/>
    <w:rsid w:val="003A7244"/>
    <w:rsid w:val="003B0E8B"/>
    <w:rsid w:val="003B138B"/>
    <w:rsid w:val="003B1419"/>
    <w:rsid w:val="003B2308"/>
    <w:rsid w:val="003B3E9B"/>
    <w:rsid w:val="003B443F"/>
    <w:rsid w:val="003B4E11"/>
    <w:rsid w:val="003B6175"/>
    <w:rsid w:val="003B755C"/>
    <w:rsid w:val="003C057C"/>
    <w:rsid w:val="003C06BF"/>
    <w:rsid w:val="003C06F4"/>
    <w:rsid w:val="003C16BA"/>
    <w:rsid w:val="003C1861"/>
    <w:rsid w:val="003C2273"/>
    <w:rsid w:val="003C2429"/>
    <w:rsid w:val="003C3833"/>
    <w:rsid w:val="003C3BDE"/>
    <w:rsid w:val="003C4621"/>
    <w:rsid w:val="003C58E0"/>
    <w:rsid w:val="003C6CE8"/>
    <w:rsid w:val="003C6FCB"/>
    <w:rsid w:val="003D0834"/>
    <w:rsid w:val="003D2812"/>
    <w:rsid w:val="003D28B1"/>
    <w:rsid w:val="003D2F4E"/>
    <w:rsid w:val="003D3585"/>
    <w:rsid w:val="003D416B"/>
    <w:rsid w:val="003D41DD"/>
    <w:rsid w:val="003D45B4"/>
    <w:rsid w:val="003D4651"/>
    <w:rsid w:val="003D4978"/>
    <w:rsid w:val="003D52D5"/>
    <w:rsid w:val="003D5379"/>
    <w:rsid w:val="003D57FC"/>
    <w:rsid w:val="003D666D"/>
    <w:rsid w:val="003D7FDD"/>
    <w:rsid w:val="003E02D7"/>
    <w:rsid w:val="003E0D23"/>
    <w:rsid w:val="003E12DA"/>
    <w:rsid w:val="003E18B9"/>
    <w:rsid w:val="003E1FCD"/>
    <w:rsid w:val="003E3787"/>
    <w:rsid w:val="003E3D4C"/>
    <w:rsid w:val="003E3DA6"/>
    <w:rsid w:val="003E3DE0"/>
    <w:rsid w:val="003E54DD"/>
    <w:rsid w:val="003E6499"/>
    <w:rsid w:val="003E649C"/>
    <w:rsid w:val="003E6670"/>
    <w:rsid w:val="003E7A94"/>
    <w:rsid w:val="003F0332"/>
    <w:rsid w:val="003F08C0"/>
    <w:rsid w:val="003F2142"/>
    <w:rsid w:val="003F3749"/>
    <w:rsid w:val="003F3963"/>
    <w:rsid w:val="003F437E"/>
    <w:rsid w:val="003F4BB6"/>
    <w:rsid w:val="003F4F31"/>
    <w:rsid w:val="003F56FF"/>
    <w:rsid w:val="003F5F91"/>
    <w:rsid w:val="003F607A"/>
    <w:rsid w:val="003F6464"/>
    <w:rsid w:val="003F729B"/>
    <w:rsid w:val="003F7526"/>
    <w:rsid w:val="003F776E"/>
    <w:rsid w:val="003F7EE9"/>
    <w:rsid w:val="0040082C"/>
    <w:rsid w:val="00401611"/>
    <w:rsid w:val="004016D0"/>
    <w:rsid w:val="00401823"/>
    <w:rsid w:val="00401D6F"/>
    <w:rsid w:val="004020C1"/>
    <w:rsid w:val="0040243D"/>
    <w:rsid w:val="00402679"/>
    <w:rsid w:val="00402C6A"/>
    <w:rsid w:val="00404435"/>
    <w:rsid w:val="00404D5B"/>
    <w:rsid w:val="00405552"/>
    <w:rsid w:val="00405B85"/>
    <w:rsid w:val="00406025"/>
    <w:rsid w:val="0040637A"/>
    <w:rsid w:val="0040691A"/>
    <w:rsid w:val="00410A0C"/>
    <w:rsid w:val="00411346"/>
    <w:rsid w:val="00411495"/>
    <w:rsid w:val="00412874"/>
    <w:rsid w:val="00412E9A"/>
    <w:rsid w:val="004135BC"/>
    <w:rsid w:val="004138DE"/>
    <w:rsid w:val="00415034"/>
    <w:rsid w:val="004156A1"/>
    <w:rsid w:val="00415B8F"/>
    <w:rsid w:val="00415F81"/>
    <w:rsid w:val="00420B69"/>
    <w:rsid w:val="00420F83"/>
    <w:rsid w:val="004217D0"/>
    <w:rsid w:val="00421D99"/>
    <w:rsid w:val="004221AD"/>
    <w:rsid w:val="00424410"/>
    <w:rsid w:val="00424955"/>
    <w:rsid w:val="00424C92"/>
    <w:rsid w:val="0042506F"/>
    <w:rsid w:val="004252F1"/>
    <w:rsid w:val="00425737"/>
    <w:rsid w:val="00426166"/>
    <w:rsid w:val="00426CBA"/>
    <w:rsid w:val="00427185"/>
    <w:rsid w:val="00427860"/>
    <w:rsid w:val="004307E8"/>
    <w:rsid w:val="004312C3"/>
    <w:rsid w:val="0043164B"/>
    <w:rsid w:val="00431D05"/>
    <w:rsid w:val="00431EAD"/>
    <w:rsid w:val="00431F34"/>
    <w:rsid w:val="00432347"/>
    <w:rsid w:val="0043242F"/>
    <w:rsid w:val="00432E3C"/>
    <w:rsid w:val="00433DD6"/>
    <w:rsid w:val="004362C0"/>
    <w:rsid w:val="004364FE"/>
    <w:rsid w:val="004367CD"/>
    <w:rsid w:val="0043683F"/>
    <w:rsid w:val="00436A94"/>
    <w:rsid w:val="00436AE6"/>
    <w:rsid w:val="004402C9"/>
    <w:rsid w:val="004404F8"/>
    <w:rsid w:val="0044093D"/>
    <w:rsid w:val="00440DF1"/>
    <w:rsid w:val="00440F16"/>
    <w:rsid w:val="00440FD0"/>
    <w:rsid w:val="004411DC"/>
    <w:rsid w:val="00441B61"/>
    <w:rsid w:val="00442D83"/>
    <w:rsid w:val="0044329D"/>
    <w:rsid w:val="004432A3"/>
    <w:rsid w:val="00443815"/>
    <w:rsid w:val="00443856"/>
    <w:rsid w:val="0044394C"/>
    <w:rsid w:val="00443966"/>
    <w:rsid w:val="00443E5A"/>
    <w:rsid w:val="00443F4D"/>
    <w:rsid w:val="00444281"/>
    <w:rsid w:val="004456CE"/>
    <w:rsid w:val="00446E94"/>
    <w:rsid w:val="00446ED7"/>
    <w:rsid w:val="004478EB"/>
    <w:rsid w:val="00447AB5"/>
    <w:rsid w:val="00447D82"/>
    <w:rsid w:val="00447FB3"/>
    <w:rsid w:val="00450CCF"/>
    <w:rsid w:val="004526A4"/>
    <w:rsid w:val="00452E57"/>
    <w:rsid w:val="00453127"/>
    <w:rsid w:val="0045346F"/>
    <w:rsid w:val="0045364A"/>
    <w:rsid w:val="004538C4"/>
    <w:rsid w:val="004539ED"/>
    <w:rsid w:val="00453A7C"/>
    <w:rsid w:val="004541DA"/>
    <w:rsid w:val="00454351"/>
    <w:rsid w:val="004543BA"/>
    <w:rsid w:val="00454446"/>
    <w:rsid w:val="0045460D"/>
    <w:rsid w:val="00454844"/>
    <w:rsid w:val="00456B09"/>
    <w:rsid w:val="00456EB1"/>
    <w:rsid w:val="004577EC"/>
    <w:rsid w:val="00460135"/>
    <w:rsid w:val="00460339"/>
    <w:rsid w:val="00460896"/>
    <w:rsid w:val="00460AD5"/>
    <w:rsid w:val="0046104A"/>
    <w:rsid w:val="00461CF6"/>
    <w:rsid w:val="00461D12"/>
    <w:rsid w:val="00461D29"/>
    <w:rsid w:val="004622F9"/>
    <w:rsid w:val="00462477"/>
    <w:rsid w:val="004633CF"/>
    <w:rsid w:val="0046347C"/>
    <w:rsid w:val="00463612"/>
    <w:rsid w:val="00463BB3"/>
    <w:rsid w:val="00465061"/>
    <w:rsid w:val="004655BA"/>
    <w:rsid w:val="00465AB5"/>
    <w:rsid w:val="00466794"/>
    <w:rsid w:val="00467CAB"/>
    <w:rsid w:val="00467F74"/>
    <w:rsid w:val="00470568"/>
    <w:rsid w:val="00470BA4"/>
    <w:rsid w:val="0047116B"/>
    <w:rsid w:val="0047244A"/>
    <w:rsid w:val="004724DA"/>
    <w:rsid w:val="00473DF7"/>
    <w:rsid w:val="00474311"/>
    <w:rsid w:val="00474623"/>
    <w:rsid w:val="0047576E"/>
    <w:rsid w:val="004768E3"/>
    <w:rsid w:val="004768EB"/>
    <w:rsid w:val="00476CB2"/>
    <w:rsid w:val="00476DC3"/>
    <w:rsid w:val="00476F22"/>
    <w:rsid w:val="004772BF"/>
    <w:rsid w:val="00477D05"/>
    <w:rsid w:val="0048071E"/>
    <w:rsid w:val="00480771"/>
    <w:rsid w:val="00481325"/>
    <w:rsid w:val="00481471"/>
    <w:rsid w:val="0048189E"/>
    <w:rsid w:val="00482936"/>
    <w:rsid w:val="00483262"/>
    <w:rsid w:val="00483291"/>
    <w:rsid w:val="00483803"/>
    <w:rsid w:val="00484A22"/>
    <w:rsid w:val="00484B52"/>
    <w:rsid w:val="00485438"/>
    <w:rsid w:val="0048601C"/>
    <w:rsid w:val="00486120"/>
    <w:rsid w:val="00486891"/>
    <w:rsid w:val="00486AF1"/>
    <w:rsid w:val="004879B0"/>
    <w:rsid w:val="004902BE"/>
    <w:rsid w:val="00490396"/>
    <w:rsid w:val="004908AC"/>
    <w:rsid w:val="00490BB3"/>
    <w:rsid w:val="00490F13"/>
    <w:rsid w:val="004910CE"/>
    <w:rsid w:val="00491CE3"/>
    <w:rsid w:val="004920B3"/>
    <w:rsid w:val="004921AF"/>
    <w:rsid w:val="0049260D"/>
    <w:rsid w:val="004930C4"/>
    <w:rsid w:val="00493172"/>
    <w:rsid w:val="00493D1F"/>
    <w:rsid w:val="00493EB2"/>
    <w:rsid w:val="0049405B"/>
    <w:rsid w:val="004941F4"/>
    <w:rsid w:val="004948EE"/>
    <w:rsid w:val="00496C97"/>
    <w:rsid w:val="0049707E"/>
    <w:rsid w:val="004972A8"/>
    <w:rsid w:val="00497FEF"/>
    <w:rsid w:val="004A1862"/>
    <w:rsid w:val="004A20C1"/>
    <w:rsid w:val="004A224E"/>
    <w:rsid w:val="004A394F"/>
    <w:rsid w:val="004A4384"/>
    <w:rsid w:val="004A45FF"/>
    <w:rsid w:val="004A4984"/>
    <w:rsid w:val="004A55C5"/>
    <w:rsid w:val="004A5B08"/>
    <w:rsid w:val="004A5C61"/>
    <w:rsid w:val="004A6258"/>
    <w:rsid w:val="004A6466"/>
    <w:rsid w:val="004A73E9"/>
    <w:rsid w:val="004A7E65"/>
    <w:rsid w:val="004B0291"/>
    <w:rsid w:val="004B1274"/>
    <w:rsid w:val="004B1754"/>
    <w:rsid w:val="004B2050"/>
    <w:rsid w:val="004B20D2"/>
    <w:rsid w:val="004B322A"/>
    <w:rsid w:val="004B35AA"/>
    <w:rsid w:val="004B4974"/>
    <w:rsid w:val="004B517F"/>
    <w:rsid w:val="004B6749"/>
    <w:rsid w:val="004B7EF2"/>
    <w:rsid w:val="004C0A1B"/>
    <w:rsid w:val="004C0A4E"/>
    <w:rsid w:val="004C0ECD"/>
    <w:rsid w:val="004C1259"/>
    <w:rsid w:val="004C19C6"/>
    <w:rsid w:val="004C2056"/>
    <w:rsid w:val="004C21FC"/>
    <w:rsid w:val="004C255A"/>
    <w:rsid w:val="004C2D3E"/>
    <w:rsid w:val="004C2E72"/>
    <w:rsid w:val="004C31FC"/>
    <w:rsid w:val="004C3866"/>
    <w:rsid w:val="004C3B97"/>
    <w:rsid w:val="004C455B"/>
    <w:rsid w:val="004C4B1D"/>
    <w:rsid w:val="004C4F17"/>
    <w:rsid w:val="004C528A"/>
    <w:rsid w:val="004C5394"/>
    <w:rsid w:val="004C58AF"/>
    <w:rsid w:val="004C5AFF"/>
    <w:rsid w:val="004C5B57"/>
    <w:rsid w:val="004C6203"/>
    <w:rsid w:val="004C63B0"/>
    <w:rsid w:val="004C6A81"/>
    <w:rsid w:val="004C6D41"/>
    <w:rsid w:val="004C6E40"/>
    <w:rsid w:val="004C7861"/>
    <w:rsid w:val="004D01B8"/>
    <w:rsid w:val="004D1861"/>
    <w:rsid w:val="004D1F7C"/>
    <w:rsid w:val="004D245E"/>
    <w:rsid w:val="004D32BE"/>
    <w:rsid w:val="004D34DD"/>
    <w:rsid w:val="004D3CE6"/>
    <w:rsid w:val="004D3F40"/>
    <w:rsid w:val="004D4911"/>
    <w:rsid w:val="004D54A0"/>
    <w:rsid w:val="004D64E4"/>
    <w:rsid w:val="004D6912"/>
    <w:rsid w:val="004D7426"/>
    <w:rsid w:val="004D750E"/>
    <w:rsid w:val="004D7B7B"/>
    <w:rsid w:val="004E083A"/>
    <w:rsid w:val="004E101C"/>
    <w:rsid w:val="004E19C3"/>
    <w:rsid w:val="004E1C91"/>
    <w:rsid w:val="004E2304"/>
    <w:rsid w:val="004E31E9"/>
    <w:rsid w:val="004E3493"/>
    <w:rsid w:val="004E37B0"/>
    <w:rsid w:val="004E3C68"/>
    <w:rsid w:val="004E3FE2"/>
    <w:rsid w:val="004E5D39"/>
    <w:rsid w:val="004E6824"/>
    <w:rsid w:val="004E7A37"/>
    <w:rsid w:val="004F0348"/>
    <w:rsid w:val="004F0A9F"/>
    <w:rsid w:val="004F0AEE"/>
    <w:rsid w:val="004F18E4"/>
    <w:rsid w:val="004F1942"/>
    <w:rsid w:val="004F1C78"/>
    <w:rsid w:val="004F1DF0"/>
    <w:rsid w:val="004F221F"/>
    <w:rsid w:val="004F23BB"/>
    <w:rsid w:val="004F254B"/>
    <w:rsid w:val="004F3BF5"/>
    <w:rsid w:val="004F3CE6"/>
    <w:rsid w:val="004F3CF3"/>
    <w:rsid w:val="004F4320"/>
    <w:rsid w:val="004F48F1"/>
    <w:rsid w:val="004F5575"/>
    <w:rsid w:val="004F58CA"/>
    <w:rsid w:val="004F6936"/>
    <w:rsid w:val="004F6BA2"/>
    <w:rsid w:val="00500F20"/>
    <w:rsid w:val="005019B6"/>
    <w:rsid w:val="00501B2B"/>
    <w:rsid w:val="005024AA"/>
    <w:rsid w:val="00502D87"/>
    <w:rsid w:val="005038CA"/>
    <w:rsid w:val="00504B21"/>
    <w:rsid w:val="005053B0"/>
    <w:rsid w:val="00505CD1"/>
    <w:rsid w:val="00505F70"/>
    <w:rsid w:val="005060DE"/>
    <w:rsid w:val="00506521"/>
    <w:rsid w:val="00506895"/>
    <w:rsid w:val="00506C38"/>
    <w:rsid w:val="00506ED3"/>
    <w:rsid w:val="005102BA"/>
    <w:rsid w:val="00511005"/>
    <w:rsid w:val="00511DFC"/>
    <w:rsid w:val="00512CFF"/>
    <w:rsid w:val="005139F1"/>
    <w:rsid w:val="00513CA2"/>
    <w:rsid w:val="00513EEF"/>
    <w:rsid w:val="00513F02"/>
    <w:rsid w:val="00516824"/>
    <w:rsid w:val="005170FD"/>
    <w:rsid w:val="005202D8"/>
    <w:rsid w:val="0052085F"/>
    <w:rsid w:val="0052109E"/>
    <w:rsid w:val="005221D0"/>
    <w:rsid w:val="005223EE"/>
    <w:rsid w:val="00522BEA"/>
    <w:rsid w:val="00522C0E"/>
    <w:rsid w:val="00522F27"/>
    <w:rsid w:val="00523112"/>
    <w:rsid w:val="005234AA"/>
    <w:rsid w:val="005238F3"/>
    <w:rsid w:val="00523FA1"/>
    <w:rsid w:val="005241C3"/>
    <w:rsid w:val="00524611"/>
    <w:rsid w:val="00524A2C"/>
    <w:rsid w:val="00524D43"/>
    <w:rsid w:val="00524FF4"/>
    <w:rsid w:val="005252C7"/>
    <w:rsid w:val="00525A8B"/>
    <w:rsid w:val="00525ABD"/>
    <w:rsid w:val="00525DBF"/>
    <w:rsid w:val="00526BCE"/>
    <w:rsid w:val="00527D0B"/>
    <w:rsid w:val="00530CEA"/>
    <w:rsid w:val="005312C8"/>
    <w:rsid w:val="00532637"/>
    <w:rsid w:val="0053294B"/>
    <w:rsid w:val="0053453C"/>
    <w:rsid w:val="00535BCB"/>
    <w:rsid w:val="00535ECC"/>
    <w:rsid w:val="0053609E"/>
    <w:rsid w:val="00536214"/>
    <w:rsid w:val="005362DC"/>
    <w:rsid w:val="0053787B"/>
    <w:rsid w:val="00537CCF"/>
    <w:rsid w:val="00537D6D"/>
    <w:rsid w:val="005408A0"/>
    <w:rsid w:val="00540A0A"/>
    <w:rsid w:val="005413A2"/>
    <w:rsid w:val="00542630"/>
    <w:rsid w:val="0054282C"/>
    <w:rsid w:val="00542EB0"/>
    <w:rsid w:val="0054345A"/>
    <w:rsid w:val="005436D8"/>
    <w:rsid w:val="00543890"/>
    <w:rsid w:val="005438C8"/>
    <w:rsid w:val="00544C5E"/>
    <w:rsid w:val="005452F6"/>
    <w:rsid w:val="00546878"/>
    <w:rsid w:val="0054691B"/>
    <w:rsid w:val="00546FE8"/>
    <w:rsid w:val="005472EF"/>
    <w:rsid w:val="005500FD"/>
    <w:rsid w:val="00551880"/>
    <w:rsid w:val="005520DA"/>
    <w:rsid w:val="0055297D"/>
    <w:rsid w:val="00552FDF"/>
    <w:rsid w:val="0055332C"/>
    <w:rsid w:val="00553BEB"/>
    <w:rsid w:val="005550EC"/>
    <w:rsid w:val="00555F6D"/>
    <w:rsid w:val="00556549"/>
    <w:rsid w:val="00556ED3"/>
    <w:rsid w:val="00557602"/>
    <w:rsid w:val="00557878"/>
    <w:rsid w:val="005579BB"/>
    <w:rsid w:val="00560792"/>
    <w:rsid w:val="00561D5D"/>
    <w:rsid w:val="00561F74"/>
    <w:rsid w:val="00562166"/>
    <w:rsid w:val="005629D2"/>
    <w:rsid w:val="005636C1"/>
    <w:rsid w:val="00563FB2"/>
    <w:rsid w:val="0056425E"/>
    <w:rsid w:val="00564482"/>
    <w:rsid w:val="00565BD0"/>
    <w:rsid w:val="00566BF6"/>
    <w:rsid w:val="00566EF8"/>
    <w:rsid w:val="00566F8C"/>
    <w:rsid w:val="0057013D"/>
    <w:rsid w:val="005706A5"/>
    <w:rsid w:val="005709EB"/>
    <w:rsid w:val="00570D13"/>
    <w:rsid w:val="0057103E"/>
    <w:rsid w:val="00571DA9"/>
    <w:rsid w:val="00571F2A"/>
    <w:rsid w:val="00571F68"/>
    <w:rsid w:val="00573F30"/>
    <w:rsid w:val="00574004"/>
    <w:rsid w:val="005745C5"/>
    <w:rsid w:val="005748A6"/>
    <w:rsid w:val="00574CFD"/>
    <w:rsid w:val="00575867"/>
    <w:rsid w:val="00575B7B"/>
    <w:rsid w:val="00576320"/>
    <w:rsid w:val="00576648"/>
    <w:rsid w:val="00576E03"/>
    <w:rsid w:val="00576EA8"/>
    <w:rsid w:val="00576F8B"/>
    <w:rsid w:val="005770E1"/>
    <w:rsid w:val="00577BBC"/>
    <w:rsid w:val="00580520"/>
    <w:rsid w:val="005807CE"/>
    <w:rsid w:val="0058094F"/>
    <w:rsid w:val="00580FB4"/>
    <w:rsid w:val="005813FE"/>
    <w:rsid w:val="0058165A"/>
    <w:rsid w:val="00581690"/>
    <w:rsid w:val="00581DF0"/>
    <w:rsid w:val="00583A1A"/>
    <w:rsid w:val="00583E5F"/>
    <w:rsid w:val="005848AC"/>
    <w:rsid w:val="00584B78"/>
    <w:rsid w:val="00584C44"/>
    <w:rsid w:val="00585886"/>
    <w:rsid w:val="00585CE2"/>
    <w:rsid w:val="00586260"/>
    <w:rsid w:val="00587E6A"/>
    <w:rsid w:val="00590E98"/>
    <w:rsid w:val="005910D6"/>
    <w:rsid w:val="00591233"/>
    <w:rsid w:val="00591604"/>
    <w:rsid w:val="005922E7"/>
    <w:rsid w:val="0059251A"/>
    <w:rsid w:val="00593080"/>
    <w:rsid w:val="00593497"/>
    <w:rsid w:val="0059466C"/>
    <w:rsid w:val="00594673"/>
    <w:rsid w:val="00594C37"/>
    <w:rsid w:val="00594E7F"/>
    <w:rsid w:val="005950F5"/>
    <w:rsid w:val="0059683B"/>
    <w:rsid w:val="005970A4"/>
    <w:rsid w:val="005A0D9A"/>
    <w:rsid w:val="005A1A14"/>
    <w:rsid w:val="005A23EE"/>
    <w:rsid w:val="005A2A2B"/>
    <w:rsid w:val="005A2B73"/>
    <w:rsid w:val="005A37E8"/>
    <w:rsid w:val="005A387F"/>
    <w:rsid w:val="005A38F8"/>
    <w:rsid w:val="005A39BB"/>
    <w:rsid w:val="005A3B0A"/>
    <w:rsid w:val="005A49AC"/>
    <w:rsid w:val="005A54D2"/>
    <w:rsid w:val="005A68D9"/>
    <w:rsid w:val="005A70DC"/>
    <w:rsid w:val="005A720E"/>
    <w:rsid w:val="005A7411"/>
    <w:rsid w:val="005A7AEF"/>
    <w:rsid w:val="005A7B3A"/>
    <w:rsid w:val="005A7DFF"/>
    <w:rsid w:val="005A7E97"/>
    <w:rsid w:val="005B1580"/>
    <w:rsid w:val="005B16C6"/>
    <w:rsid w:val="005B1DB2"/>
    <w:rsid w:val="005B2200"/>
    <w:rsid w:val="005B2610"/>
    <w:rsid w:val="005B3247"/>
    <w:rsid w:val="005B333C"/>
    <w:rsid w:val="005B35CC"/>
    <w:rsid w:val="005B4654"/>
    <w:rsid w:val="005B4F5F"/>
    <w:rsid w:val="005B4F93"/>
    <w:rsid w:val="005B5341"/>
    <w:rsid w:val="005B60B5"/>
    <w:rsid w:val="005B6284"/>
    <w:rsid w:val="005B66A2"/>
    <w:rsid w:val="005B7133"/>
    <w:rsid w:val="005B73C0"/>
    <w:rsid w:val="005B7728"/>
    <w:rsid w:val="005B7F4C"/>
    <w:rsid w:val="005C0913"/>
    <w:rsid w:val="005C0978"/>
    <w:rsid w:val="005C10B7"/>
    <w:rsid w:val="005C1B5D"/>
    <w:rsid w:val="005C1D74"/>
    <w:rsid w:val="005C2027"/>
    <w:rsid w:val="005C23CC"/>
    <w:rsid w:val="005C242C"/>
    <w:rsid w:val="005C2487"/>
    <w:rsid w:val="005C2ACE"/>
    <w:rsid w:val="005C3552"/>
    <w:rsid w:val="005C3816"/>
    <w:rsid w:val="005C42C7"/>
    <w:rsid w:val="005C4926"/>
    <w:rsid w:val="005C5140"/>
    <w:rsid w:val="005C585E"/>
    <w:rsid w:val="005C6698"/>
    <w:rsid w:val="005C6E7F"/>
    <w:rsid w:val="005D00B1"/>
    <w:rsid w:val="005D0117"/>
    <w:rsid w:val="005D02FD"/>
    <w:rsid w:val="005D1358"/>
    <w:rsid w:val="005D1F44"/>
    <w:rsid w:val="005D2062"/>
    <w:rsid w:val="005D2E81"/>
    <w:rsid w:val="005D32A9"/>
    <w:rsid w:val="005D32E3"/>
    <w:rsid w:val="005D33A2"/>
    <w:rsid w:val="005D353B"/>
    <w:rsid w:val="005D3FDD"/>
    <w:rsid w:val="005D4CC4"/>
    <w:rsid w:val="005D4D48"/>
    <w:rsid w:val="005D5956"/>
    <w:rsid w:val="005D5A6D"/>
    <w:rsid w:val="005D5F76"/>
    <w:rsid w:val="005D6163"/>
    <w:rsid w:val="005E0101"/>
    <w:rsid w:val="005E0492"/>
    <w:rsid w:val="005E193D"/>
    <w:rsid w:val="005E1AC7"/>
    <w:rsid w:val="005E1C5F"/>
    <w:rsid w:val="005E1CDA"/>
    <w:rsid w:val="005E21B7"/>
    <w:rsid w:val="005E226E"/>
    <w:rsid w:val="005E2BD2"/>
    <w:rsid w:val="005E3563"/>
    <w:rsid w:val="005E619B"/>
    <w:rsid w:val="005E6C0C"/>
    <w:rsid w:val="005E7497"/>
    <w:rsid w:val="005E76D4"/>
    <w:rsid w:val="005E7AA7"/>
    <w:rsid w:val="005F0222"/>
    <w:rsid w:val="005F06E4"/>
    <w:rsid w:val="005F0955"/>
    <w:rsid w:val="005F0C09"/>
    <w:rsid w:val="005F0D20"/>
    <w:rsid w:val="005F0D2E"/>
    <w:rsid w:val="005F0FD5"/>
    <w:rsid w:val="005F1A92"/>
    <w:rsid w:val="005F20B7"/>
    <w:rsid w:val="005F2624"/>
    <w:rsid w:val="005F30AC"/>
    <w:rsid w:val="005F43F2"/>
    <w:rsid w:val="005F477C"/>
    <w:rsid w:val="005F4E0B"/>
    <w:rsid w:val="005F5401"/>
    <w:rsid w:val="005F5C09"/>
    <w:rsid w:val="005F5FD8"/>
    <w:rsid w:val="005F6061"/>
    <w:rsid w:val="005F661F"/>
    <w:rsid w:val="005F6684"/>
    <w:rsid w:val="005F66F9"/>
    <w:rsid w:val="005F6BD1"/>
    <w:rsid w:val="005F6CA9"/>
    <w:rsid w:val="005F7599"/>
    <w:rsid w:val="005F7A72"/>
    <w:rsid w:val="005F7EA0"/>
    <w:rsid w:val="0060012F"/>
    <w:rsid w:val="00602382"/>
    <w:rsid w:val="006027EC"/>
    <w:rsid w:val="00602863"/>
    <w:rsid w:val="0060294C"/>
    <w:rsid w:val="00602ADE"/>
    <w:rsid w:val="00603328"/>
    <w:rsid w:val="00604823"/>
    <w:rsid w:val="00604A6E"/>
    <w:rsid w:val="00605493"/>
    <w:rsid w:val="00605AA6"/>
    <w:rsid w:val="00605C4A"/>
    <w:rsid w:val="00606344"/>
    <w:rsid w:val="00606AB8"/>
    <w:rsid w:val="00606D30"/>
    <w:rsid w:val="00606D6E"/>
    <w:rsid w:val="00606FB6"/>
    <w:rsid w:val="00606FE5"/>
    <w:rsid w:val="00607061"/>
    <w:rsid w:val="00607783"/>
    <w:rsid w:val="00607973"/>
    <w:rsid w:val="006107E9"/>
    <w:rsid w:val="00610B30"/>
    <w:rsid w:val="00611354"/>
    <w:rsid w:val="006123FB"/>
    <w:rsid w:val="00612ABA"/>
    <w:rsid w:val="00612BD4"/>
    <w:rsid w:val="006148CA"/>
    <w:rsid w:val="00614A54"/>
    <w:rsid w:val="00614D5E"/>
    <w:rsid w:val="006151E9"/>
    <w:rsid w:val="00615392"/>
    <w:rsid w:val="006161A8"/>
    <w:rsid w:val="00616709"/>
    <w:rsid w:val="00616CA6"/>
    <w:rsid w:val="006176E4"/>
    <w:rsid w:val="00617D5F"/>
    <w:rsid w:val="00617E94"/>
    <w:rsid w:val="006205D3"/>
    <w:rsid w:val="0062081B"/>
    <w:rsid w:val="006212D1"/>
    <w:rsid w:val="006215F5"/>
    <w:rsid w:val="00621ADD"/>
    <w:rsid w:val="00621C26"/>
    <w:rsid w:val="00621E01"/>
    <w:rsid w:val="006234B0"/>
    <w:rsid w:val="00623B4D"/>
    <w:rsid w:val="00624097"/>
    <w:rsid w:val="00624468"/>
    <w:rsid w:val="00624DB1"/>
    <w:rsid w:val="006257A2"/>
    <w:rsid w:val="00625F05"/>
    <w:rsid w:val="0062635B"/>
    <w:rsid w:val="00626B39"/>
    <w:rsid w:val="006273FD"/>
    <w:rsid w:val="006275D6"/>
    <w:rsid w:val="00627F10"/>
    <w:rsid w:val="006301DF"/>
    <w:rsid w:val="006304ED"/>
    <w:rsid w:val="006305DF"/>
    <w:rsid w:val="00631E3C"/>
    <w:rsid w:val="006322E9"/>
    <w:rsid w:val="00632BE5"/>
    <w:rsid w:val="00632EB3"/>
    <w:rsid w:val="006335A7"/>
    <w:rsid w:val="00633662"/>
    <w:rsid w:val="006345CB"/>
    <w:rsid w:val="006345F4"/>
    <w:rsid w:val="00634947"/>
    <w:rsid w:val="00634A5A"/>
    <w:rsid w:val="0063504A"/>
    <w:rsid w:val="0063523F"/>
    <w:rsid w:val="00635AB3"/>
    <w:rsid w:val="00635F64"/>
    <w:rsid w:val="00636826"/>
    <w:rsid w:val="006374CF"/>
    <w:rsid w:val="006375E0"/>
    <w:rsid w:val="00637DDA"/>
    <w:rsid w:val="00640AA7"/>
    <w:rsid w:val="00640C15"/>
    <w:rsid w:val="00641385"/>
    <w:rsid w:val="006425CF"/>
    <w:rsid w:val="00642C2F"/>
    <w:rsid w:val="00642EEF"/>
    <w:rsid w:val="0064319E"/>
    <w:rsid w:val="00643A0F"/>
    <w:rsid w:val="00643E05"/>
    <w:rsid w:val="0064474A"/>
    <w:rsid w:val="006453CC"/>
    <w:rsid w:val="00645D3E"/>
    <w:rsid w:val="00645FCF"/>
    <w:rsid w:val="0064600F"/>
    <w:rsid w:val="00646751"/>
    <w:rsid w:val="0064765C"/>
    <w:rsid w:val="006477A1"/>
    <w:rsid w:val="00650DC4"/>
    <w:rsid w:val="00651189"/>
    <w:rsid w:val="00652039"/>
    <w:rsid w:val="006521E8"/>
    <w:rsid w:val="006525BD"/>
    <w:rsid w:val="00653CD9"/>
    <w:rsid w:val="006545BD"/>
    <w:rsid w:val="006546E6"/>
    <w:rsid w:val="00655013"/>
    <w:rsid w:val="006575AF"/>
    <w:rsid w:val="00657A69"/>
    <w:rsid w:val="0066065A"/>
    <w:rsid w:val="00660D52"/>
    <w:rsid w:val="00661902"/>
    <w:rsid w:val="00661DD9"/>
    <w:rsid w:val="0066267F"/>
    <w:rsid w:val="00662811"/>
    <w:rsid w:val="006655FD"/>
    <w:rsid w:val="00665CAD"/>
    <w:rsid w:val="00670713"/>
    <w:rsid w:val="006709BD"/>
    <w:rsid w:val="00670D33"/>
    <w:rsid w:val="00670DD3"/>
    <w:rsid w:val="00672B5A"/>
    <w:rsid w:val="00672FF3"/>
    <w:rsid w:val="00673544"/>
    <w:rsid w:val="0067560E"/>
    <w:rsid w:val="0067569E"/>
    <w:rsid w:val="00675F20"/>
    <w:rsid w:val="00676EF0"/>
    <w:rsid w:val="0067745E"/>
    <w:rsid w:val="00677AFD"/>
    <w:rsid w:val="00677EC5"/>
    <w:rsid w:val="006818B2"/>
    <w:rsid w:val="00681981"/>
    <w:rsid w:val="00681F71"/>
    <w:rsid w:val="0068299B"/>
    <w:rsid w:val="00682D8B"/>
    <w:rsid w:val="00683379"/>
    <w:rsid w:val="00683DDC"/>
    <w:rsid w:val="00683FB0"/>
    <w:rsid w:val="00684199"/>
    <w:rsid w:val="0068425A"/>
    <w:rsid w:val="00684AB4"/>
    <w:rsid w:val="006853DB"/>
    <w:rsid w:val="006857B9"/>
    <w:rsid w:val="00687409"/>
    <w:rsid w:val="00687414"/>
    <w:rsid w:val="00687BB6"/>
    <w:rsid w:val="00687FE6"/>
    <w:rsid w:val="00690132"/>
    <w:rsid w:val="00690881"/>
    <w:rsid w:val="006912D0"/>
    <w:rsid w:val="00691BAD"/>
    <w:rsid w:val="00691C8F"/>
    <w:rsid w:val="00691FDF"/>
    <w:rsid w:val="00692241"/>
    <w:rsid w:val="006936A1"/>
    <w:rsid w:val="00693BC1"/>
    <w:rsid w:val="00694AFD"/>
    <w:rsid w:val="00694BE6"/>
    <w:rsid w:val="00696CE4"/>
    <w:rsid w:val="00697CED"/>
    <w:rsid w:val="006A0767"/>
    <w:rsid w:val="006A097B"/>
    <w:rsid w:val="006A18D4"/>
    <w:rsid w:val="006A27A9"/>
    <w:rsid w:val="006A2E84"/>
    <w:rsid w:val="006A2F61"/>
    <w:rsid w:val="006A3006"/>
    <w:rsid w:val="006A3B07"/>
    <w:rsid w:val="006A4D2B"/>
    <w:rsid w:val="006A4F98"/>
    <w:rsid w:val="006A516A"/>
    <w:rsid w:val="006A59BE"/>
    <w:rsid w:val="006A62C2"/>
    <w:rsid w:val="006A69BB"/>
    <w:rsid w:val="006A6A6E"/>
    <w:rsid w:val="006A6F2D"/>
    <w:rsid w:val="006A708A"/>
    <w:rsid w:val="006A74BE"/>
    <w:rsid w:val="006A7E83"/>
    <w:rsid w:val="006B02F6"/>
    <w:rsid w:val="006B1BC5"/>
    <w:rsid w:val="006B24F3"/>
    <w:rsid w:val="006B2562"/>
    <w:rsid w:val="006B30DA"/>
    <w:rsid w:val="006B3551"/>
    <w:rsid w:val="006B43EC"/>
    <w:rsid w:val="006B46AC"/>
    <w:rsid w:val="006B55C6"/>
    <w:rsid w:val="006B6284"/>
    <w:rsid w:val="006B65C5"/>
    <w:rsid w:val="006B770F"/>
    <w:rsid w:val="006B7E2A"/>
    <w:rsid w:val="006C0379"/>
    <w:rsid w:val="006C06E6"/>
    <w:rsid w:val="006C0D93"/>
    <w:rsid w:val="006C2217"/>
    <w:rsid w:val="006C2B05"/>
    <w:rsid w:val="006C316F"/>
    <w:rsid w:val="006C3818"/>
    <w:rsid w:val="006C3C42"/>
    <w:rsid w:val="006C3CCF"/>
    <w:rsid w:val="006C42F9"/>
    <w:rsid w:val="006C5549"/>
    <w:rsid w:val="006C59DB"/>
    <w:rsid w:val="006C5A75"/>
    <w:rsid w:val="006C5CD6"/>
    <w:rsid w:val="006C6BFD"/>
    <w:rsid w:val="006C752B"/>
    <w:rsid w:val="006D1105"/>
    <w:rsid w:val="006D1205"/>
    <w:rsid w:val="006D163E"/>
    <w:rsid w:val="006D177F"/>
    <w:rsid w:val="006D1DF0"/>
    <w:rsid w:val="006D2944"/>
    <w:rsid w:val="006D2E7A"/>
    <w:rsid w:val="006D32D4"/>
    <w:rsid w:val="006D3C11"/>
    <w:rsid w:val="006D4FAE"/>
    <w:rsid w:val="006D5549"/>
    <w:rsid w:val="006D55F2"/>
    <w:rsid w:val="006D575C"/>
    <w:rsid w:val="006D5985"/>
    <w:rsid w:val="006D59B4"/>
    <w:rsid w:val="006D5BA6"/>
    <w:rsid w:val="006D5BAF"/>
    <w:rsid w:val="006D664C"/>
    <w:rsid w:val="006D67A4"/>
    <w:rsid w:val="006D684D"/>
    <w:rsid w:val="006D7454"/>
    <w:rsid w:val="006D7522"/>
    <w:rsid w:val="006D793D"/>
    <w:rsid w:val="006D7F76"/>
    <w:rsid w:val="006E0108"/>
    <w:rsid w:val="006E07F0"/>
    <w:rsid w:val="006E0DD9"/>
    <w:rsid w:val="006E1497"/>
    <w:rsid w:val="006E1B2D"/>
    <w:rsid w:val="006E28BD"/>
    <w:rsid w:val="006E2B64"/>
    <w:rsid w:val="006E42D5"/>
    <w:rsid w:val="006E441A"/>
    <w:rsid w:val="006E4718"/>
    <w:rsid w:val="006E4A8E"/>
    <w:rsid w:val="006E4F36"/>
    <w:rsid w:val="006E6A97"/>
    <w:rsid w:val="006E6D43"/>
    <w:rsid w:val="006E7239"/>
    <w:rsid w:val="006F06C2"/>
    <w:rsid w:val="006F0E82"/>
    <w:rsid w:val="006F0F61"/>
    <w:rsid w:val="006F256F"/>
    <w:rsid w:val="006F2B69"/>
    <w:rsid w:val="006F35FC"/>
    <w:rsid w:val="006F473D"/>
    <w:rsid w:val="006F4A0B"/>
    <w:rsid w:val="006F4E01"/>
    <w:rsid w:val="006F5466"/>
    <w:rsid w:val="006F5B6A"/>
    <w:rsid w:val="006F6A4A"/>
    <w:rsid w:val="006F6D89"/>
    <w:rsid w:val="006F7195"/>
    <w:rsid w:val="007007D3"/>
    <w:rsid w:val="00701B08"/>
    <w:rsid w:val="00701D9F"/>
    <w:rsid w:val="00701E9A"/>
    <w:rsid w:val="00703A9A"/>
    <w:rsid w:val="0070552A"/>
    <w:rsid w:val="00705698"/>
    <w:rsid w:val="00706396"/>
    <w:rsid w:val="007064F4"/>
    <w:rsid w:val="007069F0"/>
    <w:rsid w:val="00706D0D"/>
    <w:rsid w:val="00707D7D"/>
    <w:rsid w:val="0071016F"/>
    <w:rsid w:val="007101C3"/>
    <w:rsid w:val="007106B8"/>
    <w:rsid w:val="00710D37"/>
    <w:rsid w:val="0071148F"/>
    <w:rsid w:val="0071165B"/>
    <w:rsid w:val="007121F3"/>
    <w:rsid w:val="007128D1"/>
    <w:rsid w:val="00712D56"/>
    <w:rsid w:val="00713394"/>
    <w:rsid w:val="00713699"/>
    <w:rsid w:val="00713755"/>
    <w:rsid w:val="00713867"/>
    <w:rsid w:val="00713E75"/>
    <w:rsid w:val="0071427D"/>
    <w:rsid w:val="007146E0"/>
    <w:rsid w:val="00714A0B"/>
    <w:rsid w:val="00714FA5"/>
    <w:rsid w:val="00714FB7"/>
    <w:rsid w:val="007150DF"/>
    <w:rsid w:val="007152CF"/>
    <w:rsid w:val="00717F2E"/>
    <w:rsid w:val="00720892"/>
    <w:rsid w:val="00720B98"/>
    <w:rsid w:val="007224F5"/>
    <w:rsid w:val="00722597"/>
    <w:rsid w:val="00723042"/>
    <w:rsid w:val="007231DF"/>
    <w:rsid w:val="0072372D"/>
    <w:rsid w:val="00723FF6"/>
    <w:rsid w:val="00724232"/>
    <w:rsid w:val="00724A2D"/>
    <w:rsid w:val="00724E04"/>
    <w:rsid w:val="00724FF4"/>
    <w:rsid w:val="00725CD7"/>
    <w:rsid w:val="00725D3D"/>
    <w:rsid w:val="0072623C"/>
    <w:rsid w:val="00726512"/>
    <w:rsid w:val="007272E4"/>
    <w:rsid w:val="00727352"/>
    <w:rsid w:val="00727B8D"/>
    <w:rsid w:val="00727E85"/>
    <w:rsid w:val="00727EE6"/>
    <w:rsid w:val="00730702"/>
    <w:rsid w:val="00730B21"/>
    <w:rsid w:val="00730B53"/>
    <w:rsid w:val="0073152B"/>
    <w:rsid w:val="0073263E"/>
    <w:rsid w:val="00732A9E"/>
    <w:rsid w:val="0073317B"/>
    <w:rsid w:val="0073405A"/>
    <w:rsid w:val="007355BD"/>
    <w:rsid w:val="00736021"/>
    <w:rsid w:val="00736B1A"/>
    <w:rsid w:val="00736CAE"/>
    <w:rsid w:val="00736DF7"/>
    <w:rsid w:val="007373CC"/>
    <w:rsid w:val="00737805"/>
    <w:rsid w:val="00737FC7"/>
    <w:rsid w:val="00740239"/>
    <w:rsid w:val="007408AB"/>
    <w:rsid w:val="00741041"/>
    <w:rsid w:val="007416C3"/>
    <w:rsid w:val="00741785"/>
    <w:rsid w:val="00742E25"/>
    <w:rsid w:val="007433F3"/>
    <w:rsid w:val="00743405"/>
    <w:rsid w:val="007439EF"/>
    <w:rsid w:val="00743CC0"/>
    <w:rsid w:val="0074426B"/>
    <w:rsid w:val="0074459C"/>
    <w:rsid w:val="0074478B"/>
    <w:rsid w:val="007458A0"/>
    <w:rsid w:val="00745F9D"/>
    <w:rsid w:val="007474F4"/>
    <w:rsid w:val="00750394"/>
    <w:rsid w:val="00751329"/>
    <w:rsid w:val="00751646"/>
    <w:rsid w:val="007516F1"/>
    <w:rsid w:val="007518DE"/>
    <w:rsid w:val="00751A87"/>
    <w:rsid w:val="00751AF8"/>
    <w:rsid w:val="00751ED7"/>
    <w:rsid w:val="0075227B"/>
    <w:rsid w:val="007523CB"/>
    <w:rsid w:val="007529ED"/>
    <w:rsid w:val="0075491A"/>
    <w:rsid w:val="00755E74"/>
    <w:rsid w:val="00756062"/>
    <w:rsid w:val="0075618E"/>
    <w:rsid w:val="00756290"/>
    <w:rsid w:val="0075719B"/>
    <w:rsid w:val="007578B1"/>
    <w:rsid w:val="0075797E"/>
    <w:rsid w:val="00757BF0"/>
    <w:rsid w:val="00757E4B"/>
    <w:rsid w:val="00757FD5"/>
    <w:rsid w:val="007605FA"/>
    <w:rsid w:val="00760672"/>
    <w:rsid w:val="00761033"/>
    <w:rsid w:val="0076122F"/>
    <w:rsid w:val="0076132D"/>
    <w:rsid w:val="007625FE"/>
    <w:rsid w:val="00762EE2"/>
    <w:rsid w:val="0076312C"/>
    <w:rsid w:val="00763488"/>
    <w:rsid w:val="0076404C"/>
    <w:rsid w:val="00765933"/>
    <w:rsid w:val="00765C73"/>
    <w:rsid w:val="007664AB"/>
    <w:rsid w:val="007664E4"/>
    <w:rsid w:val="0076651B"/>
    <w:rsid w:val="00766756"/>
    <w:rsid w:val="00766EBF"/>
    <w:rsid w:val="00770859"/>
    <w:rsid w:val="00770EF7"/>
    <w:rsid w:val="007716EF"/>
    <w:rsid w:val="00771988"/>
    <w:rsid w:val="00771D43"/>
    <w:rsid w:val="00772789"/>
    <w:rsid w:val="00772B43"/>
    <w:rsid w:val="0077322A"/>
    <w:rsid w:val="007736B4"/>
    <w:rsid w:val="007749D7"/>
    <w:rsid w:val="00775063"/>
    <w:rsid w:val="00775103"/>
    <w:rsid w:val="007759B2"/>
    <w:rsid w:val="00775F54"/>
    <w:rsid w:val="00776354"/>
    <w:rsid w:val="007766A1"/>
    <w:rsid w:val="00780676"/>
    <w:rsid w:val="0078070F"/>
    <w:rsid w:val="007807B6"/>
    <w:rsid w:val="00780C5F"/>
    <w:rsid w:val="00781413"/>
    <w:rsid w:val="0078195E"/>
    <w:rsid w:val="007824FA"/>
    <w:rsid w:val="00782B5B"/>
    <w:rsid w:val="00782D21"/>
    <w:rsid w:val="00782FA5"/>
    <w:rsid w:val="0078318E"/>
    <w:rsid w:val="00783F3D"/>
    <w:rsid w:val="00784A8C"/>
    <w:rsid w:val="00784E17"/>
    <w:rsid w:val="007854D9"/>
    <w:rsid w:val="007855E0"/>
    <w:rsid w:val="00785B63"/>
    <w:rsid w:val="007860A5"/>
    <w:rsid w:val="0078611D"/>
    <w:rsid w:val="00786396"/>
    <w:rsid w:val="00786598"/>
    <w:rsid w:val="007876B3"/>
    <w:rsid w:val="00787895"/>
    <w:rsid w:val="00790129"/>
    <w:rsid w:val="00790319"/>
    <w:rsid w:val="007904B1"/>
    <w:rsid w:val="00790AA3"/>
    <w:rsid w:val="00791168"/>
    <w:rsid w:val="00791391"/>
    <w:rsid w:val="007913B4"/>
    <w:rsid w:val="007917B5"/>
    <w:rsid w:val="00793527"/>
    <w:rsid w:val="0079359D"/>
    <w:rsid w:val="007943CF"/>
    <w:rsid w:val="0079459E"/>
    <w:rsid w:val="00794CE0"/>
    <w:rsid w:val="0079526C"/>
    <w:rsid w:val="00795321"/>
    <w:rsid w:val="00795DCA"/>
    <w:rsid w:val="00796317"/>
    <w:rsid w:val="0079646E"/>
    <w:rsid w:val="00797028"/>
    <w:rsid w:val="007973B3"/>
    <w:rsid w:val="00797473"/>
    <w:rsid w:val="007979C9"/>
    <w:rsid w:val="00797C9C"/>
    <w:rsid w:val="00797E4A"/>
    <w:rsid w:val="007A05A0"/>
    <w:rsid w:val="007A114F"/>
    <w:rsid w:val="007A1216"/>
    <w:rsid w:val="007A1329"/>
    <w:rsid w:val="007A2082"/>
    <w:rsid w:val="007A2297"/>
    <w:rsid w:val="007A38D5"/>
    <w:rsid w:val="007A3955"/>
    <w:rsid w:val="007A40DB"/>
    <w:rsid w:val="007A4118"/>
    <w:rsid w:val="007A46EC"/>
    <w:rsid w:val="007A4B9D"/>
    <w:rsid w:val="007A4DC3"/>
    <w:rsid w:val="007A575A"/>
    <w:rsid w:val="007A57CF"/>
    <w:rsid w:val="007A5DBB"/>
    <w:rsid w:val="007A6D0D"/>
    <w:rsid w:val="007A7552"/>
    <w:rsid w:val="007B02DA"/>
    <w:rsid w:val="007B073A"/>
    <w:rsid w:val="007B0839"/>
    <w:rsid w:val="007B0D9B"/>
    <w:rsid w:val="007B131A"/>
    <w:rsid w:val="007B200E"/>
    <w:rsid w:val="007B2703"/>
    <w:rsid w:val="007B272B"/>
    <w:rsid w:val="007B2FC1"/>
    <w:rsid w:val="007B3BCB"/>
    <w:rsid w:val="007B4291"/>
    <w:rsid w:val="007B466B"/>
    <w:rsid w:val="007B4A6A"/>
    <w:rsid w:val="007B6033"/>
    <w:rsid w:val="007B61FC"/>
    <w:rsid w:val="007B6F08"/>
    <w:rsid w:val="007C1EA7"/>
    <w:rsid w:val="007C265C"/>
    <w:rsid w:val="007C301D"/>
    <w:rsid w:val="007C4085"/>
    <w:rsid w:val="007C4B1D"/>
    <w:rsid w:val="007C52C5"/>
    <w:rsid w:val="007C56DF"/>
    <w:rsid w:val="007C57DB"/>
    <w:rsid w:val="007C5A42"/>
    <w:rsid w:val="007C66DB"/>
    <w:rsid w:val="007C76FF"/>
    <w:rsid w:val="007C7805"/>
    <w:rsid w:val="007C7C9E"/>
    <w:rsid w:val="007C7D45"/>
    <w:rsid w:val="007D00F4"/>
    <w:rsid w:val="007D0B65"/>
    <w:rsid w:val="007D2340"/>
    <w:rsid w:val="007D2410"/>
    <w:rsid w:val="007D27D3"/>
    <w:rsid w:val="007D2FAA"/>
    <w:rsid w:val="007D3B43"/>
    <w:rsid w:val="007D4680"/>
    <w:rsid w:val="007D49C0"/>
    <w:rsid w:val="007D4C42"/>
    <w:rsid w:val="007D4E7D"/>
    <w:rsid w:val="007D51E0"/>
    <w:rsid w:val="007D58C3"/>
    <w:rsid w:val="007D5F04"/>
    <w:rsid w:val="007D6CF0"/>
    <w:rsid w:val="007E05D3"/>
    <w:rsid w:val="007E0A48"/>
    <w:rsid w:val="007E0D65"/>
    <w:rsid w:val="007E172C"/>
    <w:rsid w:val="007E1819"/>
    <w:rsid w:val="007E2371"/>
    <w:rsid w:val="007E29E9"/>
    <w:rsid w:val="007E300A"/>
    <w:rsid w:val="007E3753"/>
    <w:rsid w:val="007E3BFC"/>
    <w:rsid w:val="007E4CAE"/>
    <w:rsid w:val="007E5AB1"/>
    <w:rsid w:val="007E5EB6"/>
    <w:rsid w:val="007E6486"/>
    <w:rsid w:val="007E702F"/>
    <w:rsid w:val="007E70FA"/>
    <w:rsid w:val="007E7366"/>
    <w:rsid w:val="007E74EA"/>
    <w:rsid w:val="007E7787"/>
    <w:rsid w:val="007F016F"/>
    <w:rsid w:val="007F03FE"/>
    <w:rsid w:val="007F0548"/>
    <w:rsid w:val="007F12FC"/>
    <w:rsid w:val="007F1734"/>
    <w:rsid w:val="007F1746"/>
    <w:rsid w:val="007F17C5"/>
    <w:rsid w:val="007F1D9E"/>
    <w:rsid w:val="007F1DAF"/>
    <w:rsid w:val="007F20D3"/>
    <w:rsid w:val="007F2B1F"/>
    <w:rsid w:val="007F305D"/>
    <w:rsid w:val="007F309B"/>
    <w:rsid w:val="007F3703"/>
    <w:rsid w:val="007F40C4"/>
    <w:rsid w:val="007F5E07"/>
    <w:rsid w:val="007F6DAF"/>
    <w:rsid w:val="007F6E96"/>
    <w:rsid w:val="007F75D6"/>
    <w:rsid w:val="007F7DEE"/>
    <w:rsid w:val="00800DEB"/>
    <w:rsid w:val="00801141"/>
    <w:rsid w:val="00801699"/>
    <w:rsid w:val="00801980"/>
    <w:rsid w:val="00801A93"/>
    <w:rsid w:val="00801AB7"/>
    <w:rsid w:val="00801DF0"/>
    <w:rsid w:val="0080277E"/>
    <w:rsid w:val="008027DB"/>
    <w:rsid w:val="00803C14"/>
    <w:rsid w:val="00804583"/>
    <w:rsid w:val="00804E29"/>
    <w:rsid w:val="0080542F"/>
    <w:rsid w:val="00805860"/>
    <w:rsid w:val="00805CFD"/>
    <w:rsid w:val="008063AC"/>
    <w:rsid w:val="00807DA5"/>
    <w:rsid w:val="00810F9C"/>
    <w:rsid w:val="008114F1"/>
    <w:rsid w:val="00811B1D"/>
    <w:rsid w:val="00815C3C"/>
    <w:rsid w:val="00815C6D"/>
    <w:rsid w:val="00816105"/>
    <w:rsid w:val="00816397"/>
    <w:rsid w:val="008171AA"/>
    <w:rsid w:val="00817E43"/>
    <w:rsid w:val="00817F8F"/>
    <w:rsid w:val="00820226"/>
    <w:rsid w:val="00820283"/>
    <w:rsid w:val="008208AC"/>
    <w:rsid w:val="00821A55"/>
    <w:rsid w:val="00822FE6"/>
    <w:rsid w:val="00823650"/>
    <w:rsid w:val="008239E9"/>
    <w:rsid w:val="008241A3"/>
    <w:rsid w:val="008243F7"/>
    <w:rsid w:val="00824A24"/>
    <w:rsid w:val="00824D49"/>
    <w:rsid w:val="008251F9"/>
    <w:rsid w:val="00825589"/>
    <w:rsid w:val="00826902"/>
    <w:rsid w:val="00827068"/>
    <w:rsid w:val="0082792A"/>
    <w:rsid w:val="008303B0"/>
    <w:rsid w:val="008309E5"/>
    <w:rsid w:val="00830F3D"/>
    <w:rsid w:val="00831001"/>
    <w:rsid w:val="00831416"/>
    <w:rsid w:val="00831A3C"/>
    <w:rsid w:val="00831B67"/>
    <w:rsid w:val="00831D68"/>
    <w:rsid w:val="00832301"/>
    <w:rsid w:val="0083371A"/>
    <w:rsid w:val="00834135"/>
    <w:rsid w:val="0083435E"/>
    <w:rsid w:val="00834FD5"/>
    <w:rsid w:val="00835132"/>
    <w:rsid w:val="0083541A"/>
    <w:rsid w:val="008356CE"/>
    <w:rsid w:val="0083574D"/>
    <w:rsid w:val="00835C2E"/>
    <w:rsid w:val="00836124"/>
    <w:rsid w:val="00836C28"/>
    <w:rsid w:val="00836F87"/>
    <w:rsid w:val="008372E8"/>
    <w:rsid w:val="00840228"/>
    <w:rsid w:val="00840B09"/>
    <w:rsid w:val="00840C5D"/>
    <w:rsid w:val="0084108A"/>
    <w:rsid w:val="00841D53"/>
    <w:rsid w:val="00841FB5"/>
    <w:rsid w:val="00843160"/>
    <w:rsid w:val="00843565"/>
    <w:rsid w:val="00844000"/>
    <w:rsid w:val="00844342"/>
    <w:rsid w:val="00844731"/>
    <w:rsid w:val="008450C6"/>
    <w:rsid w:val="00845972"/>
    <w:rsid w:val="00846BEC"/>
    <w:rsid w:val="00846F87"/>
    <w:rsid w:val="00850ADA"/>
    <w:rsid w:val="00850B3D"/>
    <w:rsid w:val="00851571"/>
    <w:rsid w:val="00851C38"/>
    <w:rsid w:val="00852030"/>
    <w:rsid w:val="00852535"/>
    <w:rsid w:val="00854864"/>
    <w:rsid w:val="0085491E"/>
    <w:rsid w:val="00854972"/>
    <w:rsid w:val="00855250"/>
    <w:rsid w:val="00855FBA"/>
    <w:rsid w:val="00856788"/>
    <w:rsid w:val="00856931"/>
    <w:rsid w:val="00857E46"/>
    <w:rsid w:val="00857EF8"/>
    <w:rsid w:val="00857FDD"/>
    <w:rsid w:val="008609B9"/>
    <w:rsid w:val="00860B7C"/>
    <w:rsid w:val="00860CD2"/>
    <w:rsid w:val="0086107D"/>
    <w:rsid w:val="00861943"/>
    <w:rsid w:val="00862372"/>
    <w:rsid w:val="008623FD"/>
    <w:rsid w:val="008626BA"/>
    <w:rsid w:val="0086350C"/>
    <w:rsid w:val="00863BC5"/>
    <w:rsid w:val="00863F5B"/>
    <w:rsid w:val="0086445F"/>
    <w:rsid w:val="00864E2C"/>
    <w:rsid w:val="0086560E"/>
    <w:rsid w:val="00865EB3"/>
    <w:rsid w:val="008667E3"/>
    <w:rsid w:val="008668FC"/>
    <w:rsid w:val="00866E4A"/>
    <w:rsid w:val="00867D63"/>
    <w:rsid w:val="00870888"/>
    <w:rsid w:val="00870EB1"/>
    <w:rsid w:val="00870EE7"/>
    <w:rsid w:val="00870FFA"/>
    <w:rsid w:val="0087145C"/>
    <w:rsid w:val="00871500"/>
    <w:rsid w:val="00871C6A"/>
    <w:rsid w:val="008733CD"/>
    <w:rsid w:val="00873721"/>
    <w:rsid w:val="00875006"/>
    <w:rsid w:val="00875B97"/>
    <w:rsid w:val="00875E78"/>
    <w:rsid w:val="00875EE7"/>
    <w:rsid w:val="00876407"/>
    <w:rsid w:val="008766CB"/>
    <w:rsid w:val="00876852"/>
    <w:rsid w:val="00876D7A"/>
    <w:rsid w:val="00880633"/>
    <w:rsid w:val="00880E99"/>
    <w:rsid w:val="008821C4"/>
    <w:rsid w:val="008828B7"/>
    <w:rsid w:val="008828E1"/>
    <w:rsid w:val="008830D7"/>
    <w:rsid w:val="00883594"/>
    <w:rsid w:val="008849FD"/>
    <w:rsid w:val="008850A0"/>
    <w:rsid w:val="0088581D"/>
    <w:rsid w:val="00885BA7"/>
    <w:rsid w:val="00885BC5"/>
    <w:rsid w:val="0088645E"/>
    <w:rsid w:val="00886940"/>
    <w:rsid w:val="00886BF8"/>
    <w:rsid w:val="008874A1"/>
    <w:rsid w:val="008876F7"/>
    <w:rsid w:val="00887834"/>
    <w:rsid w:val="00887EC9"/>
    <w:rsid w:val="00890171"/>
    <w:rsid w:val="008901E2"/>
    <w:rsid w:val="00890205"/>
    <w:rsid w:val="008902F7"/>
    <w:rsid w:val="00890DEE"/>
    <w:rsid w:val="00890F6F"/>
    <w:rsid w:val="008912ED"/>
    <w:rsid w:val="00891A26"/>
    <w:rsid w:val="00891ABF"/>
    <w:rsid w:val="0089287F"/>
    <w:rsid w:val="0089494F"/>
    <w:rsid w:val="00894F9C"/>
    <w:rsid w:val="00895EE6"/>
    <w:rsid w:val="00896117"/>
    <w:rsid w:val="008961D0"/>
    <w:rsid w:val="008962DF"/>
    <w:rsid w:val="00896602"/>
    <w:rsid w:val="008968F0"/>
    <w:rsid w:val="00896E17"/>
    <w:rsid w:val="00897AAA"/>
    <w:rsid w:val="008A0326"/>
    <w:rsid w:val="008A08F1"/>
    <w:rsid w:val="008A0D76"/>
    <w:rsid w:val="008A0E5C"/>
    <w:rsid w:val="008A1CF1"/>
    <w:rsid w:val="008A2B9A"/>
    <w:rsid w:val="008A38D7"/>
    <w:rsid w:val="008A3C43"/>
    <w:rsid w:val="008A4A4E"/>
    <w:rsid w:val="008A4E35"/>
    <w:rsid w:val="008A530F"/>
    <w:rsid w:val="008A575B"/>
    <w:rsid w:val="008A5889"/>
    <w:rsid w:val="008A71B4"/>
    <w:rsid w:val="008A789B"/>
    <w:rsid w:val="008A7C7B"/>
    <w:rsid w:val="008A7E03"/>
    <w:rsid w:val="008B0490"/>
    <w:rsid w:val="008B3B5C"/>
    <w:rsid w:val="008B4A8D"/>
    <w:rsid w:val="008B4C6B"/>
    <w:rsid w:val="008B4E26"/>
    <w:rsid w:val="008B5F07"/>
    <w:rsid w:val="008B6C2E"/>
    <w:rsid w:val="008B7E6B"/>
    <w:rsid w:val="008C0173"/>
    <w:rsid w:val="008C036B"/>
    <w:rsid w:val="008C0925"/>
    <w:rsid w:val="008C0FF3"/>
    <w:rsid w:val="008C20C8"/>
    <w:rsid w:val="008C299B"/>
    <w:rsid w:val="008C2C0C"/>
    <w:rsid w:val="008C33D0"/>
    <w:rsid w:val="008C3C79"/>
    <w:rsid w:val="008C57C1"/>
    <w:rsid w:val="008C58C4"/>
    <w:rsid w:val="008C6A9E"/>
    <w:rsid w:val="008C6C4F"/>
    <w:rsid w:val="008C756B"/>
    <w:rsid w:val="008C7777"/>
    <w:rsid w:val="008C7DE9"/>
    <w:rsid w:val="008D0465"/>
    <w:rsid w:val="008D1104"/>
    <w:rsid w:val="008D1488"/>
    <w:rsid w:val="008D151E"/>
    <w:rsid w:val="008D1750"/>
    <w:rsid w:val="008D1B2C"/>
    <w:rsid w:val="008D1EEB"/>
    <w:rsid w:val="008D1F29"/>
    <w:rsid w:val="008D2760"/>
    <w:rsid w:val="008D32F8"/>
    <w:rsid w:val="008D3415"/>
    <w:rsid w:val="008D3DAA"/>
    <w:rsid w:val="008D41F2"/>
    <w:rsid w:val="008D6349"/>
    <w:rsid w:val="008D7658"/>
    <w:rsid w:val="008D7931"/>
    <w:rsid w:val="008D7FA7"/>
    <w:rsid w:val="008E16EE"/>
    <w:rsid w:val="008E1D86"/>
    <w:rsid w:val="008E1D9F"/>
    <w:rsid w:val="008E288A"/>
    <w:rsid w:val="008E2B77"/>
    <w:rsid w:val="008E33D7"/>
    <w:rsid w:val="008E3F52"/>
    <w:rsid w:val="008E3FB8"/>
    <w:rsid w:val="008E4123"/>
    <w:rsid w:val="008E4354"/>
    <w:rsid w:val="008E46B3"/>
    <w:rsid w:val="008E4E2D"/>
    <w:rsid w:val="008E5244"/>
    <w:rsid w:val="008E6811"/>
    <w:rsid w:val="008E7E07"/>
    <w:rsid w:val="008F0087"/>
    <w:rsid w:val="008F0574"/>
    <w:rsid w:val="008F06F6"/>
    <w:rsid w:val="008F12CB"/>
    <w:rsid w:val="008F180F"/>
    <w:rsid w:val="008F1D8F"/>
    <w:rsid w:val="008F2613"/>
    <w:rsid w:val="008F26FB"/>
    <w:rsid w:val="008F35BE"/>
    <w:rsid w:val="008F453D"/>
    <w:rsid w:val="008F4C43"/>
    <w:rsid w:val="008F505D"/>
    <w:rsid w:val="008F5C93"/>
    <w:rsid w:val="008F63DB"/>
    <w:rsid w:val="008F7254"/>
    <w:rsid w:val="008F76C6"/>
    <w:rsid w:val="009003A4"/>
    <w:rsid w:val="009008A4"/>
    <w:rsid w:val="00900A4F"/>
    <w:rsid w:val="009017FB"/>
    <w:rsid w:val="00902317"/>
    <w:rsid w:val="009024FF"/>
    <w:rsid w:val="00902AB6"/>
    <w:rsid w:val="00902F18"/>
    <w:rsid w:val="0090389A"/>
    <w:rsid w:val="00903DE0"/>
    <w:rsid w:val="00905058"/>
    <w:rsid w:val="00905A1A"/>
    <w:rsid w:val="00905D78"/>
    <w:rsid w:val="009060C3"/>
    <w:rsid w:val="009064E2"/>
    <w:rsid w:val="00906E29"/>
    <w:rsid w:val="0090721C"/>
    <w:rsid w:val="009075FE"/>
    <w:rsid w:val="00907854"/>
    <w:rsid w:val="00911033"/>
    <w:rsid w:val="00911AB2"/>
    <w:rsid w:val="00912096"/>
    <w:rsid w:val="009137F2"/>
    <w:rsid w:val="0091523F"/>
    <w:rsid w:val="009158AB"/>
    <w:rsid w:val="009169F4"/>
    <w:rsid w:val="00916A58"/>
    <w:rsid w:val="009179B7"/>
    <w:rsid w:val="0092003C"/>
    <w:rsid w:val="00920483"/>
    <w:rsid w:val="00920C04"/>
    <w:rsid w:val="00920EF4"/>
    <w:rsid w:val="00921E94"/>
    <w:rsid w:val="009228CA"/>
    <w:rsid w:val="00923358"/>
    <w:rsid w:val="00924894"/>
    <w:rsid w:val="0092554F"/>
    <w:rsid w:val="0092615F"/>
    <w:rsid w:val="009265FA"/>
    <w:rsid w:val="00926B91"/>
    <w:rsid w:val="00926C8C"/>
    <w:rsid w:val="00927796"/>
    <w:rsid w:val="00927FCD"/>
    <w:rsid w:val="00930D92"/>
    <w:rsid w:val="0093136A"/>
    <w:rsid w:val="00931889"/>
    <w:rsid w:val="00931DDA"/>
    <w:rsid w:val="009321EA"/>
    <w:rsid w:val="009321FF"/>
    <w:rsid w:val="00932930"/>
    <w:rsid w:val="0093338D"/>
    <w:rsid w:val="00933FB3"/>
    <w:rsid w:val="00934382"/>
    <w:rsid w:val="0093472A"/>
    <w:rsid w:val="009348F5"/>
    <w:rsid w:val="00934B0D"/>
    <w:rsid w:val="00934C91"/>
    <w:rsid w:val="009354A7"/>
    <w:rsid w:val="00935C70"/>
    <w:rsid w:val="00936263"/>
    <w:rsid w:val="009363B2"/>
    <w:rsid w:val="0093642E"/>
    <w:rsid w:val="009365F5"/>
    <w:rsid w:val="00936E71"/>
    <w:rsid w:val="009405E2"/>
    <w:rsid w:val="009415F6"/>
    <w:rsid w:val="00942108"/>
    <w:rsid w:val="00942942"/>
    <w:rsid w:val="00943578"/>
    <w:rsid w:val="00944698"/>
    <w:rsid w:val="00945172"/>
    <w:rsid w:val="0094534A"/>
    <w:rsid w:val="00945D04"/>
    <w:rsid w:val="009461A2"/>
    <w:rsid w:val="00946240"/>
    <w:rsid w:val="00946B34"/>
    <w:rsid w:val="009479ED"/>
    <w:rsid w:val="00947F51"/>
    <w:rsid w:val="0095068A"/>
    <w:rsid w:val="009508DD"/>
    <w:rsid w:val="00950986"/>
    <w:rsid w:val="00950E79"/>
    <w:rsid w:val="0095104D"/>
    <w:rsid w:val="0095158B"/>
    <w:rsid w:val="0095162A"/>
    <w:rsid w:val="009517C8"/>
    <w:rsid w:val="0095225F"/>
    <w:rsid w:val="00953FF0"/>
    <w:rsid w:val="009549C0"/>
    <w:rsid w:val="009554B6"/>
    <w:rsid w:val="009556F0"/>
    <w:rsid w:val="009560DF"/>
    <w:rsid w:val="00960EB8"/>
    <w:rsid w:val="00961209"/>
    <w:rsid w:val="00961444"/>
    <w:rsid w:val="00962F9D"/>
    <w:rsid w:val="00963434"/>
    <w:rsid w:val="009644F4"/>
    <w:rsid w:val="00964E52"/>
    <w:rsid w:val="00965156"/>
    <w:rsid w:val="00965957"/>
    <w:rsid w:val="00967638"/>
    <w:rsid w:val="00970087"/>
    <w:rsid w:val="00970430"/>
    <w:rsid w:val="0097071C"/>
    <w:rsid w:val="0097162A"/>
    <w:rsid w:val="0097319D"/>
    <w:rsid w:val="00973390"/>
    <w:rsid w:val="00973848"/>
    <w:rsid w:val="00973867"/>
    <w:rsid w:val="009742C3"/>
    <w:rsid w:val="00974779"/>
    <w:rsid w:val="00974B51"/>
    <w:rsid w:val="009751CF"/>
    <w:rsid w:val="009756AD"/>
    <w:rsid w:val="00975FEF"/>
    <w:rsid w:val="0097717E"/>
    <w:rsid w:val="00977AE8"/>
    <w:rsid w:val="00980352"/>
    <w:rsid w:val="00980744"/>
    <w:rsid w:val="00982583"/>
    <w:rsid w:val="00982701"/>
    <w:rsid w:val="009828D8"/>
    <w:rsid w:val="00982FD0"/>
    <w:rsid w:val="009839C2"/>
    <w:rsid w:val="00983BAB"/>
    <w:rsid w:val="009840A2"/>
    <w:rsid w:val="00985349"/>
    <w:rsid w:val="0098552B"/>
    <w:rsid w:val="00985EE8"/>
    <w:rsid w:val="00986516"/>
    <w:rsid w:val="0098699A"/>
    <w:rsid w:val="009872D3"/>
    <w:rsid w:val="00987B4D"/>
    <w:rsid w:val="00990389"/>
    <w:rsid w:val="00991291"/>
    <w:rsid w:val="0099214D"/>
    <w:rsid w:val="009926D0"/>
    <w:rsid w:val="0099279A"/>
    <w:rsid w:val="00992934"/>
    <w:rsid w:val="00992ED2"/>
    <w:rsid w:val="0099451F"/>
    <w:rsid w:val="009952A0"/>
    <w:rsid w:val="009952AC"/>
    <w:rsid w:val="0099570A"/>
    <w:rsid w:val="009961CF"/>
    <w:rsid w:val="0099668E"/>
    <w:rsid w:val="00996885"/>
    <w:rsid w:val="00996BBA"/>
    <w:rsid w:val="00996C04"/>
    <w:rsid w:val="00996ED4"/>
    <w:rsid w:val="0099749E"/>
    <w:rsid w:val="00997AF7"/>
    <w:rsid w:val="00997FF4"/>
    <w:rsid w:val="009A00CD"/>
    <w:rsid w:val="009A01C2"/>
    <w:rsid w:val="009A03B9"/>
    <w:rsid w:val="009A147D"/>
    <w:rsid w:val="009A19C7"/>
    <w:rsid w:val="009A2796"/>
    <w:rsid w:val="009A2C1B"/>
    <w:rsid w:val="009A32BA"/>
    <w:rsid w:val="009A37BC"/>
    <w:rsid w:val="009A3A05"/>
    <w:rsid w:val="009A3D55"/>
    <w:rsid w:val="009A4425"/>
    <w:rsid w:val="009A44A1"/>
    <w:rsid w:val="009A4911"/>
    <w:rsid w:val="009A495F"/>
    <w:rsid w:val="009A644F"/>
    <w:rsid w:val="009A6BDA"/>
    <w:rsid w:val="009A6C5C"/>
    <w:rsid w:val="009A6EAC"/>
    <w:rsid w:val="009A7672"/>
    <w:rsid w:val="009B018A"/>
    <w:rsid w:val="009B0682"/>
    <w:rsid w:val="009B07F2"/>
    <w:rsid w:val="009B1358"/>
    <w:rsid w:val="009B1907"/>
    <w:rsid w:val="009B27B7"/>
    <w:rsid w:val="009B293A"/>
    <w:rsid w:val="009B314E"/>
    <w:rsid w:val="009B3568"/>
    <w:rsid w:val="009B391A"/>
    <w:rsid w:val="009B3C33"/>
    <w:rsid w:val="009B3DF2"/>
    <w:rsid w:val="009B4173"/>
    <w:rsid w:val="009B4DBA"/>
    <w:rsid w:val="009B56D0"/>
    <w:rsid w:val="009B5C23"/>
    <w:rsid w:val="009B5CD0"/>
    <w:rsid w:val="009B610C"/>
    <w:rsid w:val="009B68DB"/>
    <w:rsid w:val="009B78ED"/>
    <w:rsid w:val="009B7905"/>
    <w:rsid w:val="009B7B35"/>
    <w:rsid w:val="009C174F"/>
    <w:rsid w:val="009C1BF4"/>
    <w:rsid w:val="009C1C0A"/>
    <w:rsid w:val="009C3A27"/>
    <w:rsid w:val="009C3D10"/>
    <w:rsid w:val="009C3DCC"/>
    <w:rsid w:val="009C47FB"/>
    <w:rsid w:val="009C4BC3"/>
    <w:rsid w:val="009C5367"/>
    <w:rsid w:val="009C688E"/>
    <w:rsid w:val="009C6CB6"/>
    <w:rsid w:val="009C7276"/>
    <w:rsid w:val="009C73EE"/>
    <w:rsid w:val="009C742F"/>
    <w:rsid w:val="009D03B7"/>
    <w:rsid w:val="009D0538"/>
    <w:rsid w:val="009D152A"/>
    <w:rsid w:val="009D1597"/>
    <w:rsid w:val="009D1B26"/>
    <w:rsid w:val="009D1BF1"/>
    <w:rsid w:val="009D228A"/>
    <w:rsid w:val="009D2334"/>
    <w:rsid w:val="009D299A"/>
    <w:rsid w:val="009D3D9E"/>
    <w:rsid w:val="009D4381"/>
    <w:rsid w:val="009D535E"/>
    <w:rsid w:val="009D5971"/>
    <w:rsid w:val="009D6024"/>
    <w:rsid w:val="009D68D5"/>
    <w:rsid w:val="009D6A02"/>
    <w:rsid w:val="009D7191"/>
    <w:rsid w:val="009D781F"/>
    <w:rsid w:val="009D7CE7"/>
    <w:rsid w:val="009D7D6A"/>
    <w:rsid w:val="009D7DA5"/>
    <w:rsid w:val="009D7FCC"/>
    <w:rsid w:val="009E00A3"/>
    <w:rsid w:val="009E02B4"/>
    <w:rsid w:val="009E0443"/>
    <w:rsid w:val="009E1BDD"/>
    <w:rsid w:val="009E238D"/>
    <w:rsid w:val="009E2628"/>
    <w:rsid w:val="009E270B"/>
    <w:rsid w:val="009E314B"/>
    <w:rsid w:val="009E31DE"/>
    <w:rsid w:val="009E35D1"/>
    <w:rsid w:val="009E3BC5"/>
    <w:rsid w:val="009E508C"/>
    <w:rsid w:val="009E552E"/>
    <w:rsid w:val="009E6456"/>
    <w:rsid w:val="009E6FFF"/>
    <w:rsid w:val="009E7A47"/>
    <w:rsid w:val="009E7AB3"/>
    <w:rsid w:val="009E7AC0"/>
    <w:rsid w:val="009F0392"/>
    <w:rsid w:val="009F0CA8"/>
    <w:rsid w:val="009F1659"/>
    <w:rsid w:val="009F1809"/>
    <w:rsid w:val="009F1F89"/>
    <w:rsid w:val="009F4111"/>
    <w:rsid w:val="009F44A7"/>
    <w:rsid w:val="009F50AF"/>
    <w:rsid w:val="009F52BB"/>
    <w:rsid w:val="009F5317"/>
    <w:rsid w:val="009F55FA"/>
    <w:rsid w:val="009F58DF"/>
    <w:rsid w:val="009F5D0C"/>
    <w:rsid w:val="009F65A3"/>
    <w:rsid w:val="009F6F51"/>
    <w:rsid w:val="009F7FD2"/>
    <w:rsid w:val="00A00063"/>
    <w:rsid w:val="00A0050E"/>
    <w:rsid w:val="00A0089C"/>
    <w:rsid w:val="00A00B74"/>
    <w:rsid w:val="00A01315"/>
    <w:rsid w:val="00A014A9"/>
    <w:rsid w:val="00A01838"/>
    <w:rsid w:val="00A018BE"/>
    <w:rsid w:val="00A02E52"/>
    <w:rsid w:val="00A03442"/>
    <w:rsid w:val="00A04293"/>
    <w:rsid w:val="00A04569"/>
    <w:rsid w:val="00A05900"/>
    <w:rsid w:val="00A059FC"/>
    <w:rsid w:val="00A05A2A"/>
    <w:rsid w:val="00A060AC"/>
    <w:rsid w:val="00A06A20"/>
    <w:rsid w:val="00A073AF"/>
    <w:rsid w:val="00A0751C"/>
    <w:rsid w:val="00A10869"/>
    <w:rsid w:val="00A110CF"/>
    <w:rsid w:val="00A12168"/>
    <w:rsid w:val="00A121E3"/>
    <w:rsid w:val="00A123E5"/>
    <w:rsid w:val="00A125DE"/>
    <w:rsid w:val="00A1270E"/>
    <w:rsid w:val="00A12A44"/>
    <w:rsid w:val="00A12ED8"/>
    <w:rsid w:val="00A13958"/>
    <w:rsid w:val="00A13E3F"/>
    <w:rsid w:val="00A13EBF"/>
    <w:rsid w:val="00A13F84"/>
    <w:rsid w:val="00A14077"/>
    <w:rsid w:val="00A1506D"/>
    <w:rsid w:val="00A15F74"/>
    <w:rsid w:val="00A160DD"/>
    <w:rsid w:val="00A16584"/>
    <w:rsid w:val="00A178DC"/>
    <w:rsid w:val="00A20472"/>
    <w:rsid w:val="00A20FEF"/>
    <w:rsid w:val="00A2177A"/>
    <w:rsid w:val="00A21A57"/>
    <w:rsid w:val="00A21C26"/>
    <w:rsid w:val="00A22C1C"/>
    <w:rsid w:val="00A23CC3"/>
    <w:rsid w:val="00A244CD"/>
    <w:rsid w:val="00A2541A"/>
    <w:rsid w:val="00A260B8"/>
    <w:rsid w:val="00A26F2E"/>
    <w:rsid w:val="00A2786B"/>
    <w:rsid w:val="00A27983"/>
    <w:rsid w:val="00A27E54"/>
    <w:rsid w:val="00A3048D"/>
    <w:rsid w:val="00A3071E"/>
    <w:rsid w:val="00A30D6F"/>
    <w:rsid w:val="00A311F1"/>
    <w:rsid w:val="00A31510"/>
    <w:rsid w:val="00A315D2"/>
    <w:rsid w:val="00A31F98"/>
    <w:rsid w:val="00A320B1"/>
    <w:rsid w:val="00A3298E"/>
    <w:rsid w:val="00A32A04"/>
    <w:rsid w:val="00A32E49"/>
    <w:rsid w:val="00A3341F"/>
    <w:rsid w:val="00A33F73"/>
    <w:rsid w:val="00A34BB5"/>
    <w:rsid w:val="00A35A08"/>
    <w:rsid w:val="00A35EE9"/>
    <w:rsid w:val="00A36B6E"/>
    <w:rsid w:val="00A37672"/>
    <w:rsid w:val="00A37AE9"/>
    <w:rsid w:val="00A40110"/>
    <w:rsid w:val="00A40615"/>
    <w:rsid w:val="00A410F4"/>
    <w:rsid w:val="00A415FC"/>
    <w:rsid w:val="00A41901"/>
    <w:rsid w:val="00A41981"/>
    <w:rsid w:val="00A41B52"/>
    <w:rsid w:val="00A41DC6"/>
    <w:rsid w:val="00A41F0A"/>
    <w:rsid w:val="00A420ED"/>
    <w:rsid w:val="00A4270A"/>
    <w:rsid w:val="00A43BC4"/>
    <w:rsid w:val="00A45527"/>
    <w:rsid w:val="00A457E1"/>
    <w:rsid w:val="00A45949"/>
    <w:rsid w:val="00A4755C"/>
    <w:rsid w:val="00A475EA"/>
    <w:rsid w:val="00A47AC9"/>
    <w:rsid w:val="00A47EAF"/>
    <w:rsid w:val="00A51559"/>
    <w:rsid w:val="00A518EE"/>
    <w:rsid w:val="00A5302D"/>
    <w:rsid w:val="00A53269"/>
    <w:rsid w:val="00A53671"/>
    <w:rsid w:val="00A536FA"/>
    <w:rsid w:val="00A545BF"/>
    <w:rsid w:val="00A55EB9"/>
    <w:rsid w:val="00A56A7E"/>
    <w:rsid w:val="00A570A5"/>
    <w:rsid w:val="00A57820"/>
    <w:rsid w:val="00A60607"/>
    <w:rsid w:val="00A60BAF"/>
    <w:rsid w:val="00A60D3F"/>
    <w:rsid w:val="00A612DD"/>
    <w:rsid w:val="00A61FA9"/>
    <w:rsid w:val="00A621CE"/>
    <w:rsid w:val="00A62429"/>
    <w:rsid w:val="00A627AD"/>
    <w:rsid w:val="00A6374A"/>
    <w:rsid w:val="00A63A89"/>
    <w:rsid w:val="00A6466D"/>
    <w:rsid w:val="00A647FF"/>
    <w:rsid w:val="00A64DF1"/>
    <w:rsid w:val="00A6551F"/>
    <w:rsid w:val="00A6565A"/>
    <w:rsid w:val="00A6684A"/>
    <w:rsid w:val="00A673AC"/>
    <w:rsid w:val="00A676A1"/>
    <w:rsid w:val="00A67D45"/>
    <w:rsid w:val="00A67FD7"/>
    <w:rsid w:val="00A70193"/>
    <w:rsid w:val="00A70D94"/>
    <w:rsid w:val="00A715D5"/>
    <w:rsid w:val="00A716FD"/>
    <w:rsid w:val="00A71C7D"/>
    <w:rsid w:val="00A7284A"/>
    <w:rsid w:val="00A73845"/>
    <w:rsid w:val="00A739DF"/>
    <w:rsid w:val="00A7567E"/>
    <w:rsid w:val="00A75C8E"/>
    <w:rsid w:val="00A77553"/>
    <w:rsid w:val="00A77F89"/>
    <w:rsid w:val="00A77FA5"/>
    <w:rsid w:val="00A81320"/>
    <w:rsid w:val="00A8137B"/>
    <w:rsid w:val="00A81474"/>
    <w:rsid w:val="00A814F9"/>
    <w:rsid w:val="00A81887"/>
    <w:rsid w:val="00A8272F"/>
    <w:rsid w:val="00A836BD"/>
    <w:rsid w:val="00A83905"/>
    <w:rsid w:val="00A83B79"/>
    <w:rsid w:val="00A84613"/>
    <w:rsid w:val="00A8554A"/>
    <w:rsid w:val="00A85D35"/>
    <w:rsid w:val="00A85E44"/>
    <w:rsid w:val="00A86644"/>
    <w:rsid w:val="00A86DC5"/>
    <w:rsid w:val="00A904C8"/>
    <w:rsid w:val="00A905D8"/>
    <w:rsid w:val="00A908EA"/>
    <w:rsid w:val="00A927EF"/>
    <w:rsid w:val="00A928CF"/>
    <w:rsid w:val="00A92FE8"/>
    <w:rsid w:val="00A942B2"/>
    <w:rsid w:val="00A960DB"/>
    <w:rsid w:val="00A96165"/>
    <w:rsid w:val="00A96542"/>
    <w:rsid w:val="00A96689"/>
    <w:rsid w:val="00A97D7B"/>
    <w:rsid w:val="00AA08D2"/>
    <w:rsid w:val="00AA1103"/>
    <w:rsid w:val="00AA15E9"/>
    <w:rsid w:val="00AA1631"/>
    <w:rsid w:val="00AA170B"/>
    <w:rsid w:val="00AA17AA"/>
    <w:rsid w:val="00AA1D07"/>
    <w:rsid w:val="00AA2034"/>
    <w:rsid w:val="00AA238E"/>
    <w:rsid w:val="00AA25BD"/>
    <w:rsid w:val="00AA295A"/>
    <w:rsid w:val="00AA3694"/>
    <w:rsid w:val="00AA3BD5"/>
    <w:rsid w:val="00AA5790"/>
    <w:rsid w:val="00AA5BD1"/>
    <w:rsid w:val="00AA6060"/>
    <w:rsid w:val="00AA683E"/>
    <w:rsid w:val="00AA6D77"/>
    <w:rsid w:val="00AA7391"/>
    <w:rsid w:val="00AB197A"/>
    <w:rsid w:val="00AB1FA5"/>
    <w:rsid w:val="00AB29BE"/>
    <w:rsid w:val="00AB2F2B"/>
    <w:rsid w:val="00AB2FB9"/>
    <w:rsid w:val="00AB3A5E"/>
    <w:rsid w:val="00AB3C96"/>
    <w:rsid w:val="00AB48E9"/>
    <w:rsid w:val="00AB4F19"/>
    <w:rsid w:val="00AB5572"/>
    <w:rsid w:val="00AB5C3D"/>
    <w:rsid w:val="00AB5D06"/>
    <w:rsid w:val="00AB64A9"/>
    <w:rsid w:val="00AB652F"/>
    <w:rsid w:val="00AB6C44"/>
    <w:rsid w:val="00AB6F57"/>
    <w:rsid w:val="00AB71BE"/>
    <w:rsid w:val="00AB768F"/>
    <w:rsid w:val="00AB7741"/>
    <w:rsid w:val="00AB7BD6"/>
    <w:rsid w:val="00AB7C7E"/>
    <w:rsid w:val="00AC0331"/>
    <w:rsid w:val="00AC0850"/>
    <w:rsid w:val="00AC0948"/>
    <w:rsid w:val="00AC2519"/>
    <w:rsid w:val="00AC26FF"/>
    <w:rsid w:val="00AC49F8"/>
    <w:rsid w:val="00AC552E"/>
    <w:rsid w:val="00AC5D53"/>
    <w:rsid w:val="00AC637F"/>
    <w:rsid w:val="00AC70A9"/>
    <w:rsid w:val="00AC76B9"/>
    <w:rsid w:val="00AD0333"/>
    <w:rsid w:val="00AD03ED"/>
    <w:rsid w:val="00AD05C2"/>
    <w:rsid w:val="00AD0F03"/>
    <w:rsid w:val="00AD1059"/>
    <w:rsid w:val="00AD17F7"/>
    <w:rsid w:val="00AD2079"/>
    <w:rsid w:val="00AD2CF8"/>
    <w:rsid w:val="00AD466C"/>
    <w:rsid w:val="00AD5422"/>
    <w:rsid w:val="00AD56D0"/>
    <w:rsid w:val="00AD5722"/>
    <w:rsid w:val="00AD6222"/>
    <w:rsid w:val="00AD623A"/>
    <w:rsid w:val="00AD62AB"/>
    <w:rsid w:val="00AD6A5F"/>
    <w:rsid w:val="00AD6ADA"/>
    <w:rsid w:val="00AD71E3"/>
    <w:rsid w:val="00AD72BD"/>
    <w:rsid w:val="00AD7E33"/>
    <w:rsid w:val="00AE09D3"/>
    <w:rsid w:val="00AE1521"/>
    <w:rsid w:val="00AE1550"/>
    <w:rsid w:val="00AE19B1"/>
    <w:rsid w:val="00AE364B"/>
    <w:rsid w:val="00AE36BA"/>
    <w:rsid w:val="00AE38DF"/>
    <w:rsid w:val="00AE4A6A"/>
    <w:rsid w:val="00AE4B4E"/>
    <w:rsid w:val="00AE4F9E"/>
    <w:rsid w:val="00AE5AB3"/>
    <w:rsid w:val="00AE6D8F"/>
    <w:rsid w:val="00AE6F5B"/>
    <w:rsid w:val="00AE700B"/>
    <w:rsid w:val="00AE76A3"/>
    <w:rsid w:val="00AE77A1"/>
    <w:rsid w:val="00AF06B5"/>
    <w:rsid w:val="00AF0A39"/>
    <w:rsid w:val="00AF14C7"/>
    <w:rsid w:val="00AF1C96"/>
    <w:rsid w:val="00AF285C"/>
    <w:rsid w:val="00AF31FC"/>
    <w:rsid w:val="00AF335F"/>
    <w:rsid w:val="00AF403C"/>
    <w:rsid w:val="00AF40A9"/>
    <w:rsid w:val="00AF4468"/>
    <w:rsid w:val="00AF4DDC"/>
    <w:rsid w:val="00AF5CAF"/>
    <w:rsid w:val="00AF6C00"/>
    <w:rsid w:val="00AF6F04"/>
    <w:rsid w:val="00AF7047"/>
    <w:rsid w:val="00AF7BF1"/>
    <w:rsid w:val="00AF7EDB"/>
    <w:rsid w:val="00AF7F38"/>
    <w:rsid w:val="00B00599"/>
    <w:rsid w:val="00B01109"/>
    <w:rsid w:val="00B02D5D"/>
    <w:rsid w:val="00B02DBC"/>
    <w:rsid w:val="00B0302C"/>
    <w:rsid w:val="00B04195"/>
    <w:rsid w:val="00B0441C"/>
    <w:rsid w:val="00B045A7"/>
    <w:rsid w:val="00B07011"/>
    <w:rsid w:val="00B07969"/>
    <w:rsid w:val="00B07999"/>
    <w:rsid w:val="00B07A78"/>
    <w:rsid w:val="00B10399"/>
    <w:rsid w:val="00B11192"/>
    <w:rsid w:val="00B112FC"/>
    <w:rsid w:val="00B116A3"/>
    <w:rsid w:val="00B11960"/>
    <w:rsid w:val="00B11C17"/>
    <w:rsid w:val="00B12B3A"/>
    <w:rsid w:val="00B12FA8"/>
    <w:rsid w:val="00B131BA"/>
    <w:rsid w:val="00B13295"/>
    <w:rsid w:val="00B14019"/>
    <w:rsid w:val="00B142B3"/>
    <w:rsid w:val="00B14344"/>
    <w:rsid w:val="00B1457E"/>
    <w:rsid w:val="00B14961"/>
    <w:rsid w:val="00B15E6B"/>
    <w:rsid w:val="00B166DF"/>
    <w:rsid w:val="00B17502"/>
    <w:rsid w:val="00B175E7"/>
    <w:rsid w:val="00B17F37"/>
    <w:rsid w:val="00B2002A"/>
    <w:rsid w:val="00B20204"/>
    <w:rsid w:val="00B2048D"/>
    <w:rsid w:val="00B209AD"/>
    <w:rsid w:val="00B21184"/>
    <w:rsid w:val="00B22B22"/>
    <w:rsid w:val="00B23055"/>
    <w:rsid w:val="00B23AAD"/>
    <w:rsid w:val="00B24870"/>
    <w:rsid w:val="00B250B3"/>
    <w:rsid w:val="00B2542F"/>
    <w:rsid w:val="00B25857"/>
    <w:rsid w:val="00B2670F"/>
    <w:rsid w:val="00B267D1"/>
    <w:rsid w:val="00B26EEF"/>
    <w:rsid w:val="00B2740B"/>
    <w:rsid w:val="00B27502"/>
    <w:rsid w:val="00B27EE1"/>
    <w:rsid w:val="00B30101"/>
    <w:rsid w:val="00B304DA"/>
    <w:rsid w:val="00B30869"/>
    <w:rsid w:val="00B30BDA"/>
    <w:rsid w:val="00B310B2"/>
    <w:rsid w:val="00B313B2"/>
    <w:rsid w:val="00B31409"/>
    <w:rsid w:val="00B315A9"/>
    <w:rsid w:val="00B31C78"/>
    <w:rsid w:val="00B33469"/>
    <w:rsid w:val="00B33D2F"/>
    <w:rsid w:val="00B33E01"/>
    <w:rsid w:val="00B34171"/>
    <w:rsid w:val="00B34369"/>
    <w:rsid w:val="00B34D87"/>
    <w:rsid w:val="00B34FF3"/>
    <w:rsid w:val="00B3509C"/>
    <w:rsid w:val="00B351DB"/>
    <w:rsid w:val="00B35A42"/>
    <w:rsid w:val="00B35C5A"/>
    <w:rsid w:val="00B35C9E"/>
    <w:rsid w:val="00B35DBC"/>
    <w:rsid w:val="00B37A6A"/>
    <w:rsid w:val="00B40A21"/>
    <w:rsid w:val="00B40C2C"/>
    <w:rsid w:val="00B42360"/>
    <w:rsid w:val="00B42921"/>
    <w:rsid w:val="00B430EA"/>
    <w:rsid w:val="00B43BF5"/>
    <w:rsid w:val="00B44159"/>
    <w:rsid w:val="00B44450"/>
    <w:rsid w:val="00B4450D"/>
    <w:rsid w:val="00B449C5"/>
    <w:rsid w:val="00B44BEF"/>
    <w:rsid w:val="00B45B4F"/>
    <w:rsid w:val="00B45C44"/>
    <w:rsid w:val="00B465B2"/>
    <w:rsid w:val="00B4724A"/>
    <w:rsid w:val="00B47326"/>
    <w:rsid w:val="00B47C76"/>
    <w:rsid w:val="00B5018A"/>
    <w:rsid w:val="00B5035C"/>
    <w:rsid w:val="00B5096D"/>
    <w:rsid w:val="00B513F0"/>
    <w:rsid w:val="00B514B9"/>
    <w:rsid w:val="00B5192B"/>
    <w:rsid w:val="00B526DD"/>
    <w:rsid w:val="00B52710"/>
    <w:rsid w:val="00B52CD9"/>
    <w:rsid w:val="00B52D3B"/>
    <w:rsid w:val="00B53362"/>
    <w:rsid w:val="00B535D6"/>
    <w:rsid w:val="00B53A9C"/>
    <w:rsid w:val="00B53DE5"/>
    <w:rsid w:val="00B54F28"/>
    <w:rsid w:val="00B55CD0"/>
    <w:rsid w:val="00B56D61"/>
    <w:rsid w:val="00B579F0"/>
    <w:rsid w:val="00B57CF9"/>
    <w:rsid w:val="00B61224"/>
    <w:rsid w:val="00B61947"/>
    <w:rsid w:val="00B63F41"/>
    <w:rsid w:val="00B65482"/>
    <w:rsid w:val="00B65B61"/>
    <w:rsid w:val="00B66BD5"/>
    <w:rsid w:val="00B67051"/>
    <w:rsid w:val="00B670B0"/>
    <w:rsid w:val="00B67189"/>
    <w:rsid w:val="00B701B5"/>
    <w:rsid w:val="00B703C4"/>
    <w:rsid w:val="00B703EA"/>
    <w:rsid w:val="00B706B6"/>
    <w:rsid w:val="00B7103E"/>
    <w:rsid w:val="00B71201"/>
    <w:rsid w:val="00B71BF6"/>
    <w:rsid w:val="00B71BFE"/>
    <w:rsid w:val="00B725DE"/>
    <w:rsid w:val="00B74BE0"/>
    <w:rsid w:val="00B74FEB"/>
    <w:rsid w:val="00B75256"/>
    <w:rsid w:val="00B7583B"/>
    <w:rsid w:val="00B7593C"/>
    <w:rsid w:val="00B75E45"/>
    <w:rsid w:val="00B76949"/>
    <w:rsid w:val="00B76CB7"/>
    <w:rsid w:val="00B76E9F"/>
    <w:rsid w:val="00B77258"/>
    <w:rsid w:val="00B77BEF"/>
    <w:rsid w:val="00B8033F"/>
    <w:rsid w:val="00B80A58"/>
    <w:rsid w:val="00B80A90"/>
    <w:rsid w:val="00B80B5A"/>
    <w:rsid w:val="00B8197A"/>
    <w:rsid w:val="00B825EA"/>
    <w:rsid w:val="00B82850"/>
    <w:rsid w:val="00B83E1E"/>
    <w:rsid w:val="00B84353"/>
    <w:rsid w:val="00B859D2"/>
    <w:rsid w:val="00B85E9A"/>
    <w:rsid w:val="00B865BD"/>
    <w:rsid w:val="00B87015"/>
    <w:rsid w:val="00B87BCC"/>
    <w:rsid w:val="00B87D13"/>
    <w:rsid w:val="00B906F2"/>
    <w:rsid w:val="00B90BF4"/>
    <w:rsid w:val="00B919A4"/>
    <w:rsid w:val="00B91C90"/>
    <w:rsid w:val="00B91CA6"/>
    <w:rsid w:val="00B923FD"/>
    <w:rsid w:val="00B9240F"/>
    <w:rsid w:val="00B9269F"/>
    <w:rsid w:val="00B927EA"/>
    <w:rsid w:val="00B93C54"/>
    <w:rsid w:val="00B948B8"/>
    <w:rsid w:val="00B94DE3"/>
    <w:rsid w:val="00B95F92"/>
    <w:rsid w:val="00B96CE1"/>
    <w:rsid w:val="00B97297"/>
    <w:rsid w:val="00B97B42"/>
    <w:rsid w:val="00BA013D"/>
    <w:rsid w:val="00BA0790"/>
    <w:rsid w:val="00BA0FE6"/>
    <w:rsid w:val="00BA1035"/>
    <w:rsid w:val="00BA237F"/>
    <w:rsid w:val="00BA2720"/>
    <w:rsid w:val="00BA29BD"/>
    <w:rsid w:val="00BA3DB6"/>
    <w:rsid w:val="00BA438A"/>
    <w:rsid w:val="00BA46A6"/>
    <w:rsid w:val="00BA5925"/>
    <w:rsid w:val="00BA5F6A"/>
    <w:rsid w:val="00BA7A76"/>
    <w:rsid w:val="00BA7FE2"/>
    <w:rsid w:val="00BB0214"/>
    <w:rsid w:val="00BB026C"/>
    <w:rsid w:val="00BB039E"/>
    <w:rsid w:val="00BB0603"/>
    <w:rsid w:val="00BB0981"/>
    <w:rsid w:val="00BB13BC"/>
    <w:rsid w:val="00BB1B40"/>
    <w:rsid w:val="00BB1F71"/>
    <w:rsid w:val="00BB22AC"/>
    <w:rsid w:val="00BB3021"/>
    <w:rsid w:val="00BB30EE"/>
    <w:rsid w:val="00BB4094"/>
    <w:rsid w:val="00BB41A3"/>
    <w:rsid w:val="00BB41DE"/>
    <w:rsid w:val="00BB4913"/>
    <w:rsid w:val="00BB5134"/>
    <w:rsid w:val="00BB528E"/>
    <w:rsid w:val="00BB52B6"/>
    <w:rsid w:val="00BB69CF"/>
    <w:rsid w:val="00BB6AB6"/>
    <w:rsid w:val="00BB7378"/>
    <w:rsid w:val="00BB77EF"/>
    <w:rsid w:val="00BB7B2F"/>
    <w:rsid w:val="00BC074D"/>
    <w:rsid w:val="00BC0C72"/>
    <w:rsid w:val="00BC1E99"/>
    <w:rsid w:val="00BC2027"/>
    <w:rsid w:val="00BC2B23"/>
    <w:rsid w:val="00BC3DDF"/>
    <w:rsid w:val="00BC574B"/>
    <w:rsid w:val="00BC629D"/>
    <w:rsid w:val="00BC6789"/>
    <w:rsid w:val="00BC738A"/>
    <w:rsid w:val="00BC7422"/>
    <w:rsid w:val="00BC7D72"/>
    <w:rsid w:val="00BC7E62"/>
    <w:rsid w:val="00BD127D"/>
    <w:rsid w:val="00BD1405"/>
    <w:rsid w:val="00BD2DC3"/>
    <w:rsid w:val="00BD3BEF"/>
    <w:rsid w:val="00BD44DE"/>
    <w:rsid w:val="00BD5347"/>
    <w:rsid w:val="00BD5ACD"/>
    <w:rsid w:val="00BD6521"/>
    <w:rsid w:val="00BD6E3A"/>
    <w:rsid w:val="00BD6FE8"/>
    <w:rsid w:val="00BD754A"/>
    <w:rsid w:val="00BD770F"/>
    <w:rsid w:val="00BD790C"/>
    <w:rsid w:val="00BD7975"/>
    <w:rsid w:val="00BD7EF0"/>
    <w:rsid w:val="00BE0222"/>
    <w:rsid w:val="00BE18B1"/>
    <w:rsid w:val="00BE1F46"/>
    <w:rsid w:val="00BE20B4"/>
    <w:rsid w:val="00BE261B"/>
    <w:rsid w:val="00BE2A34"/>
    <w:rsid w:val="00BE347A"/>
    <w:rsid w:val="00BE3895"/>
    <w:rsid w:val="00BE5145"/>
    <w:rsid w:val="00BE572D"/>
    <w:rsid w:val="00BE58C7"/>
    <w:rsid w:val="00BE59CA"/>
    <w:rsid w:val="00BE7B6D"/>
    <w:rsid w:val="00BF0581"/>
    <w:rsid w:val="00BF05A0"/>
    <w:rsid w:val="00BF0D13"/>
    <w:rsid w:val="00BF14FD"/>
    <w:rsid w:val="00BF173D"/>
    <w:rsid w:val="00BF17B8"/>
    <w:rsid w:val="00BF23EC"/>
    <w:rsid w:val="00BF2A57"/>
    <w:rsid w:val="00BF2E52"/>
    <w:rsid w:val="00BF4A77"/>
    <w:rsid w:val="00BF55F0"/>
    <w:rsid w:val="00BF57B1"/>
    <w:rsid w:val="00BF6D28"/>
    <w:rsid w:val="00BF714D"/>
    <w:rsid w:val="00BF71D9"/>
    <w:rsid w:val="00BF7D0D"/>
    <w:rsid w:val="00BF7E21"/>
    <w:rsid w:val="00BF7F7F"/>
    <w:rsid w:val="00C00148"/>
    <w:rsid w:val="00C00646"/>
    <w:rsid w:val="00C008FE"/>
    <w:rsid w:val="00C016B2"/>
    <w:rsid w:val="00C01900"/>
    <w:rsid w:val="00C01DE5"/>
    <w:rsid w:val="00C02A0A"/>
    <w:rsid w:val="00C03688"/>
    <w:rsid w:val="00C04139"/>
    <w:rsid w:val="00C041C0"/>
    <w:rsid w:val="00C0470F"/>
    <w:rsid w:val="00C04EA5"/>
    <w:rsid w:val="00C05E7F"/>
    <w:rsid w:val="00C05F5A"/>
    <w:rsid w:val="00C06253"/>
    <w:rsid w:val="00C06856"/>
    <w:rsid w:val="00C06CA6"/>
    <w:rsid w:val="00C1059A"/>
    <w:rsid w:val="00C1112D"/>
    <w:rsid w:val="00C11267"/>
    <w:rsid w:val="00C1182B"/>
    <w:rsid w:val="00C1190F"/>
    <w:rsid w:val="00C11FF9"/>
    <w:rsid w:val="00C12407"/>
    <w:rsid w:val="00C14504"/>
    <w:rsid w:val="00C1468B"/>
    <w:rsid w:val="00C146C3"/>
    <w:rsid w:val="00C15CBC"/>
    <w:rsid w:val="00C161CD"/>
    <w:rsid w:val="00C16247"/>
    <w:rsid w:val="00C16C51"/>
    <w:rsid w:val="00C17D53"/>
    <w:rsid w:val="00C17EC3"/>
    <w:rsid w:val="00C20156"/>
    <w:rsid w:val="00C20295"/>
    <w:rsid w:val="00C20835"/>
    <w:rsid w:val="00C21534"/>
    <w:rsid w:val="00C21BC6"/>
    <w:rsid w:val="00C21F82"/>
    <w:rsid w:val="00C24A65"/>
    <w:rsid w:val="00C24F44"/>
    <w:rsid w:val="00C25B2F"/>
    <w:rsid w:val="00C25F96"/>
    <w:rsid w:val="00C26B9E"/>
    <w:rsid w:val="00C2798B"/>
    <w:rsid w:val="00C27E0B"/>
    <w:rsid w:val="00C3139E"/>
    <w:rsid w:val="00C31F07"/>
    <w:rsid w:val="00C324BC"/>
    <w:rsid w:val="00C32AFE"/>
    <w:rsid w:val="00C32C72"/>
    <w:rsid w:val="00C3423F"/>
    <w:rsid w:val="00C344BB"/>
    <w:rsid w:val="00C346A9"/>
    <w:rsid w:val="00C36289"/>
    <w:rsid w:val="00C37050"/>
    <w:rsid w:val="00C3747A"/>
    <w:rsid w:val="00C37627"/>
    <w:rsid w:val="00C37BAF"/>
    <w:rsid w:val="00C37D57"/>
    <w:rsid w:val="00C40497"/>
    <w:rsid w:val="00C40942"/>
    <w:rsid w:val="00C40A6D"/>
    <w:rsid w:val="00C40ABC"/>
    <w:rsid w:val="00C419AB"/>
    <w:rsid w:val="00C41D75"/>
    <w:rsid w:val="00C43070"/>
    <w:rsid w:val="00C43763"/>
    <w:rsid w:val="00C44877"/>
    <w:rsid w:val="00C44BA4"/>
    <w:rsid w:val="00C45582"/>
    <w:rsid w:val="00C45908"/>
    <w:rsid w:val="00C45C3C"/>
    <w:rsid w:val="00C46036"/>
    <w:rsid w:val="00C46385"/>
    <w:rsid w:val="00C46F4C"/>
    <w:rsid w:val="00C47D23"/>
    <w:rsid w:val="00C47D53"/>
    <w:rsid w:val="00C50049"/>
    <w:rsid w:val="00C52510"/>
    <w:rsid w:val="00C528D9"/>
    <w:rsid w:val="00C5350E"/>
    <w:rsid w:val="00C53F2F"/>
    <w:rsid w:val="00C5442E"/>
    <w:rsid w:val="00C5457E"/>
    <w:rsid w:val="00C54D4B"/>
    <w:rsid w:val="00C54DD9"/>
    <w:rsid w:val="00C55200"/>
    <w:rsid w:val="00C55A2B"/>
    <w:rsid w:val="00C56256"/>
    <w:rsid w:val="00C5635A"/>
    <w:rsid w:val="00C56D8B"/>
    <w:rsid w:val="00C56F10"/>
    <w:rsid w:val="00C578B3"/>
    <w:rsid w:val="00C600CF"/>
    <w:rsid w:val="00C604B1"/>
    <w:rsid w:val="00C60DAA"/>
    <w:rsid w:val="00C615E3"/>
    <w:rsid w:val="00C62AF2"/>
    <w:rsid w:val="00C6326D"/>
    <w:rsid w:val="00C64716"/>
    <w:rsid w:val="00C649BD"/>
    <w:rsid w:val="00C64D43"/>
    <w:rsid w:val="00C64FCA"/>
    <w:rsid w:val="00C6527D"/>
    <w:rsid w:val="00C65309"/>
    <w:rsid w:val="00C6604D"/>
    <w:rsid w:val="00C676B4"/>
    <w:rsid w:val="00C7127C"/>
    <w:rsid w:val="00C7127E"/>
    <w:rsid w:val="00C712EC"/>
    <w:rsid w:val="00C71D62"/>
    <w:rsid w:val="00C71F6B"/>
    <w:rsid w:val="00C7276A"/>
    <w:rsid w:val="00C73017"/>
    <w:rsid w:val="00C73505"/>
    <w:rsid w:val="00C73ACC"/>
    <w:rsid w:val="00C7460D"/>
    <w:rsid w:val="00C7468C"/>
    <w:rsid w:val="00C751DE"/>
    <w:rsid w:val="00C762A1"/>
    <w:rsid w:val="00C76305"/>
    <w:rsid w:val="00C7657F"/>
    <w:rsid w:val="00C76767"/>
    <w:rsid w:val="00C76853"/>
    <w:rsid w:val="00C76FF3"/>
    <w:rsid w:val="00C7703C"/>
    <w:rsid w:val="00C7743E"/>
    <w:rsid w:val="00C8003A"/>
    <w:rsid w:val="00C8014A"/>
    <w:rsid w:val="00C801DA"/>
    <w:rsid w:val="00C80755"/>
    <w:rsid w:val="00C80990"/>
    <w:rsid w:val="00C80AAF"/>
    <w:rsid w:val="00C811E5"/>
    <w:rsid w:val="00C81C64"/>
    <w:rsid w:val="00C822C1"/>
    <w:rsid w:val="00C825EA"/>
    <w:rsid w:val="00C82AF5"/>
    <w:rsid w:val="00C82F8B"/>
    <w:rsid w:val="00C8309B"/>
    <w:rsid w:val="00C83BF5"/>
    <w:rsid w:val="00C8496D"/>
    <w:rsid w:val="00C855E5"/>
    <w:rsid w:val="00C85706"/>
    <w:rsid w:val="00C85710"/>
    <w:rsid w:val="00C87EB4"/>
    <w:rsid w:val="00C90E64"/>
    <w:rsid w:val="00C90FD5"/>
    <w:rsid w:val="00C911A9"/>
    <w:rsid w:val="00C91454"/>
    <w:rsid w:val="00C91D88"/>
    <w:rsid w:val="00C91E3C"/>
    <w:rsid w:val="00C942AF"/>
    <w:rsid w:val="00C943C0"/>
    <w:rsid w:val="00C95286"/>
    <w:rsid w:val="00C96C5F"/>
    <w:rsid w:val="00C96CC8"/>
    <w:rsid w:val="00C96E47"/>
    <w:rsid w:val="00C97488"/>
    <w:rsid w:val="00C97CF5"/>
    <w:rsid w:val="00CA04CB"/>
    <w:rsid w:val="00CA0C7B"/>
    <w:rsid w:val="00CA0D8C"/>
    <w:rsid w:val="00CA0F0A"/>
    <w:rsid w:val="00CA17FD"/>
    <w:rsid w:val="00CA1D1F"/>
    <w:rsid w:val="00CA2375"/>
    <w:rsid w:val="00CA23E8"/>
    <w:rsid w:val="00CA3373"/>
    <w:rsid w:val="00CA3796"/>
    <w:rsid w:val="00CA37FF"/>
    <w:rsid w:val="00CA5337"/>
    <w:rsid w:val="00CA5DDA"/>
    <w:rsid w:val="00CA6D07"/>
    <w:rsid w:val="00CA6E77"/>
    <w:rsid w:val="00CA7F80"/>
    <w:rsid w:val="00CB00B9"/>
    <w:rsid w:val="00CB070E"/>
    <w:rsid w:val="00CB1619"/>
    <w:rsid w:val="00CB1854"/>
    <w:rsid w:val="00CB2CFD"/>
    <w:rsid w:val="00CB39B1"/>
    <w:rsid w:val="00CB3B31"/>
    <w:rsid w:val="00CB3B8B"/>
    <w:rsid w:val="00CB4837"/>
    <w:rsid w:val="00CB5431"/>
    <w:rsid w:val="00CB576A"/>
    <w:rsid w:val="00CB5D97"/>
    <w:rsid w:val="00CB65A0"/>
    <w:rsid w:val="00CB78A8"/>
    <w:rsid w:val="00CC0103"/>
    <w:rsid w:val="00CC03E1"/>
    <w:rsid w:val="00CC03FB"/>
    <w:rsid w:val="00CC088B"/>
    <w:rsid w:val="00CC0BF9"/>
    <w:rsid w:val="00CC15F6"/>
    <w:rsid w:val="00CC1AB3"/>
    <w:rsid w:val="00CC2092"/>
    <w:rsid w:val="00CC2665"/>
    <w:rsid w:val="00CC36C1"/>
    <w:rsid w:val="00CC445F"/>
    <w:rsid w:val="00CC486D"/>
    <w:rsid w:val="00CC4AAC"/>
    <w:rsid w:val="00CC4C58"/>
    <w:rsid w:val="00CC5C41"/>
    <w:rsid w:val="00CC5C5A"/>
    <w:rsid w:val="00CC5E06"/>
    <w:rsid w:val="00CC60EA"/>
    <w:rsid w:val="00CC61CA"/>
    <w:rsid w:val="00CC7556"/>
    <w:rsid w:val="00CC7774"/>
    <w:rsid w:val="00CC7AC0"/>
    <w:rsid w:val="00CC7AF8"/>
    <w:rsid w:val="00CD2FBE"/>
    <w:rsid w:val="00CD45DE"/>
    <w:rsid w:val="00CD575A"/>
    <w:rsid w:val="00CD6969"/>
    <w:rsid w:val="00CD6D30"/>
    <w:rsid w:val="00CD7136"/>
    <w:rsid w:val="00CD7D2D"/>
    <w:rsid w:val="00CE0175"/>
    <w:rsid w:val="00CE02CE"/>
    <w:rsid w:val="00CE0C9F"/>
    <w:rsid w:val="00CE1745"/>
    <w:rsid w:val="00CE1C5E"/>
    <w:rsid w:val="00CE33F7"/>
    <w:rsid w:val="00CE413C"/>
    <w:rsid w:val="00CE4324"/>
    <w:rsid w:val="00CE4DBC"/>
    <w:rsid w:val="00CE5CAE"/>
    <w:rsid w:val="00CE5CB8"/>
    <w:rsid w:val="00CE5FA8"/>
    <w:rsid w:val="00CE60C4"/>
    <w:rsid w:val="00CE636F"/>
    <w:rsid w:val="00CE6CFC"/>
    <w:rsid w:val="00CE797A"/>
    <w:rsid w:val="00CF1D02"/>
    <w:rsid w:val="00CF3043"/>
    <w:rsid w:val="00CF397F"/>
    <w:rsid w:val="00CF3B2E"/>
    <w:rsid w:val="00CF6EFB"/>
    <w:rsid w:val="00CF715E"/>
    <w:rsid w:val="00CF720E"/>
    <w:rsid w:val="00CF7625"/>
    <w:rsid w:val="00CF7B00"/>
    <w:rsid w:val="00CF7C01"/>
    <w:rsid w:val="00D00140"/>
    <w:rsid w:val="00D01387"/>
    <w:rsid w:val="00D01995"/>
    <w:rsid w:val="00D024A4"/>
    <w:rsid w:val="00D038AE"/>
    <w:rsid w:val="00D03C8D"/>
    <w:rsid w:val="00D0431B"/>
    <w:rsid w:val="00D045B8"/>
    <w:rsid w:val="00D04F17"/>
    <w:rsid w:val="00D05142"/>
    <w:rsid w:val="00D05626"/>
    <w:rsid w:val="00D0599E"/>
    <w:rsid w:val="00D05D68"/>
    <w:rsid w:val="00D062CE"/>
    <w:rsid w:val="00D06550"/>
    <w:rsid w:val="00D06F69"/>
    <w:rsid w:val="00D070CA"/>
    <w:rsid w:val="00D0748E"/>
    <w:rsid w:val="00D1012C"/>
    <w:rsid w:val="00D10499"/>
    <w:rsid w:val="00D10AC5"/>
    <w:rsid w:val="00D10C54"/>
    <w:rsid w:val="00D119B4"/>
    <w:rsid w:val="00D13956"/>
    <w:rsid w:val="00D149B9"/>
    <w:rsid w:val="00D14BA8"/>
    <w:rsid w:val="00D1599D"/>
    <w:rsid w:val="00D15B97"/>
    <w:rsid w:val="00D16141"/>
    <w:rsid w:val="00D16275"/>
    <w:rsid w:val="00D16DDF"/>
    <w:rsid w:val="00D1750F"/>
    <w:rsid w:val="00D177BD"/>
    <w:rsid w:val="00D178C9"/>
    <w:rsid w:val="00D20C57"/>
    <w:rsid w:val="00D21BBF"/>
    <w:rsid w:val="00D22945"/>
    <w:rsid w:val="00D22DB3"/>
    <w:rsid w:val="00D23248"/>
    <w:rsid w:val="00D238E4"/>
    <w:rsid w:val="00D23E7D"/>
    <w:rsid w:val="00D245FB"/>
    <w:rsid w:val="00D24600"/>
    <w:rsid w:val="00D2512F"/>
    <w:rsid w:val="00D25371"/>
    <w:rsid w:val="00D2566E"/>
    <w:rsid w:val="00D257F2"/>
    <w:rsid w:val="00D25E88"/>
    <w:rsid w:val="00D263AE"/>
    <w:rsid w:val="00D265ED"/>
    <w:rsid w:val="00D266CA"/>
    <w:rsid w:val="00D26B2A"/>
    <w:rsid w:val="00D2724B"/>
    <w:rsid w:val="00D307BF"/>
    <w:rsid w:val="00D307FA"/>
    <w:rsid w:val="00D30B65"/>
    <w:rsid w:val="00D312D8"/>
    <w:rsid w:val="00D31765"/>
    <w:rsid w:val="00D317C1"/>
    <w:rsid w:val="00D3224A"/>
    <w:rsid w:val="00D32D41"/>
    <w:rsid w:val="00D34E71"/>
    <w:rsid w:val="00D35946"/>
    <w:rsid w:val="00D35ED6"/>
    <w:rsid w:val="00D369D0"/>
    <w:rsid w:val="00D36D88"/>
    <w:rsid w:val="00D3712C"/>
    <w:rsid w:val="00D37353"/>
    <w:rsid w:val="00D37674"/>
    <w:rsid w:val="00D37FC8"/>
    <w:rsid w:val="00D41569"/>
    <w:rsid w:val="00D4212B"/>
    <w:rsid w:val="00D424D4"/>
    <w:rsid w:val="00D426FF"/>
    <w:rsid w:val="00D42847"/>
    <w:rsid w:val="00D43771"/>
    <w:rsid w:val="00D43F17"/>
    <w:rsid w:val="00D4499A"/>
    <w:rsid w:val="00D44A7D"/>
    <w:rsid w:val="00D44D19"/>
    <w:rsid w:val="00D4634A"/>
    <w:rsid w:val="00D47828"/>
    <w:rsid w:val="00D47D5B"/>
    <w:rsid w:val="00D500C5"/>
    <w:rsid w:val="00D50536"/>
    <w:rsid w:val="00D50782"/>
    <w:rsid w:val="00D50D8B"/>
    <w:rsid w:val="00D5270F"/>
    <w:rsid w:val="00D528CB"/>
    <w:rsid w:val="00D52F37"/>
    <w:rsid w:val="00D534DE"/>
    <w:rsid w:val="00D53D5D"/>
    <w:rsid w:val="00D53FA7"/>
    <w:rsid w:val="00D543C7"/>
    <w:rsid w:val="00D54601"/>
    <w:rsid w:val="00D54795"/>
    <w:rsid w:val="00D5495C"/>
    <w:rsid w:val="00D5498E"/>
    <w:rsid w:val="00D54F59"/>
    <w:rsid w:val="00D5523D"/>
    <w:rsid w:val="00D55B20"/>
    <w:rsid w:val="00D5662D"/>
    <w:rsid w:val="00D5715B"/>
    <w:rsid w:val="00D57F34"/>
    <w:rsid w:val="00D6087B"/>
    <w:rsid w:val="00D608CE"/>
    <w:rsid w:val="00D6121B"/>
    <w:rsid w:val="00D6230D"/>
    <w:rsid w:val="00D628F4"/>
    <w:rsid w:val="00D62FAF"/>
    <w:rsid w:val="00D63530"/>
    <w:rsid w:val="00D642C6"/>
    <w:rsid w:val="00D64B9B"/>
    <w:rsid w:val="00D64BD6"/>
    <w:rsid w:val="00D65173"/>
    <w:rsid w:val="00D66446"/>
    <w:rsid w:val="00D674BA"/>
    <w:rsid w:val="00D67506"/>
    <w:rsid w:val="00D6783A"/>
    <w:rsid w:val="00D70034"/>
    <w:rsid w:val="00D71C7B"/>
    <w:rsid w:val="00D71EEB"/>
    <w:rsid w:val="00D72349"/>
    <w:rsid w:val="00D735D9"/>
    <w:rsid w:val="00D73673"/>
    <w:rsid w:val="00D740DD"/>
    <w:rsid w:val="00D74F98"/>
    <w:rsid w:val="00D75346"/>
    <w:rsid w:val="00D75C63"/>
    <w:rsid w:val="00D769B0"/>
    <w:rsid w:val="00D76C1C"/>
    <w:rsid w:val="00D76DA6"/>
    <w:rsid w:val="00D803A7"/>
    <w:rsid w:val="00D8089C"/>
    <w:rsid w:val="00D81328"/>
    <w:rsid w:val="00D818FE"/>
    <w:rsid w:val="00D82E1D"/>
    <w:rsid w:val="00D832C4"/>
    <w:rsid w:val="00D83597"/>
    <w:rsid w:val="00D836C0"/>
    <w:rsid w:val="00D83C60"/>
    <w:rsid w:val="00D840CE"/>
    <w:rsid w:val="00D8470E"/>
    <w:rsid w:val="00D84B96"/>
    <w:rsid w:val="00D85524"/>
    <w:rsid w:val="00D85C47"/>
    <w:rsid w:val="00D86717"/>
    <w:rsid w:val="00D87052"/>
    <w:rsid w:val="00D8713B"/>
    <w:rsid w:val="00D87D9B"/>
    <w:rsid w:val="00D90F77"/>
    <w:rsid w:val="00D91BA8"/>
    <w:rsid w:val="00D92473"/>
    <w:rsid w:val="00D92877"/>
    <w:rsid w:val="00D9300E"/>
    <w:rsid w:val="00D93604"/>
    <w:rsid w:val="00D950E1"/>
    <w:rsid w:val="00D951F6"/>
    <w:rsid w:val="00D958BD"/>
    <w:rsid w:val="00D95A8F"/>
    <w:rsid w:val="00D95E18"/>
    <w:rsid w:val="00D96028"/>
    <w:rsid w:val="00D962EE"/>
    <w:rsid w:val="00D965B9"/>
    <w:rsid w:val="00D977E4"/>
    <w:rsid w:val="00D97950"/>
    <w:rsid w:val="00D979B9"/>
    <w:rsid w:val="00D97AA2"/>
    <w:rsid w:val="00D97F19"/>
    <w:rsid w:val="00DA00EC"/>
    <w:rsid w:val="00DA0A32"/>
    <w:rsid w:val="00DA1257"/>
    <w:rsid w:val="00DA130E"/>
    <w:rsid w:val="00DA1DBE"/>
    <w:rsid w:val="00DA1EB1"/>
    <w:rsid w:val="00DA23AD"/>
    <w:rsid w:val="00DA2482"/>
    <w:rsid w:val="00DA249E"/>
    <w:rsid w:val="00DA2C25"/>
    <w:rsid w:val="00DA349D"/>
    <w:rsid w:val="00DA3797"/>
    <w:rsid w:val="00DA383A"/>
    <w:rsid w:val="00DA39F8"/>
    <w:rsid w:val="00DA3CBC"/>
    <w:rsid w:val="00DA54A5"/>
    <w:rsid w:val="00DA63B3"/>
    <w:rsid w:val="00DA6BFE"/>
    <w:rsid w:val="00DA6C83"/>
    <w:rsid w:val="00DA6F7A"/>
    <w:rsid w:val="00DA6FD4"/>
    <w:rsid w:val="00DA7609"/>
    <w:rsid w:val="00DA76E3"/>
    <w:rsid w:val="00DA7AF0"/>
    <w:rsid w:val="00DB00FE"/>
    <w:rsid w:val="00DB1F81"/>
    <w:rsid w:val="00DB22A9"/>
    <w:rsid w:val="00DB35D1"/>
    <w:rsid w:val="00DB3868"/>
    <w:rsid w:val="00DB5177"/>
    <w:rsid w:val="00DB5C8F"/>
    <w:rsid w:val="00DB655E"/>
    <w:rsid w:val="00DB6877"/>
    <w:rsid w:val="00DB70D7"/>
    <w:rsid w:val="00DB738D"/>
    <w:rsid w:val="00DB7958"/>
    <w:rsid w:val="00DB7F2C"/>
    <w:rsid w:val="00DC0C6E"/>
    <w:rsid w:val="00DC10A4"/>
    <w:rsid w:val="00DC1BAA"/>
    <w:rsid w:val="00DC1F2B"/>
    <w:rsid w:val="00DC2B35"/>
    <w:rsid w:val="00DC3493"/>
    <w:rsid w:val="00DC36A2"/>
    <w:rsid w:val="00DC36D4"/>
    <w:rsid w:val="00DC3B2F"/>
    <w:rsid w:val="00DC3D43"/>
    <w:rsid w:val="00DC41D8"/>
    <w:rsid w:val="00DC4BD5"/>
    <w:rsid w:val="00DC618C"/>
    <w:rsid w:val="00DC6643"/>
    <w:rsid w:val="00DC6D82"/>
    <w:rsid w:val="00DC79C7"/>
    <w:rsid w:val="00DD128B"/>
    <w:rsid w:val="00DD1AD7"/>
    <w:rsid w:val="00DD1ADA"/>
    <w:rsid w:val="00DD21CF"/>
    <w:rsid w:val="00DD26B0"/>
    <w:rsid w:val="00DD2AE9"/>
    <w:rsid w:val="00DD2E9A"/>
    <w:rsid w:val="00DD3024"/>
    <w:rsid w:val="00DD3774"/>
    <w:rsid w:val="00DD48E8"/>
    <w:rsid w:val="00DD4A87"/>
    <w:rsid w:val="00DD4B4C"/>
    <w:rsid w:val="00DD4DE5"/>
    <w:rsid w:val="00DD56EE"/>
    <w:rsid w:val="00DD5FB8"/>
    <w:rsid w:val="00DD5FFA"/>
    <w:rsid w:val="00DD6518"/>
    <w:rsid w:val="00DD66C6"/>
    <w:rsid w:val="00DD746B"/>
    <w:rsid w:val="00DD7BA6"/>
    <w:rsid w:val="00DE0398"/>
    <w:rsid w:val="00DE064E"/>
    <w:rsid w:val="00DE0F38"/>
    <w:rsid w:val="00DE118B"/>
    <w:rsid w:val="00DE1273"/>
    <w:rsid w:val="00DE138B"/>
    <w:rsid w:val="00DE2C11"/>
    <w:rsid w:val="00DE3EF2"/>
    <w:rsid w:val="00DE3F20"/>
    <w:rsid w:val="00DE4950"/>
    <w:rsid w:val="00DE5D9F"/>
    <w:rsid w:val="00DE5E34"/>
    <w:rsid w:val="00DE67A4"/>
    <w:rsid w:val="00DE6DF8"/>
    <w:rsid w:val="00DE72DF"/>
    <w:rsid w:val="00DF09E4"/>
    <w:rsid w:val="00DF1213"/>
    <w:rsid w:val="00DF1F6B"/>
    <w:rsid w:val="00DF203D"/>
    <w:rsid w:val="00DF27C8"/>
    <w:rsid w:val="00DF2C3B"/>
    <w:rsid w:val="00DF2F15"/>
    <w:rsid w:val="00DF2F6D"/>
    <w:rsid w:val="00DF3CD0"/>
    <w:rsid w:val="00DF4931"/>
    <w:rsid w:val="00DF4C26"/>
    <w:rsid w:val="00DF4E95"/>
    <w:rsid w:val="00DF5A36"/>
    <w:rsid w:val="00DF5A73"/>
    <w:rsid w:val="00DF5D94"/>
    <w:rsid w:val="00DF6142"/>
    <w:rsid w:val="00DF641A"/>
    <w:rsid w:val="00DF6516"/>
    <w:rsid w:val="00DF671C"/>
    <w:rsid w:val="00DF6D39"/>
    <w:rsid w:val="00DF705B"/>
    <w:rsid w:val="00DF70A3"/>
    <w:rsid w:val="00DF70D9"/>
    <w:rsid w:val="00DF7524"/>
    <w:rsid w:val="00DF7D0F"/>
    <w:rsid w:val="00DF7D72"/>
    <w:rsid w:val="00DF7ECE"/>
    <w:rsid w:val="00E000A5"/>
    <w:rsid w:val="00E009D8"/>
    <w:rsid w:val="00E00E26"/>
    <w:rsid w:val="00E0266B"/>
    <w:rsid w:val="00E029C6"/>
    <w:rsid w:val="00E0385F"/>
    <w:rsid w:val="00E046CC"/>
    <w:rsid w:val="00E048B3"/>
    <w:rsid w:val="00E049FF"/>
    <w:rsid w:val="00E05DD6"/>
    <w:rsid w:val="00E069D6"/>
    <w:rsid w:val="00E10D46"/>
    <w:rsid w:val="00E1197E"/>
    <w:rsid w:val="00E12652"/>
    <w:rsid w:val="00E1267B"/>
    <w:rsid w:val="00E12D9E"/>
    <w:rsid w:val="00E134A1"/>
    <w:rsid w:val="00E1373D"/>
    <w:rsid w:val="00E13A35"/>
    <w:rsid w:val="00E13FA2"/>
    <w:rsid w:val="00E142B8"/>
    <w:rsid w:val="00E14867"/>
    <w:rsid w:val="00E14A5D"/>
    <w:rsid w:val="00E16085"/>
    <w:rsid w:val="00E161D7"/>
    <w:rsid w:val="00E16371"/>
    <w:rsid w:val="00E1694A"/>
    <w:rsid w:val="00E1744A"/>
    <w:rsid w:val="00E17AC2"/>
    <w:rsid w:val="00E17CF6"/>
    <w:rsid w:val="00E205FA"/>
    <w:rsid w:val="00E20608"/>
    <w:rsid w:val="00E22225"/>
    <w:rsid w:val="00E22467"/>
    <w:rsid w:val="00E22CE3"/>
    <w:rsid w:val="00E23319"/>
    <w:rsid w:val="00E23A88"/>
    <w:rsid w:val="00E24535"/>
    <w:rsid w:val="00E245A8"/>
    <w:rsid w:val="00E24E0A"/>
    <w:rsid w:val="00E252B3"/>
    <w:rsid w:val="00E25728"/>
    <w:rsid w:val="00E2577F"/>
    <w:rsid w:val="00E25B2F"/>
    <w:rsid w:val="00E2607D"/>
    <w:rsid w:val="00E26112"/>
    <w:rsid w:val="00E2631C"/>
    <w:rsid w:val="00E26646"/>
    <w:rsid w:val="00E26986"/>
    <w:rsid w:val="00E26C26"/>
    <w:rsid w:val="00E271A6"/>
    <w:rsid w:val="00E27876"/>
    <w:rsid w:val="00E303CF"/>
    <w:rsid w:val="00E30C5D"/>
    <w:rsid w:val="00E30F62"/>
    <w:rsid w:val="00E3142D"/>
    <w:rsid w:val="00E3175B"/>
    <w:rsid w:val="00E31B2D"/>
    <w:rsid w:val="00E31CC8"/>
    <w:rsid w:val="00E31F11"/>
    <w:rsid w:val="00E32EEA"/>
    <w:rsid w:val="00E337F4"/>
    <w:rsid w:val="00E33F79"/>
    <w:rsid w:val="00E3493F"/>
    <w:rsid w:val="00E35DCB"/>
    <w:rsid w:val="00E360BB"/>
    <w:rsid w:val="00E36549"/>
    <w:rsid w:val="00E36F9D"/>
    <w:rsid w:val="00E37F3B"/>
    <w:rsid w:val="00E403EF"/>
    <w:rsid w:val="00E40F3F"/>
    <w:rsid w:val="00E41357"/>
    <w:rsid w:val="00E4170B"/>
    <w:rsid w:val="00E419E9"/>
    <w:rsid w:val="00E42579"/>
    <w:rsid w:val="00E433D7"/>
    <w:rsid w:val="00E43F8B"/>
    <w:rsid w:val="00E44762"/>
    <w:rsid w:val="00E44B99"/>
    <w:rsid w:val="00E4635F"/>
    <w:rsid w:val="00E46416"/>
    <w:rsid w:val="00E46B7A"/>
    <w:rsid w:val="00E46E25"/>
    <w:rsid w:val="00E46EC7"/>
    <w:rsid w:val="00E4718D"/>
    <w:rsid w:val="00E476CF"/>
    <w:rsid w:val="00E504B8"/>
    <w:rsid w:val="00E50F32"/>
    <w:rsid w:val="00E51F03"/>
    <w:rsid w:val="00E52655"/>
    <w:rsid w:val="00E52756"/>
    <w:rsid w:val="00E536FD"/>
    <w:rsid w:val="00E53868"/>
    <w:rsid w:val="00E539A0"/>
    <w:rsid w:val="00E53E2B"/>
    <w:rsid w:val="00E557F9"/>
    <w:rsid w:val="00E5614A"/>
    <w:rsid w:val="00E564B4"/>
    <w:rsid w:val="00E566D5"/>
    <w:rsid w:val="00E56779"/>
    <w:rsid w:val="00E57084"/>
    <w:rsid w:val="00E5792B"/>
    <w:rsid w:val="00E604B0"/>
    <w:rsid w:val="00E60A55"/>
    <w:rsid w:val="00E60F32"/>
    <w:rsid w:val="00E61167"/>
    <w:rsid w:val="00E61F8D"/>
    <w:rsid w:val="00E627E4"/>
    <w:rsid w:val="00E6289A"/>
    <w:rsid w:val="00E62CC9"/>
    <w:rsid w:val="00E62D01"/>
    <w:rsid w:val="00E63368"/>
    <w:rsid w:val="00E63949"/>
    <w:rsid w:val="00E64C9A"/>
    <w:rsid w:val="00E65645"/>
    <w:rsid w:val="00E6576A"/>
    <w:rsid w:val="00E66659"/>
    <w:rsid w:val="00E66C3E"/>
    <w:rsid w:val="00E676D1"/>
    <w:rsid w:val="00E67853"/>
    <w:rsid w:val="00E708F1"/>
    <w:rsid w:val="00E71684"/>
    <w:rsid w:val="00E718E0"/>
    <w:rsid w:val="00E71C69"/>
    <w:rsid w:val="00E72256"/>
    <w:rsid w:val="00E73300"/>
    <w:rsid w:val="00E736C6"/>
    <w:rsid w:val="00E73A0A"/>
    <w:rsid w:val="00E73A2F"/>
    <w:rsid w:val="00E745F1"/>
    <w:rsid w:val="00E746BB"/>
    <w:rsid w:val="00E74808"/>
    <w:rsid w:val="00E74ED0"/>
    <w:rsid w:val="00E74F90"/>
    <w:rsid w:val="00E75861"/>
    <w:rsid w:val="00E759E1"/>
    <w:rsid w:val="00E7609C"/>
    <w:rsid w:val="00E76715"/>
    <w:rsid w:val="00E76CAA"/>
    <w:rsid w:val="00E76F3F"/>
    <w:rsid w:val="00E774DF"/>
    <w:rsid w:val="00E7758B"/>
    <w:rsid w:val="00E776AC"/>
    <w:rsid w:val="00E77CA2"/>
    <w:rsid w:val="00E809CD"/>
    <w:rsid w:val="00E80A8C"/>
    <w:rsid w:val="00E80C8D"/>
    <w:rsid w:val="00E826BF"/>
    <w:rsid w:val="00E82ECD"/>
    <w:rsid w:val="00E83970"/>
    <w:rsid w:val="00E84FDE"/>
    <w:rsid w:val="00E8526E"/>
    <w:rsid w:val="00E85322"/>
    <w:rsid w:val="00E8559B"/>
    <w:rsid w:val="00E85C9C"/>
    <w:rsid w:val="00E8604D"/>
    <w:rsid w:val="00E860FE"/>
    <w:rsid w:val="00E8721D"/>
    <w:rsid w:val="00E8755C"/>
    <w:rsid w:val="00E87CF5"/>
    <w:rsid w:val="00E904BA"/>
    <w:rsid w:val="00E90EA3"/>
    <w:rsid w:val="00E918E1"/>
    <w:rsid w:val="00E91EFD"/>
    <w:rsid w:val="00E92102"/>
    <w:rsid w:val="00E92F01"/>
    <w:rsid w:val="00E933C2"/>
    <w:rsid w:val="00E9446E"/>
    <w:rsid w:val="00E94F87"/>
    <w:rsid w:val="00E954B2"/>
    <w:rsid w:val="00E954E1"/>
    <w:rsid w:val="00E95817"/>
    <w:rsid w:val="00E958CE"/>
    <w:rsid w:val="00E96377"/>
    <w:rsid w:val="00E96916"/>
    <w:rsid w:val="00E96F0C"/>
    <w:rsid w:val="00E972D7"/>
    <w:rsid w:val="00E97DA1"/>
    <w:rsid w:val="00EA0163"/>
    <w:rsid w:val="00EA031D"/>
    <w:rsid w:val="00EA0453"/>
    <w:rsid w:val="00EA0774"/>
    <w:rsid w:val="00EA16D4"/>
    <w:rsid w:val="00EA2331"/>
    <w:rsid w:val="00EA24D5"/>
    <w:rsid w:val="00EA26A5"/>
    <w:rsid w:val="00EA2FE2"/>
    <w:rsid w:val="00EA37B9"/>
    <w:rsid w:val="00EA4940"/>
    <w:rsid w:val="00EA4FDD"/>
    <w:rsid w:val="00EA5027"/>
    <w:rsid w:val="00EB0648"/>
    <w:rsid w:val="00EB0761"/>
    <w:rsid w:val="00EB1D82"/>
    <w:rsid w:val="00EB24A6"/>
    <w:rsid w:val="00EB2E7B"/>
    <w:rsid w:val="00EB339E"/>
    <w:rsid w:val="00EB3761"/>
    <w:rsid w:val="00EB3DEE"/>
    <w:rsid w:val="00EB4E7B"/>
    <w:rsid w:val="00EB4E88"/>
    <w:rsid w:val="00EB512F"/>
    <w:rsid w:val="00EB518B"/>
    <w:rsid w:val="00EB57AD"/>
    <w:rsid w:val="00EB5E7F"/>
    <w:rsid w:val="00EB6035"/>
    <w:rsid w:val="00EB6C0A"/>
    <w:rsid w:val="00EB7157"/>
    <w:rsid w:val="00EB73AA"/>
    <w:rsid w:val="00EC09BB"/>
    <w:rsid w:val="00EC0BA9"/>
    <w:rsid w:val="00EC168A"/>
    <w:rsid w:val="00EC1DE3"/>
    <w:rsid w:val="00EC1F67"/>
    <w:rsid w:val="00EC2E21"/>
    <w:rsid w:val="00EC2FB6"/>
    <w:rsid w:val="00EC32AF"/>
    <w:rsid w:val="00EC334A"/>
    <w:rsid w:val="00EC37EE"/>
    <w:rsid w:val="00EC38B5"/>
    <w:rsid w:val="00EC3BC3"/>
    <w:rsid w:val="00EC3D5C"/>
    <w:rsid w:val="00EC3DC4"/>
    <w:rsid w:val="00EC600D"/>
    <w:rsid w:val="00EC6A47"/>
    <w:rsid w:val="00EC6DF5"/>
    <w:rsid w:val="00EC6E8C"/>
    <w:rsid w:val="00EC722D"/>
    <w:rsid w:val="00EC75AB"/>
    <w:rsid w:val="00ED0009"/>
    <w:rsid w:val="00ED01C4"/>
    <w:rsid w:val="00ED1423"/>
    <w:rsid w:val="00ED14CD"/>
    <w:rsid w:val="00ED2144"/>
    <w:rsid w:val="00ED2763"/>
    <w:rsid w:val="00ED2B58"/>
    <w:rsid w:val="00ED33BA"/>
    <w:rsid w:val="00ED379A"/>
    <w:rsid w:val="00ED5060"/>
    <w:rsid w:val="00ED512E"/>
    <w:rsid w:val="00ED612A"/>
    <w:rsid w:val="00ED647A"/>
    <w:rsid w:val="00ED6762"/>
    <w:rsid w:val="00ED6B62"/>
    <w:rsid w:val="00ED6D7A"/>
    <w:rsid w:val="00EE02C6"/>
    <w:rsid w:val="00EE0364"/>
    <w:rsid w:val="00EE1944"/>
    <w:rsid w:val="00EE1DFE"/>
    <w:rsid w:val="00EE210C"/>
    <w:rsid w:val="00EE2C61"/>
    <w:rsid w:val="00EE2CFB"/>
    <w:rsid w:val="00EE3C5A"/>
    <w:rsid w:val="00EE3CF5"/>
    <w:rsid w:val="00EE484C"/>
    <w:rsid w:val="00EE4CF2"/>
    <w:rsid w:val="00EE4FB4"/>
    <w:rsid w:val="00EE51CE"/>
    <w:rsid w:val="00EE5954"/>
    <w:rsid w:val="00EE59F0"/>
    <w:rsid w:val="00EE5C94"/>
    <w:rsid w:val="00EE5FCC"/>
    <w:rsid w:val="00EE64DA"/>
    <w:rsid w:val="00EE6942"/>
    <w:rsid w:val="00EE6D1C"/>
    <w:rsid w:val="00EE7318"/>
    <w:rsid w:val="00EE7BC9"/>
    <w:rsid w:val="00EF01F9"/>
    <w:rsid w:val="00EF0692"/>
    <w:rsid w:val="00EF0874"/>
    <w:rsid w:val="00EF1442"/>
    <w:rsid w:val="00EF15A8"/>
    <w:rsid w:val="00EF17D5"/>
    <w:rsid w:val="00EF1A47"/>
    <w:rsid w:val="00EF1EBC"/>
    <w:rsid w:val="00EF286A"/>
    <w:rsid w:val="00EF2A8E"/>
    <w:rsid w:val="00EF31C0"/>
    <w:rsid w:val="00EF48ED"/>
    <w:rsid w:val="00EF4DD8"/>
    <w:rsid w:val="00EF5BCF"/>
    <w:rsid w:val="00EF7CA8"/>
    <w:rsid w:val="00EF7D05"/>
    <w:rsid w:val="00F00527"/>
    <w:rsid w:val="00F00607"/>
    <w:rsid w:val="00F006DC"/>
    <w:rsid w:val="00F0123C"/>
    <w:rsid w:val="00F012D1"/>
    <w:rsid w:val="00F01462"/>
    <w:rsid w:val="00F01664"/>
    <w:rsid w:val="00F020EC"/>
    <w:rsid w:val="00F02230"/>
    <w:rsid w:val="00F02601"/>
    <w:rsid w:val="00F02621"/>
    <w:rsid w:val="00F03B72"/>
    <w:rsid w:val="00F03DD7"/>
    <w:rsid w:val="00F03E2A"/>
    <w:rsid w:val="00F04C5F"/>
    <w:rsid w:val="00F05613"/>
    <w:rsid w:val="00F070A0"/>
    <w:rsid w:val="00F07195"/>
    <w:rsid w:val="00F075CA"/>
    <w:rsid w:val="00F07856"/>
    <w:rsid w:val="00F078BA"/>
    <w:rsid w:val="00F10542"/>
    <w:rsid w:val="00F11C1B"/>
    <w:rsid w:val="00F12FD3"/>
    <w:rsid w:val="00F1482B"/>
    <w:rsid w:val="00F15D4B"/>
    <w:rsid w:val="00F16AD4"/>
    <w:rsid w:val="00F17531"/>
    <w:rsid w:val="00F21764"/>
    <w:rsid w:val="00F21FDE"/>
    <w:rsid w:val="00F230B0"/>
    <w:rsid w:val="00F23144"/>
    <w:rsid w:val="00F2355D"/>
    <w:rsid w:val="00F23D09"/>
    <w:rsid w:val="00F23F53"/>
    <w:rsid w:val="00F242EC"/>
    <w:rsid w:val="00F248C9"/>
    <w:rsid w:val="00F24E19"/>
    <w:rsid w:val="00F255F5"/>
    <w:rsid w:val="00F260D3"/>
    <w:rsid w:val="00F26110"/>
    <w:rsid w:val="00F261A3"/>
    <w:rsid w:val="00F2630B"/>
    <w:rsid w:val="00F26951"/>
    <w:rsid w:val="00F26A75"/>
    <w:rsid w:val="00F277AB"/>
    <w:rsid w:val="00F27EA0"/>
    <w:rsid w:val="00F3138C"/>
    <w:rsid w:val="00F31ABC"/>
    <w:rsid w:val="00F32309"/>
    <w:rsid w:val="00F32599"/>
    <w:rsid w:val="00F3483C"/>
    <w:rsid w:val="00F34A62"/>
    <w:rsid w:val="00F3581E"/>
    <w:rsid w:val="00F35D72"/>
    <w:rsid w:val="00F36523"/>
    <w:rsid w:val="00F36665"/>
    <w:rsid w:val="00F36B6E"/>
    <w:rsid w:val="00F36C79"/>
    <w:rsid w:val="00F3721C"/>
    <w:rsid w:val="00F37E01"/>
    <w:rsid w:val="00F40C25"/>
    <w:rsid w:val="00F4164E"/>
    <w:rsid w:val="00F41C71"/>
    <w:rsid w:val="00F425C1"/>
    <w:rsid w:val="00F43119"/>
    <w:rsid w:val="00F4364F"/>
    <w:rsid w:val="00F437BA"/>
    <w:rsid w:val="00F43DE3"/>
    <w:rsid w:val="00F43ECC"/>
    <w:rsid w:val="00F441C1"/>
    <w:rsid w:val="00F445E4"/>
    <w:rsid w:val="00F44C17"/>
    <w:rsid w:val="00F44FD4"/>
    <w:rsid w:val="00F45705"/>
    <w:rsid w:val="00F45A11"/>
    <w:rsid w:val="00F45ACD"/>
    <w:rsid w:val="00F45BB8"/>
    <w:rsid w:val="00F4681C"/>
    <w:rsid w:val="00F474F1"/>
    <w:rsid w:val="00F47AEE"/>
    <w:rsid w:val="00F51039"/>
    <w:rsid w:val="00F5298E"/>
    <w:rsid w:val="00F53640"/>
    <w:rsid w:val="00F53985"/>
    <w:rsid w:val="00F5473D"/>
    <w:rsid w:val="00F55A72"/>
    <w:rsid w:val="00F55C48"/>
    <w:rsid w:val="00F55D66"/>
    <w:rsid w:val="00F56CF9"/>
    <w:rsid w:val="00F574B7"/>
    <w:rsid w:val="00F6052C"/>
    <w:rsid w:val="00F608CC"/>
    <w:rsid w:val="00F608DF"/>
    <w:rsid w:val="00F60977"/>
    <w:rsid w:val="00F60FA2"/>
    <w:rsid w:val="00F616B6"/>
    <w:rsid w:val="00F617A2"/>
    <w:rsid w:val="00F62247"/>
    <w:rsid w:val="00F62EB9"/>
    <w:rsid w:val="00F63334"/>
    <w:rsid w:val="00F637AA"/>
    <w:rsid w:val="00F64407"/>
    <w:rsid w:val="00F64642"/>
    <w:rsid w:val="00F64A41"/>
    <w:rsid w:val="00F64D82"/>
    <w:rsid w:val="00F655F6"/>
    <w:rsid w:val="00F65684"/>
    <w:rsid w:val="00F65FC6"/>
    <w:rsid w:val="00F66B2A"/>
    <w:rsid w:val="00F66C90"/>
    <w:rsid w:val="00F67319"/>
    <w:rsid w:val="00F67827"/>
    <w:rsid w:val="00F70E42"/>
    <w:rsid w:val="00F71067"/>
    <w:rsid w:val="00F725D1"/>
    <w:rsid w:val="00F7395E"/>
    <w:rsid w:val="00F73F59"/>
    <w:rsid w:val="00F73FFE"/>
    <w:rsid w:val="00F74356"/>
    <w:rsid w:val="00F7460A"/>
    <w:rsid w:val="00F755ED"/>
    <w:rsid w:val="00F7610E"/>
    <w:rsid w:val="00F76489"/>
    <w:rsid w:val="00F7678C"/>
    <w:rsid w:val="00F768B1"/>
    <w:rsid w:val="00F77591"/>
    <w:rsid w:val="00F77F04"/>
    <w:rsid w:val="00F77F44"/>
    <w:rsid w:val="00F80203"/>
    <w:rsid w:val="00F80DC5"/>
    <w:rsid w:val="00F8115C"/>
    <w:rsid w:val="00F81F96"/>
    <w:rsid w:val="00F82461"/>
    <w:rsid w:val="00F82609"/>
    <w:rsid w:val="00F82D13"/>
    <w:rsid w:val="00F832AD"/>
    <w:rsid w:val="00F84625"/>
    <w:rsid w:val="00F868AB"/>
    <w:rsid w:val="00F86FB1"/>
    <w:rsid w:val="00F87843"/>
    <w:rsid w:val="00F87A7B"/>
    <w:rsid w:val="00F87CFE"/>
    <w:rsid w:val="00F9071E"/>
    <w:rsid w:val="00F90A2B"/>
    <w:rsid w:val="00F90AC4"/>
    <w:rsid w:val="00F90D0C"/>
    <w:rsid w:val="00F917EB"/>
    <w:rsid w:val="00F9276C"/>
    <w:rsid w:val="00F92B54"/>
    <w:rsid w:val="00F92E38"/>
    <w:rsid w:val="00F949AA"/>
    <w:rsid w:val="00F952D3"/>
    <w:rsid w:val="00F956B5"/>
    <w:rsid w:val="00F95781"/>
    <w:rsid w:val="00F95871"/>
    <w:rsid w:val="00F95882"/>
    <w:rsid w:val="00F95D8A"/>
    <w:rsid w:val="00F964CE"/>
    <w:rsid w:val="00F96BBC"/>
    <w:rsid w:val="00F97897"/>
    <w:rsid w:val="00F97BE4"/>
    <w:rsid w:val="00FA0822"/>
    <w:rsid w:val="00FA083B"/>
    <w:rsid w:val="00FA09B8"/>
    <w:rsid w:val="00FA1CC3"/>
    <w:rsid w:val="00FA2686"/>
    <w:rsid w:val="00FA32A8"/>
    <w:rsid w:val="00FA338B"/>
    <w:rsid w:val="00FA364A"/>
    <w:rsid w:val="00FA36A9"/>
    <w:rsid w:val="00FA3750"/>
    <w:rsid w:val="00FA4C94"/>
    <w:rsid w:val="00FA4E80"/>
    <w:rsid w:val="00FA569B"/>
    <w:rsid w:val="00FA56AD"/>
    <w:rsid w:val="00FA64E3"/>
    <w:rsid w:val="00FA6FCF"/>
    <w:rsid w:val="00FB0213"/>
    <w:rsid w:val="00FB0343"/>
    <w:rsid w:val="00FB0503"/>
    <w:rsid w:val="00FB0715"/>
    <w:rsid w:val="00FB0923"/>
    <w:rsid w:val="00FB0CDB"/>
    <w:rsid w:val="00FB1994"/>
    <w:rsid w:val="00FB1AB0"/>
    <w:rsid w:val="00FB1D0F"/>
    <w:rsid w:val="00FB3E91"/>
    <w:rsid w:val="00FB3F2C"/>
    <w:rsid w:val="00FB5404"/>
    <w:rsid w:val="00FB5532"/>
    <w:rsid w:val="00FB5999"/>
    <w:rsid w:val="00FB5C09"/>
    <w:rsid w:val="00FB5FE5"/>
    <w:rsid w:val="00FB63E5"/>
    <w:rsid w:val="00FB6536"/>
    <w:rsid w:val="00FB6A22"/>
    <w:rsid w:val="00FB6AAA"/>
    <w:rsid w:val="00FB6CF4"/>
    <w:rsid w:val="00FC04EF"/>
    <w:rsid w:val="00FC0773"/>
    <w:rsid w:val="00FC0778"/>
    <w:rsid w:val="00FC0E3B"/>
    <w:rsid w:val="00FC2639"/>
    <w:rsid w:val="00FC3037"/>
    <w:rsid w:val="00FC3EAD"/>
    <w:rsid w:val="00FC59E2"/>
    <w:rsid w:val="00FC6B0C"/>
    <w:rsid w:val="00FC713B"/>
    <w:rsid w:val="00FC73FA"/>
    <w:rsid w:val="00FC7761"/>
    <w:rsid w:val="00FC7EE5"/>
    <w:rsid w:val="00FD147F"/>
    <w:rsid w:val="00FD1BA7"/>
    <w:rsid w:val="00FD2982"/>
    <w:rsid w:val="00FD315A"/>
    <w:rsid w:val="00FD32B6"/>
    <w:rsid w:val="00FD3E13"/>
    <w:rsid w:val="00FD5E8F"/>
    <w:rsid w:val="00FD61B9"/>
    <w:rsid w:val="00FD682E"/>
    <w:rsid w:val="00FD78DC"/>
    <w:rsid w:val="00FD7BB0"/>
    <w:rsid w:val="00FD7E1D"/>
    <w:rsid w:val="00FD7FB8"/>
    <w:rsid w:val="00FE0F75"/>
    <w:rsid w:val="00FE15BF"/>
    <w:rsid w:val="00FE17CF"/>
    <w:rsid w:val="00FE22B3"/>
    <w:rsid w:val="00FE22F0"/>
    <w:rsid w:val="00FE2B0E"/>
    <w:rsid w:val="00FE2CDC"/>
    <w:rsid w:val="00FE42EE"/>
    <w:rsid w:val="00FE5D70"/>
    <w:rsid w:val="00FE5D9E"/>
    <w:rsid w:val="00FE6149"/>
    <w:rsid w:val="00FE614B"/>
    <w:rsid w:val="00FE7CDB"/>
    <w:rsid w:val="00FF02A6"/>
    <w:rsid w:val="00FF040D"/>
    <w:rsid w:val="00FF1076"/>
    <w:rsid w:val="00FF1BB8"/>
    <w:rsid w:val="00FF1EF9"/>
    <w:rsid w:val="00FF2A6E"/>
    <w:rsid w:val="00FF594A"/>
    <w:rsid w:val="00FF657E"/>
    <w:rsid w:val="00FF68C0"/>
    <w:rsid w:val="00FF7691"/>
    <w:rsid w:val="00FF7705"/>
    <w:rsid w:val="00FF7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9A9CD"/>
  <w15:chartTrackingRefBased/>
  <w15:docId w15:val="{334649BA-014A-43E5-A08D-B24D37FC2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A0B"/>
    <w:pPr>
      <w:spacing w:after="0" w:line="240" w:lineRule="auto"/>
    </w:pPr>
    <w:rPr>
      <w:rFonts w:eastAsia="Times New Roman" w:cs="Times New Roman"/>
      <w:szCs w:val="24"/>
    </w:rPr>
  </w:style>
  <w:style w:type="paragraph" w:styleId="Heading1">
    <w:name w:val="heading 1"/>
    <w:basedOn w:val="Normal"/>
    <w:next w:val="Normal"/>
    <w:link w:val="Heading1Char"/>
    <w:uiPriority w:val="9"/>
    <w:qFormat/>
    <w:rsid w:val="004312C3"/>
    <w:pPr>
      <w:keepNext/>
      <w:keepLines/>
      <w:spacing w:before="240" w:after="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529ED"/>
    <w:pPr>
      <w:keepNext/>
      <w:keepLines/>
      <w:spacing w:line="480" w:lineRule="auto"/>
      <w:outlineLvl w:val="1"/>
    </w:pPr>
    <w:rPr>
      <w:rFonts w:eastAsiaTheme="majorEastAsia" w:cstheme="majorBidi"/>
      <w:b/>
      <w:i/>
      <w:szCs w:val="26"/>
    </w:rPr>
  </w:style>
  <w:style w:type="paragraph" w:styleId="Heading3">
    <w:name w:val="heading 3"/>
    <w:basedOn w:val="Normal"/>
    <w:next w:val="Normal"/>
    <w:link w:val="Heading3Char"/>
    <w:uiPriority w:val="9"/>
    <w:unhideWhenUsed/>
    <w:qFormat/>
    <w:rsid w:val="003F729B"/>
    <w:pPr>
      <w:keepNext/>
      <w:keepLines/>
      <w:spacing w:line="480" w:lineRule="auto"/>
      <w:outlineLvl w:val="2"/>
    </w:pPr>
    <w:rPr>
      <w:rFonts w:eastAsiaTheme="majorEastAsia" w:cstheme="majorBidi"/>
      <w:i/>
    </w:rPr>
  </w:style>
  <w:style w:type="paragraph" w:styleId="Heading4">
    <w:name w:val="heading 4"/>
    <w:basedOn w:val="Normal"/>
    <w:next w:val="Normal"/>
    <w:link w:val="Heading4Char"/>
    <w:uiPriority w:val="9"/>
    <w:unhideWhenUsed/>
    <w:qFormat/>
    <w:rsid w:val="00A41B5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2C3"/>
    <w:rPr>
      <w:rFonts w:eastAsiaTheme="majorEastAsia" w:cstheme="majorBidi"/>
      <w:b/>
      <w:szCs w:val="32"/>
    </w:rPr>
  </w:style>
  <w:style w:type="character" w:customStyle="1" w:styleId="Heading2Char">
    <w:name w:val="Heading 2 Char"/>
    <w:basedOn w:val="DefaultParagraphFont"/>
    <w:link w:val="Heading2"/>
    <w:uiPriority w:val="9"/>
    <w:rsid w:val="007529ED"/>
    <w:rPr>
      <w:rFonts w:eastAsiaTheme="majorEastAsia" w:cstheme="majorBidi"/>
      <w:b/>
      <w:i/>
      <w:szCs w:val="26"/>
    </w:rPr>
  </w:style>
  <w:style w:type="table" w:styleId="TableGrid">
    <w:name w:val="Table Grid"/>
    <w:basedOn w:val="TableNormal"/>
    <w:uiPriority w:val="39"/>
    <w:rsid w:val="00431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4312C3"/>
    <w:pPr>
      <w:jc w:val="both"/>
    </w:pPr>
    <w:rPr>
      <w:noProof/>
    </w:rPr>
  </w:style>
  <w:style w:type="character" w:customStyle="1" w:styleId="EndNoteBibliographyChar">
    <w:name w:val="EndNote Bibliography Char"/>
    <w:basedOn w:val="DefaultParagraphFont"/>
    <w:link w:val="EndNoteBibliography"/>
    <w:rsid w:val="004312C3"/>
    <w:rPr>
      <w:rFonts w:eastAsia="Times New Roman" w:cs="Times New Roman"/>
      <w:noProof/>
      <w:szCs w:val="24"/>
    </w:rPr>
  </w:style>
  <w:style w:type="paragraph" w:styleId="Caption">
    <w:name w:val="caption"/>
    <w:basedOn w:val="Normal"/>
    <w:next w:val="Normal"/>
    <w:uiPriority w:val="35"/>
    <w:unhideWhenUsed/>
    <w:qFormat/>
    <w:rsid w:val="004312C3"/>
    <w:pPr>
      <w:spacing w:after="200"/>
    </w:pPr>
    <w:rPr>
      <w:i/>
      <w:iCs/>
      <w:color w:val="44546A" w:themeColor="text2"/>
      <w:sz w:val="18"/>
      <w:szCs w:val="18"/>
    </w:rPr>
  </w:style>
  <w:style w:type="character" w:styleId="Hyperlink">
    <w:name w:val="Hyperlink"/>
    <w:basedOn w:val="DefaultParagraphFont"/>
    <w:uiPriority w:val="99"/>
    <w:unhideWhenUsed/>
    <w:rsid w:val="004312C3"/>
    <w:rPr>
      <w:color w:val="0563C1" w:themeColor="hyperlink"/>
      <w:u w:val="single"/>
    </w:rPr>
  </w:style>
  <w:style w:type="paragraph" w:styleId="BalloonText">
    <w:name w:val="Balloon Text"/>
    <w:basedOn w:val="Normal"/>
    <w:link w:val="BalloonTextChar"/>
    <w:uiPriority w:val="99"/>
    <w:semiHidden/>
    <w:unhideWhenUsed/>
    <w:rsid w:val="004312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2C3"/>
    <w:rPr>
      <w:rFonts w:ascii="Segoe UI" w:hAnsi="Segoe UI" w:cs="Segoe UI"/>
      <w:sz w:val="18"/>
      <w:szCs w:val="18"/>
    </w:rPr>
  </w:style>
  <w:style w:type="paragraph" w:customStyle="1" w:styleId="EndNoteBibliographyTitle">
    <w:name w:val="EndNote Bibliography Title"/>
    <w:basedOn w:val="Normal"/>
    <w:link w:val="EndNoteBibliographyTitleChar"/>
    <w:rsid w:val="004312C3"/>
    <w:pPr>
      <w:jc w:val="center"/>
    </w:pPr>
    <w:rPr>
      <w:noProof/>
    </w:rPr>
  </w:style>
  <w:style w:type="character" w:customStyle="1" w:styleId="EndNoteBibliographyTitleChar">
    <w:name w:val="EndNote Bibliography Title Char"/>
    <w:basedOn w:val="DefaultParagraphFont"/>
    <w:link w:val="EndNoteBibliographyTitle"/>
    <w:rsid w:val="004312C3"/>
    <w:rPr>
      <w:rFonts w:eastAsia="Times New Roman" w:cs="Times New Roman"/>
      <w:noProof/>
      <w:szCs w:val="24"/>
    </w:rPr>
  </w:style>
  <w:style w:type="character" w:customStyle="1" w:styleId="UnresolvedMention1">
    <w:name w:val="Unresolved Mention1"/>
    <w:basedOn w:val="DefaultParagraphFont"/>
    <w:uiPriority w:val="99"/>
    <w:semiHidden/>
    <w:unhideWhenUsed/>
    <w:rsid w:val="004312C3"/>
    <w:rPr>
      <w:color w:val="605E5C"/>
      <w:shd w:val="clear" w:color="auto" w:fill="E1DFDD"/>
    </w:rPr>
  </w:style>
  <w:style w:type="paragraph" w:styleId="ListParagraph">
    <w:name w:val="List Paragraph"/>
    <w:basedOn w:val="Normal"/>
    <w:uiPriority w:val="34"/>
    <w:qFormat/>
    <w:rsid w:val="00E57084"/>
    <w:pPr>
      <w:ind w:left="720"/>
      <w:contextualSpacing/>
    </w:pPr>
  </w:style>
  <w:style w:type="character" w:styleId="PlaceholderText">
    <w:name w:val="Placeholder Text"/>
    <w:basedOn w:val="DefaultParagraphFont"/>
    <w:uiPriority w:val="99"/>
    <w:semiHidden/>
    <w:rsid w:val="006B65C5"/>
    <w:rPr>
      <w:color w:val="808080"/>
    </w:rPr>
  </w:style>
  <w:style w:type="character" w:customStyle="1" w:styleId="Heading3Char">
    <w:name w:val="Heading 3 Char"/>
    <w:basedOn w:val="DefaultParagraphFont"/>
    <w:link w:val="Heading3"/>
    <w:uiPriority w:val="9"/>
    <w:rsid w:val="003F729B"/>
    <w:rPr>
      <w:rFonts w:eastAsiaTheme="majorEastAsia" w:cstheme="majorBidi"/>
      <w:i/>
      <w:szCs w:val="24"/>
    </w:rPr>
  </w:style>
  <w:style w:type="paragraph" w:customStyle="1" w:styleId="Default">
    <w:name w:val="Default"/>
    <w:rsid w:val="00E718E0"/>
    <w:pPr>
      <w:autoSpaceDE w:val="0"/>
      <w:autoSpaceDN w:val="0"/>
      <w:adjustRightInd w:val="0"/>
      <w:spacing w:after="0" w:line="240" w:lineRule="auto"/>
    </w:pPr>
    <w:rPr>
      <w:rFonts w:cs="Times New Roman"/>
      <w:color w:val="000000"/>
      <w:szCs w:val="24"/>
    </w:rPr>
  </w:style>
  <w:style w:type="paragraph" w:styleId="TOCHeading">
    <w:name w:val="TOC Heading"/>
    <w:basedOn w:val="Heading1"/>
    <w:next w:val="Normal"/>
    <w:uiPriority w:val="39"/>
    <w:unhideWhenUsed/>
    <w:qFormat/>
    <w:rsid w:val="00193DE3"/>
    <w:pPr>
      <w:spacing w:after="0"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BB22AC"/>
    <w:pPr>
      <w:tabs>
        <w:tab w:val="right" w:leader="dot" w:pos="9350"/>
      </w:tabs>
      <w:spacing w:line="480" w:lineRule="auto"/>
    </w:pPr>
    <w:rPr>
      <w:b/>
      <w:bCs/>
      <w:noProof/>
    </w:rPr>
  </w:style>
  <w:style w:type="paragraph" w:styleId="TOC2">
    <w:name w:val="toc 2"/>
    <w:basedOn w:val="Normal"/>
    <w:next w:val="Normal"/>
    <w:autoRedefine/>
    <w:uiPriority w:val="39"/>
    <w:unhideWhenUsed/>
    <w:rsid w:val="00193DE3"/>
    <w:pPr>
      <w:spacing w:after="100"/>
      <w:ind w:left="240"/>
    </w:pPr>
  </w:style>
  <w:style w:type="paragraph" w:styleId="TOC3">
    <w:name w:val="toc 3"/>
    <w:basedOn w:val="Normal"/>
    <w:next w:val="Normal"/>
    <w:autoRedefine/>
    <w:uiPriority w:val="39"/>
    <w:unhideWhenUsed/>
    <w:rsid w:val="00677AFD"/>
    <w:pPr>
      <w:tabs>
        <w:tab w:val="right" w:leader="dot" w:pos="8630"/>
      </w:tabs>
      <w:spacing w:after="100"/>
      <w:ind w:left="480"/>
    </w:pPr>
  </w:style>
  <w:style w:type="paragraph" w:styleId="TableofFigures">
    <w:name w:val="table of figures"/>
    <w:basedOn w:val="Normal"/>
    <w:next w:val="Normal"/>
    <w:uiPriority w:val="99"/>
    <w:unhideWhenUsed/>
    <w:rsid w:val="004F0348"/>
    <w:pPr>
      <w:spacing w:line="360" w:lineRule="auto"/>
    </w:pPr>
  </w:style>
  <w:style w:type="paragraph" w:styleId="Header">
    <w:name w:val="header"/>
    <w:basedOn w:val="Normal"/>
    <w:link w:val="HeaderChar"/>
    <w:uiPriority w:val="99"/>
    <w:unhideWhenUsed/>
    <w:rsid w:val="004C3B97"/>
    <w:pPr>
      <w:tabs>
        <w:tab w:val="center" w:pos="4680"/>
        <w:tab w:val="right" w:pos="9360"/>
      </w:tabs>
    </w:pPr>
  </w:style>
  <w:style w:type="character" w:customStyle="1" w:styleId="HeaderChar">
    <w:name w:val="Header Char"/>
    <w:basedOn w:val="DefaultParagraphFont"/>
    <w:link w:val="Header"/>
    <w:uiPriority w:val="99"/>
    <w:rsid w:val="004C3B97"/>
  </w:style>
  <w:style w:type="paragraph" w:styleId="Footer">
    <w:name w:val="footer"/>
    <w:basedOn w:val="Normal"/>
    <w:link w:val="FooterChar"/>
    <w:uiPriority w:val="99"/>
    <w:unhideWhenUsed/>
    <w:rsid w:val="004C3B97"/>
    <w:pPr>
      <w:tabs>
        <w:tab w:val="center" w:pos="4680"/>
        <w:tab w:val="right" w:pos="9360"/>
      </w:tabs>
    </w:pPr>
  </w:style>
  <w:style w:type="character" w:customStyle="1" w:styleId="FooterChar">
    <w:name w:val="Footer Char"/>
    <w:basedOn w:val="DefaultParagraphFont"/>
    <w:link w:val="Footer"/>
    <w:uiPriority w:val="99"/>
    <w:rsid w:val="004C3B97"/>
  </w:style>
  <w:style w:type="character" w:styleId="Strong">
    <w:name w:val="Strong"/>
    <w:basedOn w:val="DefaultParagraphFont"/>
    <w:uiPriority w:val="22"/>
    <w:qFormat/>
    <w:rsid w:val="00780676"/>
    <w:rPr>
      <w:b/>
      <w:bCs/>
    </w:rPr>
  </w:style>
  <w:style w:type="character" w:styleId="HTMLCite">
    <w:name w:val="HTML Cite"/>
    <w:basedOn w:val="DefaultParagraphFont"/>
    <w:uiPriority w:val="99"/>
    <w:semiHidden/>
    <w:unhideWhenUsed/>
    <w:rsid w:val="00780676"/>
    <w:rPr>
      <w:i/>
      <w:iCs/>
    </w:rPr>
  </w:style>
  <w:style w:type="character" w:styleId="Emphasis">
    <w:name w:val="Emphasis"/>
    <w:basedOn w:val="DefaultParagraphFont"/>
    <w:uiPriority w:val="20"/>
    <w:qFormat/>
    <w:rsid w:val="00780676"/>
    <w:rPr>
      <w:i/>
      <w:iCs/>
    </w:rPr>
  </w:style>
  <w:style w:type="paragraph" w:styleId="NormalWeb">
    <w:name w:val="Normal (Web)"/>
    <w:basedOn w:val="Normal"/>
    <w:uiPriority w:val="99"/>
    <w:unhideWhenUsed/>
    <w:rsid w:val="006B3551"/>
    <w:pPr>
      <w:spacing w:before="100" w:beforeAutospacing="1" w:after="100" w:afterAutospacing="1"/>
    </w:pPr>
  </w:style>
  <w:style w:type="character" w:styleId="CommentReference">
    <w:name w:val="annotation reference"/>
    <w:basedOn w:val="DefaultParagraphFont"/>
    <w:uiPriority w:val="99"/>
    <w:semiHidden/>
    <w:unhideWhenUsed/>
    <w:rsid w:val="00465061"/>
    <w:rPr>
      <w:sz w:val="16"/>
      <w:szCs w:val="16"/>
    </w:rPr>
  </w:style>
  <w:style w:type="paragraph" w:styleId="CommentText">
    <w:name w:val="annotation text"/>
    <w:basedOn w:val="Normal"/>
    <w:link w:val="CommentTextChar"/>
    <w:uiPriority w:val="99"/>
    <w:unhideWhenUsed/>
    <w:rsid w:val="00465061"/>
    <w:rPr>
      <w:sz w:val="20"/>
      <w:szCs w:val="20"/>
    </w:rPr>
  </w:style>
  <w:style w:type="character" w:customStyle="1" w:styleId="CommentTextChar">
    <w:name w:val="Comment Text Char"/>
    <w:basedOn w:val="DefaultParagraphFont"/>
    <w:link w:val="CommentText"/>
    <w:uiPriority w:val="99"/>
    <w:rsid w:val="0046506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5061"/>
    <w:rPr>
      <w:b/>
      <w:bCs/>
    </w:rPr>
  </w:style>
  <w:style w:type="character" w:customStyle="1" w:styleId="CommentSubjectChar">
    <w:name w:val="Comment Subject Char"/>
    <w:basedOn w:val="CommentTextChar"/>
    <w:link w:val="CommentSubject"/>
    <w:uiPriority w:val="99"/>
    <w:semiHidden/>
    <w:rsid w:val="00465061"/>
    <w:rPr>
      <w:rFonts w:eastAsia="Times New Roman" w:cs="Times New Roman"/>
      <w:b/>
      <w:bCs/>
      <w:sz w:val="20"/>
      <w:szCs w:val="20"/>
    </w:rPr>
  </w:style>
  <w:style w:type="character" w:styleId="UnresolvedMention">
    <w:name w:val="Unresolved Mention"/>
    <w:basedOn w:val="DefaultParagraphFont"/>
    <w:uiPriority w:val="99"/>
    <w:unhideWhenUsed/>
    <w:rsid w:val="00CA0F0A"/>
    <w:rPr>
      <w:color w:val="605E5C"/>
      <w:shd w:val="clear" w:color="auto" w:fill="E1DFDD"/>
    </w:rPr>
  </w:style>
  <w:style w:type="character" w:customStyle="1" w:styleId="gmail-apple-converted-space">
    <w:name w:val="gmail-apple-converted-space"/>
    <w:basedOn w:val="DefaultParagraphFont"/>
    <w:rsid w:val="00A35A08"/>
  </w:style>
  <w:style w:type="paragraph" w:styleId="Revision">
    <w:name w:val="Revision"/>
    <w:hidden/>
    <w:uiPriority w:val="99"/>
    <w:semiHidden/>
    <w:rsid w:val="00A35A08"/>
    <w:pPr>
      <w:spacing w:after="0" w:line="240" w:lineRule="auto"/>
    </w:pPr>
    <w:rPr>
      <w:rFonts w:asciiTheme="minorHAnsi" w:hAnsiTheme="minorHAnsi"/>
      <w:szCs w:val="24"/>
    </w:rPr>
  </w:style>
  <w:style w:type="character" w:styleId="FollowedHyperlink">
    <w:name w:val="FollowedHyperlink"/>
    <w:basedOn w:val="DefaultParagraphFont"/>
    <w:uiPriority w:val="99"/>
    <w:semiHidden/>
    <w:unhideWhenUsed/>
    <w:rsid w:val="00A35A08"/>
    <w:rPr>
      <w:color w:val="954F72" w:themeColor="followedHyperlink"/>
      <w:u w:val="single"/>
    </w:rPr>
  </w:style>
  <w:style w:type="character" w:styleId="PageNumber">
    <w:name w:val="page number"/>
    <w:basedOn w:val="DefaultParagraphFont"/>
    <w:uiPriority w:val="99"/>
    <w:semiHidden/>
    <w:unhideWhenUsed/>
    <w:rsid w:val="00A35A08"/>
  </w:style>
  <w:style w:type="paragraph" w:styleId="NoSpacing">
    <w:name w:val="No Spacing"/>
    <w:uiPriority w:val="1"/>
    <w:qFormat/>
    <w:rsid w:val="00A35A08"/>
    <w:pPr>
      <w:spacing w:after="0" w:line="240" w:lineRule="auto"/>
    </w:pPr>
    <w:rPr>
      <w:rFonts w:asciiTheme="minorHAnsi" w:hAnsiTheme="minorHAnsi"/>
      <w:szCs w:val="24"/>
    </w:rPr>
  </w:style>
  <w:style w:type="paragraph" w:styleId="EndnoteText">
    <w:name w:val="endnote text"/>
    <w:basedOn w:val="Normal"/>
    <w:link w:val="EndnoteTextChar"/>
    <w:uiPriority w:val="99"/>
    <w:semiHidden/>
    <w:unhideWhenUsed/>
    <w:rsid w:val="00BD770F"/>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BD770F"/>
    <w:rPr>
      <w:rFonts w:asciiTheme="minorHAnsi" w:hAnsiTheme="minorHAnsi"/>
      <w:sz w:val="20"/>
      <w:szCs w:val="20"/>
    </w:rPr>
  </w:style>
  <w:style w:type="character" w:styleId="EndnoteReference">
    <w:name w:val="endnote reference"/>
    <w:basedOn w:val="DefaultParagraphFont"/>
    <w:uiPriority w:val="99"/>
    <w:semiHidden/>
    <w:unhideWhenUsed/>
    <w:rsid w:val="00BD770F"/>
    <w:rPr>
      <w:vertAlign w:val="superscript"/>
    </w:rPr>
  </w:style>
  <w:style w:type="character" w:customStyle="1" w:styleId="Heading4Char">
    <w:name w:val="Heading 4 Char"/>
    <w:basedOn w:val="DefaultParagraphFont"/>
    <w:link w:val="Heading4"/>
    <w:uiPriority w:val="9"/>
    <w:rsid w:val="00A41B52"/>
    <w:rPr>
      <w:rFonts w:asciiTheme="majorHAnsi" w:eastAsiaTheme="majorEastAsia" w:hAnsiTheme="majorHAnsi" w:cstheme="majorBidi"/>
      <w:i/>
      <w:iCs/>
      <w:color w:val="2F5496" w:themeColor="accent1" w:themeShade="B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2139">
      <w:bodyDiv w:val="1"/>
      <w:marLeft w:val="0"/>
      <w:marRight w:val="0"/>
      <w:marTop w:val="0"/>
      <w:marBottom w:val="0"/>
      <w:divBdr>
        <w:top w:val="none" w:sz="0" w:space="0" w:color="auto"/>
        <w:left w:val="none" w:sz="0" w:space="0" w:color="auto"/>
        <w:bottom w:val="none" w:sz="0" w:space="0" w:color="auto"/>
        <w:right w:val="none" w:sz="0" w:space="0" w:color="auto"/>
      </w:divBdr>
    </w:div>
    <w:div w:id="29653330">
      <w:bodyDiv w:val="1"/>
      <w:marLeft w:val="0"/>
      <w:marRight w:val="0"/>
      <w:marTop w:val="0"/>
      <w:marBottom w:val="0"/>
      <w:divBdr>
        <w:top w:val="none" w:sz="0" w:space="0" w:color="auto"/>
        <w:left w:val="none" w:sz="0" w:space="0" w:color="auto"/>
        <w:bottom w:val="none" w:sz="0" w:space="0" w:color="auto"/>
        <w:right w:val="none" w:sz="0" w:space="0" w:color="auto"/>
      </w:divBdr>
    </w:div>
    <w:div w:id="73282533">
      <w:bodyDiv w:val="1"/>
      <w:marLeft w:val="0"/>
      <w:marRight w:val="0"/>
      <w:marTop w:val="0"/>
      <w:marBottom w:val="0"/>
      <w:divBdr>
        <w:top w:val="none" w:sz="0" w:space="0" w:color="auto"/>
        <w:left w:val="none" w:sz="0" w:space="0" w:color="auto"/>
        <w:bottom w:val="none" w:sz="0" w:space="0" w:color="auto"/>
        <w:right w:val="none" w:sz="0" w:space="0" w:color="auto"/>
      </w:divBdr>
    </w:div>
    <w:div w:id="77942867">
      <w:bodyDiv w:val="1"/>
      <w:marLeft w:val="0"/>
      <w:marRight w:val="0"/>
      <w:marTop w:val="0"/>
      <w:marBottom w:val="0"/>
      <w:divBdr>
        <w:top w:val="none" w:sz="0" w:space="0" w:color="auto"/>
        <w:left w:val="none" w:sz="0" w:space="0" w:color="auto"/>
        <w:bottom w:val="none" w:sz="0" w:space="0" w:color="auto"/>
        <w:right w:val="none" w:sz="0" w:space="0" w:color="auto"/>
      </w:divBdr>
    </w:div>
    <w:div w:id="88625396">
      <w:bodyDiv w:val="1"/>
      <w:marLeft w:val="0"/>
      <w:marRight w:val="0"/>
      <w:marTop w:val="0"/>
      <w:marBottom w:val="0"/>
      <w:divBdr>
        <w:top w:val="none" w:sz="0" w:space="0" w:color="auto"/>
        <w:left w:val="none" w:sz="0" w:space="0" w:color="auto"/>
        <w:bottom w:val="none" w:sz="0" w:space="0" w:color="auto"/>
        <w:right w:val="none" w:sz="0" w:space="0" w:color="auto"/>
      </w:divBdr>
    </w:div>
    <w:div w:id="113404399">
      <w:bodyDiv w:val="1"/>
      <w:marLeft w:val="0"/>
      <w:marRight w:val="0"/>
      <w:marTop w:val="0"/>
      <w:marBottom w:val="0"/>
      <w:divBdr>
        <w:top w:val="none" w:sz="0" w:space="0" w:color="auto"/>
        <w:left w:val="none" w:sz="0" w:space="0" w:color="auto"/>
        <w:bottom w:val="none" w:sz="0" w:space="0" w:color="auto"/>
        <w:right w:val="none" w:sz="0" w:space="0" w:color="auto"/>
      </w:divBdr>
    </w:div>
    <w:div w:id="185145184">
      <w:bodyDiv w:val="1"/>
      <w:marLeft w:val="0"/>
      <w:marRight w:val="0"/>
      <w:marTop w:val="0"/>
      <w:marBottom w:val="0"/>
      <w:divBdr>
        <w:top w:val="none" w:sz="0" w:space="0" w:color="auto"/>
        <w:left w:val="none" w:sz="0" w:space="0" w:color="auto"/>
        <w:bottom w:val="none" w:sz="0" w:space="0" w:color="auto"/>
        <w:right w:val="none" w:sz="0" w:space="0" w:color="auto"/>
      </w:divBdr>
    </w:div>
    <w:div w:id="185560752">
      <w:bodyDiv w:val="1"/>
      <w:marLeft w:val="0"/>
      <w:marRight w:val="0"/>
      <w:marTop w:val="0"/>
      <w:marBottom w:val="0"/>
      <w:divBdr>
        <w:top w:val="none" w:sz="0" w:space="0" w:color="auto"/>
        <w:left w:val="none" w:sz="0" w:space="0" w:color="auto"/>
        <w:bottom w:val="none" w:sz="0" w:space="0" w:color="auto"/>
        <w:right w:val="none" w:sz="0" w:space="0" w:color="auto"/>
      </w:divBdr>
    </w:div>
    <w:div w:id="336007503">
      <w:bodyDiv w:val="1"/>
      <w:marLeft w:val="0"/>
      <w:marRight w:val="0"/>
      <w:marTop w:val="0"/>
      <w:marBottom w:val="0"/>
      <w:divBdr>
        <w:top w:val="none" w:sz="0" w:space="0" w:color="auto"/>
        <w:left w:val="none" w:sz="0" w:space="0" w:color="auto"/>
        <w:bottom w:val="none" w:sz="0" w:space="0" w:color="auto"/>
        <w:right w:val="none" w:sz="0" w:space="0" w:color="auto"/>
      </w:divBdr>
    </w:div>
    <w:div w:id="499538914">
      <w:bodyDiv w:val="1"/>
      <w:marLeft w:val="0"/>
      <w:marRight w:val="0"/>
      <w:marTop w:val="0"/>
      <w:marBottom w:val="0"/>
      <w:divBdr>
        <w:top w:val="none" w:sz="0" w:space="0" w:color="auto"/>
        <w:left w:val="none" w:sz="0" w:space="0" w:color="auto"/>
        <w:bottom w:val="none" w:sz="0" w:space="0" w:color="auto"/>
        <w:right w:val="none" w:sz="0" w:space="0" w:color="auto"/>
      </w:divBdr>
    </w:div>
    <w:div w:id="688528634">
      <w:bodyDiv w:val="1"/>
      <w:marLeft w:val="0"/>
      <w:marRight w:val="0"/>
      <w:marTop w:val="0"/>
      <w:marBottom w:val="0"/>
      <w:divBdr>
        <w:top w:val="none" w:sz="0" w:space="0" w:color="auto"/>
        <w:left w:val="none" w:sz="0" w:space="0" w:color="auto"/>
        <w:bottom w:val="none" w:sz="0" w:space="0" w:color="auto"/>
        <w:right w:val="none" w:sz="0" w:space="0" w:color="auto"/>
      </w:divBdr>
    </w:div>
    <w:div w:id="826868604">
      <w:bodyDiv w:val="1"/>
      <w:marLeft w:val="0"/>
      <w:marRight w:val="0"/>
      <w:marTop w:val="0"/>
      <w:marBottom w:val="0"/>
      <w:divBdr>
        <w:top w:val="none" w:sz="0" w:space="0" w:color="auto"/>
        <w:left w:val="none" w:sz="0" w:space="0" w:color="auto"/>
        <w:bottom w:val="none" w:sz="0" w:space="0" w:color="auto"/>
        <w:right w:val="none" w:sz="0" w:space="0" w:color="auto"/>
      </w:divBdr>
    </w:div>
    <w:div w:id="1007833389">
      <w:bodyDiv w:val="1"/>
      <w:marLeft w:val="0"/>
      <w:marRight w:val="0"/>
      <w:marTop w:val="0"/>
      <w:marBottom w:val="0"/>
      <w:divBdr>
        <w:top w:val="none" w:sz="0" w:space="0" w:color="auto"/>
        <w:left w:val="none" w:sz="0" w:space="0" w:color="auto"/>
        <w:bottom w:val="none" w:sz="0" w:space="0" w:color="auto"/>
        <w:right w:val="none" w:sz="0" w:space="0" w:color="auto"/>
      </w:divBdr>
    </w:div>
    <w:div w:id="1146169685">
      <w:bodyDiv w:val="1"/>
      <w:marLeft w:val="0"/>
      <w:marRight w:val="0"/>
      <w:marTop w:val="0"/>
      <w:marBottom w:val="0"/>
      <w:divBdr>
        <w:top w:val="none" w:sz="0" w:space="0" w:color="auto"/>
        <w:left w:val="none" w:sz="0" w:space="0" w:color="auto"/>
        <w:bottom w:val="none" w:sz="0" w:space="0" w:color="auto"/>
        <w:right w:val="none" w:sz="0" w:space="0" w:color="auto"/>
      </w:divBdr>
    </w:div>
    <w:div w:id="1155418978">
      <w:bodyDiv w:val="1"/>
      <w:marLeft w:val="0"/>
      <w:marRight w:val="0"/>
      <w:marTop w:val="0"/>
      <w:marBottom w:val="0"/>
      <w:divBdr>
        <w:top w:val="none" w:sz="0" w:space="0" w:color="auto"/>
        <w:left w:val="none" w:sz="0" w:space="0" w:color="auto"/>
        <w:bottom w:val="none" w:sz="0" w:space="0" w:color="auto"/>
        <w:right w:val="none" w:sz="0" w:space="0" w:color="auto"/>
      </w:divBdr>
    </w:div>
    <w:div w:id="1265041627">
      <w:bodyDiv w:val="1"/>
      <w:marLeft w:val="0"/>
      <w:marRight w:val="0"/>
      <w:marTop w:val="0"/>
      <w:marBottom w:val="0"/>
      <w:divBdr>
        <w:top w:val="none" w:sz="0" w:space="0" w:color="auto"/>
        <w:left w:val="none" w:sz="0" w:space="0" w:color="auto"/>
        <w:bottom w:val="none" w:sz="0" w:space="0" w:color="auto"/>
        <w:right w:val="none" w:sz="0" w:space="0" w:color="auto"/>
      </w:divBdr>
    </w:div>
    <w:div w:id="1332221453">
      <w:bodyDiv w:val="1"/>
      <w:marLeft w:val="0"/>
      <w:marRight w:val="0"/>
      <w:marTop w:val="0"/>
      <w:marBottom w:val="0"/>
      <w:divBdr>
        <w:top w:val="none" w:sz="0" w:space="0" w:color="auto"/>
        <w:left w:val="none" w:sz="0" w:space="0" w:color="auto"/>
        <w:bottom w:val="none" w:sz="0" w:space="0" w:color="auto"/>
        <w:right w:val="none" w:sz="0" w:space="0" w:color="auto"/>
      </w:divBdr>
      <w:divsChild>
        <w:div w:id="1639141447">
          <w:marLeft w:val="0"/>
          <w:marRight w:val="0"/>
          <w:marTop w:val="0"/>
          <w:marBottom w:val="0"/>
          <w:divBdr>
            <w:top w:val="none" w:sz="0" w:space="0" w:color="auto"/>
            <w:left w:val="none" w:sz="0" w:space="0" w:color="auto"/>
            <w:bottom w:val="none" w:sz="0" w:space="0" w:color="auto"/>
            <w:right w:val="none" w:sz="0" w:space="0" w:color="auto"/>
          </w:divBdr>
          <w:divsChild>
            <w:div w:id="1674331360">
              <w:marLeft w:val="0"/>
              <w:marRight w:val="0"/>
              <w:marTop w:val="0"/>
              <w:marBottom w:val="0"/>
              <w:divBdr>
                <w:top w:val="none" w:sz="0" w:space="0" w:color="auto"/>
                <w:left w:val="none" w:sz="0" w:space="0" w:color="auto"/>
                <w:bottom w:val="none" w:sz="0" w:space="0" w:color="auto"/>
                <w:right w:val="none" w:sz="0" w:space="0" w:color="auto"/>
              </w:divBdr>
              <w:divsChild>
                <w:div w:id="193143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722564">
      <w:bodyDiv w:val="1"/>
      <w:marLeft w:val="0"/>
      <w:marRight w:val="0"/>
      <w:marTop w:val="0"/>
      <w:marBottom w:val="0"/>
      <w:divBdr>
        <w:top w:val="none" w:sz="0" w:space="0" w:color="auto"/>
        <w:left w:val="none" w:sz="0" w:space="0" w:color="auto"/>
        <w:bottom w:val="none" w:sz="0" w:space="0" w:color="auto"/>
        <w:right w:val="none" w:sz="0" w:space="0" w:color="auto"/>
      </w:divBdr>
    </w:div>
    <w:div w:id="1528594256">
      <w:bodyDiv w:val="1"/>
      <w:marLeft w:val="0"/>
      <w:marRight w:val="0"/>
      <w:marTop w:val="0"/>
      <w:marBottom w:val="0"/>
      <w:divBdr>
        <w:top w:val="none" w:sz="0" w:space="0" w:color="auto"/>
        <w:left w:val="none" w:sz="0" w:space="0" w:color="auto"/>
        <w:bottom w:val="none" w:sz="0" w:space="0" w:color="auto"/>
        <w:right w:val="none" w:sz="0" w:space="0" w:color="auto"/>
      </w:divBdr>
    </w:div>
    <w:div w:id="1563758139">
      <w:bodyDiv w:val="1"/>
      <w:marLeft w:val="0"/>
      <w:marRight w:val="0"/>
      <w:marTop w:val="0"/>
      <w:marBottom w:val="0"/>
      <w:divBdr>
        <w:top w:val="none" w:sz="0" w:space="0" w:color="auto"/>
        <w:left w:val="none" w:sz="0" w:space="0" w:color="auto"/>
        <w:bottom w:val="none" w:sz="0" w:space="0" w:color="auto"/>
        <w:right w:val="none" w:sz="0" w:space="0" w:color="auto"/>
      </w:divBdr>
    </w:div>
    <w:div w:id="1638795984">
      <w:bodyDiv w:val="1"/>
      <w:marLeft w:val="0"/>
      <w:marRight w:val="0"/>
      <w:marTop w:val="0"/>
      <w:marBottom w:val="0"/>
      <w:divBdr>
        <w:top w:val="none" w:sz="0" w:space="0" w:color="auto"/>
        <w:left w:val="none" w:sz="0" w:space="0" w:color="auto"/>
        <w:bottom w:val="none" w:sz="0" w:space="0" w:color="auto"/>
        <w:right w:val="none" w:sz="0" w:space="0" w:color="auto"/>
      </w:divBdr>
    </w:div>
    <w:div w:id="1863009911">
      <w:bodyDiv w:val="1"/>
      <w:marLeft w:val="0"/>
      <w:marRight w:val="0"/>
      <w:marTop w:val="0"/>
      <w:marBottom w:val="0"/>
      <w:divBdr>
        <w:top w:val="none" w:sz="0" w:space="0" w:color="auto"/>
        <w:left w:val="none" w:sz="0" w:space="0" w:color="auto"/>
        <w:bottom w:val="none" w:sz="0" w:space="0" w:color="auto"/>
        <w:right w:val="none" w:sz="0" w:space="0" w:color="auto"/>
      </w:divBdr>
      <w:divsChild>
        <w:div w:id="1457987672">
          <w:marLeft w:val="0"/>
          <w:marRight w:val="0"/>
          <w:marTop w:val="0"/>
          <w:marBottom w:val="0"/>
          <w:divBdr>
            <w:top w:val="none" w:sz="0" w:space="0" w:color="auto"/>
            <w:left w:val="none" w:sz="0" w:space="0" w:color="auto"/>
            <w:bottom w:val="none" w:sz="0" w:space="0" w:color="auto"/>
            <w:right w:val="none" w:sz="0" w:space="0" w:color="auto"/>
          </w:divBdr>
          <w:divsChild>
            <w:div w:id="2019767669">
              <w:marLeft w:val="0"/>
              <w:marRight w:val="0"/>
              <w:marTop w:val="0"/>
              <w:marBottom w:val="0"/>
              <w:divBdr>
                <w:top w:val="none" w:sz="0" w:space="0" w:color="auto"/>
                <w:left w:val="none" w:sz="0" w:space="0" w:color="auto"/>
                <w:bottom w:val="none" w:sz="0" w:space="0" w:color="auto"/>
                <w:right w:val="none" w:sz="0" w:space="0" w:color="auto"/>
              </w:divBdr>
              <w:divsChild>
                <w:div w:id="147648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17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png"/><Relationship Id="rId16" Type="http://schemas.openxmlformats.org/officeDocument/2006/relationships/image" Target="media/image3.png"/><Relationship Id="rId11" Type="http://schemas.openxmlformats.org/officeDocument/2006/relationships/footer" Target="footer4.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webSettings" Target="webSettings.xml"/><Relationship Id="rId90" Type="http://schemas.openxmlformats.org/officeDocument/2006/relationships/image" Target="media/image77.png"/><Relationship Id="rId95" Type="http://schemas.openxmlformats.org/officeDocument/2006/relationships/image" Target="media/image82.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80" Type="http://schemas.openxmlformats.org/officeDocument/2006/relationships/image" Target="media/image67.png"/><Relationship Id="rId85" Type="http://schemas.openxmlformats.org/officeDocument/2006/relationships/image" Target="media/image72.png"/><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image" Target="media/image78.png"/><Relationship Id="rId96"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tif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footer" Target="footer3.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image" Target="media/image81.pn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6.xm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1DAA4FB-2DC5-4B59-8631-792A8E61C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10435</TotalTime>
  <Pages>174</Pages>
  <Words>66781</Words>
  <Characters>380652</Characters>
  <Application>Microsoft Office Word</Application>
  <DocSecurity>0</DocSecurity>
  <Lines>3172</Lines>
  <Paragraphs>893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Chau</dc:creator>
  <cp:keywords/>
  <dc:description/>
  <cp:lastModifiedBy>Nilson Francisco</cp:lastModifiedBy>
  <cp:revision>962</cp:revision>
  <cp:lastPrinted>2023-05-06T13:57:00Z</cp:lastPrinted>
  <dcterms:created xsi:type="dcterms:W3CDTF">2021-07-15T20:49:00Z</dcterms:created>
  <dcterms:modified xsi:type="dcterms:W3CDTF">2023-05-06T13:57:00Z</dcterms:modified>
</cp:coreProperties>
</file>