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0B191" w14:textId="77777777" w:rsidR="00231179" w:rsidRPr="00FA052F" w:rsidRDefault="00231179" w:rsidP="00231179">
      <w:pPr>
        <w:jc w:val="center"/>
        <w:rPr>
          <w:rFonts w:asciiTheme="majorBidi" w:hAnsiTheme="majorBidi" w:cstheme="majorBidi"/>
          <w:sz w:val="24"/>
          <w:szCs w:val="24"/>
        </w:rPr>
      </w:pPr>
      <w:r w:rsidRPr="00FA052F">
        <w:rPr>
          <w:rFonts w:asciiTheme="majorBidi" w:hAnsiTheme="majorBidi" w:cstheme="majorBidi"/>
          <w:sz w:val="24"/>
          <w:szCs w:val="24"/>
        </w:rPr>
        <w:t>UNIVERSITY OF OKLAHOMA</w:t>
      </w:r>
    </w:p>
    <w:p w14:paraId="25E8C1E6" w14:textId="77777777" w:rsidR="00231179" w:rsidRPr="00FA052F" w:rsidRDefault="00231179" w:rsidP="00231179">
      <w:pPr>
        <w:jc w:val="center"/>
        <w:rPr>
          <w:rFonts w:asciiTheme="majorBidi" w:hAnsiTheme="majorBidi" w:cstheme="majorBidi"/>
          <w:sz w:val="24"/>
          <w:szCs w:val="24"/>
        </w:rPr>
      </w:pPr>
      <w:r w:rsidRPr="00FA052F">
        <w:rPr>
          <w:rFonts w:asciiTheme="majorBidi" w:hAnsiTheme="majorBidi" w:cstheme="majorBidi"/>
          <w:sz w:val="24"/>
          <w:szCs w:val="24"/>
        </w:rPr>
        <w:t>GRADUATE COLLEGE</w:t>
      </w:r>
    </w:p>
    <w:p w14:paraId="6D634D33" w14:textId="77777777" w:rsidR="00231179" w:rsidRDefault="00231179" w:rsidP="00231179">
      <w:pPr>
        <w:jc w:val="center"/>
        <w:rPr>
          <w:rFonts w:asciiTheme="majorBidi" w:hAnsiTheme="majorBidi" w:cstheme="majorBidi"/>
          <w:sz w:val="24"/>
          <w:szCs w:val="24"/>
        </w:rPr>
      </w:pPr>
    </w:p>
    <w:p w14:paraId="159583A8" w14:textId="77777777" w:rsidR="00231179" w:rsidRDefault="00231179" w:rsidP="00231179">
      <w:pPr>
        <w:jc w:val="center"/>
        <w:rPr>
          <w:rFonts w:asciiTheme="majorBidi" w:hAnsiTheme="majorBidi" w:cstheme="majorBidi"/>
          <w:sz w:val="24"/>
          <w:szCs w:val="24"/>
        </w:rPr>
      </w:pPr>
    </w:p>
    <w:p w14:paraId="23E88DB0" w14:textId="77777777" w:rsidR="00231179" w:rsidRDefault="00231179" w:rsidP="00231179">
      <w:pPr>
        <w:jc w:val="center"/>
        <w:rPr>
          <w:rFonts w:asciiTheme="majorBidi" w:hAnsiTheme="majorBidi" w:cstheme="majorBidi"/>
          <w:sz w:val="24"/>
          <w:szCs w:val="24"/>
        </w:rPr>
      </w:pPr>
    </w:p>
    <w:p w14:paraId="2B90619F" w14:textId="77777777" w:rsidR="00231179" w:rsidRDefault="00231179" w:rsidP="00231179">
      <w:pPr>
        <w:jc w:val="center"/>
        <w:rPr>
          <w:rFonts w:asciiTheme="majorBidi" w:hAnsiTheme="majorBidi" w:cstheme="majorBidi"/>
          <w:sz w:val="24"/>
          <w:szCs w:val="24"/>
        </w:rPr>
      </w:pPr>
    </w:p>
    <w:p w14:paraId="5CFDCB94" w14:textId="77777777" w:rsidR="00231179" w:rsidRDefault="00231179" w:rsidP="00231179">
      <w:pPr>
        <w:jc w:val="center"/>
        <w:rPr>
          <w:rFonts w:asciiTheme="majorBidi" w:hAnsiTheme="majorBidi" w:cstheme="majorBidi"/>
          <w:sz w:val="24"/>
          <w:szCs w:val="24"/>
        </w:rPr>
      </w:pPr>
    </w:p>
    <w:p w14:paraId="0F77DD29" w14:textId="77777777" w:rsidR="00231179" w:rsidRDefault="00231179" w:rsidP="00231179">
      <w:pPr>
        <w:jc w:val="center"/>
        <w:rPr>
          <w:rFonts w:ascii="Times New Roman" w:hAnsi="Times New Roman" w:cs="Times New Roman"/>
          <w:color w:val="000000" w:themeColor="text1"/>
          <w:sz w:val="24"/>
          <w:szCs w:val="24"/>
        </w:rPr>
      </w:pPr>
      <w:r w:rsidRPr="000868D2">
        <w:rPr>
          <w:rFonts w:ascii="Times New Roman" w:hAnsi="Times New Roman" w:cs="Times New Roman"/>
          <w:color w:val="000000" w:themeColor="text1"/>
          <w:sz w:val="24"/>
          <w:szCs w:val="24"/>
        </w:rPr>
        <w:t>BRIDGING MICRO- AND MACRO- EVOLUTION IN</w:t>
      </w:r>
    </w:p>
    <w:p w14:paraId="046C330F" w14:textId="77777777" w:rsidR="00231179" w:rsidRPr="000868D2" w:rsidRDefault="00231179" w:rsidP="00231179">
      <w:pPr>
        <w:jc w:val="center"/>
        <w:rPr>
          <w:rFonts w:asciiTheme="majorBidi" w:hAnsiTheme="majorBidi" w:cstheme="majorBidi"/>
          <w:sz w:val="28"/>
          <w:szCs w:val="28"/>
        </w:rPr>
      </w:pPr>
      <w:r w:rsidRPr="000868D2">
        <w:rPr>
          <w:rFonts w:ascii="Times New Roman" w:hAnsi="Times New Roman" w:cs="Times New Roman"/>
          <w:color w:val="000000" w:themeColor="text1"/>
          <w:sz w:val="24"/>
          <w:szCs w:val="24"/>
        </w:rPr>
        <w:t>TROPICAL FISHES</w:t>
      </w:r>
    </w:p>
    <w:p w14:paraId="45EF6CAA" w14:textId="77777777" w:rsidR="00231179" w:rsidRDefault="00231179" w:rsidP="00231179">
      <w:pPr>
        <w:jc w:val="center"/>
        <w:rPr>
          <w:rFonts w:asciiTheme="majorBidi" w:hAnsiTheme="majorBidi" w:cstheme="majorBidi"/>
          <w:sz w:val="24"/>
          <w:szCs w:val="24"/>
        </w:rPr>
      </w:pPr>
    </w:p>
    <w:p w14:paraId="0D2881AA" w14:textId="77777777" w:rsidR="00231179" w:rsidRDefault="00231179" w:rsidP="00231179">
      <w:pPr>
        <w:jc w:val="center"/>
        <w:rPr>
          <w:rFonts w:asciiTheme="majorBidi" w:hAnsiTheme="majorBidi" w:cstheme="majorBidi"/>
          <w:sz w:val="24"/>
          <w:szCs w:val="24"/>
        </w:rPr>
      </w:pPr>
    </w:p>
    <w:p w14:paraId="66030A4E" w14:textId="77777777" w:rsidR="00231179" w:rsidRDefault="00231179" w:rsidP="00231179">
      <w:pPr>
        <w:jc w:val="center"/>
        <w:rPr>
          <w:rFonts w:asciiTheme="majorBidi" w:hAnsiTheme="majorBidi" w:cstheme="majorBidi"/>
          <w:sz w:val="24"/>
          <w:szCs w:val="24"/>
        </w:rPr>
      </w:pPr>
    </w:p>
    <w:p w14:paraId="1DAF5158" w14:textId="77777777" w:rsidR="00231179" w:rsidRDefault="00231179" w:rsidP="00231179">
      <w:pPr>
        <w:jc w:val="center"/>
        <w:rPr>
          <w:rFonts w:asciiTheme="majorBidi" w:hAnsiTheme="majorBidi" w:cstheme="majorBidi"/>
          <w:sz w:val="24"/>
          <w:szCs w:val="24"/>
        </w:rPr>
      </w:pPr>
    </w:p>
    <w:p w14:paraId="69D04BDF" w14:textId="77777777" w:rsidR="00231179" w:rsidRDefault="00231179" w:rsidP="00231179">
      <w:pPr>
        <w:jc w:val="center"/>
        <w:rPr>
          <w:rFonts w:asciiTheme="majorBidi" w:hAnsiTheme="majorBidi" w:cstheme="majorBidi"/>
          <w:sz w:val="24"/>
          <w:szCs w:val="24"/>
        </w:rPr>
      </w:pPr>
      <w:r w:rsidRPr="00FA052F">
        <w:rPr>
          <w:rFonts w:asciiTheme="majorBidi" w:hAnsiTheme="majorBidi" w:cstheme="majorBidi"/>
          <w:sz w:val="24"/>
          <w:szCs w:val="24"/>
        </w:rPr>
        <w:t xml:space="preserve">A DISSERTATION SUBMITTED TO </w:t>
      </w:r>
      <w:r>
        <w:rPr>
          <w:rFonts w:asciiTheme="majorBidi" w:hAnsiTheme="majorBidi" w:cstheme="majorBidi"/>
          <w:sz w:val="24"/>
          <w:szCs w:val="24"/>
        </w:rPr>
        <w:t xml:space="preserve">THE </w:t>
      </w:r>
      <w:r w:rsidRPr="00FA052F">
        <w:rPr>
          <w:rFonts w:asciiTheme="majorBidi" w:hAnsiTheme="majorBidi" w:cstheme="majorBidi"/>
          <w:sz w:val="24"/>
          <w:szCs w:val="24"/>
        </w:rPr>
        <w:t xml:space="preserve">GRADUATE </w:t>
      </w:r>
    </w:p>
    <w:p w14:paraId="76FB9EF9" w14:textId="77777777" w:rsidR="00231179" w:rsidRPr="00FA052F" w:rsidRDefault="00231179" w:rsidP="00231179">
      <w:pPr>
        <w:jc w:val="center"/>
        <w:rPr>
          <w:rFonts w:asciiTheme="majorBidi" w:hAnsiTheme="majorBidi" w:cstheme="majorBidi"/>
          <w:sz w:val="24"/>
          <w:szCs w:val="24"/>
        </w:rPr>
      </w:pPr>
      <w:r w:rsidRPr="00FA052F">
        <w:rPr>
          <w:rFonts w:asciiTheme="majorBidi" w:hAnsiTheme="majorBidi" w:cstheme="majorBidi"/>
          <w:sz w:val="24"/>
          <w:szCs w:val="24"/>
        </w:rPr>
        <w:t>FACULTY</w:t>
      </w:r>
    </w:p>
    <w:p w14:paraId="2E0EA50D" w14:textId="77777777" w:rsidR="00231179" w:rsidRPr="00FA052F" w:rsidRDefault="00231179" w:rsidP="00231179">
      <w:pPr>
        <w:jc w:val="center"/>
        <w:rPr>
          <w:rFonts w:asciiTheme="majorBidi" w:hAnsiTheme="majorBidi" w:cstheme="majorBidi"/>
          <w:sz w:val="24"/>
          <w:szCs w:val="24"/>
        </w:rPr>
      </w:pPr>
      <w:r w:rsidRPr="00FA052F">
        <w:rPr>
          <w:rFonts w:asciiTheme="majorBidi" w:hAnsiTheme="majorBidi" w:cstheme="majorBidi"/>
          <w:sz w:val="24"/>
          <w:szCs w:val="24"/>
        </w:rPr>
        <w:t>in partial fulfillment of the requirements for the</w:t>
      </w:r>
    </w:p>
    <w:p w14:paraId="02DEC176" w14:textId="77777777" w:rsidR="00231179" w:rsidRPr="00FA052F" w:rsidRDefault="00231179" w:rsidP="00231179">
      <w:pPr>
        <w:jc w:val="center"/>
        <w:rPr>
          <w:rFonts w:asciiTheme="majorBidi" w:hAnsiTheme="majorBidi" w:cstheme="majorBidi"/>
          <w:sz w:val="24"/>
          <w:szCs w:val="24"/>
        </w:rPr>
      </w:pPr>
      <w:r w:rsidRPr="00FA052F">
        <w:rPr>
          <w:rFonts w:asciiTheme="majorBidi" w:hAnsiTheme="majorBidi" w:cstheme="majorBidi"/>
          <w:sz w:val="24"/>
          <w:szCs w:val="24"/>
        </w:rPr>
        <w:t>Degree of</w:t>
      </w:r>
    </w:p>
    <w:p w14:paraId="36B08843" w14:textId="77777777" w:rsidR="00231179" w:rsidRPr="00FA052F" w:rsidRDefault="00231179" w:rsidP="00231179">
      <w:pPr>
        <w:jc w:val="center"/>
        <w:rPr>
          <w:rFonts w:asciiTheme="majorBidi" w:hAnsiTheme="majorBidi" w:cstheme="majorBidi"/>
          <w:sz w:val="24"/>
          <w:szCs w:val="24"/>
        </w:rPr>
      </w:pPr>
      <w:r w:rsidRPr="00FA052F">
        <w:rPr>
          <w:rFonts w:asciiTheme="majorBidi" w:hAnsiTheme="majorBidi" w:cstheme="majorBidi"/>
          <w:sz w:val="24"/>
          <w:szCs w:val="24"/>
        </w:rPr>
        <w:t>DOCTOR OF PHILOSOPHY</w:t>
      </w:r>
    </w:p>
    <w:p w14:paraId="2D683541" w14:textId="77777777" w:rsidR="00231179" w:rsidRDefault="00231179" w:rsidP="00231179">
      <w:pPr>
        <w:jc w:val="center"/>
        <w:rPr>
          <w:rFonts w:asciiTheme="majorBidi" w:hAnsiTheme="majorBidi" w:cstheme="majorBidi"/>
          <w:sz w:val="24"/>
          <w:szCs w:val="24"/>
        </w:rPr>
      </w:pPr>
    </w:p>
    <w:p w14:paraId="11CFD0F6" w14:textId="77777777" w:rsidR="00231179" w:rsidRDefault="00231179" w:rsidP="00231179">
      <w:pPr>
        <w:jc w:val="center"/>
        <w:rPr>
          <w:rFonts w:asciiTheme="majorBidi" w:hAnsiTheme="majorBidi" w:cstheme="majorBidi"/>
          <w:sz w:val="24"/>
          <w:szCs w:val="24"/>
        </w:rPr>
      </w:pPr>
    </w:p>
    <w:p w14:paraId="6C9038BE" w14:textId="77777777" w:rsidR="00231179" w:rsidRDefault="00231179" w:rsidP="00231179">
      <w:pPr>
        <w:jc w:val="center"/>
        <w:rPr>
          <w:rFonts w:asciiTheme="majorBidi" w:hAnsiTheme="majorBidi" w:cstheme="majorBidi"/>
          <w:sz w:val="24"/>
          <w:szCs w:val="24"/>
        </w:rPr>
      </w:pPr>
    </w:p>
    <w:p w14:paraId="73DDC6E2" w14:textId="77777777" w:rsidR="00231179" w:rsidRPr="00FA052F" w:rsidRDefault="00231179" w:rsidP="00231179">
      <w:pPr>
        <w:jc w:val="center"/>
        <w:rPr>
          <w:rFonts w:asciiTheme="majorBidi" w:hAnsiTheme="majorBidi" w:cstheme="majorBidi"/>
          <w:sz w:val="24"/>
          <w:szCs w:val="24"/>
        </w:rPr>
      </w:pPr>
    </w:p>
    <w:p w14:paraId="1E23C1AB" w14:textId="77777777" w:rsidR="00231179" w:rsidRPr="00FA052F" w:rsidRDefault="00231179" w:rsidP="00231179">
      <w:pPr>
        <w:jc w:val="center"/>
        <w:rPr>
          <w:rFonts w:asciiTheme="majorBidi" w:hAnsiTheme="majorBidi" w:cstheme="majorBidi"/>
          <w:sz w:val="24"/>
          <w:szCs w:val="24"/>
        </w:rPr>
      </w:pPr>
    </w:p>
    <w:p w14:paraId="5CC97072" w14:textId="77777777" w:rsidR="00231179" w:rsidRDefault="00231179" w:rsidP="00231179">
      <w:pPr>
        <w:jc w:val="center"/>
        <w:rPr>
          <w:rFonts w:asciiTheme="majorBidi" w:hAnsiTheme="majorBidi" w:cstheme="majorBidi"/>
          <w:sz w:val="24"/>
          <w:szCs w:val="24"/>
        </w:rPr>
      </w:pPr>
    </w:p>
    <w:p w14:paraId="36EBAF83" w14:textId="77777777" w:rsidR="00231179" w:rsidRPr="00FA052F" w:rsidRDefault="00231179" w:rsidP="00231179">
      <w:pPr>
        <w:jc w:val="center"/>
        <w:rPr>
          <w:rFonts w:asciiTheme="majorBidi" w:hAnsiTheme="majorBidi" w:cstheme="majorBidi"/>
          <w:sz w:val="24"/>
          <w:szCs w:val="24"/>
        </w:rPr>
      </w:pPr>
      <w:r w:rsidRPr="00FA052F">
        <w:rPr>
          <w:rFonts w:asciiTheme="majorBidi" w:hAnsiTheme="majorBidi" w:cstheme="majorBidi"/>
          <w:sz w:val="24"/>
          <w:szCs w:val="24"/>
        </w:rPr>
        <w:t>By</w:t>
      </w:r>
    </w:p>
    <w:p w14:paraId="0AB9163A" w14:textId="77777777" w:rsidR="00231179" w:rsidRPr="00FA052F" w:rsidRDefault="00231179" w:rsidP="00231179">
      <w:pPr>
        <w:jc w:val="center"/>
        <w:rPr>
          <w:rFonts w:asciiTheme="majorBidi" w:hAnsiTheme="majorBidi" w:cstheme="majorBidi"/>
          <w:sz w:val="24"/>
          <w:szCs w:val="24"/>
        </w:rPr>
      </w:pPr>
      <w:r>
        <w:rPr>
          <w:rFonts w:asciiTheme="majorBidi" w:hAnsiTheme="majorBidi" w:cstheme="majorBidi"/>
          <w:sz w:val="24"/>
          <w:szCs w:val="24"/>
        </w:rPr>
        <w:t>CARMEN DEL ROCIO PEDRAZA MARRON</w:t>
      </w:r>
    </w:p>
    <w:p w14:paraId="7996562E" w14:textId="77777777" w:rsidR="00231179" w:rsidRPr="00FA052F" w:rsidRDefault="00231179" w:rsidP="00231179">
      <w:pPr>
        <w:jc w:val="center"/>
        <w:rPr>
          <w:rFonts w:asciiTheme="majorBidi" w:hAnsiTheme="majorBidi" w:cstheme="majorBidi"/>
          <w:sz w:val="24"/>
          <w:szCs w:val="24"/>
        </w:rPr>
      </w:pPr>
      <w:r w:rsidRPr="00FA052F">
        <w:rPr>
          <w:rFonts w:asciiTheme="majorBidi" w:hAnsiTheme="majorBidi" w:cstheme="majorBidi"/>
          <w:sz w:val="24"/>
          <w:szCs w:val="24"/>
        </w:rPr>
        <w:t>Norman, Oklahoma</w:t>
      </w:r>
    </w:p>
    <w:p w14:paraId="17751BDF" w14:textId="77777777" w:rsidR="00231179" w:rsidRDefault="00231179" w:rsidP="00231179">
      <w:pPr>
        <w:jc w:val="center"/>
        <w:rPr>
          <w:rFonts w:asciiTheme="majorBidi" w:hAnsiTheme="majorBidi" w:cstheme="majorBidi"/>
          <w:sz w:val="24"/>
          <w:szCs w:val="24"/>
        </w:rPr>
      </w:pPr>
      <w:r w:rsidRPr="00FA052F">
        <w:rPr>
          <w:rFonts w:asciiTheme="majorBidi" w:hAnsiTheme="majorBidi" w:cstheme="majorBidi"/>
          <w:sz w:val="24"/>
          <w:szCs w:val="24"/>
        </w:rPr>
        <w:t>2023</w:t>
      </w:r>
    </w:p>
    <w:p w14:paraId="605996D7" w14:textId="77777777" w:rsidR="00231179" w:rsidRDefault="00231179" w:rsidP="00231179">
      <w:pPr>
        <w:jc w:val="center"/>
        <w:rPr>
          <w:rFonts w:asciiTheme="majorBidi" w:hAnsiTheme="majorBidi" w:cstheme="majorBidi"/>
          <w:sz w:val="24"/>
          <w:szCs w:val="24"/>
        </w:rPr>
      </w:pPr>
    </w:p>
    <w:p w14:paraId="67FCA586" w14:textId="77777777" w:rsidR="00231179" w:rsidRDefault="00231179" w:rsidP="00231179">
      <w:pPr>
        <w:jc w:val="center"/>
        <w:rPr>
          <w:rFonts w:asciiTheme="majorBidi" w:hAnsiTheme="majorBidi" w:cstheme="majorBidi"/>
          <w:sz w:val="24"/>
          <w:szCs w:val="24"/>
        </w:rPr>
      </w:pPr>
    </w:p>
    <w:p w14:paraId="6266E357" w14:textId="77777777" w:rsidR="00231179" w:rsidRDefault="00231179" w:rsidP="00231179">
      <w:pPr>
        <w:jc w:val="center"/>
        <w:rPr>
          <w:rFonts w:asciiTheme="majorBidi" w:hAnsiTheme="majorBidi" w:cstheme="majorBidi"/>
          <w:sz w:val="24"/>
          <w:szCs w:val="24"/>
        </w:rPr>
      </w:pPr>
    </w:p>
    <w:p w14:paraId="202C5C65" w14:textId="77777777" w:rsidR="00231179" w:rsidRDefault="00231179" w:rsidP="00231179">
      <w:pPr>
        <w:jc w:val="center"/>
        <w:rPr>
          <w:rFonts w:ascii="Times New Roman" w:hAnsi="Times New Roman" w:cs="Times New Roman"/>
          <w:color w:val="000000" w:themeColor="text1"/>
          <w:sz w:val="24"/>
          <w:szCs w:val="24"/>
        </w:rPr>
      </w:pPr>
      <w:r w:rsidRPr="000868D2">
        <w:rPr>
          <w:rFonts w:ascii="Times New Roman" w:hAnsi="Times New Roman" w:cs="Times New Roman"/>
          <w:color w:val="000000" w:themeColor="text1"/>
          <w:sz w:val="24"/>
          <w:szCs w:val="24"/>
        </w:rPr>
        <w:t>BRIDGING MICRO- AND MACRO- EVOLUTION IN</w:t>
      </w:r>
    </w:p>
    <w:p w14:paraId="60E155B9" w14:textId="77777777" w:rsidR="00231179" w:rsidRPr="000868D2" w:rsidRDefault="00231179" w:rsidP="00231179">
      <w:pPr>
        <w:jc w:val="center"/>
        <w:rPr>
          <w:rFonts w:asciiTheme="majorBidi" w:hAnsiTheme="majorBidi" w:cstheme="majorBidi"/>
          <w:sz w:val="28"/>
          <w:szCs w:val="28"/>
        </w:rPr>
      </w:pPr>
      <w:r w:rsidRPr="000868D2">
        <w:rPr>
          <w:rFonts w:ascii="Times New Roman" w:hAnsi="Times New Roman" w:cs="Times New Roman"/>
          <w:color w:val="000000" w:themeColor="text1"/>
          <w:sz w:val="24"/>
          <w:szCs w:val="24"/>
        </w:rPr>
        <w:t>TROPICAL FISHES</w:t>
      </w:r>
    </w:p>
    <w:p w14:paraId="3FA27B8A" w14:textId="77777777" w:rsidR="00231179" w:rsidRDefault="00231179" w:rsidP="00231179">
      <w:pPr>
        <w:spacing w:line="240" w:lineRule="auto"/>
        <w:jc w:val="center"/>
        <w:rPr>
          <w:rFonts w:asciiTheme="majorBidi" w:hAnsiTheme="majorBidi" w:cstheme="majorBidi"/>
          <w:sz w:val="24"/>
          <w:szCs w:val="24"/>
        </w:rPr>
      </w:pPr>
    </w:p>
    <w:p w14:paraId="576A3519" w14:textId="77777777" w:rsidR="00231179" w:rsidRDefault="00231179" w:rsidP="00231179">
      <w:pPr>
        <w:spacing w:line="240" w:lineRule="auto"/>
        <w:jc w:val="center"/>
        <w:rPr>
          <w:rFonts w:asciiTheme="majorBidi" w:hAnsiTheme="majorBidi" w:cstheme="majorBidi"/>
          <w:sz w:val="24"/>
          <w:szCs w:val="24"/>
        </w:rPr>
      </w:pPr>
    </w:p>
    <w:p w14:paraId="2083E35D" w14:textId="77777777" w:rsidR="00231179" w:rsidRDefault="00231179" w:rsidP="00231179">
      <w:pPr>
        <w:spacing w:line="240" w:lineRule="auto"/>
        <w:jc w:val="center"/>
        <w:rPr>
          <w:rFonts w:asciiTheme="majorBidi" w:hAnsiTheme="majorBidi" w:cstheme="majorBidi"/>
          <w:sz w:val="24"/>
          <w:szCs w:val="24"/>
        </w:rPr>
      </w:pPr>
    </w:p>
    <w:p w14:paraId="7EB6341C" w14:textId="77777777" w:rsidR="00231179" w:rsidRDefault="00231179" w:rsidP="00231179">
      <w:pPr>
        <w:spacing w:line="240" w:lineRule="auto"/>
        <w:jc w:val="center"/>
        <w:rPr>
          <w:rFonts w:asciiTheme="majorBidi" w:hAnsiTheme="majorBidi" w:cstheme="majorBidi"/>
          <w:sz w:val="24"/>
          <w:szCs w:val="24"/>
        </w:rPr>
      </w:pPr>
    </w:p>
    <w:p w14:paraId="2EFA0165" w14:textId="77777777" w:rsidR="00231179" w:rsidRDefault="00231179" w:rsidP="00231179">
      <w:pPr>
        <w:spacing w:line="480" w:lineRule="auto"/>
        <w:jc w:val="center"/>
        <w:rPr>
          <w:rFonts w:asciiTheme="majorBidi" w:hAnsiTheme="majorBidi" w:cstheme="majorBidi"/>
          <w:sz w:val="24"/>
          <w:szCs w:val="24"/>
        </w:rPr>
      </w:pPr>
      <w:r>
        <w:rPr>
          <w:rFonts w:asciiTheme="majorBidi" w:hAnsiTheme="majorBidi" w:cstheme="majorBidi"/>
          <w:sz w:val="24"/>
          <w:szCs w:val="24"/>
        </w:rPr>
        <w:t>A DISSERTATION APPROVED FOR THE</w:t>
      </w:r>
    </w:p>
    <w:p w14:paraId="481456D5" w14:textId="702A3427" w:rsidR="00231179" w:rsidRDefault="002F4AAA" w:rsidP="00231179">
      <w:pPr>
        <w:spacing w:line="480" w:lineRule="auto"/>
        <w:jc w:val="center"/>
        <w:rPr>
          <w:rFonts w:asciiTheme="majorBidi" w:hAnsiTheme="majorBidi" w:cstheme="majorBidi"/>
          <w:sz w:val="24"/>
          <w:szCs w:val="24"/>
        </w:rPr>
      </w:pPr>
      <w:r>
        <w:rPr>
          <w:rFonts w:asciiTheme="majorBidi" w:hAnsiTheme="majorBidi" w:cstheme="majorBidi"/>
          <w:sz w:val="24"/>
          <w:szCs w:val="24"/>
        </w:rPr>
        <w:t>SCHOOL OF BIOLOGICAL SCIENCES</w:t>
      </w:r>
    </w:p>
    <w:p w14:paraId="4F540CBC" w14:textId="77777777" w:rsidR="00231179" w:rsidRDefault="00231179" w:rsidP="00231179">
      <w:pPr>
        <w:spacing w:line="240" w:lineRule="auto"/>
        <w:rPr>
          <w:rFonts w:asciiTheme="majorBidi" w:hAnsiTheme="majorBidi" w:cstheme="majorBidi"/>
          <w:sz w:val="24"/>
          <w:szCs w:val="24"/>
        </w:rPr>
      </w:pPr>
    </w:p>
    <w:p w14:paraId="66795C97" w14:textId="77777777" w:rsidR="00231179" w:rsidRDefault="00231179" w:rsidP="00231179">
      <w:pPr>
        <w:spacing w:line="240" w:lineRule="auto"/>
        <w:rPr>
          <w:rFonts w:asciiTheme="majorBidi" w:hAnsiTheme="majorBidi" w:cstheme="majorBidi"/>
          <w:sz w:val="24"/>
          <w:szCs w:val="24"/>
        </w:rPr>
      </w:pPr>
    </w:p>
    <w:p w14:paraId="58E1F3F5" w14:textId="77777777" w:rsidR="00231179" w:rsidRDefault="00231179" w:rsidP="00231179">
      <w:pPr>
        <w:spacing w:line="240" w:lineRule="auto"/>
        <w:rPr>
          <w:rFonts w:asciiTheme="majorBidi" w:hAnsiTheme="majorBidi" w:cstheme="majorBidi"/>
          <w:sz w:val="24"/>
          <w:szCs w:val="24"/>
        </w:rPr>
      </w:pPr>
    </w:p>
    <w:p w14:paraId="6F58D571" w14:textId="77777777" w:rsidR="00231179" w:rsidRDefault="00231179" w:rsidP="00231179">
      <w:pPr>
        <w:spacing w:line="240" w:lineRule="auto"/>
        <w:jc w:val="center"/>
        <w:rPr>
          <w:rFonts w:asciiTheme="majorBidi" w:hAnsiTheme="majorBidi" w:cstheme="majorBidi"/>
          <w:sz w:val="24"/>
          <w:szCs w:val="24"/>
        </w:rPr>
      </w:pPr>
    </w:p>
    <w:p w14:paraId="3E014F48" w14:textId="77777777" w:rsidR="00231179" w:rsidRDefault="00231179" w:rsidP="00231179">
      <w:pPr>
        <w:jc w:val="center"/>
        <w:rPr>
          <w:rFonts w:asciiTheme="majorBidi" w:hAnsiTheme="majorBidi" w:cstheme="majorBidi"/>
          <w:sz w:val="24"/>
          <w:szCs w:val="24"/>
        </w:rPr>
      </w:pPr>
      <w:r>
        <w:rPr>
          <w:rFonts w:asciiTheme="majorBidi" w:hAnsiTheme="majorBidi" w:cstheme="majorBidi"/>
          <w:sz w:val="24"/>
          <w:szCs w:val="24"/>
        </w:rPr>
        <w:t>BY THE COMMITTEE CONSISTING OF</w:t>
      </w:r>
    </w:p>
    <w:p w14:paraId="534B411E" w14:textId="77777777" w:rsidR="00231179" w:rsidRDefault="00231179" w:rsidP="00231179">
      <w:pPr>
        <w:spacing w:line="240" w:lineRule="auto"/>
        <w:jc w:val="center"/>
        <w:rPr>
          <w:rFonts w:asciiTheme="majorBidi" w:hAnsiTheme="majorBidi" w:cstheme="majorBidi"/>
          <w:sz w:val="24"/>
          <w:szCs w:val="24"/>
        </w:rPr>
      </w:pPr>
    </w:p>
    <w:p w14:paraId="090DEC13" w14:textId="77777777" w:rsidR="00231179" w:rsidRDefault="00231179" w:rsidP="00231179">
      <w:pPr>
        <w:spacing w:line="240" w:lineRule="auto"/>
        <w:jc w:val="center"/>
        <w:rPr>
          <w:rFonts w:asciiTheme="majorBidi" w:hAnsiTheme="majorBidi" w:cstheme="majorBidi"/>
          <w:sz w:val="24"/>
          <w:szCs w:val="24"/>
        </w:rPr>
      </w:pPr>
    </w:p>
    <w:p w14:paraId="76265603" w14:textId="77777777" w:rsidR="00231179" w:rsidRDefault="00231179" w:rsidP="00231179">
      <w:pPr>
        <w:spacing w:line="240" w:lineRule="auto"/>
        <w:jc w:val="center"/>
        <w:rPr>
          <w:rFonts w:asciiTheme="majorBidi" w:hAnsiTheme="majorBidi" w:cstheme="majorBidi"/>
          <w:sz w:val="24"/>
          <w:szCs w:val="24"/>
        </w:rPr>
      </w:pPr>
    </w:p>
    <w:p w14:paraId="37BEAB60" w14:textId="77777777" w:rsidR="00231179" w:rsidRDefault="00231179" w:rsidP="00231179">
      <w:pPr>
        <w:spacing w:line="240" w:lineRule="auto"/>
        <w:jc w:val="center"/>
        <w:rPr>
          <w:rFonts w:asciiTheme="majorBidi" w:hAnsiTheme="majorBidi" w:cstheme="majorBidi"/>
          <w:sz w:val="24"/>
          <w:szCs w:val="24"/>
        </w:rPr>
      </w:pPr>
    </w:p>
    <w:p w14:paraId="28C14623" w14:textId="0516DB41" w:rsidR="00231179" w:rsidRDefault="002E36BB" w:rsidP="00231179">
      <w:pPr>
        <w:spacing w:line="480" w:lineRule="auto"/>
        <w:jc w:val="right"/>
        <w:rPr>
          <w:rFonts w:asciiTheme="majorBidi" w:hAnsiTheme="majorBidi" w:cstheme="majorBidi"/>
          <w:sz w:val="24"/>
          <w:szCs w:val="24"/>
        </w:rPr>
      </w:pPr>
      <w:r>
        <w:rPr>
          <w:rFonts w:asciiTheme="majorBidi" w:hAnsiTheme="majorBidi" w:cstheme="majorBidi"/>
          <w:sz w:val="24"/>
          <w:szCs w:val="24"/>
        </w:rPr>
        <w:t xml:space="preserve">Chair: </w:t>
      </w:r>
      <w:r w:rsidR="00231179">
        <w:rPr>
          <w:rFonts w:asciiTheme="majorBidi" w:hAnsiTheme="majorBidi" w:cstheme="majorBidi"/>
          <w:sz w:val="24"/>
          <w:szCs w:val="24"/>
        </w:rPr>
        <w:t>Dr. Katharine Marske</w:t>
      </w:r>
    </w:p>
    <w:p w14:paraId="19AC7267" w14:textId="41E398A6" w:rsidR="00231179" w:rsidRDefault="00231179" w:rsidP="00231179">
      <w:pPr>
        <w:spacing w:line="480" w:lineRule="auto"/>
        <w:jc w:val="right"/>
        <w:rPr>
          <w:rFonts w:asciiTheme="majorBidi" w:hAnsiTheme="majorBidi" w:cstheme="majorBidi"/>
          <w:sz w:val="24"/>
          <w:szCs w:val="24"/>
        </w:rPr>
      </w:pPr>
      <w:r>
        <w:rPr>
          <w:rFonts w:asciiTheme="majorBidi" w:hAnsiTheme="majorBidi" w:cstheme="majorBidi"/>
          <w:sz w:val="24"/>
          <w:szCs w:val="24"/>
        </w:rPr>
        <w:t>Dr. Ricardo Betancur</w:t>
      </w:r>
    </w:p>
    <w:p w14:paraId="07AD8A0D" w14:textId="5364021A" w:rsidR="00231179" w:rsidRDefault="00231179" w:rsidP="00231179">
      <w:pPr>
        <w:spacing w:line="480" w:lineRule="auto"/>
        <w:jc w:val="right"/>
        <w:rPr>
          <w:rFonts w:asciiTheme="majorBidi" w:hAnsiTheme="majorBidi" w:cstheme="majorBidi"/>
          <w:sz w:val="24"/>
          <w:szCs w:val="24"/>
        </w:rPr>
      </w:pPr>
      <w:r>
        <w:rPr>
          <w:rFonts w:asciiTheme="majorBidi" w:hAnsiTheme="majorBidi" w:cstheme="majorBidi"/>
          <w:sz w:val="24"/>
          <w:szCs w:val="24"/>
        </w:rPr>
        <w:t>Dr. Cameron Siler</w:t>
      </w:r>
    </w:p>
    <w:p w14:paraId="2795C3C8" w14:textId="36D09EC2" w:rsidR="00231179" w:rsidRDefault="00231179" w:rsidP="00231179">
      <w:pPr>
        <w:spacing w:line="480" w:lineRule="auto"/>
        <w:jc w:val="right"/>
        <w:rPr>
          <w:rFonts w:asciiTheme="majorBidi" w:hAnsiTheme="majorBidi" w:cstheme="majorBidi"/>
          <w:sz w:val="24"/>
          <w:szCs w:val="24"/>
        </w:rPr>
      </w:pPr>
      <w:r>
        <w:rPr>
          <w:rFonts w:asciiTheme="majorBidi" w:hAnsiTheme="majorBidi" w:cstheme="majorBidi"/>
          <w:sz w:val="24"/>
          <w:szCs w:val="24"/>
        </w:rPr>
        <w:t>Dr. Brian Kemp</w:t>
      </w:r>
    </w:p>
    <w:p w14:paraId="378485D5" w14:textId="77777777" w:rsidR="00231179" w:rsidRDefault="00231179" w:rsidP="00231179">
      <w:pPr>
        <w:spacing w:line="480" w:lineRule="auto"/>
        <w:jc w:val="right"/>
        <w:rPr>
          <w:rFonts w:asciiTheme="majorBidi" w:hAnsiTheme="majorBidi" w:cstheme="majorBidi"/>
          <w:sz w:val="24"/>
          <w:szCs w:val="24"/>
        </w:rPr>
      </w:pPr>
      <w:r>
        <w:rPr>
          <w:rFonts w:asciiTheme="majorBidi" w:hAnsiTheme="majorBidi" w:cstheme="majorBidi"/>
          <w:sz w:val="24"/>
          <w:szCs w:val="24"/>
        </w:rPr>
        <w:t>Dr. Philip Hastings</w:t>
      </w:r>
    </w:p>
    <w:p w14:paraId="6F507ACC" w14:textId="19E526B9" w:rsidR="000252A6" w:rsidRDefault="000252A6" w:rsidP="00081F2A">
      <w:pPr>
        <w:jc w:val="right"/>
        <w:rPr>
          <w:rFonts w:asciiTheme="majorBidi" w:hAnsiTheme="majorBidi" w:cstheme="majorBidi"/>
          <w:sz w:val="24"/>
          <w:szCs w:val="24"/>
        </w:rPr>
      </w:pPr>
    </w:p>
    <w:p w14:paraId="21BCE790" w14:textId="77777777" w:rsidR="00231179" w:rsidRDefault="00231179" w:rsidP="00231179">
      <w:pPr>
        <w:jc w:val="center"/>
        <w:rPr>
          <w:rFonts w:asciiTheme="majorBidi" w:hAnsiTheme="majorBidi" w:cstheme="majorBidi"/>
          <w:sz w:val="24"/>
          <w:szCs w:val="24"/>
        </w:rPr>
      </w:pPr>
    </w:p>
    <w:p w14:paraId="670C387C" w14:textId="77777777" w:rsidR="00231179" w:rsidRDefault="00231179" w:rsidP="00231179">
      <w:pPr>
        <w:jc w:val="center"/>
        <w:rPr>
          <w:rFonts w:asciiTheme="majorBidi" w:hAnsiTheme="majorBidi" w:cstheme="majorBidi"/>
          <w:sz w:val="24"/>
          <w:szCs w:val="24"/>
        </w:rPr>
      </w:pPr>
    </w:p>
    <w:p w14:paraId="5ADFCE3A" w14:textId="77777777" w:rsidR="00231179" w:rsidRDefault="00231179" w:rsidP="00231179">
      <w:pPr>
        <w:jc w:val="center"/>
        <w:rPr>
          <w:rFonts w:asciiTheme="majorBidi" w:hAnsiTheme="majorBidi" w:cstheme="majorBidi"/>
          <w:sz w:val="24"/>
          <w:szCs w:val="24"/>
        </w:rPr>
      </w:pPr>
    </w:p>
    <w:p w14:paraId="56F77776" w14:textId="77777777" w:rsidR="00231179" w:rsidRDefault="00231179" w:rsidP="00231179">
      <w:pPr>
        <w:jc w:val="center"/>
        <w:rPr>
          <w:rFonts w:asciiTheme="majorBidi" w:hAnsiTheme="majorBidi" w:cstheme="majorBidi"/>
          <w:sz w:val="24"/>
          <w:szCs w:val="24"/>
        </w:rPr>
      </w:pPr>
    </w:p>
    <w:p w14:paraId="6EAED563" w14:textId="77777777" w:rsidR="00231179" w:rsidRDefault="00231179" w:rsidP="00231179">
      <w:pPr>
        <w:jc w:val="center"/>
        <w:rPr>
          <w:rFonts w:asciiTheme="majorBidi" w:hAnsiTheme="majorBidi" w:cstheme="majorBidi"/>
          <w:sz w:val="24"/>
          <w:szCs w:val="24"/>
        </w:rPr>
      </w:pPr>
    </w:p>
    <w:p w14:paraId="443D29E8" w14:textId="77777777" w:rsidR="00231179" w:rsidRDefault="00231179" w:rsidP="00231179">
      <w:pPr>
        <w:jc w:val="center"/>
        <w:rPr>
          <w:rFonts w:asciiTheme="majorBidi" w:hAnsiTheme="majorBidi" w:cstheme="majorBidi"/>
          <w:sz w:val="24"/>
          <w:szCs w:val="24"/>
        </w:rPr>
      </w:pPr>
    </w:p>
    <w:p w14:paraId="797D7555" w14:textId="77777777" w:rsidR="00231179" w:rsidRDefault="00231179" w:rsidP="00231179">
      <w:pPr>
        <w:jc w:val="center"/>
        <w:rPr>
          <w:rFonts w:asciiTheme="majorBidi" w:hAnsiTheme="majorBidi" w:cstheme="majorBidi"/>
          <w:sz w:val="24"/>
          <w:szCs w:val="24"/>
        </w:rPr>
      </w:pPr>
    </w:p>
    <w:p w14:paraId="5D0B25BA" w14:textId="77777777" w:rsidR="00231179" w:rsidRDefault="00231179" w:rsidP="00231179">
      <w:pPr>
        <w:jc w:val="center"/>
        <w:rPr>
          <w:rFonts w:asciiTheme="majorBidi" w:hAnsiTheme="majorBidi" w:cstheme="majorBidi"/>
          <w:sz w:val="24"/>
          <w:szCs w:val="24"/>
        </w:rPr>
      </w:pPr>
    </w:p>
    <w:p w14:paraId="0FB3477C" w14:textId="77777777" w:rsidR="00231179" w:rsidRDefault="00231179" w:rsidP="00231179">
      <w:pPr>
        <w:jc w:val="center"/>
        <w:rPr>
          <w:rFonts w:asciiTheme="majorBidi" w:hAnsiTheme="majorBidi" w:cstheme="majorBidi"/>
          <w:sz w:val="24"/>
          <w:szCs w:val="24"/>
        </w:rPr>
      </w:pPr>
    </w:p>
    <w:p w14:paraId="6BCA1DA3" w14:textId="77777777" w:rsidR="00231179" w:rsidRDefault="00231179" w:rsidP="00231179">
      <w:pPr>
        <w:jc w:val="center"/>
        <w:rPr>
          <w:rFonts w:asciiTheme="majorBidi" w:hAnsiTheme="majorBidi" w:cstheme="majorBidi"/>
          <w:sz w:val="24"/>
          <w:szCs w:val="24"/>
        </w:rPr>
      </w:pPr>
    </w:p>
    <w:p w14:paraId="43DFDBE5" w14:textId="77777777" w:rsidR="00231179" w:rsidRDefault="00231179" w:rsidP="00231179">
      <w:pPr>
        <w:jc w:val="center"/>
        <w:rPr>
          <w:rFonts w:asciiTheme="majorBidi" w:hAnsiTheme="majorBidi" w:cstheme="majorBidi"/>
          <w:sz w:val="24"/>
          <w:szCs w:val="24"/>
        </w:rPr>
      </w:pPr>
    </w:p>
    <w:p w14:paraId="7E03A665" w14:textId="77777777" w:rsidR="00231179" w:rsidRDefault="00231179" w:rsidP="00231179">
      <w:pPr>
        <w:jc w:val="center"/>
        <w:rPr>
          <w:rFonts w:asciiTheme="majorBidi" w:hAnsiTheme="majorBidi" w:cstheme="majorBidi"/>
          <w:sz w:val="24"/>
          <w:szCs w:val="24"/>
        </w:rPr>
      </w:pPr>
    </w:p>
    <w:p w14:paraId="6D137876" w14:textId="77777777" w:rsidR="00231179" w:rsidRDefault="00231179" w:rsidP="00231179">
      <w:pPr>
        <w:jc w:val="center"/>
        <w:rPr>
          <w:rFonts w:asciiTheme="majorBidi" w:hAnsiTheme="majorBidi" w:cstheme="majorBidi"/>
          <w:sz w:val="24"/>
          <w:szCs w:val="24"/>
        </w:rPr>
      </w:pPr>
    </w:p>
    <w:p w14:paraId="1F0125CE" w14:textId="77777777" w:rsidR="00231179" w:rsidRDefault="00231179" w:rsidP="00231179">
      <w:pPr>
        <w:jc w:val="center"/>
        <w:rPr>
          <w:rFonts w:asciiTheme="majorBidi" w:hAnsiTheme="majorBidi" w:cstheme="majorBidi"/>
          <w:sz w:val="24"/>
          <w:szCs w:val="24"/>
        </w:rPr>
      </w:pPr>
    </w:p>
    <w:p w14:paraId="0A1408B6" w14:textId="77777777" w:rsidR="00231179" w:rsidRDefault="00231179" w:rsidP="00231179">
      <w:pPr>
        <w:jc w:val="center"/>
        <w:rPr>
          <w:rFonts w:asciiTheme="majorBidi" w:hAnsiTheme="majorBidi" w:cstheme="majorBidi"/>
          <w:sz w:val="24"/>
          <w:szCs w:val="24"/>
        </w:rPr>
      </w:pPr>
    </w:p>
    <w:p w14:paraId="3D9EDC6C" w14:textId="77777777" w:rsidR="00231179" w:rsidRDefault="00231179" w:rsidP="00231179">
      <w:pPr>
        <w:jc w:val="center"/>
        <w:rPr>
          <w:rFonts w:asciiTheme="majorBidi" w:hAnsiTheme="majorBidi" w:cstheme="majorBidi"/>
          <w:sz w:val="24"/>
          <w:szCs w:val="24"/>
        </w:rPr>
      </w:pPr>
    </w:p>
    <w:p w14:paraId="127AFED1" w14:textId="77777777" w:rsidR="00231179" w:rsidRDefault="00231179" w:rsidP="00231179">
      <w:pPr>
        <w:jc w:val="center"/>
        <w:rPr>
          <w:rFonts w:asciiTheme="majorBidi" w:hAnsiTheme="majorBidi" w:cstheme="majorBidi"/>
          <w:sz w:val="24"/>
          <w:szCs w:val="24"/>
        </w:rPr>
      </w:pPr>
    </w:p>
    <w:p w14:paraId="138E5AC4" w14:textId="77777777" w:rsidR="00231179" w:rsidRDefault="00231179" w:rsidP="00231179">
      <w:pPr>
        <w:jc w:val="center"/>
        <w:rPr>
          <w:rFonts w:asciiTheme="majorBidi" w:hAnsiTheme="majorBidi" w:cstheme="majorBidi"/>
          <w:sz w:val="24"/>
          <w:szCs w:val="24"/>
        </w:rPr>
      </w:pPr>
    </w:p>
    <w:p w14:paraId="573CC594" w14:textId="77777777" w:rsidR="00231179" w:rsidRDefault="00231179" w:rsidP="00231179">
      <w:pPr>
        <w:jc w:val="center"/>
        <w:rPr>
          <w:rFonts w:asciiTheme="majorBidi" w:hAnsiTheme="majorBidi" w:cstheme="majorBidi"/>
          <w:sz w:val="24"/>
          <w:szCs w:val="24"/>
        </w:rPr>
      </w:pPr>
    </w:p>
    <w:p w14:paraId="51749755" w14:textId="77777777" w:rsidR="00231179" w:rsidRDefault="00231179" w:rsidP="00231179">
      <w:pPr>
        <w:jc w:val="center"/>
        <w:rPr>
          <w:rFonts w:asciiTheme="majorBidi" w:hAnsiTheme="majorBidi" w:cstheme="majorBidi"/>
          <w:sz w:val="24"/>
          <w:szCs w:val="24"/>
        </w:rPr>
      </w:pPr>
    </w:p>
    <w:p w14:paraId="00DE662F" w14:textId="77777777" w:rsidR="00231179" w:rsidRDefault="00231179" w:rsidP="00231179">
      <w:pPr>
        <w:jc w:val="center"/>
        <w:rPr>
          <w:rFonts w:asciiTheme="majorBidi" w:hAnsiTheme="majorBidi" w:cstheme="majorBidi"/>
          <w:sz w:val="24"/>
          <w:szCs w:val="24"/>
        </w:rPr>
      </w:pPr>
    </w:p>
    <w:p w14:paraId="6F02C56E" w14:textId="77777777" w:rsidR="00231179" w:rsidRDefault="00231179" w:rsidP="00231179">
      <w:pPr>
        <w:jc w:val="center"/>
        <w:rPr>
          <w:rFonts w:asciiTheme="majorBidi" w:hAnsiTheme="majorBidi" w:cstheme="majorBidi"/>
          <w:sz w:val="24"/>
          <w:szCs w:val="24"/>
        </w:rPr>
      </w:pPr>
    </w:p>
    <w:p w14:paraId="585CFB2E" w14:textId="77777777" w:rsidR="00231179" w:rsidRDefault="00231179" w:rsidP="00231179">
      <w:pPr>
        <w:jc w:val="center"/>
        <w:rPr>
          <w:rFonts w:asciiTheme="majorBidi" w:hAnsiTheme="majorBidi" w:cstheme="majorBidi"/>
          <w:sz w:val="24"/>
          <w:szCs w:val="24"/>
        </w:rPr>
      </w:pPr>
    </w:p>
    <w:p w14:paraId="021D0096" w14:textId="77777777" w:rsidR="00231179" w:rsidRDefault="00231179" w:rsidP="00231179">
      <w:pPr>
        <w:jc w:val="center"/>
        <w:rPr>
          <w:rFonts w:asciiTheme="majorBidi" w:hAnsiTheme="majorBidi" w:cstheme="majorBidi"/>
          <w:sz w:val="24"/>
          <w:szCs w:val="24"/>
        </w:rPr>
      </w:pPr>
    </w:p>
    <w:p w14:paraId="2DAC2B0C" w14:textId="77777777" w:rsidR="00231179" w:rsidRDefault="00231179" w:rsidP="00231179">
      <w:pPr>
        <w:jc w:val="center"/>
        <w:rPr>
          <w:rFonts w:asciiTheme="majorBidi" w:hAnsiTheme="majorBidi" w:cstheme="majorBidi"/>
          <w:sz w:val="24"/>
          <w:szCs w:val="24"/>
        </w:rPr>
      </w:pPr>
    </w:p>
    <w:p w14:paraId="40FC39D0" w14:textId="77777777" w:rsidR="00231179" w:rsidRPr="007E6C67" w:rsidRDefault="00231179" w:rsidP="00231179">
      <w:pPr>
        <w:spacing w:line="240" w:lineRule="auto"/>
        <w:jc w:val="center"/>
        <w:rPr>
          <w:rFonts w:asciiTheme="majorBidi" w:hAnsiTheme="majorBidi" w:cstheme="majorBidi"/>
          <w:sz w:val="24"/>
          <w:szCs w:val="24"/>
        </w:rPr>
      </w:pPr>
      <w:r w:rsidRPr="007E6C67">
        <w:rPr>
          <w:rFonts w:asciiTheme="majorBidi" w:hAnsiTheme="majorBidi" w:cstheme="majorBidi"/>
          <w:sz w:val="24"/>
          <w:szCs w:val="24"/>
        </w:rPr>
        <w:t xml:space="preserve">© Copyright by </w:t>
      </w:r>
      <w:r>
        <w:rPr>
          <w:rFonts w:asciiTheme="majorBidi" w:hAnsiTheme="majorBidi" w:cstheme="majorBidi"/>
          <w:sz w:val="24"/>
          <w:szCs w:val="24"/>
        </w:rPr>
        <w:t>Carmen del Rocío Pedraza Marrón</w:t>
      </w:r>
      <w:r w:rsidRPr="007E6C67">
        <w:rPr>
          <w:rFonts w:asciiTheme="majorBidi" w:hAnsiTheme="majorBidi" w:cstheme="majorBidi"/>
          <w:sz w:val="24"/>
          <w:szCs w:val="24"/>
        </w:rPr>
        <w:t xml:space="preserve"> 202</w:t>
      </w:r>
      <w:r>
        <w:rPr>
          <w:rFonts w:asciiTheme="majorBidi" w:hAnsiTheme="majorBidi" w:cstheme="majorBidi"/>
          <w:sz w:val="24"/>
          <w:szCs w:val="24"/>
        </w:rPr>
        <w:t>3</w:t>
      </w:r>
    </w:p>
    <w:p w14:paraId="6EC7859F" w14:textId="2742B1DD" w:rsidR="00BB26A1" w:rsidRPr="007E6C67" w:rsidRDefault="00231179" w:rsidP="00231179">
      <w:pPr>
        <w:spacing w:after="0" w:line="240" w:lineRule="auto"/>
        <w:jc w:val="center"/>
        <w:rPr>
          <w:rFonts w:asciiTheme="majorBidi" w:hAnsiTheme="majorBidi" w:cstheme="majorBidi"/>
          <w:sz w:val="24"/>
          <w:szCs w:val="24"/>
        </w:rPr>
        <w:sectPr w:rsidR="00BB26A1" w:rsidRPr="007E6C67" w:rsidSect="00442DA3">
          <w:footerReference w:type="default" r:id="rId8"/>
          <w:footerReference w:type="first" r:id="rId9"/>
          <w:pgSz w:w="12240" w:h="15840"/>
          <w:pgMar w:top="1440" w:right="1440" w:bottom="1440" w:left="1440" w:header="720" w:footer="720" w:gutter="0"/>
          <w:pgNumType w:fmt="lowerRoman"/>
          <w:cols w:space="720"/>
          <w:titlePg/>
          <w:docGrid w:linePitch="360"/>
        </w:sectPr>
      </w:pPr>
      <w:r w:rsidRPr="007E6C67">
        <w:rPr>
          <w:rFonts w:asciiTheme="majorBidi" w:hAnsiTheme="majorBidi" w:cstheme="majorBidi"/>
          <w:sz w:val="24"/>
          <w:szCs w:val="24"/>
        </w:rPr>
        <w:t>All Rights Reserved</w:t>
      </w:r>
      <w:r>
        <w:rPr>
          <w:rFonts w:asciiTheme="majorBidi" w:hAnsiTheme="majorBidi" w:cstheme="majorBidi"/>
          <w:sz w:val="24"/>
          <w:szCs w:val="24"/>
        </w:rPr>
        <w:t>.</w:t>
      </w:r>
    </w:p>
    <w:p w14:paraId="2A5C20DE" w14:textId="77777777" w:rsidR="00CA2232" w:rsidRDefault="00CA2232" w:rsidP="00CA2232">
      <w:pPr>
        <w:spacing w:before="30" w:after="0"/>
        <w:jc w:val="center"/>
        <w:rPr>
          <w:rFonts w:ascii="Times New Roman" w:hAnsi="Times New Roman" w:cs="Times New Roman"/>
          <w:i/>
          <w:iCs/>
          <w:color w:val="000000" w:themeColor="text1"/>
        </w:rPr>
      </w:pPr>
    </w:p>
    <w:p w14:paraId="7552E0BB" w14:textId="77777777" w:rsidR="00CA2232" w:rsidRDefault="00CA2232" w:rsidP="00CA2232">
      <w:pPr>
        <w:spacing w:before="30" w:after="0"/>
        <w:jc w:val="center"/>
        <w:rPr>
          <w:rFonts w:ascii="Times New Roman" w:hAnsi="Times New Roman" w:cs="Times New Roman"/>
          <w:i/>
          <w:iCs/>
          <w:color w:val="000000" w:themeColor="text1"/>
        </w:rPr>
      </w:pPr>
    </w:p>
    <w:p w14:paraId="7CC80476" w14:textId="77777777" w:rsidR="00CA2232" w:rsidRDefault="00CA2232" w:rsidP="00CA2232">
      <w:pPr>
        <w:spacing w:before="30" w:after="0"/>
        <w:jc w:val="center"/>
        <w:rPr>
          <w:rFonts w:ascii="Times New Roman" w:hAnsi="Times New Roman" w:cs="Times New Roman"/>
          <w:i/>
          <w:iCs/>
          <w:color w:val="000000" w:themeColor="text1"/>
        </w:rPr>
      </w:pPr>
    </w:p>
    <w:p w14:paraId="2364D8E8" w14:textId="77777777" w:rsidR="00CA2232" w:rsidRDefault="00CA2232" w:rsidP="00CA2232">
      <w:pPr>
        <w:spacing w:before="30" w:after="0"/>
        <w:jc w:val="center"/>
        <w:rPr>
          <w:rFonts w:ascii="Times New Roman" w:hAnsi="Times New Roman" w:cs="Times New Roman"/>
          <w:i/>
          <w:iCs/>
          <w:color w:val="000000" w:themeColor="text1"/>
        </w:rPr>
      </w:pPr>
    </w:p>
    <w:p w14:paraId="268EC219" w14:textId="2060247F" w:rsidR="00CA2232" w:rsidRDefault="00CA2232" w:rsidP="00CA2232">
      <w:pPr>
        <w:spacing w:before="30" w:after="0"/>
        <w:jc w:val="center"/>
        <w:rPr>
          <w:rFonts w:ascii="Times New Roman" w:hAnsi="Times New Roman" w:cs="Times New Roman"/>
          <w:i/>
          <w:iCs/>
          <w:color w:val="000000" w:themeColor="text1"/>
        </w:rPr>
      </w:pPr>
      <w:r>
        <w:rPr>
          <w:rFonts w:ascii="Times New Roman" w:hAnsi="Times New Roman" w:cs="Times New Roman"/>
          <w:i/>
          <w:iCs/>
          <w:color w:val="000000" w:themeColor="text1"/>
        </w:rPr>
        <w:t>“</w:t>
      </w:r>
      <w:r w:rsidR="00E7274E" w:rsidRPr="00E7274E">
        <w:rPr>
          <w:rFonts w:ascii="Times New Roman" w:hAnsi="Times New Roman" w:cs="Times New Roman"/>
          <w:i/>
          <w:iCs/>
          <w:color w:val="000000" w:themeColor="text1"/>
        </w:rPr>
        <w:t>To my parents</w:t>
      </w:r>
      <w:r>
        <w:rPr>
          <w:rFonts w:ascii="Times New Roman" w:hAnsi="Times New Roman" w:cs="Times New Roman"/>
          <w:i/>
          <w:iCs/>
          <w:color w:val="000000" w:themeColor="text1"/>
        </w:rPr>
        <w:t>,</w:t>
      </w:r>
      <w:r w:rsidR="00E7274E" w:rsidRPr="00E7274E">
        <w:rPr>
          <w:rFonts w:ascii="Times New Roman" w:hAnsi="Times New Roman" w:cs="Times New Roman"/>
          <w:i/>
          <w:iCs/>
          <w:color w:val="000000" w:themeColor="text1"/>
        </w:rPr>
        <w:t xml:space="preserve"> Hugo Pedraza</w:t>
      </w:r>
      <w:r>
        <w:rPr>
          <w:rFonts w:ascii="Times New Roman" w:hAnsi="Times New Roman" w:cs="Times New Roman"/>
          <w:i/>
          <w:iCs/>
          <w:color w:val="000000" w:themeColor="text1"/>
        </w:rPr>
        <w:t>.</w:t>
      </w:r>
      <w:r w:rsidR="00E7274E" w:rsidRPr="00E7274E">
        <w:rPr>
          <w:rFonts w:ascii="Times New Roman" w:hAnsi="Times New Roman" w:cs="Times New Roman"/>
          <w:i/>
          <w:iCs/>
          <w:color w:val="000000" w:themeColor="text1"/>
        </w:rPr>
        <w:t xml:space="preserve"> and Carmen del R. Marrón,</w:t>
      </w:r>
      <w:r>
        <w:rPr>
          <w:rFonts w:ascii="Times New Roman" w:hAnsi="Times New Roman" w:cs="Times New Roman"/>
          <w:i/>
          <w:iCs/>
          <w:color w:val="000000" w:themeColor="text1"/>
        </w:rPr>
        <w:t xml:space="preserve"> </w:t>
      </w:r>
      <w:r w:rsidR="00E7274E" w:rsidRPr="00E7274E">
        <w:rPr>
          <w:rFonts w:ascii="Times New Roman" w:hAnsi="Times New Roman" w:cs="Times New Roman"/>
          <w:i/>
          <w:iCs/>
          <w:color w:val="000000" w:themeColor="text1"/>
        </w:rPr>
        <w:t>and my brother</w:t>
      </w:r>
      <w:r>
        <w:rPr>
          <w:rFonts w:ascii="Times New Roman" w:hAnsi="Times New Roman" w:cs="Times New Roman"/>
          <w:i/>
          <w:iCs/>
          <w:color w:val="000000" w:themeColor="text1"/>
        </w:rPr>
        <w:t>,</w:t>
      </w:r>
      <w:r w:rsidR="00E7274E" w:rsidRPr="00E7274E">
        <w:rPr>
          <w:rFonts w:ascii="Times New Roman" w:hAnsi="Times New Roman" w:cs="Times New Roman"/>
          <w:i/>
          <w:iCs/>
          <w:color w:val="000000" w:themeColor="text1"/>
        </w:rPr>
        <w:t xml:space="preserve"> Hugo Alejandro</w:t>
      </w:r>
      <w:r>
        <w:rPr>
          <w:rFonts w:ascii="Times New Roman" w:hAnsi="Times New Roman" w:cs="Times New Roman"/>
          <w:i/>
          <w:iCs/>
          <w:color w:val="000000" w:themeColor="text1"/>
        </w:rPr>
        <w:t>:</w:t>
      </w:r>
    </w:p>
    <w:p w14:paraId="427FA18E" w14:textId="4C801673" w:rsidR="00E7274E" w:rsidRPr="00CA2232" w:rsidRDefault="00E7274E" w:rsidP="00CA2232">
      <w:pPr>
        <w:spacing w:before="30" w:after="0"/>
        <w:jc w:val="center"/>
        <w:rPr>
          <w:rFonts w:ascii="Times New Roman" w:hAnsi="Times New Roman" w:cs="Times New Roman"/>
          <w:i/>
          <w:iCs/>
          <w:color w:val="000000" w:themeColor="text1"/>
        </w:rPr>
      </w:pPr>
      <w:r w:rsidRPr="00E7274E">
        <w:rPr>
          <w:rFonts w:ascii="Times New Roman" w:hAnsi="Times New Roman" w:cs="Times New Roman"/>
          <w:i/>
          <w:iCs/>
          <w:color w:val="000000" w:themeColor="text1"/>
        </w:rPr>
        <w:t>you are the reason</w:t>
      </w:r>
      <w:r w:rsidR="00CA2232">
        <w:rPr>
          <w:rFonts w:ascii="Times New Roman" w:hAnsi="Times New Roman" w:cs="Times New Roman"/>
          <w:i/>
          <w:iCs/>
          <w:color w:val="000000" w:themeColor="text1"/>
        </w:rPr>
        <w:t xml:space="preserve"> </w:t>
      </w:r>
      <w:r w:rsidRPr="00E7274E">
        <w:rPr>
          <w:rFonts w:ascii="Times New Roman" w:hAnsi="Times New Roman" w:cs="Times New Roman"/>
          <w:i/>
          <w:iCs/>
          <w:color w:val="000000" w:themeColor="text1"/>
        </w:rPr>
        <w:t>I have reach</w:t>
      </w:r>
      <w:r w:rsidR="00CA2232">
        <w:rPr>
          <w:rFonts w:ascii="Times New Roman" w:hAnsi="Times New Roman" w:cs="Times New Roman"/>
          <w:i/>
          <w:iCs/>
          <w:color w:val="000000" w:themeColor="text1"/>
        </w:rPr>
        <w:t>ed</w:t>
      </w:r>
      <w:r w:rsidRPr="00E7274E">
        <w:rPr>
          <w:rFonts w:ascii="Times New Roman" w:hAnsi="Times New Roman" w:cs="Times New Roman"/>
          <w:i/>
          <w:iCs/>
          <w:color w:val="000000" w:themeColor="text1"/>
        </w:rPr>
        <w:t xml:space="preserve"> this dream</w:t>
      </w:r>
      <w:r w:rsidR="00CA2232">
        <w:rPr>
          <w:rFonts w:ascii="Times New Roman" w:hAnsi="Times New Roman" w:cs="Times New Roman"/>
          <w:i/>
          <w:iCs/>
          <w:color w:val="000000" w:themeColor="text1"/>
        </w:rPr>
        <w:t>”</w:t>
      </w:r>
    </w:p>
    <w:p w14:paraId="106E5848" w14:textId="4CCEAADC" w:rsidR="00032BE0" w:rsidRDefault="00E141FD">
      <w:pPr>
        <w:rPr>
          <w:rFonts w:asciiTheme="majorBidi" w:hAnsiTheme="majorBidi" w:cstheme="majorBidi"/>
          <w:sz w:val="24"/>
          <w:szCs w:val="24"/>
        </w:rPr>
      </w:pPr>
      <w:r>
        <w:rPr>
          <w:rFonts w:asciiTheme="majorBidi" w:hAnsiTheme="majorBidi" w:cstheme="majorBidi"/>
          <w:sz w:val="24"/>
          <w:szCs w:val="24"/>
        </w:rPr>
        <w:br w:type="page"/>
      </w:r>
    </w:p>
    <w:p w14:paraId="5DCC428A" w14:textId="39ED0F93" w:rsidR="003758DF" w:rsidRDefault="003758DF" w:rsidP="003758DF">
      <w:pPr>
        <w:rPr>
          <w:rFonts w:asciiTheme="majorBidi" w:hAnsiTheme="majorBidi" w:cstheme="majorBidi"/>
          <w:b/>
          <w:bCs/>
          <w:sz w:val="24"/>
          <w:szCs w:val="24"/>
        </w:rPr>
      </w:pPr>
      <w:r w:rsidRPr="00F5124B">
        <w:rPr>
          <w:rFonts w:asciiTheme="majorBidi" w:hAnsiTheme="majorBidi" w:cstheme="majorBidi"/>
          <w:b/>
          <w:bCs/>
          <w:sz w:val="56"/>
          <w:szCs w:val="56"/>
        </w:rPr>
        <w:lastRenderedPageBreak/>
        <w:t>Abstract</w:t>
      </w:r>
    </w:p>
    <w:p w14:paraId="0021892B" w14:textId="77777777" w:rsidR="003758DF" w:rsidRPr="00671C16" w:rsidRDefault="003758DF" w:rsidP="00B02B62">
      <w:pPr>
        <w:jc w:val="both"/>
        <w:rPr>
          <w:rFonts w:ascii="Times New Roman" w:hAnsi="Times New Roman" w:cs="Times New Roman"/>
          <w:color w:val="000000"/>
        </w:rPr>
      </w:pPr>
      <w:r w:rsidRPr="008E2E71">
        <w:rPr>
          <w:rFonts w:ascii="Times New Roman" w:hAnsi="Times New Roman" w:cs="Times New Roman"/>
          <w:color w:val="000000" w:themeColor="text1"/>
        </w:rPr>
        <w:t xml:space="preserve">In marine environments, barriers to dispersal can be challenging to identify because they are often cryptic. Unlike terrestrial environments, where a mountain chain that is visible can physically separate two populations of animals, vast masses of water in the ocean make it challenging to pinpoint these barriers. Therefore, the impact of these barriers on the formation of new species in the ocean is still not well understood. </w:t>
      </w:r>
      <w:r w:rsidRPr="008E2E71">
        <w:rPr>
          <w:rFonts w:ascii="Times New Roman" w:hAnsi="Times New Roman" w:cs="Times New Roman"/>
          <w:color w:val="000000"/>
        </w:rPr>
        <w:t>While most marine populations have long been considered to be well connected via long-distance dispersal, molecular ecology studies are increasingly unveiling inconspicuous barriers that promote population divergence and ultimately speciation.</w:t>
      </w:r>
      <w:r w:rsidRPr="008E2E71">
        <w:rPr>
          <w:rFonts w:ascii="Times New Roman" w:hAnsi="Times New Roman" w:cs="Times New Roman"/>
          <w:color w:val="0432FF"/>
        </w:rPr>
        <w:t xml:space="preserve"> </w:t>
      </w:r>
      <w:r w:rsidRPr="008E2E71">
        <w:rPr>
          <w:rFonts w:ascii="Times New Roman" w:hAnsi="Times New Roman" w:cs="Times New Roman"/>
          <w:color w:val="000000" w:themeColor="text1"/>
        </w:rPr>
        <w:t xml:space="preserve">The advent of genomic techniques that allow the generation of data for </w:t>
      </w:r>
      <w:r w:rsidRPr="00671C16">
        <w:rPr>
          <w:rFonts w:ascii="Times New Roman" w:hAnsi="Times New Roman" w:cs="Times New Roman"/>
          <w:color w:val="000000" w:themeColor="text1"/>
        </w:rPr>
        <w:t xml:space="preserve">thousands of genes has provided an unprecedented opportunity to uncover marine barriers that were previously invisible using more rudimentary tools. </w:t>
      </w:r>
      <w:r w:rsidRPr="00671C16">
        <w:rPr>
          <w:rFonts w:ascii="Times New Roman" w:hAnsi="Times New Roman" w:cs="Times New Roman"/>
          <w:noProof/>
          <w:color w:val="000000"/>
        </w:rPr>
        <w:t xml:space="preserve">This, in turn, has opened new avenues for understanding of how barriers to dispersal affect population connectivity in the marine environment. </w:t>
      </w:r>
      <w:r w:rsidRPr="00671C16">
        <w:rPr>
          <w:rFonts w:ascii="Times New Roman" w:hAnsi="Times New Roman" w:cs="Times New Roman"/>
          <w:color w:val="000000" w:themeColor="text1"/>
        </w:rPr>
        <w:t>The overarching goal of my dissertation is to use genome-wide data to look for genetic patterns that correspond to such barriers, and to test for their effect at short-, intermediate- and long-term evolutionary scales, going through a continuum from micro- to macro-evolution, in a time span from thousands to millions of years.</w:t>
      </w:r>
    </w:p>
    <w:p w14:paraId="2197F2B7" w14:textId="77777777" w:rsidR="003758DF" w:rsidRPr="00671C16" w:rsidRDefault="003758DF" w:rsidP="00B02B62">
      <w:pPr>
        <w:jc w:val="both"/>
        <w:rPr>
          <w:rFonts w:ascii="Times New Roman" w:hAnsi="Times New Roman" w:cs="Times New Roman"/>
          <w:color w:val="000000"/>
        </w:rPr>
      </w:pPr>
      <w:r w:rsidRPr="00671C16">
        <w:rPr>
          <w:rFonts w:ascii="Times New Roman" w:hAnsi="Times New Roman" w:cs="Times New Roman"/>
          <w:color w:val="000000" w:themeColor="text1"/>
        </w:rPr>
        <w:tab/>
        <w:t xml:space="preserve">At the short-scale, I examined two controversial cases of species delimitation. </w:t>
      </w:r>
      <w:r w:rsidRPr="00671C16">
        <w:rPr>
          <w:rFonts w:ascii="Times New Roman" w:hAnsi="Times New Roman" w:cs="Times New Roman"/>
          <w:color w:val="000000"/>
        </w:rPr>
        <w:t>Species delimitation is a major question in biology</w:t>
      </w:r>
      <w:r w:rsidRPr="00044272">
        <w:rPr>
          <w:rFonts w:ascii="Times New Roman" w:hAnsi="Times New Roman" w:cs="Times New Roman"/>
          <w:color w:val="000000"/>
        </w:rPr>
        <w:t xml:space="preserve"> and is essential for adequate management of organismal diversity.</w:t>
      </w:r>
      <w:r w:rsidRPr="00193782">
        <w:rPr>
          <w:rFonts w:ascii="Times New Roman" w:hAnsi="Times New Roman" w:cs="Times New Roman"/>
          <w:color w:val="000000" w:themeColor="text1"/>
        </w:rPr>
        <w:t xml:space="preserve"> The first challenging case involves the red snappers in the Western Atlantic.</w:t>
      </w:r>
      <w:r w:rsidRPr="00193782">
        <w:rPr>
          <w:rFonts w:ascii="Times New Roman" w:hAnsi="Times New Roman" w:cs="Times New Roman"/>
          <w:color w:val="000000" w:themeColor="text1"/>
          <w:shd w:val="clear" w:color="auto" w:fill="F7F7F8"/>
        </w:rPr>
        <w:t xml:space="preserve"> </w:t>
      </w:r>
      <w:r w:rsidRPr="00044272">
        <w:rPr>
          <w:rFonts w:ascii="Times New Roman" w:hAnsi="Times New Roman" w:cs="Times New Roman"/>
          <w:color w:val="000000"/>
        </w:rPr>
        <w:t xml:space="preserve">Red snappers have been traditionally recognized as two separate species based on morphology: </w:t>
      </w:r>
      <w:r w:rsidRPr="00044272">
        <w:rPr>
          <w:rFonts w:ascii="Times New Roman" w:hAnsi="Times New Roman" w:cs="Times New Roman"/>
          <w:i/>
          <w:iCs/>
          <w:color w:val="000000"/>
        </w:rPr>
        <w:t>Lutjanus campechanus</w:t>
      </w:r>
      <w:r w:rsidRPr="00044272">
        <w:rPr>
          <w:rFonts w:ascii="Times New Roman" w:hAnsi="Times New Roman" w:cs="Times New Roman"/>
          <w:color w:val="000000"/>
        </w:rPr>
        <w:t xml:space="preserve"> (northern red snapper) and </w:t>
      </w:r>
      <w:r w:rsidRPr="00044272">
        <w:rPr>
          <w:rFonts w:ascii="Times New Roman" w:hAnsi="Times New Roman" w:cs="Times New Roman"/>
          <w:i/>
          <w:iCs/>
          <w:color w:val="000000"/>
        </w:rPr>
        <w:t>L. purpureus</w:t>
      </w:r>
      <w:r w:rsidRPr="00044272">
        <w:rPr>
          <w:rFonts w:ascii="Times New Roman" w:hAnsi="Times New Roman" w:cs="Times New Roman"/>
          <w:color w:val="000000"/>
        </w:rPr>
        <w:t xml:space="preserve"> (southern red snapper). However, recent genetic studies using few molecular markers failed to delineate these nominal species, lumping the northern and southern populations into a single species (</w:t>
      </w:r>
      <w:r w:rsidRPr="00044272">
        <w:rPr>
          <w:rFonts w:ascii="Times New Roman" w:hAnsi="Times New Roman" w:cs="Times New Roman"/>
          <w:i/>
          <w:iCs/>
          <w:color w:val="000000"/>
        </w:rPr>
        <w:t>L. campechanus</w:t>
      </w:r>
      <w:r w:rsidRPr="00044272">
        <w:rPr>
          <w:rFonts w:ascii="Times New Roman" w:hAnsi="Times New Roman" w:cs="Times New Roman"/>
          <w:color w:val="000000"/>
        </w:rPr>
        <w:t xml:space="preserve">). To evaluate if the populations of these fish represent one or two species, my project applied </w:t>
      </w:r>
      <w:r w:rsidRPr="00044272">
        <w:rPr>
          <w:rFonts w:ascii="Times New Roman" w:hAnsi="Times New Roman" w:cs="Times New Roman"/>
          <w:i/>
          <w:iCs/>
          <w:color w:val="000000"/>
        </w:rPr>
        <w:t xml:space="preserve">ca. </w:t>
      </w:r>
      <w:r w:rsidRPr="00044272">
        <w:rPr>
          <w:rFonts w:ascii="Times New Roman" w:hAnsi="Times New Roman" w:cs="Times New Roman"/>
          <w:color w:val="000000"/>
        </w:rPr>
        <w:t xml:space="preserve">40,000 genome-wide markers of 178 individuals collected throughout the range of the two species and population and species </w:t>
      </w:r>
      <w:r w:rsidRPr="00671C16">
        <w:rPr>
          <w:rFonts w:ascii="Times New Roman" w:hAnsi="Times New Roman" w:cs="Times New Roman"/>
          <w:color w:val="000000"/>
        </w:rPr>
        <w:t>delimitation analyses. Overall, my results supported the isolation and differentiation of these species, a result that confirmed the morphology-based delimitation scenario</w:t>
      </w:r>
      <w:r w:rsidRPr="00671C16">
        <w:rPr>
          <w:rFonts w:ascii="Times New Roman" w:hAnsi="Times New Roman" w:cs="Times New Roman"/>
          <w:color w:val="000000" w:themeColor="text1"/>
        </w:rPr>
        <w:t xml:space="preserve">, highlighting the benefits of using genome-wide data in complex cases of species delimitation (Chapter I, published in </w:t>
      </w:r>
      <w:r w:rsidRPr="00671C16">
        <w:rPr>
          <w:rFonts w:ascii="Times New Roman" w:hAnsi="Times New Roman" w:cs="Times New Roman"/>
          <w:i/>
          <w:iCs/>
          <w:color w:val="000000" w:themeColor="text1"/>
        </w:rPr>
        <w:t xml:space="preserve">Proc. Roy. Soc. B </w:t>
      </w:r>
      <w:r w:rsidRPr="00671C16">
        <w:rPr>
          <w:rFonts w:ascii="Times New Roman" w:hAnsi="Times New Roman" w:cs="Times New Roman"/>
          <w:color w:val="000000" w:themeColor="text1"/>
        </w:rPr>
        <w:t>in 2019).</w:t>
      </w:r>
    </w:p>
    <w:p w14:paraId="5D4723E2" w14:textId="77777777" w:rsidR="003758DF" w:rsidRPr="00671C16" w:rsidRDefault="003758DF" w:rsidP="00B02B62">
      <w:pPr>
        <w:contextualSpacing/>
        <w:jc w:val="both"/>
        <w:rPr>
          <w:rFonts w:ascii="Times New Roman" w:hAnsi="Times New Roman" w:cs="Times New Roman"/>
          <w:color w:val="000000"/>
        </w:rPr>
      </w:pPr>
      <w:r w:rsidRPr="00671C16">
        <w:rPr>
          <w:rFonts w:ascii="Times New Roman" w:hAnsi="Times New Roman" w:cs="Times New Roman"/>
          <w:color w:val="000000" w:themeColor="text1"/>
        </w:rPr>
        <w:t xml:space="preserve">The second study case involves a species complex of </w:t>
      </w:r>
      <w:r w:rsidRPr="00671C16">
        <w:rPr>
          <w:rFonts w:ascii="Times New Roman" w:hAnsi="Times New Roman" w:cs="Times New Roman"/>
          <w:color w:val="000000"/>
        </w:rPr>
        <w:t>silverside fishes (</w:t>
      </w:r>
      <w:r w:rsidRPr="00671C16">
        <w:rPr>
          <w:rFonts w:ascii="Times New Roman" w:hAnsi="Times New Roman" w:cs="Times New Roman"/>
          <w:i/>
          <w:iCs/>
          <w:color w:val="000000"/>
        </w:rPr>
        <w:t>Chirostoma humboltianum</w:t>
      </w:r>
      <w:r w:rsidRPr="00671C16">
        <w:rPr>
          <w:rFonts w:ascii="Times New Roman" w:hAnsi="Times New Roman" w:cs="Times New Roman"/>
          <w:color w:val="000000"/>
        </w:rPr>
        <w:t xml:space="preserve"> group: Atherinidae) </w:t>
      </w:r>
      <w:r w:rsidRPr="00671C16">
        <w:rPr>
          <w:rFonts w:ascii="Times New Roman" w:hAnsi="Times New Roman" w:cs="Times New Roman"/>
        </w:rPr>
        <w:t>in the Central Mexico plateau.</w:t>
      </w:r>
      <w:r w:rsidRPr="00671C16">
        <w:rPr>
          <w:rFonts w:ascii="Times New Roman" w:hAnsi="Times New Roman" w:cs="Times New Roman"/>
          <w:color w:val="000000"/>
        </w:rPr>
        <w:t xml:space="preserve"> The </w:t>
      </w:r>
      <w:r w:rsidRPr="00671C16">
        <w:rPr>
          <w:rFonts w:ascii="Times New Roman" w:hAnsi="Times New Roman" w:cs="Times New Roman"/>
          <w:i/>
          <w:iCs/>
          <w:color w:val="000000"/>
        </w:rPr>
        <w:t>humboltianum</w:t>
      </w:r>
      <w:r w:rsidRPr="00671C16">
        <w:rPr>
          <w:rFonts w:ascii="Times New Roman" w:hAnsi="Times New Roman" w:cs="Times New Roman"/>
          <w:color w:val="000000"/>
        </w:rPr>
        <w:t xml:space="preserve"> group represents a taxonomically-controversial species complex where previous morphological and molecular studies based on a few genes produced conflicting species delineation scenarios. I applied an integrative approach that considered multiple lines of evidence to investigate the species numbers and boundaries comprising this contentious group. I used </w:t>
      </w:r>
      <w:r w:rsidRPr="00671C16">
        <w:rPr>
          <w:rFonts w:ascii="Times New Roman" w:hAnsi="Times New Roman" w:cs="Times New Roman"/>
          <w:i/>
          <w:iCs/>
          <w:color w:val="000000"/>
        </w:rPr>
        <w:t>ca.</w:t>
      </w:r>
      <w:r w:rsidRPr="00671C16">
        <w:rPr>
          <w:rFonts w:ascii="Times New Roman" w:hAnsi="Times New Roman" w:cs="Times New Roman"/>
          <w:color w:val="000000"/>
        </w:rPr>
        <w:t xml:space="preserve"> 33,000 molecular markers for 77 individuals representing the nine nominal species in the group, spanning their distribution range in the central Mexico plateau, in combination with morphologic and ecologic information. My findings are inconsistent with the morphospecies and ecological delimitation scenarios, identifying three to four species. This study provides an atypical example in which genome-wide analyses delineate fewer species than previously recognized on the basis of  morphological data alone. It also highlights the influence of geologic history as a main driver of speciation in the group (Chapter II,</w:t>
      </w:r>
      <w:r w:rsidRPr="00671C16">
        <w:rPr>
          <w:rFonts w:ascii="Times New Roman" w:hAnsi="Times New Roman" w:cs="Times New Roman"/>
          <w:color w:val="000000" w:themeColor="text1"/>
        </w:rPr>
        <w:t xml:space="preserve"> published in </w:t>
      </w:r>
      <w:r w:rsidRPr="00671C16">
        <w:rPr>
          <w:rFonts w:ascii="Times New Roman" w:hAnsi="Times New Roman" w:cs="Times New Roman"/>
          <w:i/>
          <w:iCs/>
          <w:color w:val="000000" w:themeColor="text1"/>
        </w:rPr>
        <w:t xml:space="preserve">BMC Eco. </w:t>
      </w:r>
      <w:r w:rsidRPr="00671C16">
        <w:rPr>
          <w:rFonts w:ascii="Times New Roman" w:hAnsi="Times New Roman" w:cs="Times New Roman"/>
          <w:i/>
          <w:iCs/>
          <w:color w:val="000000" w:themeColor="text1"/>
          <w:lang w:val="es-ES"/>
        </w:rPr>
        <w:t xml:space="preserve">Evol. B </w:t>
      </w:r>
      <w:r w:rsidRPr="00671C16">
        <w:rPr>
          <w:rFonts w:ascii="Times New Roman" w:hAnsi="Times New Roman" w:cs="Times New Roman"/>
          <w:color w:val="000000" w:themeColor="text1"/>
          <w:lang w:val="es-ES"/>
        </w:rPr>
        <w:t>in 2022</w:t>
      </w:r>
      <w:r w:rsidRPr="00671C16">
        <w:rPr>
          <w:rFonts w:ascii="Times New Roman" w:hAnsi="Times New Roman" w:cs="Times New Roman"/>
          <w:color w:val="000000"/>
        </w:rPr>
        <w:t>).</w:t>
      </w:r>
    </w:p>
    <w:p w14:paraId="46FCC4D6" w14:textId="77777777" w:rsidR="00B02B62" w:rsidRPr="00671C16" w:rsidRDefault="00B02B62" w:rsidP="00B02B62">
      <w:pPr>
        <w:contextualSpacing/>
        <w:jc w:val="both"/>
        <w:rPr>
          <w:rFonts w:ascii="Times New Roman" w:hAnsi="Times New Roman" w:cs="Times New Roman"/>
          <w:color w:val="000000"/>
        </w:rPr>
      </w:pPr>
    </w:p>
    <w:p w14:paraId="0D386F52" w14:textId="77777777" w:rsidR="003758DF" w:rsidRDefault="003758DF" w:rsidP="00B02B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rPr>
      </w:pPr>
      <w:r w:rsidRPr="00671C16">
        <w:rPr>
          <w:rFonts w:ascii="Times New Roman" w:hAnsi="Times New Roman" w:cs="Times New Roman"/>
          <w:color w:val="000000" w:themeColor="text1"/>
        </w:rPr>
        <w:tab/>
        <w:t xml:space="preserve">At the intermediate- scale, I evaluated </w:t>
      </w:r>
      <w:r w:rsidRPr="00671C16">
        <w:rPr>
          <w:rFonts w:ascii="Times New Roman" w:hAnsi="Times New Roman" w:cs="Times New Roman"/>
          <w:color w:val="000000"/>
        </w:rPr>
        <w:t>the influence</w:t>
      </w:r>
      <w:r w:rsidRPr="008E2E71">
        <w:rPr>
          <w:rFonts w:ascii="Times New Roman" w:hAnsi="Times New Roman" w:cs="Times New Roman"/>
          <w:color w:val="000000"/>
        </w:rPr>
        <w:t xml:space="preserve"> of historical (e.g., geophysical events) and contemporary barriers (e.g., habitat gaps) hindering genetic flow among populations by studying </w:t>
      </w:r>
      <w:r w:rsidRPr="008E2E71">
        <w:rPr>
          <w:rFonts w:ascii="Times New Roman" w:hAnsi="Times New Roman" w:cs="Times New Roman"/>
          <w:color w:val="000000" w:themeColor="text1"/>
        </w:rPr>
        <w:t xml:space="preserve">the </w:t>
      </w:r>
      <w:r w:rsidRPr="008E2E71">
        <w:rPr>
          <w:rFonts w:ascii="Times New Roman" w:hAnsi="Times New Roman" w:cs="Times New Roman"/>
          <w:color w:val="000000"/>
        </w:rPr>
        <w:t xml:space="preserve">spatio-temporal phylogenetic concordance of co-distributed lineages. For this study, I investigated the comparative phylogeography of labrisomid blennies in the genus </w:t>
      </w:r>
      <w:r w:rsidRPr="008E2E71">
        <w:rPr>
          <w:rFonts w:ascii="Times New Roman" w:hAnsi="Times New Roman" w:cs="Times New Roman"/>
          <w:i/>
          <w:iCs/>
          <w:color w:val="000000"/>
        </w:rPr>
        <w:t>Malacoctenus</w:t>
      </w:r>
      <w:r w:rsidRPr="008E2E71">
        <w:rPr>
          <w:rFonts w:ascii="Times New Roman" w:hAnsi="Times New Roman" w:cs="Times New Roman"/>
          <w:color w:val="000000"/>
        </w:rPr>
        <w:t xml:space="preserve">. I generated data for </w:t>
      </w:r>
      <w:r w:rsidRPr="008E2E71">
        <w:rPr>
          <w:rFonts w:ascii="Times New Roman" w:hAnsi="Times New Roman" w:cs="Times New Roman"/>
          <w:i/>
          <w:iCs/>
          <w:color w:val="000000"/>
        </w:rPr>
        <w:t>ca.</w:t>
      </w:r>
      <w:r w:rsidRPr="008E2E71">
        <w:rPr>
          <w:rFonts w:ascii="Times New Roman" w:hAnsi="Times New Roman" w:cs="Times New Roman"/>
          <w:color w:val="000000"/>
        </w:rPr>
        <w:t xml:space="preserve"> 28K genome-</w:t>
      </w:r>
      <w:r w:rsidRPr="008E2E71">
        <w:rPr>
          <w:rFonts w:ascii="Times New Roman" w:hAnsi="Times New Roman" w:cs="Times New Roman"/>
          <w:color w:val="000000"/>
        </w:rPr>
        <w:lastRenderedPageBreak/>
        <w:t xml:space="preserve">wide markers that were sequenced from over 500 individuals collected from 38 locations, representing 23 (out of 25) species of </w:t>
      </w:r>
      <w:r w:rsidRPr="008E2E71">
        <w:rPr>
          <w:rFonts w:ascii="Times New Roman" w:hAnsi="Times New Roman" w:cs="Times New Roman"/>
          <w:i/>
          <w:iCs/>
          <w:color w:val="000000"/>
        </w:rPr>
        <w:t>Malacoctenus</w:t>
      </w:r>
      <w:r w:rsidRPr="008E2E71">
        <w:rPr>
          <w:rFonts w:ascii="Times New Roman" w:hAnsi="Times New Roman" w:cs="Times New Roman"/>
          <w:color w:val="000000"/>
        </w:rPr>
        <w:t xml:space="preserve">. With this dataset, I assessed the effect of recognized historical (e.g., the rising of the Isthmus of Panama) and contemporary barriers (e.g., sandy gaps) in the Tropical Eastern Pacific (TEP) and the Tropical Atlantic (TA) biogeographic realms. These blennies represent an ideal system to test the effect of such barriers as they are strongly associated with rocky habitats and coral reefs. Therefore, subtle habitat disruptions may lead to genetic isolation. At the micro-evolutionary scale, the observed population structure patterns identified the Sinaloan and Central American breaks as the major breaks in the TEP; and the Bahamas and Eastern Caribbean breaks as key barriers disrupting connectivity in the TA. </w:t>
      </w:r>
      <w:r w:rsidRPr="008E2E71">
        <w:rPr>
          <w:rFonts w:ascii="Times New Roman" w:hAnsi="Times New Roman" w:cs="Times New Roman"/>
          <w:color w:val="000000" w:themeColor="text1"/>
        </w:rPr>
        <w:t>All in all, the effect of these breaks varies across species, suggesting that species-specific traits (e.g., habitat preference), also greatly influence their dispersal capabilities.</w:t>
      </w:r>
      <w:r w:rsidRPr="008E2E71">
        <w:rPr>
          <w:rFonts w:ascii="Times New Roman" w:hAnsi="Times New Roman" w:cs="Times New Roman"/>
          <w:color w:val="000000"/>
        </w:rPr>
        <w:t xml:space="preserve"> My study identified five instances where marine barriers promoted the diversification of independent evolutionary lineages that could potentially represent species complexes. Some of them supported by evidence of population differentiation from previous morphological analyses as well as by my geometric morphometric analyses. Major environmental variables driving population differentiation in the TEP are depth, temperature, chlorophyll </w:t>
      </w:r>
      <w:r w:rsidRPr="008E2E71">
        <w:rPr>
          <w:rFonts w:ascii="Times New Roman" w:hAnsi="Times New Roman" w:cs="Times New Roman"/>
          <w:color w:val="000000" w:themeColor="text1"/>
        </w:rPr>
        <w:sym w:font="Symbol" w:char="F061"/>
      </w:r>
      <w:r w:rsidRPr="008E2E71">
        <w:rPr>
          <w:rFonts w:ascii="Times New Roman" w:hAnsi="Times New Roman" w:cs="Times New Roman"/>
          <w:color w:val="000000" w:themeColor="text1"/>
        </w:rPr>
        <w:t xml:space="preserve"> altogether with spatial components, while in the TA suspended particle </w:t>
      </w:r>
      <w:r w:rsidRPr="00044272">
        <w:rPr>
          <w:rFonts w:ascii="Times New Roman" w:hAnsi="Times New Roman" w:cs="Times New Roman"/>
          <w:color w:val="000000" w:themeColor="text1"/>
        </w:rPr>
        <w:t xml:space="preserve">matter also influences diversification. </w:t>
      </w:r>
    </w:p>
    <w:p w14:paraId="49134493" w14:textId="77777777" w:rsidR="003758DF" w:rsidRPr="00671C16" w:rsidRDefault="003758DF" w:rsidP="00B02B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themeColor="text1"/>
        </w:rPr>
        <w:tab/>
      </w:r>
      <w:r w:rsidRPr="00671C16">
        <w:rPr>
          <w:rFonts w:ascii="Times New Roman" w:hAnsi="Times New Roman" w:cs="Times New Roman"/>
          <w:color w:val="000000" w:themeColor="text1"/>
        </w:rPr>
        <w:t>At the long-term scale</w:t>
      </w:r>
      <w:r w:rsidRPr="00671C16">
        <w:rPr>
          <w:rFonts w:ascii="Times New Roman" w:hAnsi="Times New Roman" w:cs="Times New Roman"/>
          <w:color w:val="000000"/>
        </w:rPr>
        <w:t>, my results suggest that</w:t>
      </w:r>
      <w:r w:rsidRPr="00671C16">
        <w:rPr>
          <w:rFonts w:ascii="Times New Roman" w:hAnsi="Times New Roman" w:cs="Times New Roman"/>
          <w:color w:val="000000" w:themeColor="text1"/>
        </w:rPr>
        <w:t xml:space="preserve"> depth is a primary driver of speciation in the TEP, leading to niche divergence between tide pool- and reef-associated clades. In contrast, in the TA, patterns of environmental association appeared more intricate, where depth, temperature, chlorophyll </w:t>
      </w:r>
      <w:r w:rsidRPr="00671C16">
        <w:rPr>
          <w:rFonts w:ascii="Times New Roman" w:hAnsi="Times New Roman" w:cs="Times New Roman"/>
          <w:color w:val="000000" w:themeColor="text1"/>
        </w:rPr>
        <w:sym w:font="Symbol" w:char="F061"/>
      </w:r>
      <w:r w:rsidRPr="00671C16">
        <w:rPr>
          <w:rFonts w:ascii="Times New Roman" w:hAnsi="Times New Roman" w:cs="Times New Roman"/>
          <w:color w:val="000000" w:themeColor="text1"/>
        </w:rPr>
        <w:t xml:space="preserve"> and physical features significantly contributing to speciation in this region.</w:t>
      </w:r>
      <w:r w:rsidRPr="00671C16">
        <w:rPr>
          <w:rFonts w:ascii="Times New Roman" w:hAnsi="Times New Roman" w:cs="Times New Roman"/>
          <w:color w:val="000000"/>
        </w:rPr>
        <w:t xml:space="preserve"> </w:t>
      </w:r>
      <w:r w:rsidRPr="00671C16">
        <w:rPr>
          <w:rFonts w:ascii="Times New Roman" w:hAnsi="Times New Roman" w:cs="Times New Roman"/>
          <w:color w:val="000000" w:themeColor="text1"/>
        </w:rPr>
        <w:t xml:space="preserve">Finally, our time-calibrated analyses at macroevolutionary scales elucidated an Eastern Atlantic origin of the clade followed by an east-to-west dispersal. Although the historical break attributed to the rise of the Isthmus of Panama had a substantial influence on the evolutionary history of the genus, our analyses demonstrate that it did not triggered synchronous cladogenetic events. In summary, by using a combination of population genomics, comparative phylogeography, phylogenomics, seascape genomics, and geometric morphometric approaches, this study highlights major contemporary and historical barriers hindering population connectivity in the TEP and TA biogeographic regions, enhancing our understanding of the forces and processes generating new species in marine systems </w:t>
      </w:r>
      <w:r w:rsidRPr="00671C16">
        <w:rPr>
          <w:rFonts w:ascii="Times New Roman" w:hAnsi="Times New Roman" w:cs="Times New Roman"/>
          <w:color w:val="000000"/>
        </w:rPr>
        <w:t>(Chapter III, to be submitted for publication)</w:t>
      </w:r>
      <w:r w:rsidRPr="00671C16">
        <w:rPr>
          <w:rFonts w:ascii="Times New Roman" w:hAnsi="Times New Roman" w:cs="Times New Roman"/>
          <w:color w:val="000000" w:themeColor="text1"/>
        </w:rPr>
        <w:t>.</w:t>
      </w:r>
    </w:p>
    <w:p w14:paraId="033AA68E" w14:textId="77777777" w:rsidR="003758DF" w:rsidRPr="00671C16" w:rsidRDefault="003758DF" w:rsidP="00B02B62">
      <w:pPr>
        <w:ind w:firstLine="720"/>
        <w:jc w:val="both"/>
        <w:rPr>
          <w:rFonts w:ascii="Times New Roman" w:hAnsi="Times New Roman" w:cs="Times New Roman"/>
          <w:color w:val="000000" w:themeColor="text1"/>
        </w:rPr>
      </w:pPr>
      <w:r w:rsidRPr="00671C16">
        <w:rPr>
          <w:rFonts w:ascii="Times New Roman" w:hAnsi="Times New Roman" w:cs="Times New Roman"/>
          <w:color w:val="000000" w:themeColor="text1"/>
        </w:rPr>
        <w:t xml:space="preserve">All in all, my thesis highlights that the use of genome-wide data provides unprecedented resolution to unveil patterns of genetic structure, commonly unraveling cryptic diversity, and the opportunity to address species delimitation problems. </w:t>
      </w:r>
      <w:r w:rsidRPr="00671C16">
        <w:rPr>
          <w:rFonts w:ascii="Times New Roman" w:hAnsi="Times New Roman" w:cs="Times New Roman"/>
        </w:rPr>
        <w:t xml:space="preserve">By uncovering the spatio-temporal genetic patterns of fishes along the evolutionary continuum, my dissertation provides novel insights into the evolutionary and biogeographic history of marine and freshwater Neotropical fishes. </w:t>
      </w:r>
      <w:r w:rsidRPr="00671C16">
        <w:rPr>
          <w:rFonts w:ascii="Times New Roman" w:hAnsi="Times New Roman" w:cs="Times New Roman"/>
          <w:color w:val="000000" w:themeColor="text1"/>
        </w:rPr>
        <w:t>Overall, my dissertation not only helps to understand the evolutionary history of the species under study, but more generally, elucidate factors driving evolutionary process in the marine realm, ranging from population-level scales, to speciation, to higher level relationships among groups.</w:t>
      </w:r>
    </w:p>
    <w:p w14:paraId="180D8D1E" w14:textId="77777777" w:rsidR="003758DF" w:rsidRDefault="003758DF" w:rsidP="00B02B62">
      <w:pPr>
        <w:jc w:val="both"/>
        <w:rPr>
          <w:rFonts w:ascii="Times New Roman" w:hAnsi="Times New Roman" w:cs="Times New Roman"/>
          <w:color w:val="000000" w:themeColor="text1"/>
        </w:rPr>
      </w:pPr>
    </w:p>
    <w:p w14:paraId="1457F57D" w14:textId="77777777" w:rsidR="003758DF" w:rsidRDefault="003758DF" w:rsidP="00B02B62">
      <w:pPr>
        <w:jc w:val="both"/>
        <w:rPr>
          <w:rFonts w:ascii="Times New Roman" w:hAnsi="Times New Roman" w:cs="Times New Roman"/>
          <w:color w:val="000000" w:themeColor="text1"/>
        </w:rPr>
      </w:pPr>
    </w:p>
    <w:p w14:paraId="1F777A70" w14:textId="77777777" w:rsidR="003758DF" w:rsidRDefault="003758DF" w:rsidP="00B02B62">
      <w:pPr>
        <w:jc w:val="both"/>
        <w:rPr>
          <w:rFonts w:ascii="Times New Roman" w:hAnsi="Times New Roman" w:cs="Times New Roman"/>
          <w:color w:val="000000" w:themeColor="text1"/>
        </w:rPr>
      </w:pPr>
    </w:p>
    <w:p w14:paraId="4611C76B" w14:textId="77777777" w:rsidR="003758DF" w:rsidRDefault="003758DF" w:rsidP="00B02B62">
      <w:pPr>
        <w:jc w:val="both"/>
        <w:rPr>
          <w:rFonts w:ascii="Times New Roman" w:hAnsi="Times New Roman" w:cs="Times New Roman"/>
          <w:color w:val="000000" w:themeColor="text1"/>
        </w:rPr>
      </w:pPr>
    </w:p>
    <w:p w14:paraId="74C6E55D" w14:textId="77777777" w:rsidR="003758DF" w:rsidRPr="008E2E71" w:rsidRDefault="003758DF" w:rsidP="00B02B62">
      <w:pPr>
        <w:spacing w:before="30" w:after="0"/>
        <w:jc w:val="both"/>
        <w:rPr>
          <w:rFonts w:ascii="Times New Roman" w:hAnsi="Times New Roman" w:cs="Times New Roman"/>
          <w:color w:val="000000" w:themeColor="text1"/>
        </w:rPr>
      </w:pPr>
    </w:p>
    <w:p w14:paraId="1D19BACE" w14:textId="5F38CAE6" w:rsidR="003758DF" w:rsidRDefault="003758DF" w:rsidP="003758DF">
      <w:pPr>
        <w:rPr>
          <w:rFonts w:asciiTheme="majorBidi" w:hAnsiTheme="majorBidi" w:cstheme="majorBidi"/>
          <w:b/>
          <w:bCs/>
          <w:sz w:val="24"/>
          <w:szCs w:val="24"/>
        </w:rPr>
      </w:pPr>
      <w:r>
        <w:rPr>
          <w:rFonts w:asciiTheme="majorBidi" w:hAnsiTheme="majorBidi" w:cstheme="majorBidi"/>
          <w:b/>
          <w:bCs/>
          <w:sz w:val="56"/>
          <w:szCs w:val="56"/>
        </w:rPr>
        <w:lastRenderedPageBreak/>
        <w:t>Contents</w:t>
      </w:r>
    </w:p>
    <w:p w14:paraId="7F2027E8" w14:textId="77777777" w:rsidR="003758DF" w:rsidRDefault="003758DF" w:rsidP="003758DF">
      <w:pPr>
        <w:spacing w:before="30" w:after="0"/>
        <w:rPr>
          <w:rFonts w:asciiTheme="majorBidi" w:hAnsiTheme="majorBidi" w:cstheme="majorBidi"/>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20"/>
        <w:gridCol w:w="7010"/>
        <w:gridCol w:w="6"/>
        <w:gridCol w:w="929"/>
      </w:tblGrid>
      <w:tr w:rsidR="003758DF" w14:paraId="24E35981" w14:textId="77777777" w:rsidTr="00B64F86">
        <w:tc>
          <w:tcPr>
            <w:tcW w:w="685" w:type="dxa"/>
          </w:tcPr>
          <w:p w14:paraId="0FA7DC88" w14:textId="77777777" w:rsidR="003758DF" w:rsidRDefault="003758DF" w:rsidP="00031031">
            <w:pPr>
              <w:spacing w:before="30"/>
              <w:jc w:val="center"/>
              <w:rPr>
                <w:rFonts w:asciiTheme="majorBidi" w:hAnsiTheme="majorBidi" w:cstheme="majorBidi"/>
                <w:b/>
                <w:bCs/>
                <w:sz w:val="24"/>
                <w:szCs w:val="24"/>
              </w:rPr>
            </w:pPr>
            <w:r>
              <w:rPr>
                <w:rFonts w:asciiTheme="majorBidi" w:hAnsiTheme="majorBidi" w:cstheme="majorBidi"/>
                <w:b/>
                <w:bCs/>
                <w:sz w:val="24"/>
                <w:szCs w:val="24"/>
              </w:rPr>
              <w:t>1</w:t>
            </w:r>
          </w:p>
        </w:tc>
        <w:tc>
          <w:tcPr>
            <w:tcW w:w="7736" w:type="dxa"/>
            <w:gridSpan w:val="3"/>
          </w:tcPr>
          <w:p w14:paraId="35C3FA97" w14:textId="77777777" w:rsidR="003758DF" w:rsidRDefault="003758DF" w:rsidP="00031031">
            <w:pPr>
              <w:spacing w:before="30"/>
              <w:rPr>
                <w:rFonts w:asciiTheme="majorBidi" w:hAnsiTheme="majorBidi" w:cstheme="majorBidi"/>
                <w:b/>
                <w:bCs/>
                <w:sz w:val="24"/>
                <w:szCs w:val="24"/>
              </w:rPr>
            </w:pPr>
            <w:r>
              <w:rPr>
                <w:rFonts w:asciiTheme="majorBidi" w:hAnsiTheme="majorBidi" w:cstheme="majorBidi"/>
                <w:b/>
                <w:bCs/>
                <w:sz w:val="24"/>
                <w:szCs w:val="24"/>
              </w:rPr>
              <w:t>Genomics overrules mitochondrial DNA, siding with morphology on a controversial case of species delimitation</w:t>
            </w:r>
          </w:p>
        </w:tc>
        <w:tc>
          <w:tcPr>
            <w:tcW w:w="929" w:type="dxa"/>
          </w:tcPr>
          <w:p w14:paraId="3A713AA3" w14:textId="77777777" w:rsidR="003758DF" w:rsidRDefault="003758DF" w:rsidP="00031031">
            <w:pPr>
              <w:spacing w:before="30"/>
              <w:jc w:val="center"/>
              <w:rPr>
                <w:rFonts w:asciiTheme="majorBidi" w:hAnsiTheme="majorBidi" w:cstheme="majorBidi"/>
                <w:b/>
                <w:bCs/>
                <w:sz w:val="24"/>
                <w:szCs w:val="24"/>
              </w:rPr>
            </w:pPr>
            <w:r>
              <w:rPr>
                <w:rFonts w:asciiTheme="majorBidi" w:hAnsiTheme="majorBidi" w:cstheme="majorBidi"/>
                <w:b/>
                <w:bCs/>
                <w:sz w:val="24"/>
                <w:szCs w:val="24"/>
              </w:rPr>
              <w:t>1</w:t>
            </w:r>
          </w:p>
        </w:tc>
      </w:tr>
      <w:tr w:rsidR="003758DF" w14:paraId="412B0025" w14:textId="77777777" w:rsidTr="00B64F86">
        <w:tc>
          <w:tcPr>
            <w:tcW w:w="685" w:type="dxa"/>
          </w:tcPr>
          <w:p w14:paraId="40ED7EFB" w14:textId="77777777" w:rsidR="003758DF" w:rsidRDefault="003758DF" w:rsidP="00031031">
            <w:pPr>
              <w:spacing w:before="30"/>
              <w:jc w:val="center"/>
              <w:rPr>
                <w:rFonts w:asciiTheme="majorBidi" w:hAnsiTheme="majorBidi" w:cstheme="majorBidi"/>
                <w:b/>
                <w:bCs/>
                <w:sz w:val="24"/>
                <w:szCs w:val="24"/>
              </w:rPr>
            </w:pPr>
          </w:p>
        </w:tc>
        <w:tc>
          <w:tcPr>
            <w:tcW w:w="720" w:type="dxa"/>
          </w:tcPr>
          <w:p w14:paraId="722D4A35" w14:textId="77777777" w:rsidR="003758DF" w:rsidRPr="00E82AF4" w:rsidRDefault="003758DF" w:rsidP="00031031">
            <w:pPr>
              <w:spacing w:before="30"/>
              <w:jc w:val="center"/>
              <w:rPr>
                <w:rFonts w:asciiTheme="majorBidi" w:hAnsiTheme="majorBidi" w:cstheme="majorBidi"/>
                <w:sz w:val="24"/>
                <w:szCs w:val="24"/>
              </w:rPr>
            </w:pPr>
            <w:r w:rsidRPr="00E82AF4">
              <w:rPr>
                <w:rFonts w:asciiTheme="majorBidi" w:hAnsiTheme="majorBidi" w:cstheme="majorBidi"/>
                <w:sz w:val="24"/>
                <w:szCs w:val="24"/>
              </w:rPr>
              <w:t>1.1</w:t>
            </w:r>
          </w:p>
        </w:tc>
        <w:tc>
          <w:tcPr>
            <w:tcW w:w="7010" w:type="dxa"/>
          </w:tcPr>
          <w:p w14:paraId="4E84CA17" w14:textId="77777777" w:rsidR="003758DF" w:rsidRPr="00E82AF4" w:rsidRDefault="003758DF" w:rsidP="00031031">
            <w:pPr>
              <w:spacing w:before="30"/>
              <w:jc w:val="both"/>
              <w:rPr>
                <w:rFonts w:asciiTheme="majorBidi" w:hAnsiTheme="majorBidi" w:cstheme="majorBidi"/>
                <w:sz w:val="24"/>
                <w:szCs w:val="24"/>
              </w:rPr>
            </w:pPr>
            <w:r w:rsidRPr="00E82AF4">
              <w:rPr>
                <w:rFonts w:asciiTheme="majorBidi" w:hAnsiTheme="majorBidi" w:cstheme="majorBidi"/>
                <w:sz w:val="24"/>
                <w:szCs w:val="24"/>
              </w:rPr>
              <w:t>Abstract</w:t>
            </w:r>
            <w:r>
              <w:rPr>
                <w:rFonts w:asciiTheme="majorBidi" w:hAnsiTheme="majorBidi" w:cstheme="majorBidi"/>
                <w:sz w:val="24"/>
                <w:szCs w:val="24"/>
              </w:rPr>
              <w:t>………………………………………………………………...</w:t>
            </w:r>
          </w:p>
        </w:tc>
        <w:tc>
          <w:tcPr>
            <w:tcW w:w="935" w:type="dxa"/>
            <w:gridSpan w:val="2"/>
          </w:tcPr>
          <w:p w14:paraId="5749B17E" w14:textId="77777777" w:rsidR="003758DF" w:rsidRPr="00E82AF4" w:rsidRDefault="003758DF" w:rsidP="00031031">
            <w:pPr>
              <w:spacing w:before="30"/>
              <w:jc w:val="center"/>
              <w:rPr>
                <w:rFonts w:asciiTheme="majorBidi" w:hAnsiTheme="majorBidi" w:cstheme="majorBidi"/>
                <w:sz w:val="24"/>
                <w:szCs w:val="24"/>
              </w:rPr>
            </w:pPr>
            <w:r w:rsidRPr="00E82AF4">
              <w:rPr>
                <w:rFonts w:asciiTheme="majorBidi" w:hAnsiTheme="majorBidi" w:cstheme="majorBidi"/>
                <w:sz w:val="24"/>
                <w:szCs w:val="24"/>
              </w:rPr>
              <w:t>1</w:t>
            </w:r>
          </w:p>
        </w:tc>
      </w:tr>
      <w:tr w:rsidR="003758DF" w14:paraId="0F18B1EE" w14:textId="77777777" w:rsidTr="00B64F86">
        <w:tc>
          <w:tcPr>
            <w:tcW w:w="685" w:type="dxa"/>
          </w:tcPr>
          <w:p w14:paraId="29B16F53" w14:textId="77777777" w:rsidR="003758DF" w:rsidRDefault="003758DF" w:rsidP="00031031">
            <w:pPr>
              <w:spacing w:before="30"/>
              <w:jc w:val="center"/>
              <w:rPr>
                <w:rFonts w:asciiTheme="majorBidi" w:hAnsiTheme="majorBidi" w:cstheme="majorBidi"/>
                <w:b/>
                <w:bCs/>
                <w:sz w:val="24"/>
                <w:szCs w:val="24"/>
              </w:rPr>
            </w:pPr>
          </w:p>
        </w:tc>
        <w:tc>
          <w:tcPr>
            <w:tcW w:w="720" w:type="dxa"/>
          </w:tcPr>
          <w:p w14:paraId="17087B80" w14:textId="77777777" w:rsidR="003758DF" w:rsidRPr="00E82AF4" w:rsidRDefault="003758DF" w:rsidP="00031031">
            <w:pPr>
              <w:spacing w:before="30"/>
              <w:jc w:val="center"/>
              <w:rPr>
                <w:rFonts w:asciiTheme="majorBidi" w:hAnsiTheme="majorBidi" w:cstheme="majorBidi"/>
                <w:sz w:val="24"/>
                <w:szCs w:val="24"/>
              </w:rPr>
            </w:pPr>
            <w:r>
              <w:rPr>
                <w:rFonts w:asciiTheme="majorBidi" w:hAnsiTheme="majorBidi" w:cstheme="majorBidi"/>
                <w:sz w:val="24"/>
                <w:szCs w:val="24"/>
              </w:rPr>
              <w:t>1.2</w:t>
            </w:r>
          </w:p>
        </w:tc>
        <w:tc>
          <w:tcPr>
            <w:tcW w:w="7010" w:type="dxa"/>
          </w:tcPr>
          <w:p w14:paraId="3B76A7C1" w14:textId="77777777" w:rsidR="003758DF" w:rsidRPr="00E82AF4" w:rsidRDefault="003758DF" w:rsidP="00031031">
            <w:pPr>
              <w:spacing w:before="30"/>
              <w:jc w:val="both"/>
              <w:rPr>
                <w:rFonts w:asciiTheme="majorBidi" w:hAnsiTheme="majorBidi" w:cstheme="majorBidi"/>
                <w:sz w:val="24"/>
                <w:szCs w:val="24"/>
              </w:rPr>
            </w:pPr>
            <w:r>
              <w:rPr>
                <w:rFonts w:asciiTheme="majorBidi" w:hAnsiTheme="majorBidi" w:cstheme="majorBidi"/>
                <w:sz w:val="24"/>
                <w:szCs w:val="24"/>
              </w:rPr>
              <w:t>Introduction…………………………………………………………….</w:t>
            </w:r>
          </w:p>
        </w:tc>
        <w:tc>
          <w:tcPr>
            <w:tcW w:w="935" w:type="dxa"/>
            <w:gridSpan w:val="2"/>
          </w:tcPr>
          <w:p w14:paraId="520E712D" w14:textId="78F63BDA" w:rsidR="003758DF" w:rsidRPr="00E82AF4" w:rsidRDefault="00D05D2C" w:rsidP="00031031">
            <w:pPr>
              <w:spacing w:before="30"/>
              <w:jc w:val="center"/>
              <w:rPr>
                <w:rFonts w:asciiTheme="majorBidi" w:hAnsiTheme="majorBidi" w:cstheme="majorBidi"/>
                <w:sz w:val="24"/>
                <w:szCs w:val="24"/>
              </w:rPr>
            </w:pPr>
            <w:r>
              <w:rPr>
                <w:rFonts w:asciiTheme="majorBidi" w:hAnsiTheme="majorBidi" w:cstheme="majorBidi"/>
                <w:sz w:val="24"/>
                <w:szCs w:val="24"/>
              </w:rPr>
              <w:t>2</w:t>
            </w:r>
          </w:p>
        </w:tc>
      </w:tr>
      <w:tr w:rsidR="003758DF" w14:paraId="7B04909C" w14:textId="77777777" w:rsidTr="00B64F86">
        <w:tc>
          <w:tcPr>
            <w:tcW w:w="685" w:type="dxa"/>
          </w:tcPr>
          <w:p w14:paraId="416E9E20" w14:textId="77777777" w:rsidR="003758DF" w:rsidRDefault="003758DF" w:rsidP="00031031">
            <w:pPr>
              <w:spacing w:before="30"/>
              <w:jc w:val="center"/>
              <w:rPr>
                <w:rFonts w:asciiTheme="majorBidi" w:hAnsiTheme="majorBidi" w:cstheme="majorBidi"/>
                <w:b/>
                <w:bCs/>
                <w:sz w:val="24"/>
                <w:szCs w:val="24"/>
              </w:rPr>
            </w:pPr>
          </w:p>
        </w:tc>
        <w:tc>
          <w:tcPr>
            <w:tcW w:w="720" w:type="dxa"/>
          </w:tcPr>
          <w:p w14:paraId="4BB500F9" w14:textId="77777777" w:rsidR="003758DF" w:rsidRPr="002B3BBC" w:rsidRDefault="003758DF" w:rsidP="00031031">
            <w:pPr>
              <w:spacing w:before="30"/>
              <w:jc w:val="center"/>
              <w:rPr>
                <w:rFonts w:asciiTheme="majorBidi" w:hAnsiTheme="majorBidi" w:cstheme="majorBidi"/>
                <w:sz w:val="24"/>
                <w:szCs w:val="24"/>
              </w:rPr>
            </w:pPr>
            <w:r w:rsidRPr="002B3BBC">
              <w:rPr>
                <w:rFonts w:asciiTheme="majorBidi" w:hAnsiTheme="majorBidi" w:cstheme="majorBidi"/>
                <w:sz w:val="24"/>
                <w:szCs w:val="24"/>
              </w:rPr>
              <w:t>1.3</w:t>
            </w:r>
          </w:p>
        </w:tc>
        <w:tc>
          <w:tcPr>
            <w:tcW w:w="7010" w:type="dxa"/>
          </w:tcPr>
          <w:p w14:paraId="79F33801" w14:textId="27AA30B6" w:rsidR="003758DF" w:rsidRPr="002B3BBC" w:rsidRDefault="003758DF" w:rsidP="00031031">
            <w:pPr>
              <w:spacing w:before="30"/>
              <w:jc w:val="both"/>
              <w:rPr>
                <w:rFonts w:asciiTheme="majorBidi" w:hAnsiTheme="majorBidi" w:cstheme="majorBidi"/>
                <w:sz w:val="24"/>
                <w:szCs w:val="24"/>
              </w:rPr>
            </w:pPr>
            <w:r w:rsidRPr="002B3BBC">
              <w:rPr>
                <w:rFonts w:asciiTheme="majorBidi" w:hAnsiTheme="majorBidi" w:cstheme="majorBidi"/>
                <w:sz w:val="24"/>
                <w:szCs w:val="24"/>
              </w:rPr>
              <w:t>Material</w:t>
            </w:r>
            <w:r w:rsidR="00580472">
              <w:rPr>
                <w:rFonts w:asciiTheme="majorBidi" w:hAnsiTheme="majorBidi" w:cstheme="majorBidi"/>
                <w:sz w:val="24"/>
                <w:szCs w:val="24"/>
              </w:rPr>
              <w:t>s</w:t>
            </w:r>
            <w:r w:rsidRPr="002B3BBC">
              <w:rPr>
                <w:rFonts w:asciiTheme="majorBidi" w:hAnsiTheme="majorBidi" w:cstheme="majorBidi"/>
                <w:sz w:val="24"/>
                <w:szCs w:val="24"/>
              </w:rPr>
              <w:t xml:space="preserve"> and methods</w:t>
            </w:r>
            <w:r>
              <w:rPr>
                <w:rFonts w:asciiTheme="majorBidi" w:hAnsiTheme="majorBidi" w:cstheme="majorBidi"/>
                <w:sz w:val="24"/>
                <w:szCs w:val="24"/>
              </w:rPr>
              <w:t>………………………………………………….</w:t>
            </w:r>
          </w:p>
        </w:tc>
        <w:tc>
          <w:tcPr>
            <w:tcW w:w="935" w:type="dxa"/>
            <w:gridSpan w:val="2"/>
          </w:tcPr>
          <w:p w14:paraId="02B87F9E" w14:textId="19631408" w:rsidR="003758DF" w:rsidRPr="00E82AF4" w:rsidRDefault="00D05D2C" w:rsidP="00031031">
            <w:pPr>
              <w:spacing w:before="30"/>
              <w:jc w:val="center"/>
              <w:rPr>
                <w:rFonts w:asciiTheme="majorBidi" w:hAnsiTheme="majorBidi" w:cstheme="majorBidi"/>
                <w:sz w:val="24"/>
                <w:szCs w:val="24"/>
              </w:rPr>
            </w:pPr>
            <w:r>
              <w:rPr>
                <w:rFonts w:asciiTheme="majorBidi" w:hAnsiTheme="majorBidi" w:cstheme="majorBidi"/>
                <w:sz w:val="24"/>
                <w:szCs w:val="24"/>
              </w:rPr>
              <w:t>3</w:t>
            </w:r>
          </w:p>
        </w:tc>
      </w:tr>
      <w:tr w:rsidR="003758DF" w14:paraId="0DA1E1D2" w14:textId="77777777" w:rsidTr="00B64F86">
        <w:tc>
          <w:tcPr>
            <w:tcW w:w="685" w:type="dxa"/>
          </w:tcPr>
          <w:p w14:paraId="792CA410" w14:textId="77777777" w:rsidR="003758DF" w:rsidRDefault="003758DF" w:rsidP="00031031">
            <w:pPr>
              <w:spacing w:before="30"/>
              <w:jc w:val="center"/>
              <w:rPr>
                <w:rFonts w:asciiTheme="majorBidi" w:hAnsiTheme="majorBidi" w:cstheme="majorBidi"/>
                <w:b/>
                <w:bCs/>
                <w:sz w:val="24"/>
                <w:szCs w:val="24"/>
              </w:rPr>
            </w:pPr>
          </w:p>
        </w:tc>
        <w:tc>
          <w:tcPr>
            <w:tcW w:w="720" w:type="dxa"/>
          </w:tcPr>
          <w:p w14:paraId="409EE03D" w14:textId="77777777" w:rsidR="003758DF" w:rsidRPr="002B3BBC" w:rsidRDefault="003758DF" w:rsidP="00031031">
            <w:pPr>
              <w:spacing w:before="30"/>
              <w:jc w:val="center"/>
              <w:rPr>
                <w:rFonts w:asciiTheme="majorBidi" w:hAnsiTheme="majorBidi" w:cstheme="majorBidi"/>
                <w:sz w:val="24"/>
                <w:szCs w:val="24"/>
              </w:rPr>
            </w:pPr>
            <w:r w:rsidRPr="002B3BBC">
              <w:rPr>
                <w:rFonts w:asciiTheme="majorBidi" w:hAnsiTheme="majorBidi" w:cstheme="majorBidi"/>
                <w:sz w:val="24"/>
                <w:szCs w:val="24"/>
              </w:rPr>
              <w:t>1.4</w:t>
            </w:r>
          </w:p>
        </w:tc>
        <w:tc>
          <w:tcPr>
            <w:tcW w:w="7010" w:type="dxa"/>
          </w:tcPr>
          <w:p w14:paraId="2A0D69B1" w14:textId="77777777" w:rsidR="003758DF" w:rsidRPr="002B3BBC" w:rsidRDefault="003758DF" w:rsidP="00031031">
            <w:pPr>
              <w:spacing w:before="30"/>
              <w:jc w:val="both"/>
              <w:rPr>
                <w:rFonts w:asciiTheme="majorBidi" w:hAnsiTheme="majorBidi" w:cstheme="majorBidi"/>
                <w:sz w:val="24"/>
                <w:szCs w:val="24"/>
              </w:rPr>
            </w:pPr>
            <w:r w:rsidRPr="002B3BBC">
              <w:rPr>
                <w:rFonts w:asciiTheme="majorBidi" w:hAnsiTheme="majorBidi" w:cstheme="majorBidi"/>
                <w:sz w:val="24"/>
                <w:szCs w:val="24"/>
              </w:rPr>
              <w:t>Results</w:t>
            </w:r>
            <w:r>
              <w:rPr>
                <w:rFonts w:asciiTheme="majorBidi" w:hAnsiTheme="majorBidi" w:cstheme="majorBidi"/>
                <w:sz w:val="24"/>
                <w:szCs w:val="24"/>
              </w:rPr>
              <w:t>………………………………………………………………….</w:t>
            </w:r>
          </w:p>
        </w:tc>
        <w:tc>
          <w:tcPr>
            <w:tcW w:w="935" w:type="dxa"/>
            <w:gridSpan w:val="2"/>
          </w:tcPr>
          <w:p w14:paraId="5F9C637F" w14:textId="090437DF" w:rsidR="003758DF" w:rsidRPr="00E82AF4" w:rsidRDefault="00D05D2C" w:rsidP="00031031">
            <w:pPr>
              <w:spacing w:before="30"/>
              <w:jc w:val="center"/>
              <w:rPr>
                <w:rFonts w:asciiTheme="majorBidi" w:hAnsiTheme="majorBidi" w:cstheme="majorBidi"/>
                <w:sz w:val="24"/>
                <w:szCs w:val="24"/>
              </w:rPr>
            </w:pPr>
            <w:r>
              <w:rPr>
                <w:rFonts w:asciiTheme="majorBidi" w:hAnsiTheme="majorBidi" w:cstheme="majorBidi"/>
                <w:sz w:val="24"/>
                <w:szCs w:val="24"/>
              </w:rPr>
              <w:t>6</w:t>
            </w:r>
          </w:p>
        </w:tc>
      </w:tr>
      <w:tr w:rsidR="003758DF" w14:paraId="2A984369" w14:textId="77777777" w:rsidTr="00B64F86">
        <w:tc>
          <w:tcPr>
            <w:tcW w:w="685" w:type="dxa"/>
          </w:tcPr>
          <w:p w14:paraId="1660F13C" w14:textId="77777777" w:rsidR="003758DF" w:rsidRDefault="003758DF" w:rsidP="00031031">
            <w:pPr>
              <w:spacing w:before="30"/>
              <w:jc w:val="center"/>
              <w:rPr>
                <w:rFonts w:asciiTheme="majorBidi" w:hAnsiTheme="majorBidi" w:cstheme="majorBidi"/>
                <w:b/>
                <w:bCs/>
                <w:sz w:val="24"/>
                <w:szCs w:val="24"/>
              </w:rPr>
            </w:pPr>
          </w:p>
        </w:tc>
        <w:tc>
          <w:tcPr>
            <w:tcW w:w="720" w:type="dxa"/>
          </w:tcPr>
          <w:p w14:paraId="20134A43" w14:textId="77777777" w:rsidR="003758DF" w:rsidRPr="002B3BBC" w:rsidRDefault="003758DF" w:rsidP="00031031">
            <w:pPr>
              <w:spacing w:before="30"/>
              <w:jc w:val="center"/>
              <w:rPr>
                <w:rFonts w:asciiTheme="majorBidi" w:hAnsiTheme="majorBidi" w:cstheme="majorBidi"/>
                <w:sz w:val="24"/>
                <w:szCs w:val="24"/>
              </w:rPr>
            </w:pPr>
            <w:r w:rsidRPr="002B3BBC">
              <w:rPr>
                <w:rFonts w:asciiTheme="majorBidi" w:hAnsiTheme="majorBidi" w:cstheme="majorBidi"/>
                <w:sz w:val="24"/>
                <w:szCs w:val="24"/>
              </w:rPr>
              <w:t>1.5</w:t>
            </w:r>
          </w:p>
        </w:tc>
        <w:tc>
          <w:tcPr>
            <w:tcW w:w="7010" w:type="dxa"/>
          </w:tcPr>
          <w:p w14:paraId="1F14C069" w14:textId="77777777" w:rsidR="003758DF" w:rsidRPr="002B3BBC" w:rsidRDefault="003758DF" w:rsidP="00031031">
            <w:pPr>
              <w:spacing w:before="30"/>
              <w:jc w:val="both"/>
              <w:rPr>
                <w:rFonts w:asciiTheme="majorBidi" w:hAnsiTheme="majorBidi" w:cstheme="majorBidi"/>
                <w:sz w:val="24"/>
                <w:szCs w:val="24"/>
              </w:rPr>
            </w:pPr>
            <w:r w:rsidRPr="002B3BBC">
              <w:rPr>
                <w:rFonts w:asciiTheme="majorBidi" w:hAnsiTheme="majorBidi" w:cstheme="majorBidi"/>
                <w:sz w:val="24"/>
                <w:szCs w:val="24"/>
              </w:rPr>
              <w:t>Discussion</w:t>
            </w:r>
            <w:r>
              <w:rPr>
                <w:rFonts w:asciiTheme="majorBidi" w:hAnsiTheme="majorBidi" w:cstheme="majorBidi"/>
                <w:sz w:val="24"/>
                <w:szCs w:val="24"/>
              </w:rPr>
              <w:t>……………………………………………………………...</w:t>
            </w:r>
          </w:p>
        </w:tc>
        <w:tc>
          <w:tcPr>
            <w:tcW w:w="935" w:type="dxa"/>
            <w:gridSpan w:val="2"/>
          </w:tcPr>
          <w:p w14:paraId="7A264E56" w14:textId="01E02C00" w:rsidR="003758DF" w:rsidRPr="00E82AF4" w:rsidRDefault="00D05D2C" w:rsidP="00031031">
            <w:pPr>
              <w:spacing w:before="30"/>
              <w:jc w:val="center"/>
              <w:rPr>
                <w:rFonts w:asciiTheme="majorBidi" w:hAnsiTheme="majorBidi" w:cstheme="majorBidi"/>
                <w:sz w:val="24"/>
                <w:szCs w:val="24"/>
              </w:rPr>
            </w:pPr>
            <w:r>
              <w:rPr>
                <w:rFonts w:asciiTheme="majorBidi" w:hAnsiTheme="majorBidi" w:cstheme="majorBidi"/>
                <w:sz w:val="24"/>
                <w:szCs w:val="24"/>
              </w:rPr>
              <w:t>9</w:t>
            </w:r>
          </w:p>
        </w:tc>
      </w:tr>
      <w:tr w:rsidR="003758DF" w14:paraId="31159E1A" w14:textId="77777777" w:rsidTr="00B64F86">
        <w:tc>
          <w:tcPr>
            <w:tcW w:w="685" w:type="dxa"/>
          </w:tcPr>
          <w:p w14:paraId="2E5EEAE3" w14:textId="77777777" w:rsidR="003758DF" w:rsidRDefault="003758DF" w:rsidP="00031031">
            <w:pPr>
              <w:spacing w:before="30"/>
              <w:jc w:val="center"/>
              <w:rPr>
                <w:rFonts w:asciiTheme="majorBidi" w:hAnsiTheme="majorBidi" w:cstheme="majorBidi"/>
                <w:b/>
                <w:bCs/>
                <w:sz w:val="24"/>
                <w:szCs w:val="24"/>
              </w:rPr>
            </w:pPr>
          </w:p>
        </w:tc>
        <w:tc>
          <w:tcPr>
            <w:tcW w:w="720" w:type="dxa"/>
          </w:tcPr>
          <w:p w14:paraId="0A65D4D8" w14:textId="77777777" w:rsidR="003758DF" w:rsidRPr="002B3BBC" w:rsidRDefault="003758DF" w:rsidP="00031031">
            <w:pPr>
              <w:spacing w:before="30"/>
              <w:jc w:val="center"/>
              <w:rPr>
                <w:rFonts w:asciiTheme="majorBidi" w:hAnsiTheme="majorBidi" w:cstheme="majorBidi"/>
                <w:sz w:val="24"/>
                <w:szCs w:val="24"/>
              </w:rPr>
            </w:pPr>
            <w:r w:rsidRPr="002B3BBC">
              <w:rPr>
                <w:rFonts w:asciiTheme="majorBidi" w:hAnsiTheme="majorBidi" w:cstheme="majorBidi"/>
                <w:sz w:val="24"/>
                <w:szCs w:val="24"/>
              </w:rPr>
              <w:t>1.6</w:t>
            </w:r>
          </w:p>
        </w:tc>
        <w:tc>
          <w:tcPr>
            <w:tcW w:w="7010" w:type="dxa"/>
          </w:tcPr>
          <w:p w14:paraId="7FA315CB" w14:textId="77777777" w:rsidR="003758DF" w:rsidRPr="002B3BBC" w:rsidRDefault="003758DF" w:rsidP="00031031">
            <w:pPr>
              <w:spacing w:before="30"/>
              <w:jc w:val="both"/>
              <w:rPr>
                <w:rFonts w:asciiTheme="majorBidi" w:hAnsiTheme="majorBidi" w:cstheme="majorBidi"/>
                <w:sz w:val="24"/>
                <w:szCs w:val="24"/>
              </w:rPr>
            </w:pPr>
            <w:r w:rsidRPr="002B3BBC">
              <w:rPr>
                <w:rFonts w:asciiTheme="majorBidi" w:hAnsiTheme="majorBidi" w:cstheme="majorBidi"/>
                <w:sz w:val="24"/>
                <w:szCs w:val="24"/>
              </w:rPr>
              <w:t>Conclusion</w:t>
            </w:r>
            <w:r>
              <w:rPr>
                <w:rFonts w:asciiTheme="majorBidi" w:hAnsiTheme="majorBidi" w:cstheme="majorBidi"/>
                <w:sz w:val="24"/>
                <w:szCs w:val="24"/>
              </w:rPr>
              <w:t>……………………………………………………………...</w:t>
            </w:r>
          </w:p>
        </w:tc>
        <w:tc>
          <w:tcPr>
            <w:tcW w:w="935" w:type="dxa"/>
            <w:gridSpan w:val="2"/>
          </w:tcPr>
          <w:p w14:paraId="2E87F6D9" w14:textId="1AF0CCF2" w:rsidR="003758DF" w:rsidRPr="00E82AF4" w:rsidRDefault="00D05D2C" w:rsidP="00031031">
            <w:pPr>
              <w:spacing w:before="30"/>
              <w:jc w:val="center"/>
              <w:rPr>
                <w:rFonts w:asciiTheme="majorBidi" w:hAnsiTheme="majorBidi" w:cstheme="majorBidi"/>
                <w:sz w:val="24"/>
                <w:szCs w:val="24"/>
              </w:rPr>
            </w:pPr>
            <w:r>
              <w:rPr>
                <w:rFonts w:asciiTheme="majorBidi" w:hAnsiTheme="majorBidi" w:cstheme="majorBidi"/>
                <w:sz w:val="24"/>
                <w:szCs w:val="24"/>
              </w:rPr>
              <w:t>1</w:t>
            </w:r>
            <w:r w:rsidR="008363DB">
              <w:rPr>
                <w:rFonts w:asciiTheme="majorBidi" w:hAnsiTheme="majorBidi" w:cstheme="majorBidi"/>
                <w:sz w:val="24"/>
                <w:szCs w:val="24"/>
              </w:rPr>
              <w:t>1</w:t>
            </w:r>
          </w:p>
        </w:tc>
      </w:tr>
      <w:tr w:rsidR="003758DF" w14:paraId="4AF74E69" w14:textId="77777777" w:rsidTr="00B64F86">
        <w:tc>
          <w:tcPr>
            <w:tcW w:w="685" w:type="dxa"/>
          </w:tcPr>
          <w:p w14:paraId="255F18EC" w14:textId="77777777" w:rsidR="003758DF" w:rsidRDefault="003758DF" w:rsidP="00031031">
            <w:pPr>
              <w:spacing w:before="30"/>
              <w:jc w:val="center"/>
              <w:rPr>
                <w:rFonts w:asciiTheme="majorBidi" w:hAnsiTheme="majorBidi" w:cstheme="majorBidi"/>
                <w:b/>
                <w:bCs/>
                <w:sz w:val="24"/>
                <w:szCs w:val="24"/>
              </w:rPr>
            </w:pPr>
          </w:p>
        </w:tc>
        <w:tc>
          <w:tcPr>
            <w:tcW w:w="720" w:type="dxa"/>
          </w:tcPr>
          <w:p w14:paraId="4C4BE888" w14:textId="77777777" w:rsidR="003758DF" w:rsidRPr="002B3BBC" w:rsidRDefault="003758DF" w:rsidP="00031031">
            <w:pPr>
              <w:spacing w:before="30"/>
              <w:jc w:val="center"/>
              <w:rPr>
                <w:rFonts w:asciiTheme="majorBidi" w:hAnsiTheme="majorBidi" w:cstheme="majorBidi"/>
                <w:sz w:val="24"/>
                <w:szCs w:val="24"/>
              </w:rPr>
            </w:pPr>
            <w:r w:rsidRPr="002B3BBC">
              <w:rPr>
                <w:rFonts w:asciiTheme="majorBidi" w:hAnsiTheme="majorBidi" w:cstheme="majorBidi"/>
                <w:sz w:val="24"/>
                <w:szCs w:val="24"/>
              </w:rPr>
              <w:t>1.7</w:t>
            </w:r>
          </w:p>
        </w:tc>
        <w:tc>
          <w:tcPr>
            <w:tcW w:w="7010" w:type="dxa"/>
          </w:tcPr>
          <w:p w14:paraId="1724783C" w14:textId="77777777" w:rsidR="003758DF" w:rsidRPr="002B3BBC" w:rsidRDefault="003758DF" w:rsidP="00031031">
            <w:pPr>
              <w:spacing w:before="30"/>
              <w:jc w:val="both"/>
              <w:rPr>
                <w:rFonts w:asciiTheme="majorBidi" w:hAnsiTheme="majorBidi" w:cstheme="majorBidi"/>
                <w:sz w:val="24"/>
                <w:szCs w:val="24"/>
              </w:rPr>
            </w:pPr>
            <w:r w:rsidRPr="002B3BBC">
              <w:rPr>
                <w:rFonts w:asciiTheme="majorBidi" w:hAnsiTheme="majorBidi" w:cstheme="majorBidi"/>
                <w:sz w:val="24"/>
                <w:szCs w:val="24"/>
              </w:rPr>
              <w:t>References</w:t>
            </w:r>
            <w:r>
              <w:rPr>
                <w:rFonts w:asciiTheme="majorBidi" w:hAnsiTheme="majorBidi" w:cstheme="majorBidi"/>
                <w:sz w:val="24"/>
                <w:szCs w:val="24"/>
              </w:rPr>
              <w:t>……………………………………………………………...</w:t>
            </w:r>
          </w:p>
        </w:tc>
        <w:tc>
          <w:tcPr>
            <w:tcW w:w="935" w:type="dxa"/>
            <w:gridSpan w:val="2"/>
          </w:tcPr>
          <w:p w14:paraId="6D254C91" w14:textId="16C7A932" w:rsidR="003758DF" w:rsidRPr="00E82AF4" w:rsidRDefault="00D05D2C" w:rsidP="00031031">
            <w:pPr>
              <w:spacing w:before="30"/>
              <w:jc w:val="center"/>
              <w:rPr>
                <w:rFonts w:asciiTheme="majorBidi" w:hAnsiTheme="majorBidi" w:cstheme="majorBidi"/>
                <w:sz w:val="24"/>
                <w:szCs w:val="24"/>
              </w:rPr>
            </w:pPr>
            <w:r>
              <w:rPr>
                <w:rFonts w:asciiTheme="majorBidi" w:hAnsiTheme="majorBidi" w:cstheme="majorBidi"/>
                <w:sz w:val="24"/>
                <w:szCs w:val="24"/>
              </w:rPr>
              <w:t>12</w:t>
            </w:r>
          </w:p>
        </w:tc>
      </w:tr>
      <w:tr w:rsidR="003758DF" w14:paraId="56705319" w14:textId="77777777" w:rsidTr="00B64F86">
        <w:tc>
          <w:tcPr>
            <w:tcW w:w="685" w:type="dxa"/>
          </w:tcPr>
          <w:p w14:paraId="0C87F62D" w14:textId="77777777" w:rsidR="003758DF" w:rsidRDefault="003758DF" w:rsidP="00031031">
            <w:pPr>
              <w:spacing w:before="30"/>
              <w:jc w:val="center"/>
              <w:rPr>
                <w:rFonts w:asciiTheme="majorBidi" w:hAnsiTheme="majorBidi" w:cstheme="majorBidi"/>
                <w:b/>
                <w:bCs/>
                <w:sz w:val="24"/>
                <w:szCs w:val="24"/>
              </w:rPr>
            </w:pPr>
            <w:r>
              <w:rPr>
                <w:rFonts w:asciiTheme="majorBidi" w:hAnsiTheme="majorBidi" w:cstheme="majorBidi"/>
                <w:b/>
                <w:bCs/>
                <w:sz w:val="24"/>
                <w:szCs w:val="24"/>
              </w:rPr>
              <w:t>2</w:t>
            </w:r>
          </w:p>
        </w:tc>
        <w:tc>
          <w:tcPr>
            <w:tcW w:w="7730" w:type="dxa"/>
            <w:gridSpan w:val="2"/>
          </w:tcPr>
          <w:p w14:paraId="56FBE2A1" w14:textId="77777777" w:rsidR="003758DF" w:rsidRDefault="003758DF" w:rsidP="00031031">
            <w:pPr>
              <w:spacing w:before="30"/>
              <w:rPr>
                <w:rFonts w:asciiTheme="majorBidi" w:hAnsiTheme="majorBidi" w:cstheme="majorBidi"/>
                <w:b/>
                <w:bCs/>
                <w:sz w:val="24"/>
                <w:szCs w:val="24"/>
              </w:rPr>
            </w:pPr>
            <w:r>
              <w:rPr>
                <w:rFonts w:asciiTheme="majorBidi" w:hAnsiTheme="majorBidi" w:cstheme="majorBidi"/>
                <w:b/>
                <w:bCs/>
                <w:sz w:val="24"/>
                <w:szCs w:val="24"/>
              </w:rPr>
              <w:t>Genome-wide species delimitation analyses of a silverside fish species complex in central Mexico indicate taxonomic over-splitting</w:t>
            </w:r>
          </w:p>
        </w:tc>
        <w:tc>
          <w:tcPr>
            <w:tcW w:w="935" w:type="dxa"/>
            <w:gridSpan w:val="2"/>
          </w:tcPr>
          <w:p w14:paraId="183222DE" w14:textId="6332E9E0" w:rsidR="003758DF" w:rsidRPr="008363DB" w:rsidRDefault="008363DB" w:rsidP="00031031">
            <w:pPr>
              <w:spacing w:before="30"/>
              <w:jc w:val="center"/>
              <w:rPr>
                <w:rFonts w:asciiTheme="majorBidi" w:hAnsiTheme="majorBidi" w:cstheme="majorBidi"/>
                <w:b/>
                <w:bCs/>
                <w:sz w:val="24"/>
                <w:szCs w:val="24"/>
              </w:rPr>
            </w:pPr>
            <w:r w:rsidRPr="008363DB">
              <w:rPr>
                <w:rFonts w:asciiTheme="majorBidi" w:hAnsiTheme="majorBidi" w:cstheme="majorBidi"/>
                <w:b/>
                <w:bCs/>
                <w:sz w:val="24"/>
                <w:szCs w:val="24"/>
              </w:rPr>
              <w:t>19</w:t>
            </w:r>
          </w:p>
        </w:tc>
      </w:tr>
      <w:tr w:rsidR="003758DF" w14:paraId="7E98E269" w14:textId="77777777" w:rsidTr="00B64F86">
        <w:tc>
          <w:tcPr>
            <w:tcW w:w="685" w:type="dxa"/>
          </w:tcPr>
          <w:p w14:paraId="2E30C59E" w14:textId="77777777" w:rsidR="003758DF" w:rsidRDefault="003758DF" w:rsidP="00031031">
            <w:pPr>
              <w:spacing w:before="30"/>
              <w:rPr>
                <w:rFonts w:asciiTheme="majorBidi" w:hAnsiTheme="majorBidi" w:cstheme="majorBidi"/>
                <w:b/>
                <w:bCs/>
                <w:sz w:val="24"/>
                <w:szCs w:val="24"/>
              </w:rPr>
            </w:pPr>
          </w:p>
        </w:tc>
        <w:tc>
          <w:tcPr>
            <w:tcW w:w="720" w:type="dxa"/>
          </w:tcPr>
          <w:p w14:paraId="201A0894" w14:textId="77777777" w:rsidR="003758DF" w:rsidRPr="00241EFD" w:rsidRDefault="003758DF" w:rsidP="00031031">
            <w:pPr>
              <w:spacing w:before="30"/>
              <w:jc w:val="center"/>
              <w:rPr>
                <w:rFonts w:asciiTheme="majorBidi" w:hAnsiTheme="majorBidi" w:cstheme="majorBidi"/>
                <w:sz w:val="24"/>
                <w:szCs w:val="24"/>
              </w:rPr>
            </w:pPr>
            <w:r w:rsidRPr="00241EFD">
              <w:rPr>
                <w:rFonts w:asciiTheme="majorBidi" w:hAnsiTheme="majorBidi" w:cstheme="majorBidi"/>
                <w:sz w:val="24"/>
                <w:szCs w:val="24"/>
              </w:rPr>
              <w:t>2.1</w:t>
            </w:r>
          </w:p>
        </w:tc>
        <w:tc>
          <w:tcPr>
            <w:tcW w:w="7010" w:type="dxa"/>
          </w:tcPr>
          <w:p w14:paraId="21C7E8DD" w14:textId="77777777" w:rsidR="003758DF" w:rsidRDefault="003758DF" w:rsidP="00031031">
            <w:pPr>
              <w:spacing w:before="30"/>
              <w:rPr>
                <w:rFonts w:asciiTheme="majorBidi" w:hAnsiTheme="majorBidi" w:cstheme="majorBidi"/>
                <w:b/>
                <w:bCs/>
                <w:sz w:val="24"/>
                <w:szCs w:val="24"/>
              </w:rPr>
            </w:pPr>
            <w:r w:rsidRPr="00E82AF4">
              <w:rPr>
                <w:rFonts w:asciiTheme="majorBidi" w:hAnsiTheme="majorBidi" w:cstheme="majorBidi"/>
                <w:sz w:val="24"/>
                <w:szCs w:val="24"/>
              </w:rPr>
              <w:t>Abstract</w:t>
            </w:r>
            <w:r>
              <w:rPr>
                <w:rFonts w:asciiTheme="majorBidi" w:hAnsiTheme="majorBidi" w:cstheme="majorBidi"/>
                <w:sz w:val="24"/>
                <w:szCs w:val="24"/>
              </w:rPr>
              <w:t>………………………………………………………………...</w:t>
            </w:r>
          </w:p>
        </w:tc>
        <w:tc>
          <w:tcPr>
            <w:tcW w:w="935" w:type="dxa"/>
            <w:gridSpan w:val="2"/>
          </w:tcPr>
          <w:p w14:paraId="0D3D2AA0" w14:textId="71238E73"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19</w:t>
            </w:r>
          </w:p>
        </w:tc>
      </w:tr>
      <w:tr w:rsidR="003758DF" w14:paraId="15DD7F73" w14:textId="77777777" w:rsidTr="00B64F86">
        <w:tc>
          <w:tcPr>
            <w:tcW w:w="685" w:type="dxa"/>
          </w:tcPr>
          <w:p w14:paraId="4A32CF61" w14:textId="77777777" w:rsidR="003758DF" w:rsidRDefault="003758DF" w:rsidP="00031031">
            <w:pPr>
              <w:spacing w:before="30"/>
              <w:rPr>
                <w:rFonts w:asciiTheme="majorBidi" w:hAnsiTheme="majorBidi" w:cstheme="majorBidi"/>
                <w:b/>
                <w:bCs/>
                <w:sz w:val="24"/>
                <w:szCs w:val="24"/>
              </w:rPr>
            </w:pPr>
          </w:p>
        </w:tc>
        <w:tc>
          <w:tcPr>
            <w:tcW w:w="720" w:type="dxa"/>
          </w:tcPr>
          <w:p w14:paraId="1A4A922F" w14:textId="77777777" w:rsidR="003758DF" w:rsidRPr="00241EFD" w:rsidRDefault="003758DF" w:rsidP="00031031">
            <w:pPr>
              <w:spacing w:before="30"/>
              <w:jc w:val="center"/>
              <w:rPr>
                <w:rFonts w:asciiTheme="majorBidi" w:hAnsiTheme="majorBidi" w:cstheme="majorBidi"/>
                <w:sz w:val="24"/>
                <w:szCs w:val="24"/>
              </w:rPr>
            </w:pPr>
            <w:r w:rsidRPr="00241EFD">
              <w:rPr>
                <w:rFonts w:asciiTheme="majorBidi" w:hAnsiTheme="majorBidi" w:cstheme="majorBidi"/>
                <w:sz w:val="24"/>
                <w:szCs w:val="24"/>
              </w:rPr>
              <w:t>2.2</w:t>
            </w:r>
          </w:p>
        </w:tc>
        <w:tc>
          <w:tcPr>
            <w:tcW w:w="7010" w:type="dxa"/>
          </w:tcPr>
          <w:p w14:paraId="39D6D5AA" w14:textId="77777777" w:rsidR="003758DF" w:rsidRDefault="003758DF" w:rsidP="00031031">
            <w:pPr>
              <w:spacing w:before="30"/>
              <w:rPr>
                <w:rFonts w:asciiTheme="majorBidi" w:hAnsiTheme="majorBidi" w:cstheme="majorBidi"/>
                <w:b/>
                <w:bCs/>
                <w:sz w:val="24"/>
                <w:szCs w:val="24"/>
              </w:rPr>
            </w:pPr>
            <w:r>
              <w:rPr>
                <w:rFonts w:asciiTheme="majorBidi" w:hAnsiTheme="majorBidi" w:cstheme="majorBidi"/>
                <w:sz w:val="24"/>
                <w:szCs w:val="24"/>
              </w:rPr>
              <w:t>Introduction…………………………………………………………….</w:t>
            </w:r>
          </w:p>
        </w:tc>
        <w:tc>
          <w:tcPr>
            <w:tcW w:w="935" w:type="dxa"/>
            <w:gridSpan w:val="2"/>
          </w:tcPr>
          <w:p w14:paraId="01CFA444" w14:textId="75C7DD59"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20</w:t>
            </w:r>
          </w:p>
        </w:tc>
      </w:tr>
      <w:tr w:rsidR="003758DF" w14:paraId="6E73F1A7" w14:textId="77777777" w:rsidTr="00B64F86">
        <w:tc>
          <w:tcPr>
            <w:tcW w:w="685" w:type="dxa"/>
          </w:tcPr>
          <w:p w14:paraId="6D6F21D7" w14:textId="77777777" w:rsidR="003758DF" w:rsidRDefault="003758DF" w:rsidP="00031031">
            <w:pPr>
              <w:spacing w:before="30"/>
              <w:rPr>
                <w:rFonts w:asciiTheme="majorBidi" w:hAnsiTheme="majorBidi" w:cstheme="majorBidi"/>
                <w:b/>
                <w:bCs/>
                <w:sz w:val="24"/>
                <w:szCs w:val="24"/>
              </w:rPr>
            </w:pPr>
          </w:p>
        </w:tc>
        <w:tc>
          <w:tcPr>
            <w:tcW w:w="720" w:type="dxa"/>
          </w:tcPr>
          <w:p w14:paraId="5B721563" w14:textId="77777777" w:rsidR="003758DF" w:rsidRPr="00241EFD" w:rsidRDefault="003758DF" w:rsidP="00031031">
            <w:pPr>
              <w:spacing w:before="30"/>
              <w:jc w:val="center"/>
              <w:rPr>
                <w:rFonts w:asciiTheme="majorBidi" w:hAnsiTheme="majorBidi" w:cstheme="majorBidi"/>
                <w:sz w:val="24"/>
                <w:szCs w:val="24"/>
              </w:rPr>
            </w:pPr>
            <w:r w:rsidRPr="00241EFD">
              <w:rPr>
                <w:rFonts w:asciiTheme="majorBidi" w:hAnsiTheme="majorBidi" w:cstheme="majorBidi"/>
                <w:sz w:val="24"/>
                <w:szCs w:val="24"/>
              </w:rPr>
              <w:t>2.3</w:t>
            </w:r>
          </w:p>
        </w:tc>
        <w:tc>
          <w:tcPr>
            <w:tcW w:w="7010" w:type="dxa"/>
          </w:tcPr>
          <w:p w14:paraId="42AB608A" w14:textId="012A3F4A" w:rsidR="003758DF" w:rsidRDefault="003758DF" w:rsidP="00031031">
            <w:pPr>
              <w:spacing w:before="30"/>
              <w:rPr>
                <w:rFonts w:asciiTheme="majorBidi" w:hAnsiTheme="majorBidi" w:cstheme="majorBidi"/>
                <w:b/>
                <w:bCs/>
                <w:sz w:val="24"/>
                <w:szCs w:val="24"/>
              </w:rPr>
            </w:pPr>
            <w:r w:rsidRPr="002B3BBC">
              <w:rPr>
                <w:rFonts w:asciiTheme="majorBidi" w:hAnsiTheme="majorBidi" w:cstheme="majorBidi"/>
                <w:sz w:val="24"/>
                <w:szCs w:val="24"/>
              </w:rPr>
              <w:t>Material</w:t>
            </w:r>
            <w:r w:rsidR="00580472">
              <w:rPr>
                <w:rFonts w:asciiTheme="majorBidi" w:hAnsiTheme="majorBidi" w:cstheme="majorBidi"/>
                <w:sz w:val="24"/>
                <w:szCs w:val="24"/>
              </w:rPr>
              <w:t>s</w:t>
            </w:r>
            <w:r w:rsidRPr="002B3BBC">
              <w:rPr>
                <w:rFonts w:asciiTheme="majorBidi" w:hAnsiTheme="majorBidi" w:cstheme="majorBidi"/>
                <w:sz w:val="24"/>
                <w:szCs w:val="24"/>
              </w:rPr>
              <w:t xml:space="preserve"> and methods</w:t>
            </w:r>
            <w:r>
              <w:rPr>
                <w:rFonts w:asciiTheme="majorBidi" w:hAnsiTheme="majorBidi" w:cstheme="majorBidi"/>
                <w:sz w:val="24"/>
                <w:szCs w:val="24"/>
              </w:rPr>
              <w:t>……………………………………………….</w:t>
            </w:r>
          </w:p>
        </w:tc>
        <w:tc>
          <w:tcPr>
            <w:tcW w:w="935" w:type="dxa"/>
            <w:gridSpan w:val="2"/>
          </w:tcPr>
          <w:p w14:paraId="43A36559" w14:textId="467828EE"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22</w:t>
            </w:r>
          </w:p>
        </w:tc>
      </w:tr>
      <w:tr w:rsidR="003758DF" w14:paraId="1CA84475" w14:textId="77777777" w:rsidTr="00B64F86">
        <w:tc>
          <w:tcPr>
            <w:tcW w:w="685" w:type="dxa"/>
          </w:tcPr>
          <w:p w14:paraId="710A8A34" w14:textId="77777777" w:rsidR="003758DF" w:rsidRDefault="003758DF" w:rsidP="00031031">
            <w:pPr>
              <w:spacing w:before="30"/>
              <w:rPr>
                <w:rFonts w:asciiTheme="majorBidi" w:hAnsiTheme="majorBidi" w:cstheme="majorBidi"/>
                <w:b/>
                <w:bCs/>
                <w:sz w:val="24"/>
                <w:szCs w:val="24"/>
              </w:rPr>
            </w:pPr>
          </w:p>
        </w:tc>
        <w:tc>
          <w:tcPr>
            <w:tcW w:w="720" w:type="dxa"/>
          </w:tcPr>
          <w:p w14:paraId="3C64D484" w14:textId="77777777" w:rsidR="003758DF" w:rsidRPr="00241EFD" w:rsidRDefault="003758DF" w:rsidP="00031031">
            <w:pPr>
              <w:spacing w:before="30"/>
              <w:jc w:val="center"/>
              <w:rPr>
                <w:rFonts w:asciiTheme="majorBidi" w:hAnsiTheme="majorBidi" w:cstheme="majorBidi"/>
                <w:sz w:val="24"/>
                <w:szCs w:val="24"/>
              </w:rPr>
            </w:pPr>
            <w:r w:rsidRPr="00241EFD">
              <w:rPr>
                <w:rFonts w:asciiTheme="majorBidi" w:hAnsiTheme="majorBidi" w:cstheme="majorBidi"/>
                <w:sz w:val="24"/>
                <w:szCs w:val="24"/>
              </w:rPr>
              <w:t>2.4</w:t>
            </w:r>
          </w:p>
        </w:tc>
        <w:tc>
          <w:tcPr>
            <w:tcW w:w="7010" w:type="dxa"/>
          </w:tcPr>
          <w:p w14:paraId="0339ADE3" w14:textId="77777777" w:rsidR="003758DF" w:rsidRDefault="003758DF" w:rsidP="00031031">
            <w:pPr>
              <w:spacing w:before="30"/>
              <w:rPr>
                <w:rFonts w:asciiTheme="majorBidi" w:hAnsiTheme="majorBidi" w:cstheme="majorBidi"/>
                <w:b/>
                <w:bCs/>
                <w:sz w:val="24"/>
                <w:szCs w:val="24"/>
              </w:rPr>
            </w:pPr>
            <w:r w:rsidRPr="002B3BBC">
              <w:rPr>
                <w:rFonts w:asciiTheme="majorBidi" w:hAnsiTheme="majorBidi" w:cstheme="majorBidi"/>
                <w:sz w:val="24"/>
                <w:szCs w:val="24"/>
              </w:rPr>
              <w:t>Results</w:t>
            </w:r>
            <w:r>
              <w:rPr>
                <w:rFonts w:asciiTheme="majorBidi" w:hAnsiTheme="majorBidi" w:cstheme="majorBidi"/>
                <w:sz w:val="24"/>
                <w:szCs w:val="24"/>
              </w:rPr>
              <w:t>………………………………………………………………….</w:t>
            </w:r>
          </w:p>
        </w:tc>
        <w:tc>
          <w:tcPr>
            <w:tcW w:w="935" w:type="dxa"/>
            <w:gridSpan w:val="2"/>
          </w:tcPr>
          <w:p w14:paraId="56D0A073" w14:textId="7BC5032F"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26</w:t>
            </w:r>
          </w:p>
        </w:tc>
      </w:tr>
      <w:tr w:rsidR="003758DF" w14:paraId="4A6079D1" w14:textId="77777777" w:rsidTr="00B64F86">
        <w:tc>
          <w:tcPr>
            <w:tcW w:w="685" w:type="dxa"/>
          </w:tcPr>
          <w:p w14:paraId="7E56FD77" w14:textId="77777777" w:rsidR="003758DF" w:rsidRDefault="003758DF" w:rsidP="00031031">
            <w:pPr>
              <w:spacing w:before="30"/>
              <w:rPr>
                <w:rFonts w:asciiTheme="majorBidi" w:hAnsiTheme="majorBidi" w:cstheme="majorBidi"/>
                <w:b/>
                <w:bCs/>
                <w:sz w:val="24"/>
                <w:szCs w:val="24"/>
              </w:rPr>
            </w:pPr>
          </w:p>
        </w:tc>
        <w:tc>
          <w:tcPr>
            <w:tcW w:w="720" w:type="dxa"/>
          </w:tcPr>
          <w:p w14:paraId="6A46AA93" w14:textId="77777777" w:rsidR="003758DF" w:rsidRPr="00241EFD" w:rsidRDefault="003758DF" w:rsidP="00031031">
            <w:pPr>
              <w:spacing w:before="30"/>
              <w:jc w:val="center"/>
              <w:rPr>
                <w:rFonts w:asciiTheme="majorBidi" w:hAnsiTheme="majorBidi" w:cstheme="majorBidi"/>
                <w:sz w:val="24"/>
                <w:szCs w:val="24"/>
              </w:rPr>
            </w:pPr>
            <w:r w:rsidRPr="00241EFD">
              <w:rPr>
                <w:rFonts w:asciiTheme="majorBidi" w:hAnsiTheme="majorBidi" w:cstheme="majorBidi"/>
                <w:sz w:val="24"/>
                <w:szCs w:val="24"/>
              </w:rPr>
              <w:t>2.5</w:t>
            </w:r>
          </w:p>
        </w:tc>
        <w:tc>
          <w:tcPr>
            <w:tcW w:w="7010" w:type="dxa"/>
          </w:tcPr>
          <w:p w14:paraId="340ABC6B" w14:textId="77777777" w:rsidR="003758DF" w:rsidRDefault="003758DF" w:rsidP="00031031">
            <w:pPr>
              <w:spacing w:before="30"/>
              <w:rPr>
                <w:rFonts w:asciiTheme="majorBidi" w:hAnsiTheme="majorBidi" w:cstheme="majorBidi"/>
                <w:b/>
                <w:bCs/>
                <w:sz w:val="24"/>
                <w:szCs w:val="24"/>
              </w:rPr>
            </w:pPr>
            <w:r w:rsidRPr="002B3BBC">
              <w:rPr>
                <w:rFonts w:asciiTheme="majorBidi" w:hAnsiTheme="majorBidi" w:cstheme="majorBidi"/>
                <w:sz w:val="24"/>
                <w:szCs w:val="24"/>
              </w:rPr>
              <w:t>Discussion</w:t>
            </w:r>
            <w:r>
              <w:rPr>
                <w:rFonts w:asciiTheme="majorBidi" w:hAnsiTheme="majorBidi" w:cstheme="majorBidi"/>
                <w:sz w:val="24"/>
                <w:szCs w:val="24"/>
              </w:rPr>
              <w:t>……………………………………………………………...</w:t>
            </w:r>
          </w:p>
        </w:tc>
        <w:tc>
          <w:tcPr>
            <w:tcW w:w="935" w:type="dxa"/>
            <w:gridSpan w:val="2"/>
          </w:tcPr>
          <w:p w14:paraId="1AEB27BF" w14:textId="6D3C9E82"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34</w:t>
            </w:r>
          </w:p>
        </w:tc>
      </w:tr>
      <w:tr w:rsidR="003758DF" w14:paraId="670BF36A" w14:textId="77777777" w:rsidTr="00B64F86">
        <w:tc>
          <w:tcPr>
            <w:tcW w:w="685" w:type="dxa"/>
          </w:tcPr>
          <w:p w14:paraId="722E1FF0" w14:textId="77777777" w:rsidR="003758DF" w:rsidRDefault="003758DF" w:rsidP="00031031">
            <w:pPr>
              <w:spacing w:before="30"/>
              <w:rPr>
                <w:rFonts w:asciiTheme="majorBidi" w:hAnsiTheme="majorBidi" w:cstheme="majorBidi"/>
                <w:b/>
                <w:bCs/>
                <w:sz w:val="24"/>
                <w:szCs w:val="24"/>
              </w:rPr>
            </w:pPr>
          </w:p>
        </w:tc>
        <w:tc>
          <w:tcPr>
            <w:tcW w:w="720" w:type="dxa"/>
          </w:tcPr>
          <w:p w14:paraId="6E8C324C" w14:textId="77777777" w:rsidR="003758DF" w:rsidRPr="00241EFD" w:rsidRDefault="003758DF" w:rsidP="00031031">
            <w:pPr>
              <w:spacing w:before="30"/>
              <w:jc w:val="center"/>
              <w:rPr>
                <w:rFonts w:asciiTheme="majorBidi" w:hAnsiTheme="majorBidi" w:cstheme="majorBidi"/>
                <w:sz w:val="24"/>
                <w:szCs w:val="24"/>
              </w:rPr>
            </w:pPr>
            <w:r w:rsidRPr="00241EFD">
              <w:rPr>
                <w:rFonts w:asciiTheme="majorBidi" w:hAnsiTheme="majorBidi" w:cstheme="majorBidi"/>
                <w:sz w:val="24"/>
                <w:szCs w:val="24"/>
              </w:rPr>
              <w:t>2.6</w:t>
            </w:r>
          </w:p>
        </w:tc>
        <w:tc>
          <w:tcPr>
            <w:tcW w:w="7010" w:type="dxa"/>
          </w:tcPr>
          <w:p w14:paraId="13726E0C" w14:textId="77777777" w:rsidR="003758DF" w:rsidRDefault="003758DF" w:rsidP="00031031">
            <w:pPr>
              <w:spacing w:before="30"/>
              <w:rPr>
                <w:rFonts w:asciiTheme="majorBidi" w:hAnsiTheme="majorBidi" w:cstheme="majorBidi"/>
                <w:b/>
                <w:bCs/>
                <w:sz w:val="24"/>
                <w:szCs w:val="24"/>
              </w:rPr>
            </w:pPr>
            <w:r w:rsidRPr="002B3BBC">
              <w:rPr>
                <w:rFonts w:asciiTheme="majorBidi" w:hAnsiTheme="majorBidi" w:cstheme="majorBidi"/>
                <w:sz w:val="24"/>
                <w:szCs w:val="24"/>
              </w:rPr>
              <w:t>Conclusion</w:t>
            </w:r>
            <w:r>
              <w:rPr>
                <w:rFonts w:asciiTheme="majorBidi" w:hAnsiTheme="majorBidi" w:cstheme="majorBidi"/>
                <w:sz w:val="24"/>
                <w:szCs w:val="24"/>
              </w:rPr>
              <w:t>……………………………………………………………...</w:t>
            </w:r>
          </w:p>
        </w:tc>
        <w:tc>
          <w:tcPr>
            <w:tcW w:w="935" w:type="dxa"/>
            <w:gridSpan w:val="2"/>
          </w:tcPr>
          <w:p w14:paraId="27F46D25" w14:textId="2A47593C"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39</w:t>
            </w:r>
          </w:p>
        </w:tc>
      </w:tr>
      <w:tr w:rsidR="003758DF" w14:paraId="2D37583A" w14:textId="77777777" w:rsidTr="00B64F86">
        <w:tc>
          <w:tcPr>
            <w:tcW w:w="685" w:type="dxa"/>
          </w:tcPr>
          <w:p w14:paraId="50861494" w14:textId="77777777" w:rsidR="003758DF" w:rsidRDefault="003758DF" w:rsidP="00031031">
            <w:pPr>
              <w:spacing w:before="30"/>
              <w:rPr>
                <w:rFonts w:asciiTheme="majorBidi" w:hAnsiTheme="majorBidi" w:cstheme="majorBidi"/>
                <w:b/>
                <w:bCs/>
                <w:sz w:val="24"/>
                <w:szCs w:val="24"/>
              </w:rPr>
            </w:pPr>
          </w:p>
        </w:tc>
        <w:tc>
          <w:tcPr>
            <w:tcW w:w="720" w:type="dxa"/>
          </w:tcPr>
          <w:p w14:paraId="42D06142" w14:textId="77777777" w:rsidR="003758DF" w:rsidRPr="00241EFD" w:rsidRDefault="003758DF" w:rsidP="00031031">
            <w:pPr>
              <w:spacing w:before="30"/>
              <w:jc w:val="center"/>
              <w:rPr>
                <w:rFonts w:asciiTheme="majorBidi" w:hAnsiTheme="majorBidi" w:cstheme="majorBidi"/>
                <w:sz w:val="24"/>
                <w:szCs w:val="24"/>
              </w:rPr>
            </w:pPr>
            <w:r w:rsidRPr="00241EFD">
              <w:rPr>
                <w:rFonts w:asciiTheme="majorBidi" w:hAnsiTheme="majorBidi" w:cstheme="majorBidi"/>
                <w:sz w:val="24"/>
                <w:szCs w:val="24"/>
              </w:rPr>
              <w:t>2.7</w:t>
            </w:r>
          </w:p>
        </w:tc>
        <w:tc>
          <w:tcPr>
            <w:tcW w:w="7010" w:type="dxa"/>
          </w:tcPr>
          <w:p w14:paraId="4F30059B" w14:textId="77777777" w:rsidR="003758DF" w:rsidRDefault="003758DF" w:rsidP="00031031">
            <w:pPr>
              <w:spacing w:before="30"/>
              <w:rPr>
                <w:rFonts w:asciiTheme="majorBidi" w:hAnsiTheme="majorBidi" w:cstheme="majorBidi"/>
                <w:b/>
                <w:bCs/>
                <w:sz w:val="24"/>
                <w:szCs w:val="24"/>
              </w:rPr>
            </w:pPr>
            <w:r w:rsidRPr="002B3BBC">
              <w:rPr>
                <w:rFonts w:asciiTheme="majorBidi" w:hAnsiTheme="majorBidi" w:cstheme="majorBidi"/>
                <w:sz w:val="24"/>
                <w:szCs w:val="24"/>
              </w:rPr>
              <w:t>References</w:t>
            </w:r>
            <w:r>
              <w:rPr>
                <w:rFonts w:asciiTheme="majorBidi" w:hAnsiTheme="majorBidi" w:cstheme="majorBidi"/>
                <w:sz w:val="24"/>
                <w:szCs w:val="24"/>
              </w:rPr>
              <w:t>……………………………………………………………...</w:t>
            </w:r>
          </w:p>
        </w:tc>
        <w:tc>
          <w:tcPr>
            <w:tcW w:w="935" w:type="dxa"/>
            <w:gridSpan w:val="2"/>
          </w:tcPr>
          <w:p w14:paraId="0053E2FB" w14:textId="711AD009"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40</w:t>
            </w:r>
          </w:p>
        </w:tc>
      </w:tr>
      <w:tr w:rsidR="003758DF" w14:paraId="2E5CD7E8" w14:textId="77777777" w:rsidTr="00B64F86">
        <w:tc>
          <w:tcPr>
            <w:tcW w:w="685" w:type="dxa"/>
          </w:tcPr>
          <w:p w14:paraId="3F4086E2" w14:textId="77777777" w:rsidR="003758DF" w:rsidRDefault="003758DF" w:rsidP="00031031">
            <w:pPr>
              <w:spacing w:before="30"/>
              <w:rPr>
                <w:rFonts w:asciiTheme="majorBidi" w:hAnsiTheme="majorBidi" w:cstheme="majorBidi"/>
                <w:b/>
                <w:bCs/>
                <w:sz w:val="24"/>
                <w:szCs w:val="24"/>
              </w:rPr>
            </w:pPr>
            <w:r>
              <w:rPr>
                <w:rFonts w:asciiTheme="majorBidi" w:hAnsiTheme="majorBidi" w:cstheme="majorBidi"/>
                <w:b/>
                <w:bCs/>
                <w:sz w:val="24"/>
                <w:szCs w:val="24"/>
              </w:rPr>
              <w:t>3</w:t>
            </w:r>
          </w:p>
        </w:tc>
        <w:tc>
          <w:tcPr>
            <w:tcW w:w="7730" w:type="dxa"/>
            <w:gridSpan w:val="2"/>
          </w:tcPr>
          <w:p w14:paraId="29835DDA" w14:textId="77777777" w:rsidR="003758DF" w:rsidRDefault="003758DF" w:rsidP="00031031">
            <w:pPr>
              <w:spacing w:before="30"/>
              <w:rPr>
                <w:rFonts w:asciiTheme="majorBidi" w:hAnsiTheme="majorBidi" w:cstheme="majorBidi"/>
                <w:b/>
                <w:bCs/>
                <w:sz w:val="24"/>
                <w:szCs w:val="24"/>
              </w:rPr>
            </w:pPr>
            <w:r>
              <w:rPr>
                <w:rFonts w:asciiTheme="majorBidi" w:hAnsiTheme="majorBidi" w:cstheme="majorBidi"/>
                <w:b/>
                <w:bCs/>
                <w:sz w:val="24"/>
                <w:szCs w:val="24"/>
              </w:rPr>
              <w:t>Beneath the waves: depth, temperature, and spatial components driving genetic differentiation at micro and macroevolutionary scales in tropical blennies</w:t>
            </w:r>
          </w:p>
        </w:tc>
        <w:tc>
          <w:tcPr>
            <w:tcW w:w="935" w:type="dxa"/>
            <w:gridSpan w:val="2"/>
          </w:tcPr>
          <w:p w14:paraId="2FB42E31" w14:textId="182FBCE8" w:rsidR="003758DF" w:rsidRPr="008363DB" w:rsidRDefault="008363DB" w:rsidP="008363DB">
            <w:pPr>
              <w:spacing w:before="30"/>
              <w:jc w:val="center"/>
              <w:rPr>
                <w:rFonts w:asciiTheme="majorBidi" w:hAnsiTheme="majorBidi" w:cstheme="majorBidi"/>
                <w:b/>
                <w:bCs/>
                <w:sz w:val="24"/>
                <w:szCs w:val="24"/>
              </w:rPr>
            </w:pPr>
            <w:r w:rsidRPr="008363DB">
              <w:rPr>
                <w:rFonts w:asciiTheme="majorBidi" w:hAnsiTheme="majorBidi" w:cstheme="majorBidi"/>
                <w:b/>
                <w:bCs/>
                <w:sz w:val="24"/>
                <w:szCs w:val="24"/>
              </w:rPr>
              <w:t>50</w:t>
            </w:r>
          </w:p>
        </w:tc>
      </w:tr>
      <w:tr w:rsidR="003758DF" w14:paraId="350FF57B" w14:textId="77777777" w:rsidTr="00B64F86">
        <w:tc>
          <w:tcPr>
            <w:tcW w:w="685" w:type="dxa"/>
          </w:tcPr>
          <w:p w14:paraId="3AD3AB69" w14:textId="77777777" w:rsidR="003758DF" w:rsidRDefault="003758DF" w:rsidP="00031031">
            <w:pPr>
              <w:spacing w:before="30"/>
              <w:rPr>
                <w:rFonts w:asciiTheme="majorBidi" w:hAnsiTheme="majorBidi" w:cstheme="majorBidi"/>
                <w:b/>
                <w:bCs/>
                <w:sz w:val="24"/>
                <w:szCs w:val="24"/>
              </w:rPr>
            </w:pPr>
          </w:p>
        </w:tc>
        <w:tc>
          <w:tcPr>
            <w:tcW w:w="720" w:type="dxa"/>
          </w:tcPr>
          <w:p w14:paraId="6563A399" w14:textId="77777777" w:rsidR="003758DF" w:rsidRPr="00735716" w:rsidRDefault="003758DF" w:rsidP="00031031">
            <w:pPr>
              <w:spacing w:before="30"/>
              <w:jc w:val="center"/>
              <w:rPr>
                <w:rFonts w:asciiTheme="majorBidi" w:hAnsiTheme="majorBidi" w:cstheme="majorBidi"/>
                <w:sz w:val="24"/>
                <w:szCs w:val="24"/>
              </w:rPr>
            </w:pPr>
            <w:r w:rsidRPr="00735716">
              <w:rPr>
                <w:rFonts w:asciiTheme="majorBidi" w:hAnsiTheme="majorBidi" w:cstheme="majorBidi"/>
                <w:sz w:val="24"/>
                <w:szCs w:val="24"/>
              </w:rPr>
              <w:t>3.1</w:t>
            </w:r>
          </w:p>
        </w:tc>
        <w:tc>
          <w:tcPr>
            <w:tcW w:w="7010" w:type="dxa"/>
          </w:tcPr>
          <w:p w14:paraId="3A881739" w14:textId="77777777" w:rsidR="003758DF" w:rsidRDefault="003758DF" w:rsidP="00031031">
            <w:pPr>
              <w:spacing w:before="30"/>
              <w:rPr>
                <w:rFonts w:asciiTheme="majorBidi" w:hAnsiTheme="majorBidi" w:cstheme="majorBidi"/>
                <w:b/>
                <w:bCs/>
                <w:sz w:val="24"/>
                <w:szCs w:val="24"/>
              </w:rPr>
            </w:pPr>
            <w:r w:rsidRPr="00E82AF4">
              <w:rPr>
                <w:rFonts w:asciiTheme="majorBidi" w:hAnsiTheme="majorBidi" w:cstheme="majorBidi"/>
                <w:sz w:val="24"/>
                <w:szCs w:val="24"/>
              </w:rPr>
              <w:t>Abstract</w:t>
            </w:r>
            <w:r>
              <w:rPr>
                <w:rFonts w:asciiTheme="majorBidi" w:hAnsiTheme="majorBidi" w:cstheme="majorBidi"/>
                <w:sz w:val="24"/>
                <w:szCs w:val="24"/>
              </w:rPr>
              <w:t>………………………………………………………………...</w:t>
            </w:r>
          </w:p>
        </w:tc>
        <w:tc>
          <w:tcPr>
            <w:tcW w:w="935" w:type="dxa"/>
            <w:gridSpan w:val="2"/>
          </w:tcPr>
          <w:p w14:paraId="11EFBC1A" w14:textId="358A5CEB"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50</w:t>
            </w:r>
          </w:p>
        </w:tc>
      </w:tr>
      <w:tr w:rsidR="003758DF" w14:paraId="2DDFF5D0" w14:textId="77777777" w:rsidTr="00B64F86">
        <w:tc>
          <w:tcPr>
            <w:tcW w:w="685" w:type="dxa"/>
          </w:tcPr>
          <w:p w14:paraId="404946D3" w14:textId="77777777" w:rsidR="003758DF" w:rsidRDefault="003758DF" w:rsidP="00031031">
            <w:pPr>
              <w:spacing w:before="30"/>
              <w:rPr>
                <w:rFonts w:asciiTheme="majorBidi" w:hAnsiTheme="majorBidi" w:cstheme="majorBidi"/>
                <w:b/>
                <w:bCs/>
                <w:sz w:val="24"/>
                <w:szCs w:val="24"/>
              </w:rPr>
            </w:pPr>
          </w:p>
        </w:tc>
        <w:tc>
          <w:tcPr>
            <w:tcW w:w="720" w:type="dxa"/>
          </w:tcPr>
          <w:p w14:paraId="562EF002" w14:textId="77777777" w:rsidR="003758DF" w:rsidRPr="00735716" w:rsidRDefault="003758DF" w:rsidP="00031031">
            <w:pPr>
              <w:spacing w:before="30"/>
              <w:jc w:val="center"/>
              <w:rPr>
                <w:rFonts w:asciiTheme="majorBidi" w:hAnsiTheme="majorBidi" w:cstheme="majorBidi"/>
                <w:sz w:val="24"/>
                <w:szCs w:val="24"/>
              </w:rPr>
            </w:pPr>
            <w:r w:rsidRPr="00735716">
              <w:rPr>
                <w:rFonts w:asciiTheme="majorBidi" w:hAnsiTheme="majorBidi" w:cstheme="majorBidi"/>
                <w:sz w:val="24"/>
                <w:szCs w:val="24"/>
              </w:rPr>
              <w:t>3.2</w:t>
            </w:r>
          </w:p>
        </w:tc>
        <w:tc>
          <w:tcPr>
            <w:tcW w:w="7010" w:type="dxa"/>
          </w:tcPr>
          <w:p w14:paraId="61BA5105" w14:textId="77777777" w:rsidR="003758DF" w:rsidRDefault="003758DF" w:rsidP="00031031">
            <w:pPr>
              <w:spacing w:before="30"/>
              <w:rPr>
                <w:rFonts w:asciiTheme="majorBidi" w:hAnsiTheme="majorBidi" w:cstheme="majorBidi"/>
                <w:b/>
                <w:bCs/>
                <w:sz w:val="24"/>
                <w:szCs w:val="24"/>
              </w:rPr>
            </w:pPr>
            <w:r>
              <w:rPr>
                <w:rFonts w:asciiTheme="majorBidi" w:hAnsiTheme="majorBidi" w:cstheme="majorBidi"/>
                <w:sz w:val="24"/>
                <w:szCs w:val="24"/>
              </w:rPr>
              <w:t>Introduction…………………………………………………………….</w:t>
            </w:r>
          </w:p>
        </w:tc>
        <w:tc>
          <w:tcPr>
            <w:tcW w:w="935" w:type="dxa"/>
            <w:gridSpan w:val="2"/>
          </w:tcPr>
          <w:p w14:paraId="43C313EB" w14:textId="7040A210"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51</w:t>
            </w:r>
          </w:p>
        </w:tc>
      </w:tr>
      <w:tr w:rsidR="003758DF" w14:paraId="2DE809FE" w14:textId="77777777" w:rsidTr="00B64F86">
        <w:tc>
          <w:tcPr>
            <w:tcW w:w="685" w:type="dxa"/>
          </w:tcPr>
          <w:p w14:paraId="03E6056E" w14:textId="77777777" w:rsidR="003758DF" w:rsidRDefault="003758DF" w:rsidP="00031031">
            <w:pPr>
              <w:spacing w:before="30"/>
              <w:rPr>
                <w:rFonts w:asciiTheme="majorBidi" w:hAnsiTheme="majorBidi" w:cstheme="majorBidi"/>
                <w:b/>
                <w:bCs/>
                <w:sz w:val="24"/>
                <w:szCs w:val="24"/>
              </w:rPr>
            </w:pPr>
          </w:p>
        </w:tc>
        <w:tc>
          <w:tcPr>
            <w:tcW w:w="720" w:type="dxa"/>
          </w:tcPr>
          <w:p w14:paraId="2A6B10C6" w14:textId="77777777" w:rsidR="003758DF" w:rsidRPr="00735716" w:rsidRDefault="003758DF" w:rsidP="00031031">
            <w:pPr>
              <w:spacing w:before="30"/>
              <w:jc w:val="center"/>
              <w:rPr>
                <w:rFonts w:asciiTheme="majorBidi" w:hAnsiTheme="majorBidi" w:cstheme="majorBidi"/>
                <w:sz w:val="24"/>
                <w:szCs w:val="24"/>
              </w:rPr>
            </w:pPr>
            <w:r w:rsidRPr="00735716">
              <w:rPr>
                <w:rFonts w:asciiTheme="majorBidi" w:hAnsiTheme="majorBidi" w:cstheme="majorBidi"/>
                <w:sz w:val="24"/>
                <w:szCs w:val="24"/>
              </w:rPr>
              <w:t>3.3</w:t>
            </w:r>
          </w:p>
        </w:tc>
        <w:tc>
          <w:tcPr>
            <w:tcW w:w="7010" w:type="dxa"/>
          </w:tcPr>
          <w:p w14:paraId="686F3E2A" w14:textId="15E25A2D" w:rsidR="003758DF" w:rsidRDefault="003758DF" w:rsidP="00031031">
            <w:pPr>
              <w:spacing w:before="30"/>
              <w:rPr>
                <w:rFonts w:asciiTheme="majorBidi" w:hAnsiTheme="majorBidi" w:cstheme="majorBidi"/>
                <w:b/>
                <w:bCs/>
                <w:sz w:val="24"/>
                <w:szCs w:val="24"/>
              </w:rPr>
            </w:pPr>
            <w:r w:rsidRPr="002B3BBC">
              <w:rPr>
                <w:rFonts w:asciiTheme="majorBidi" w:hAnsiTheme="majorBidi" w:cstheme="majorBidi"/>
                <w:sz w:val="24"/>
                <w:szCs w:val="24"/>
              </w:rPr>
              <w:t>Material</w:t>
            </w:r>
            <w:r w:rsidR="00580472">
              <w:rPr>
                <w:rFonts w:asciiTheme="majorBidi" w:hAnsiTheme="majorBidi" w:cstheme="majorBidi"/>
                <w:sz w:val="24"/>
                <w:szCs w:val="24"/>
              </w:rPr>
              <w:t>s</w:t>
            </w:r>
            <w:r w:rsidRPr="002B3BBC">
              <w:rPr>
                <w:rFonts w:asciiTheme="majorBidi" w:hAnsiTheme="majorBidi" w:cstheme="majorBidi"/>
                <w:sz w:val="24"/>
                <w:szCs w:val="24"/>
              </w:rPr>
              <w:t xml:space="preserve"> and methods</w:t>
            </w:r>
            <w:r>
              <w:rPr>
                <w:rFonts w:asciiTheme="majorBidi" w:hAnsiTheme="majorBidi" w:cstheme="majorBidi"/>
                <w:sz w:val="24"/>
                <w:szCs w:val="24"/>
              </w:rPr>
              <w:t>……………………………………………….</w:t>
            </w:r>
          </w:p>
        </w:tc>
        <w:tc>
          <w:tcPr>
            <w:tcW w:w="935" w:type="dxa"/>
            <w:gridSpan w:val="2"/>
          </w:tcPr>
          <w:p w14:paraId="0EB0C0FB" w14:textId="71ACA4FD"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53</w:t>
            </w:r>
          </w:p>
        </w:tc>
      </w:tr>
      <w:tr w:rsidR="003758DF" w14:paraId="59C03ACA" w14:textId="77777777" w:rsidTr="00B64F86">
        <w:tc>
          <w:tcPr>
            <w:tcW w:w="685" w:type="dxa"/>
          </w:tcPr>
          <w:p w14:paraId="39D42094" w14:textId="77777777" w:rsidR="003758DF" w:rsidRDefault="003758DF" w:rsidP="00031031">
            <w:pPr>
              <w:spacing w:before="30"/>
              <w:rPr>
                <w:rFonts w:asciiTheme="majorBidi" w:hAnsiTheme="majorBidi" w:cstheme="majorBidi"/>
                <w:b/>
                <w:bCs/>
                <w:sz w:val="24"/>
                <w:szCs w:val="24"/>
              </w:rPr>
            </w:pPr>
          </w:p>
        </w:tc>
        <w:tc>
          <w:tcPr>
            <w:tcW w:w="720" w:type="dxa"/>
          </w:tcPr>
          <w:p w14:paraId="19F2964D" w14:textId="77777777" w:rsidR="003758DF" w:rsidRPr="00735716" w:rsidRDefault="003758DF" w:rsidP="00031031">
            <w:pPr>
              <w:spacing w:before="30"/>
              <w:jc w:val="center"/>
              <w:rPr>
                <w:rFonts w:asciiTheme="majorBidi" w:hAnsiTheme="majorBidi" w:cstheme="majorBidi"/>
                <w:sz w:val="24"/>
                <w:szCs w:val="24"/>
              </w:rPr>
            </w:pPr>
            <w:r w:rsidRPr="00735716">
              <w:rPr>
                <w:rFonts w:asciiTheme="majorBidi" w:hAnsiTheme="majorBidi" w:cstheme="majorBidi"/>
                <w:sz w:val="24"/>
                <w:szCs w:val="24"/>
              </w:rPr>
              <w:t>3.4</w:t>
            </w:r>
          </w:p>
        </w:tc>
        <w:tc>
          <w:tcPr>
            <w:tcW w:w="7010" w:type="dxa"/>
          </w:tcPr>
          <w:p w14:paraId="0A7CB4DC" w14:textId="77777777" w:rsidR="003758DF" w:rsidRDefault="003758DF" w:rsidP="00031031">
            <w:pPr>
              <w:spacing w:before="30"/>
              <w:rPr>
                <w:rFonts w:asciiTheme="majorBidi" w:hAnsiTheme="majorBidi" w:cstheme="majorBidi"/>
                <w:b/>
                <w:bCs/>
                <w:sz w:val="24"/>
                <w:szCs w:val="24"/>
              </w:rPr>
            </w:pPr>
            <w:r w:rsidRPr="002B3BBC">
              <w:rPr>
                <w:rFonts w:asciiTheme="majorBidi" w:hAnsiTheme="majorBidi" w:cstheme="majorBidi"/>
                <w:sz w:val="24"/>
                <w:szCs w:val="24"/>
              </w:rPr>
              <w:t>Results</w:t>
            </w:r>
            <w:r>
              <w:rPr>
                <w:rFonts w:asciiTheme="majorBidi" w:hAnsiTheme="majorBidi" w:cstheme="majorBidi"/>
                <w:sz w:val="24"/>
                <w:szCs w:val="24"/>
              </w:rPr>
              <w:t>………………………………………………………………….</w:t>
            </w:r>
          </w:p>
        </w:tc>
        <w:tc>
          <w:tcPr>
            <w:tcW w:w="935" w:type="dxa"/>
            <w:gridSpan w:val="2"/>
          </w:tcPr>
          <w:p w14:paraId="6D3307D4" w14:textId="4910F079"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55</w:t>
            </w:r>
          </w:p>
        </w:tc>
      </w:tr>
      <w:tr w:rsidR="003758DF" w14:paraId="11C170FA" w14:textId="77777777" w:rsidTr="00B64F86">
        <w:tc>
          <w:tcPr>
            <w:tcW w:w="685" w:type="dxa"/>
          </w:tcPr>
          <w:p w14:paraId="3E9C2B14" w14:textId="77777777" w:rsidR="003758DF" w:rsidRDefault="003758DF" w:rsidP="00031031">
            <w:pPr>
              <w:spacing w:before="30"/>
              <w:rPr>
                <w:rFonts w:asciiTheme="majorBidi" w:hAnsiTheme="majorBidi" w:cstheme="majorBidi"/>
                <w:b/>
                <w:bCs/>
                <w:sz w:val="24"/>
                <w:szCs w:val="24"/>
              </w:rPr>
            </w:pPr>
          </w:p>
        </w:tc>
        <w:tc>
          <w:tcPr>
            <w:tcW w:w="720" w:type="dxa"/>
          </w:tcPr>
          <w:p w14:paraId="082D73FD" w14:textId="77777777" w:rsidR="003758DF" w:rsidRPr="00735716" w:rsidRDefault="003758DF" w:rsidP="00031031">
            <w:pPr>
              <w:spacing w:before="30"/>
              <w:jc w:val="center"/>
              <w:rPr>
                <w:rFonts w:asciiTheme="majorBidi" w:hAnsiTheme="majorBidi" w:cstheme="majorBidi"/>
                <w:sz w:val="24"/>
                <w:szCs w:val="24"/>
              </w:rPr>
            </w:pPr>
            <w:r w:rsidRPr="00735716">
              <w:rPr>
                <w:rFonts w:asciiTheme="majorBidi" w:hAnsiTheme="majorBidi" w:cstheme="majorBidi"/>
                <w:sz w:val="24"/>
                <w:szCs w:val="24"/>
              </w:rPr>
              <w:t>3.5</w:t>
            </w:r>
          </w:p>
        </w:tc>
        <w:tc>
          <w:tcPr>
            <w:tcW w:w="7010" w:type="dxa"/>
          </w:tcPr>
          <w:p w14:paraId="52C75C98" w14:textId="77777777" w:rsidR="003758DF" w:rsidRDefault="003758DF" w:rsidP="00031031">
            <w:pPr>
              <w:spacing w:before="30"/>
              <w:rPr>
                <w:rFonts w:asciiTheme="majorBidi" w:hAnsiTheme="majorBidi" w:cstheme="majorBidi"/>
                <w:b/>
                <w:bCs/>
                <w:sz w:val="24"/>
                <w:szCs w:val="24"/>
              </w:rPr>
            </w:pPr>
            <w:r w:rsidRPr="002B3BBC">
              <w:rPr>
                <w:rFonts w:asciiTheme="majorBidi" w:hAnsiTheme="majorBidi" w:cstheme="majorBidi"/>
                <w:sz w:val="24"/>
                <w:szCs w:val="24"/>
              </w:rPr>
              <w:t>Discussion</w:t>
            </w:r>
            <w:r>
              <w:rPr>
                <w:rFonts w:asciiTheme="majorBidi" w:hAnsiTheme="majorBidi" w:cstheme="majorBidi"/>
                <w:sz w:val="24"/>
                <w:szCs w:val="24"/>
              </w:rPr>
              <w:t>……………………………………………………………...</w:t>
            </w:r>
          </w:p>
        </w:tc>
        <w:tc>
          <w:tcPr>
            <w:tcW w:w="935" w:type="dxa"/>
            <w:gridSpan w:val="2"/>
          </w:tcPr>
          <w:p w14:paraId="45380916" w14:textId="7E61A052"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62</w:t>
            </w:r>
          </w:p>
        </w:tc>
      </w:tr>
      <w:tr w:rsidR="003758DF" w14:paraId="3A67B686" w14:textId="77777777" w:rsidTr="00B64F86">
        <w:tc>
          <w:tcPr>
            <w:tcW w:w="685" w:type="dxa"/>
          </w:tcPr>
          <w:p w14:paraId="4517F472" w14:textId="77777777" w:rsidR="003758DF" w:rsidRDefault="003758DF" w:rsidP="00031031">
            <w:pPr>
              <w:spacing w:before="30"/>
              <w:rPr>
                <w:rFonts w:asciiTheme="majorBidi" w:hAnsiTheme="majorBidi" w:cstheme="majorBidi"/>
                <w:b/>
                <w:bCs/>
                <w:sz w:val="24"/>
                <w:szCs w:val="24"/>
              </w:rPr>
            </w:pPr>
          </w:p>
        </w:tc>
        <w:tc>
          <w:tcPr>
            <w:tcW w:w="720" w:type="dxa"/>
          </w:tcPr>
          <w:p w14:paraId="43099A26" w14:textId="77777777" w:rsidR="003758DF" w:rsidRPr="00735716" w:rsidRDefault="003758DF" w:rsidP="00031031">
            <w:pPr>
              <w:spacing w:before="30"/>
              <w:jc w:val="center"/>
              <w:rPr>
                <w:rFonts w:asciiTheme="majorBidi" w:hAnsiTheme="majorBidi" w:cstheme="majorBidi"/>
                <w:sz w:val="24"/>
                <w:szCs w:val="24"/>
              </w:rPr>
            </w:pPr>
            <w:r w:rsidRPr="00735716">
              <w:rPr>
                <w:rFonts w:asciiTheme="majorBidi" w:hAnsiTheme="majorBidi" w:cstheme="majorBidi"/>
                <w:sz w:val="24"/>
                <w:szCs w:val="24"/>
              </w:rPr>
              <w:t>3.6</w:t>
            </w:r>
          </w:p>
        </w:tc>
        <w:tc>
          <w:tcPr>
            <w:tcW w:w="7010" w:type="dxa"/>
          </w:tcPr>
          <w:p w14:paraId="626B6A63" w14:textId="77777777" w:rsidR="003758DF" w:rsidRDefault="003758DF" w:rsidP="00031031">
            <w:pPr>
              <w:spacing w:before="30"/>
              <w:rPr>
                <w:rFonts w:asciiTheme="majorBidi" w:hAnsiTheme="majorBidi" w:cstheme="majorBidi"/>
                <w:b/>
                <w:bCs/>
                <w:sz w:val="24"/>
                <w:szCs w:val="24"/>
              </w:rPr>
            </w:pPr>
            <w:r w:rsidRPr="002B3BBC">
              <w:rPr>
                <w:rFonts w:asciiTheme="majorBidi" w:hAnsiTheme="majorBidi" w:cstheme="majorBidi"/>
                <w:sz w:val="24"/>
                <w:szCs w:val="24"/>
              </w:rPr>
              <w:t>Conclusion</w:t>
            </w:r>
            <w:r>
              <w:rPr>
                <w:rFonts w:asciiTheme="majorBidi" w:hAnsiTheme="majorBidi" w:cstheme="majorBidi"/>
                <w:sz w:val="24"/>
                <w:szCs w:val="24"/>
              </w:rPr>
              <w:t>……………………………………………………………...</w:t>
            </w:r>
          </w:p>
        </w:tc>
        <w:tc>
          <w:tcPr>
            <w:tcW w:w="935" w:type="dxa"/>
            <w:gridSpan w:val="2"/>
          </w:tcPr>
          <w:p w14:paraId="4DDD35D9" w14:textId="61B16A6F"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66</w:t>
            </w:r>
          </w:p>
        </w:tc>
      </w:tr>
      <w:tr w:rsidR="003758DF" w14:paraId="7D4ACDB3" w14:textId="77777777" w:rsidTr="00B64F86">
        <w:tc>
          <w:tcPr>
            <w:tcW w:w="685" w:type="dxa"/>
          </w:tcPr>
          <w:p w14:paraId="37D213B6" w14:textId="77777777" w:rsidR="003758DF" w:rsidRDefault="003758DF" w:rsidP="00031031">
            <w:pPr>
              <w:spacing w:before="30"/>
              <w:rPr>
                <w:rFonts w:asciiTheme="majorBidi" w:hAnsiTheme="majorBidi" w:cstheme="majorBidi"/>
                <w:b/>
                <w:bCs/>
                <w:sz w:val="24"/>
                <w:szCs w:val="24"/>
              </w:rPr>
            </w:pPr>
          </w:p>
        </w:tc>
        <w:tc>
          <w:tcPr>
            <w:tcW w:w="720" w:type="dxa"/>
          </w:tcPr>
          <w:p w14:paraId="114B0F93" w14:textId="77777777" w:rsidR="003758DF" w:rsidRPr="00735716" w:rsidRDefault="003758DF" w:rsidP="00031031">
            <w:pPr>
              <w:spacing w:before="30"/>
              <w:jc w:val="center"/>
              <w:rPr>
                <w:rFonts w:asciiTheme="majorBidi" w:hAnsiTheme="majorBidi" w:cstheme="majorBidi"/>
                <w:sz w:val="24"/>
                <w:szCs w:val="24"/>
              </w:rPr>
            </w:pPr>
            <w:r w:rsidRPr="00735716">
              <w:rPr>
                <w:rFonts w:asciiTheme="majorBidi" w:hAnsiTheme="majorBidi" w:cstheme="majorBidi"/>
                <w:sz w:val="24"/>
                <w:szCs w:val="24"/>
              </w:rPr>
              <w:t>3.7</w:t>
            </w:r>
          </w:p>
        </w:tc>
        <w:tc>
          <w:tcPr>
            <w:tcW w:w="7010" w:type="dxa"/>
          </w:tcPr>
          <w:p w14:paraId="07A147CF" w14:textId="77777777" w:rsidR="003758DF" w:rsidRDefault="003758DF" w:rsidP="00031031">
            <w:pPr>
              <w:spacing w:before="30"/>
              <w:rPr>
                <w:rFonts w:asciiTheme="majorBidi" w:hAnsiTheme="majorBidi" w:cstheme="majorBidi"/>
                <w:b/>
                <w:bCs/>
                <w:sz w:val="24"/>
                <w:szCs w:val="24"/>
              </w:rPr>
            </w:pPr>
            <w:r w:rsidRPr="002B3BBC">
              <w:rPr>
                <w:rFonts w:asciiTheme="majorBidi" w:hAnsiTheme="majorBidi" w:cstheme="majorBidi"/>
                <w:sz w:val="24"/>
                <w:szCs w:val="24"/>
              </w:rPr>
              <w:t>References</w:t>
            </w:r>
            <w:r>
              <w:rPr>
                <w:rFonts w:asciiTheme="majorBidi" w:hAnsiTheme="majorBidi" w:cstheme="majorBidi"/>
                <w:sz w:val="24"/>
                <w:szCs w:val="24"/>
              </w:rPr>
              <w:t>……………………………………………………………...</w:t>
            </w:r>
          </w:p>
        </w:tc>
        <w:tc>
          <w:tcPr>
            <w:tcW w:w="935" w:type="dxa"/>
            <w:gridSpan w:val="2"/>
          </w:tcPr>
          <w:p w14:paraId="514C75AA" w14:textId="1FDB5F17" w:rsidR="003758DF" w:rsidRPr="00E82AF4" w:rsidRDefault="008363DB" w:rsidP="00031031">
            <w:pPr>
              <w:spacing w:before="30"/>
              <w:jc w:val="center"/>
              <w:rPr>
                <w:rFonts w:asciiTheme="majorBidi" w:hAnsiTheme="majorBidi" w:cstheme="majorBidi"/>
                <w:sz w:val="24"/>
                <w:szCs w:val="24"/>
              </w:rPr>
            </w:pPr>
            <w:r>
              <w:rPr>
                <w:rFonts w:asciiTheme="majorBidi" w:hAnsiTheme="majorBidi" w:cstheme="majorBidi"/>
                <w:sz w:val="24"/>
                <w:szCs w:val="24"/>
              </w:rPr>
              <w:t>67</w:t>
            </w:r>
          </w:p>
        </w:tc>
      </w:tr>
      <w:tr w:rsidR="003758DF" w14:paraId="3854DC98" w14:textId="77777777" w:rsidTr="00B64F86">
        <w:tc>
          <w:tcPr>
            <w:tcW w:w="685" w:type="dxa"/>
          </w:tcPr>
          <w:p w14:paraId="39C24F27" w14:textId="77777777" w:rsidR="003758DF" w:rsidRDefault="003758DF" w:rsidP="00031031">
            <w:pPr>
              <w:spacing w:before="30"/>
              <w:jc w:val="center"/>
              <w:rPr>
                <w:rFonts w:asciiTheme="majorBidi" w:hAnsiTheme="majorBidi" w:cstheme="majorBidi"/>
                <w:b/>
                <w:bCs/>
                <w:sz w:val="24"/>
                <w:szCs w:val="24"/>
              </w:rPr>
            </w:pPr>
            <w:r>
              <w:rPr>
                <w:rFonts w:asciiTheme="majorBidi" w:hAnsiTheme="majorBidi" w:cstheme="majorBidi"/>
                <w:b/>
                <w:bCs/>
                <w:sz w:val="24"/>
                <w:szCs w:val="24"/>
              </w:rPr>
              <w:t>A</w:t>
            </w:r>
          </w:p>
        </w:tc>
        <w:tc>
          <w:tcPr>
            <w:tcW w:w="7730" w:type="dxa"/>
            <w:gridSpan w:val="2"/>
          </w:tcPr>
          <w:p w14:paraId="6E636036" w14:textId="06E77979" w:rsidR="003758DF" w:rsidRDefault="003758DF" w:rsidP="00031031">
            <w:pPr>
              <w:spacing w:before="30"/>
              <w:rPr>
                <w:rFonts w:asciiTheme="majorBidi" w:hAnsiTheme="majorBidi" w:cstheme="majorBidi"/>
                <w:b/>
                <w:bCs/>
                <w:sz w:val="24"/>
                <w:szCs w:val="24"/>
              </w:rPr>
            </w:pPr>
            <w:r>
              <w:rPr>
                <w:rFonts w:asciiTheme="majorBidi" w:hAnsiTheme="majorBidi" w:cstheme="majorBidi"/>
                <w:b/>
                <w:bCs/>
                <w:sz w:val="24"/>
                <w:szCs w:val="24"/>
              </w:rPr>
              <w:t xml:space="preserve">Appendix: </w:t>
            </w:r>
            <w:r w:rsidR="00F302A1">
              <w:rPr>
                <w:rFonts w:asciiTheme="majorBidi" w:hAnsiTheme="majorBidi" w:cstheme="majorBidi"/>
                <w:b/>
                <w:bCs/>
                <w:sz w:val="24"/>
                <w:szCs w:val="24"/>
              </w:rPr>
              <w:t xml:space="preserve">Supplementary Material for </w:t>
            </w:r>
            <w:r>
              <w:rPr>
                <w:rFonts w:asciiTheme="majorBidi" w:hAnsiTheme="majorBidi" w:cstheme="majorBidi"/>
                <w:b/>
                <w:bCs/>
                <w:sz w:val="24"/>
                <w:szCs w:val="24"/>
              </w:rPr>
              <w:t>Genomics overrules mitochondrial DNA, siding with morphology on a controversial case of species delimitation</w:t>
            </w:r>
          </w:p>
        </w:tc>
        <w:tc>
          <w:tcPr>
            <w:tcW w:w="935" w:type="dxa"/>
            <w:gridSpan w:val="2"/>
          </w:tcPr>
          <w:p w14:paraId="756ED7AC" w14:textId="10794A9A" w:rsidR="008363DB" w:rsidRPr="008363DB" w:rsidRDefault="008363DB" w:rsidP="008363DB">
            <w:pPr>
              <w:spacing w:before="30"/>
              <w:jc w:val="center"/>
              <w:rPr>
                <w:rFonts w:asciiTheme="majorBidi" w:hAnsiTheme="majorBidi" w:cstheme="majorBidi"/>
                <w:b/>
                <w:bCs/>
                <w:sz w:val="24"/>
                <w:szCs w:val="24"/>
              </w:rPr>
            </w:pPr>
            <w:r w:rsidRPr="008363DB">
              <w:rPr>
                <w:rFonts w:asciiTheme="majorBidi" w:hAnsiTheme="majorBidi" w:cstheme="majorBidi"/>
                <w:b/>
                <w:bCs/>
                <w:sz w:val="24"/>
                <w:szCs w:val="24"/>
              </w:rPr>
              <w:t>74</w:t>
            </w:r>
          </w:p>
        </w:tc>
      </w:tr>
      <w:tr w:rsidR="003758DF" w14:paraId="13017A80" w14:textId="77777777" w:rsidTr="00B64F86">
        <w:tc>
          <w:tcPr>
            <w:tcW w:w="685" w:type="dxa"/>
          </w:tcPr>
          <w:p w14:paraId="2A9F777B" w14:textId="77777777" w:rsidR="003758DF" w:rsidRDefault="003758DF" w:rsidP="00031031">
            <w:pPr>
              <w:spacing w:before="30"/>
              <w:jc w:val="center"/>
              <w:rPr>
                <w:rFonts w:asciiTheme="majorBidi" w:hAnsiTheme="majorBidi" w:cstheme="majorBidi"/>
                <w:b/>
                <w:bCs/>
                <w:sz w:val="24"/>
                <w:szCs w:val="24"/>
              </w:rPr>
            </w:pPr>
            <w:r>
              <w:rPr>
                <w:rFonts w:asciiTheme="majorBidi" w:hAnsiTheme="majorBidi" w:cstheme="majorBidi"/>
                <w:b/>
                <w:bCs/>
                <w:sz w:val="24"/>
                <w:szCs w:val="24"/>
              </w:rPr>
              <w:t>B</w:t>
            </w:r>
          </w:p>
        </w:tc>
        <w:tc>
          <w:tcPr>
            <w:tcW w:w="7730" w:type="dxa"/>
            <w:gridSpan w:val="2"/>
          </w:tcPr>
          <w:p w14:paraId="42B76F5E" w14:textId="1ED9C352" w:rsidR="003758DF" w:rsidRDefault="003758DF" w:rsidP="00031031">
            <w:pPr>
              <w:spacing w:before="30"/>
              <w:rPr>
                <w:rFonts w:asciiTheme="majorBidi" w:hAnsiTheme="majorBidi" w:cstheme="majorBidi"/>
                <w:b/>
                <w:bCs/>
                <w:sz w:val="24"/>
                <w:szCs w:val="24"/>
              </w:rPr>
            </w:pPr>
            <w:r>
              <w:rPr>
                <w:rFonts w:asciiTheme="majorBidi" w:hAnsiTheme="majorBidi" w:cstheme="majorBidi"/>
                <w:b/>
                <w:bCs/>
                <w:sz w:val="24"/>
                <w:szCs w:val="24"/>
              </w:rPr>
              <w:t xml:space="preserve">Appendix: </w:t>
            </w:r>
            <w:r w:rsidR="00F302A1">
              <w:rPr>
                <w:rFonts w:asciiTheme="majorBidi" w:hAnsiTheme="majorBidi" w:cstheme="majorBidi"/>
                <w:b/>
                <w:bCs/>
                <w:sz w:val="24"/>
                <w:szCs w:val="24"/>
              </w:rPr>
              <w:t xml:space="preserve">Supplementary Material for </w:t>
            </w:r>
            <w:r>
              <w:rPr>
                <w:rFonts w:asciiTheme="majorBidi" w:hAnsiTheme="majorBidi" w:cstheme="majorBidi"/>
                <w:b/>
                <w:bCs/>
                <w:sz w:val="24"/>
                <w:szCs w:val="24"/>
              </w:rPr>
              <w:t>Genome-wide species delimitation analyses of a silverside fish species complex in central Mexico indicate taxonomic over-splitting</w:t>
            </w:r>
          </w:p>
        </w:tc>
        <w:tc>
          <w:tcPr>
            <w:tcW w:w="935" w:type="dxa"/>
            <w:gridSpan w:val="2"/>
          </w:tcPr>
          <w:p w14:paraId="12384025" w14:textId="18FD5F82" w:rsidR="003758DF" w:rsidRPr="008363DB" w:rsidRDefault="008363DB" w:rsidP="00031031">
            <w:pPr>
              <w:spacing w:before="30"/>
              <w:jc w:val="center"/>
              <w:rPr>
                <w:rFonts w:asciiTheme="majorBidi" w:hAnsiTheme="majorBidi" w:cstheme="majorBidi"/>
                <w:b/>
                <w:bCs/>
                <w:sz w:val="24"/>
                <w:szCs w:val="24"/>
              </w:rPr>
            </w:pPr>
            <w:r w:rsidRPr="008363DB">
              <w:rPr>
                <w:rFonts w:asciiTheme="majorBidi" w:hAnsiTheme="majorBidi" w:cstheme="majorBidi"/>
                <w:b/>
                <w:bCs/>
                <w:sz w:val="24"/>
                <w:szCs w:val="24"/>
              </w:rPr>
              <w:t>93</w:t>
            </w:r>
          </w:p>
        </w:tc>
      </w:tr>
      <w:tr w:rsidR="003758DF" w14:paraId="126BD6C9" w14:textId="77777777" w:rsidTr="00B64F86">
        <w:tc>
          <w:tcPr>
            <w:tcW w:w="685" w:type="dxa"/>
          </w:tcPr>
          <w:p w14:paraId="3AC536AC" w14:textId="77777777" w:rsidR="003758DF" w:rsidRDefault="003758DF" w:rsidP="00031031">
            <w:pPr>
              <w:spacing w:before="30"/>
              <w:jc w:val="center"/>
              <w:rPr>
                <w:rFonts w:asciiTheme="majorBidi" w:hAnsiTheme="majorBidi" w:cstheme="majorBidi"/>
                <w:b/>
                <w:bCs/>
                <w:sz w:val="24"/>
                <w:szCs w:val="24"/>
              </w:rPr>
            </w:pPr>
            <w:r>
              <w:rPr>
                <w:rFonts w:asciiTheme="majorBidi" w:hAnsiTheme="majorBidi" w:cstheme="majorBidi"/>
                <w:b/>
                <w:bCs/>
                <w:sz w:val="24"/>
                <w:szCs w:val="24"/>
              </w:rPr>
              <w:t>C</w:t>
            </w:r>
          </w:p>
        </w:tc>
        <w:tc>
          <w:tcPr>
            <w:tcW w:w="7730" w:type="dxa"/>
            <w:gridSpan w:val="2"/>
          </w:tcPr>
          <w:p w14:paraId="3ACF4AD6" w14:textId="2326D65D" w:rsidR="003758DF" w:rsidRDefault="003758DF" w:rsidP="00031031">
            <w:pPr>
              <w:spacing w:before="30"/>
              <w:rPr>
                <w:rFonts w:asciiTheme="majorBidi" w:hAnsiTheme="majorBidi" w:cstheme="majorBidi"/>
                <w:b/>
                <w:bCs/>
                <w:sz w:val="24"/>
                <w:szCs w:val="24"/>
              </w:rPr>
            </w:pPr>
            <w:r>
              <w:rPr>
                <w:rFonts w:asciiTheme="majorBidi" w:hAnsiTheme="majorBidi" w:cstheme="majorBidi"/>
                <w:b/>
                <w:bCs/>
                <w:sz w:val="24"/>
                <w:szCs w:val="24"/>
              </w:rPr>
              <w:t xml:space="preserve">Appendix: </w:t>
            </w:r>
            <w:r w:rsidR="00F302A1">
              <w:rPr>
                <w:rFonts w:asciiTheme="majorBidi" w:hAnsiTheme="majorBidi" w:cstheme="majorBidi"/>
                <w:b/>
                <w:bCs/>
                <w:sz w:val="24"/>
                <w:szCs w:val="24"/>
              </w:rPr>
              <w:t xml:space="preserve">Supplementary Material for </w:t>
            </w:r>
            <w:r>
              <w:rPr>
                <w:rFonts w:asciiTheme="majorBidi" w:hAnsiTheme="majorBidi" w:cstheme="majorBidi"/>
                <w:b/>
                <w:bCs/>
                <w:sz w:val="24"/>
                <w:szCs w:val="24"/>
              </w:rPr>
              <w:t>Beneath the waves: depth, temperature, and spatial components driving genetic differentiation at micro and macroevolutionary scales in tropical blennies</w:t>
            </w:r>
          </w:p>
        </w:tc>
        <w:tc>
          <w:tcPr>
            <w:tcW w:w="935" w:type="dxa"/>
            <w:gridSpan w:val="2"/>
          </w:tcPr>
          <w:p w14:paraId="3D76D23A" w14:textId="5B9DCC27" w:rsidR="003758DF" w:rsidRPr="008363DB" w:rsidRDefault="008363DB" w:rsidP="00031031">
            <w:pPr>
              <w:spacing w:before="30"/>
              <w:jc w:val="center"/>
              <w:rPr>
                <w:rFonts w:asciiTheme="majorBidi" w:hAnsiTheme="majorBidi" w:cstheme="majorBidi"/>
                <w:b/>
                <w:bCs/>
                <w:sz w:val="24"/>
                <w:szCs w:val="24"/>
              </w:rPr>
            </w:pPr>
            <w:r w:rsidRPr="008363DB">
              <w:rPr>
                <w:rFonts w:asciiTheme="majorBidi" w:hAnsiTheme="majorBidi" w:cstheme="majorBidi"/>
                <w:b/>
                <w:bCs/>
                <w:sz w:val="24"/>
                <w:szCs w:val="24"/>
              </w:rPr>
              <w:t>110</w:t>
            </w:r>
          </w:p>
        </w:tc>
      </w:tr>
    </w:tbl>
    <w:p w14:paraId="6950228C" w14:textId="6DB28711" w:rsidR="00284B59" w:rsidRDefault="00032BE0" w:rsidP="00435FC4">
      <w:pPr>
        <w:rPr>
          <w:rFonts w:asciiTheme="majorBidi" w:hAnsiTheme="majorBidi" w:cstheme="majorBidi"/>
          <w:sz w:val="24"/>
          <w:szCs w:val="24"/>
        </w:rPr>
      </w:pPr>
      <w:r>
        <w:rPr>
          <w:rFonts w:asciiTheme="majorBidi" w:hAnsiTheme="majorBidi" w:cstheme="majorBidi"/>
          <w:sz w:val="24"/>
          <w:szCs w:val="24"/>
        </w:rPr>
        <w:br w:type="page"/>
      </w:r>
    </w:p>
    <w:p w14:paraId="4530F1C2" w14:textId="77777777" w:rsidR="003758DF" w:rsidRDefault="003758DF" w:rsidP="003758DF">
      <w:pPr>
        <w:rPr>
          <w:rFonts w:asciiTheme="majorBidi" w:hAnsiTheme="majorBidi" w:cstheme="majorBidi"/>
          <w:b/>
          <w:bCs/>
          <w:sz w:val="24"/>
          <w:szCs w:val="24"/>
        </w:rPr>
      </w:pPr>
      <w:r>
        <w:rPr>
          <w:rFonts w:asciiTheme="majorBidi" w:hAnsiTheme="majorBidi" w:cstheme="majorBidi"/>
          <w:b/>
          <w:bCs/>
          <w:sz w:val="56"/>
          <w:szCs w:val="56"/>
        </w:rPr>
        <w:lastRenderedPageBreak/>
        <w:t>List of figures</w:t>
      </w:r>
    </w:p>
    <w:p w14:paraId="01B767A3" w14:textId="77777777" w:rsidR="003758DF" w:rsidRDefault="003758DF" w:rsidP="003758DF">
      <w:pPr>
        <w:spacing w:before="30" w:after="0"/>
        <w:rPr>
          <w:rFonts w:asciiTheme="majorBidi" w:hAnsiTheme="majorBidi" w:cstheme="majorBidi"/>
          <w:b/>
          <w:bCs/>
          <w:sz w:val="24"/>
          <w:szCs w:val="24"/>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
        <w:gridCol w:w="7799"/>
        <w:gridCol w:w="630"/>
      </w:tblGrid>
      <w:tr w:rsidR="003758DF" w14:paraId="2AB9DE0B" w14:textId="77777777" w:rsidTr="00E174C6">
        <w:tc>
          <w:tcPr>
            <w:tcW w:w="661" w:type="dxa"/>
          </w:tcPr>
          <w:p w14:paraId="740F889E" w14:textId="77777777" w:rsidR="003758DF" w:rsidRDefault="003758DF" w:rsidP="00031031">
            <w:pPr>
              <w:spacing w:before="30"/>
              <w:jc w:val="center"/>
              <w:rPr>
                <w:rFonts w:asciiTheme="majorBidi" w:hAnsiTheme="majorBidi" w:cstheme="majorBidi"/>
                <w:b/>
                <w:bCs/>
                <w:sz w:val="24"/>
                <w:szCs w:val="24"/>
              </w:rPr>
            </w:pPr>
            <w:r w:rsidRPr="00E82AF4">
              <w:rPr>
                <w:rFonts w:asciiTheme="majorBidi" w:hAnsiTheme="majorBidi" w:cstheme="majorBidi"/>
                <w:sz w:val="24"/>
                <w:szCs w:val="24"/>
              </w:rPr>
              <w:t>1.1</w:t>
            </w:r>
          </w:p>
        </w:tc>
        <w:tc>
          <w:tcPr>
            <w:tcW w:w="7799" w:type="dxa"/>
          </w:tcPr>
          <w:p w14:paraId="12F8FC48" w14:textId="599BACE5" w:rsidR="003758DF" w:rsidRPr="00E82AF4" w:rsidRDefault="003758DF" w:rsidP="00031031">
            <w:pPr>
              <w:spacing w:before="30"/>
              <w:jc w:val="both"/>
              <w:rPr>
                <w:rFonts w:asciiTheme="majorBidi" w:hAnsiTheme="majorBidi" w:cstheme="majorBidi"/>
                <w:sz w:val="24"/>
                <w:szCs w:val="24"/>
              </w:rPr>
            </w:pPr>
            <w:r w:rsidRPr="00D07C18">
              <w:rPr>
                <w:rFonts w:asciiTheme="majorBidi" w:hAnsiTheme="majorBidi" w:cstheme="majorBidi"/>
                <w:sz w:val="24"/>
                <w:szCs w:val="24"/>
              </w:rPr>
              <w:t>Genetic structure of WA red snappers</w:t>
            </w:r>
            <w:r>
              <w:rPr>
                <w:rFonts w:asciiTheme="majorBidi" w:hAnsiTheme="majorBidi" w:cstheme="majorBidi"/>
                <w:sz w:val="24"/>
                <w:szCs w:val="24"/>
              </w:rPr>
              <w:t>…………………………………………</w:t>
            </w:r>
          </w:p>
        </w:tc>
        <w:tc>
          <w:tcPr>
            <w:tcW w:w="630" w:type="dxa"/>
          </w:tcPr>
          <w:p w14:paraId="74F30954" w14:textId="5FF964EA" w:rsidR="003758DF" w:rsidRPr="00E82AF4" w:rsidRDefault="006A1CC8" w:rsidP="00031031">
            <w:pPr>
              <w:spacing w:before="30"/>
              <w:jc w:val="center"/>
              <w:rPr>
                <w:rFonts w:asciiTheme="majorBidi" w:hAnsiTheme="majorBidi" w:cstheme="majorBidi"/>
                <w:sz w:val="24"/>
                <w:szCs w:val="24"/>
              </w:rPr>
            </w:pPr>
            <w:r>
              <w:rPr>
                <w:rFonts w:asciiTheme="majorBidi" w:hAnsiTheme="majorBidi" w:cstheme="majorBidi"/>
                <w:sz w:val="24"/>
                <w:szCs w:val="24"/>
              </w:rPr>
              <w:t>7</w:t>
            </w:r>
          </w:p>
        </w:tc>
      </w:tr>
      <w:tr w:rsidR="003758DF" w14:paraId="308A6CD6" w14:textId="77777777" w:rsidTr="00E174C6">
        <w:tc>
          <w:tcPr>
            <w:tcW w:w="661" w:type="dxa"/>
          </w:tcPr>
          <w:p w14:paraId="37880FA8" w14:textId="77777777" w:rsidR="003758DF" w:rsidRDefault="003758DF" w:rsidP="00031031">
            <w:pPr>
              <w:spacing w:before="30"/>
              <w:jc w:val="center"/>
              <w:rPr>
                <w:rFonts w:asciiTheme="majorBidi" w:hAnsiTheme="majorBidi" w:cstheme="majorBidi"/>
                <w:b/>
                <w:bCs/>
                <w:sz w:val="24"/>
                <w:szCs w:val="24"/>
              </w:rPr>
            </w:pPr>
            <w:r>
              <w:rPr>
                <w:rFonts w:asciiTheme="majorBidi" w:hAnsiTheme="majorBidi" w:cstheme="majorBidi"/>
                <w:sz w:val="24"/>
                <w:szCs w:val="24"/>
              </w:rPr>
              <w:t>1.2</w:t>
            </w:r>
          </w:p>
        </w:tc>
        <w:tc>
          <w:tcPr>
            <w:tcW w:w="7799" w:type="dxa"/>
          </w:tcPr>
          <w:p w14:paraId="79CD7AB1" w14:textId="7BE567D3" w:rsidR="003758DF" w:rsidRPr="00E82AF4" w:rsidRDefault="003758DF" w:rsidP="00031031">
            <w:pPr>
              <w:spacing w:before="30"/>
              <w:jc w:val="both"/>
              <w:rPr>
                <w:rFonts w:asciiTheme="majorBidi" w:hAnsiTheme="majorBidi" w:cstheme="majorBidi"/>
                <w:sz w:val="24"/>
                <w:szCs w:val="24"/>
              </w:rPr>
            </w:pPr>
            <w:r w:rsidRPr="00F052E7">
              <w:rPr>
                <w:rFonts w:asciiTheme="majorBidi" w:hAnsiTheme="majorBidi" w:cstheme="majorBidi"/>
                <w:sz w:val="24"/>
                <w:szCs w:val="24"/>
              </w:rPr>
              <w:t>Phylogenetic and principal component analyses (PCAs)</w:t>
            </w:r>
            <w:r>
              <w:rPr>
                <w:rFonts w:asciiTheme="majorBidi" w:hAnsiTheme="majorBidi" w:cstheme="majorBidi"/>
                <w:sz w:val="24"/>
                <w:szCs w:val="24"/>
              </w:rPr>
              <w:t>………………………</w:t>
            </w:r>
          </w:p>
        </w:tc>
        <w:tc>
          <w:tcPr>
            <w:tcW w:w="630" w:type="dxa"/>
          </w:tcPr>
          <w:p w14:paraId="5AE8D042" w14:textId="7DA15612" w:rsidR="003758DF" w:rsidRPr="00E82AF4" w:rsidRDefault="006A1CC8" w:rsidP="00031031">
            <w:pPr>
              <w:spacing w:before="30"/>
              <w:jc w:val="center"/>
              <w:rPr>
                <w:rFonts w:asciiTheme="majorBidi" w:hAnsiTheme="majorBidi" w:cstheme="majorBidi"/>
                <w:sz w:val="24"/>
                <w:szCs w:val="24"/>
              </w:rPr>
            </w:pPr>
            <w:r>
              <w:rPr>
                <w:rFonts w:asciiTheme="majorBidi" w:hAnsiTheme="majorBidi" w:cstheme="majorBidi"/>
                <w:sz w:val="24"/>
                <w:szCs w:val="24"/>
              </w:rPr>
              <w:t>8</w:t>
            </w:r>
          </w:p>
        </w:tc>
      </w:tr>
      <w:tr w:rsidR="003758DF" w14:paraId="59493817" w14:textId="77777777" w:rsidTr="00E174C6">
        <w:tc>
          <w:tcPr>
            <w:tcW w:w="661" w:type="dxa"/>
          </w:tcPr>
          <w:p w14:paraId="497E270E" w14:textId="77777777" w:rsidR="003758DF" w:rsidRDefault="003758DF" w:rsidP="00031031">
            <w:pPr>
              <w:spacing w:before="30"/>
              <w:jc w:val="center"/>
              <w:rPr>
                <w:rFonts w:asciiTheme="majorBidi" w:hAnsiTheme="majorBidi" w:cstheme="majorBidi"/>
                <w:b/>
                <w:bCs/>
                <w:sz w:val="24"/>
                <w:szCs w:val="24"/>
              </w:rPr>
            </w:pPr>
            <w:r w:rsidRPr="002B3BBC">
              <w:rPr>
                <w:rFonts w:asciiTheme="majorBidi" w:hAnsiTheme="majorBidi" w:cstheme="majorBidi"/>
                <w:sz w:val="24"/>
                <w:szCs w:val="24"/>
              </w:rPr>
              <w:t>1.3</w:t>
            </w:r>
          </w:p>
        </w:tc>
        <w:tc>
          <w:tcPr>
            <w:tcW w:w="7799" w:type="dxa"/>
          </w:tcPr>
          <w:p w14:paraId="07AD31B6" w14:textId="0C1B1E20" w:rsidR="003758DF" w:rsidRPr="002B3BBC" w:rsidRDefault="003758DF" w:rsidP="00031031">
            <w:pPr>
              <w:spacing w:before="30"/>
              <w:jc w:val="both"/>
              <w:rPr>
                <w:rFonts w:asciiTheme="majorBidi" w:hAnsiTheme="majorBidi" w:cstheme="majorBidi"/>
                <w:sz w:val="24"/>
                <w:szCs w:val="24"/>
              </w:rPr>
            </w:pPr>
            <w:r w:rsidRPr="00F052E7">
              <w:rPr>
                <w:rFonts w:asciiTheme="majorBidi" w:hAnsiTheme="majorBidi" w:cstheme="majorBidi"/>
                <w:sz w:val="24"/>
                <w:szCs w:val="24"/>
              </w:rPr>
              <w:t>Timeline of the controversial species delimitation of WA red snappers and present resolution using genomic data</w:t>
            </w:r>
            <w:r>
              <w:rPr>
                <w:rFonts w:asciiTheme="majorBidi" w:hAnsiTheme="majorBidi" w:cstheme="majorBidi"/>
                <w:sz w:val="24"/>
                <w:szCs w:val="24"/>
              </w:rPr>
              <w:t>…………………………………………</w:t>
            </w:r>
          </w:p>
        </w:tc>
        <w:tc>
          <w:tcPr>
            <w:tcW w:w="630" w:type="dxa"/>
          </w:tcPr>
          <w:p w14:paraId="1A58BCA1" w14:textId="176AD83C" w:rsidR="003758DF" w:rsidRPr="00E82AF4" w:rsidRDefault="00D05D2C" w:rsidP="00031031">
            <w:pPr>
              <w:spacing w:before="30"/>
              <w:jc w:val="center"/>
              <w:rPr>
                <w:rFonts w:asciiTheme="majorBidi" w:hAnsiTheme="majorBidi" w:cstheme="majorBidi"/>
                <w:sz w:val="24"/>
                <w:szCs w:val="24"/>
              </w:rPr>
            </w:pPr>
            <w:r>
              <w:rPr>
                <w:rFonts w:asciiTheme="majorBidi" w:hAnsiTheme="majorBidi" w:cstheme="majorBidi"/>
                <w:sz w:val="24"/>
                <w:szCs w:val="24"/>
              </w:rPr>
              <w:t>12</w:t>
            </w:r>
          </w:p>
        </w:tc>
      </w:tr>
      <w:tr w:rsidR="003758DF" w14:paraId="6992AD2A" w14:textId="77777777" w:rsidTr="00E174C6">
        <w:tc>
          <w:tcPr>
            <w:tcW w:w="661" w:type="dxa"/>
          </w:tcPr>
          <w:p w14:paraId="68F9AEC2" w14:textId="77777777" w:rsidR="003758DF" w:rsidRPr="00B11562" w:rsidRDefault="003758DF" w:rsidP="00031031">
            <w:pPr>
              <w:spacing w:before="30"/>
              <w:jc w:val="center"/>
              <w:rPr>
                <w:rFonts w:asciiTheme="majorBidi" w:hAnsiTheme="majorBidi" w:cstheme="majorBidi"/>
                <w:sz w:val="24"/>
                <w:szCs w:val="24"/>
              </w:rPr>
            </w:pPr>
            <w:r w:rsidRPr="00B11562">
              <w:rPr>
                <w:rFonts w:asciiTheme="majorBidi" w:hAnsiTheme="majorBidi" w:cstheme="majorBidi"/>
                <w:sz w:val="24"/>
                <w:szCs w:val="24"/>
              </w:rPr>
              <w:t>2.1</w:t>
            </w:r>
          </w:p>
        </w:tc>
        <w:tc>
          <w:tcPr>
            <w:tcW w:w="7799" w:type="dxa"/>
          </w:tcPr>
          <w:p w14:paraId="4DB2319A" w14:textId="6D6BF2B7" w:rsidR="003758DF" w:rsidRPr="002B3BBC" w:rsidRDefault="003758DF" w:rsidP="00031031">
            <w:pPr>
              <w:spacing w:before="30"/>
              <w:jc w:val="both"/>
              <w:rPr>
                <w:rFonts w:asciiTheme="majorBidi" w:hAnsiTheme="majorBidi" w:cstheme="majorBidi"/>
                <w:sz w:val="24"/>
                <w:szCs w:val="24"/>
              </w:rPr>
            </w:pPr>
            <w:r w:rsidRPr="004F086B">
              <w:rPr>
                <w:rFonts w:asciiTheme="majorBidi" w:hAnsiTheme="majorBidi" w:cstheme="majorBidi"/>
                <w:sz w:val="24"/>
                <w:szCs w:val="24"/>
              </w:rPr>
              <w:t>Sampling localities of the humboldtianum group across the central Mexico plateau</w:t>
            </w:r>
            <w:r>
              <w:rPr>
                <w:rFonts w:asciiTheme="majorBidi" w:hAnsiTheme="majorBidi" w:cstheme="majorBidi"/>
                <w:sz w:val="24"/>
                <w:szCs w:val="24"/>
              </w:rPr>
              <w:t>…</w:t>
            </w:r>
            <w:r w:rsidR="00E174C6">
              <w:rPr>
                <w:rFonts w:asciiTheme="majorBidi" w:hAnsiTheme="majorBidi" w:cstheme="majorBidi"/>
                <w:sz w:val="24"/>
                <w:szCs w:val="24"/>
              </w:rPr>
              <w:t>………………………………………………………………………..</w:t>
            </w:r>
          </w:p>
        </w:tc>
        <w:tc>
          <w:tcPr>
            <w:tcW w:w="630" w:type="dxa"/>
          </w:tcPr>
          <w:p w14:paraId="21F8CCF2" w14:textId="77777777" w:rsidR="00E174C6" w:rsidRDefault="00E174C6" w:rsidP="00031031">
            <w:pPr>
              <w:spacing w:before="30"/>
              <w:jc w:val="center"/>
              <w:rPr>
                <w:rFonts w:asciiTheme="majorBidi" w:hAnsiTheme="majorBidi" w:cstheme="majorBidi"/>
                <w:sz w:val="24"/>
                <w:szCs w:val="24"/>
              </w:rPr>
            </w:pPr>
          </w:p>
          <w:p w14:paraId="4825B4B7" w14:textId="614B5495" w:rsidR="003758DF" w:rsidRPr="00E82AF4" w:rsidRDefault="002B1BF6" w:rsidP="00031031">
            <w:pPr>
              <w:spacing w:before="30"/>
              <w:jc w:val="center"/>
              <w:rPr>
                <w:rFonts w:asciiTheme="majorBidi" w:hAnsiTheme="majorBidi" w:cstheme="majorBidi"/>
                <w:sz w:val="24"/>
                <w:szCs w:val="24"/>
              </w:rPr>
            </w:pPr>
            <w:r>
              <w:rPr>
                <w:rFonts w:asciiTheme="majorBidi" w:hAnsiTheme="majorBidi" w:cstheme="majorBidi"/>
                <w:sz w:val="24"/>
                <w:szCs w:val="24"/>
              </w:rPr>
              <w:t>21</w:t>
            </w:r>
          </w:p>
        </w:tc>
      </w:tr>
      <w:tr w:rsidR="003758DF" w14:paraId="72B851AA" w14:textId="77777777" w:rsidTr="00E174C6">
        <w:tc>
          <w:tcPr>
            <w:tcW w:w="661" w:type="dxa"/>
          </w:tcPr>
          <w:p w14:paraId="3B0A188C" w14:textId="77777777" w:rsidR="003758DF" w:rsidRPr="004F086B" w:rsidRDefault="003758DF" w:rsidP="00031031">
            <w:pPr>
              <w:spacing w:before="30"/>
              <w:jc w:val="center"/>
              <w:rPr>
                <w:rFonts w:asciiTheme="majorBidi" w:hAnsiTheme="majorBidi" w:cstheme="majorBidi"/>
                <w:sz w:val="24"/>
                <w:szCs w:val="24"/>
              </w:rPr>
            </w:pPr>
            <w:r w:rsidRPr="004F086B">
              <w:rPr>
                <w:rFonts w:asciiTheme="majorBidi" w:hAnsiTheme="majorBidi" w:cstheme="majorBidi"/>
                <w:sz w:val="24"/>
                <w:szCs w:val="24"/>
              </w:rPr>
              <w:t>2.2</w:t>
            </w:r>
          </w:p>
        </w:tc>
        <w:tc>
          <w:tcPr>
            <w:tcW w:w="7799" w:type="dxa"/>
          </w:tcPr>
          <w:p w14:paraId="0D5C891B" w14:textId="57EAA268" w:rsidR="003758DF" w:rsidRPr="002B3BBC" w:rsidRDefault="003758DF" w:rsidP="00031031">
            <w:pPr>
              <w:spacing w:before="30"/>
              <w:jc w:val="both"/>
              <w:rPr>
                <w:rFonts w:asciiTheme="majorBidi" w:hAnsiTheme="majorBidi" w:cstheme="majorBidi"/>
                <w:sz w:val="24"/>
                <w:szCs w:val="24"/>
              </w:rPr>
            </w:pPr>
            <w:r w:rsidRPr="00357388">
              <w:rPr>
                <w:rFonts w:asciiTheme="majorBidi" w:hAnsiTheme="majorBidi" w:cstheme="majorBidi"/>
                <w:sz w:val="24"/>
                <w:szCs w:val="24"/>
              </w:rPr>
              <w:t>Multivariate and admixture results based on all, neutral, and outlier SNP loci from the matrix D (3564-snps loci), which explain the highest</w:t>
            </w:r>
            <w:r>
              <w:rPr>
                <w:rFonts w:asciiTheme="majorBidi" w:hAnsiTheme="majorBidi" w:cstheme="majorBidi"/>
                <w:sz w:val="24"/>
                <w:szCs w:val="24"/>
              </w:rPr>
              <w:t xml:space="preserve"> </w:t>
            </w:r>
            <w:r w:rsidRPr="00357388">
              <w:rPr>
                <w:rFonts w:asciiTheme="majorBidi" w:hAnsiTheme="majorBidi" w:cstheme="majorBidi"/>
                <w:sz w:val="24"/>
                <w:szCs w:val="24"/>
              </w:rPr>
              <w:t>percentage of explained variation in the analyses</w:t>
            </w:r>
            <w:r>
              <w:rPr>
                <w:rFonts w:asciiTheme="majorBidi" w:hAnsiTheme="majorBidi" w:cstheme="majorBidi"/>
                <w:sz w:val="24"/>
                <w:szCs w:val="24"/>
              </w:rPr>
              <w:t>…………………………………………</w:t>
            </w:r>
            <w:r w:rsidR="00E174C6">
              <w:rPr>
                <w:rFonts w:asciiTheme="majorBidi" w:hAnsiTheme="majorBidi" w:cstheme="majorBidi"/>
                <w:sz w:val="24"/>
                <w:szCs w:val="24"/>
              </w:rPr>
              <w:t>…..</w:t>
            </w:r>
            <w:r>
              <w:rPr>
                <w:rFonts w:asciiTheme="majorBidi" w:hAnsiTheme="majorBidi" w:cstheme="majorBidi"/>
                <w:sz w:val="24"/>
                <w:szCs w:val="24"/>
              </w:rPr>
              <w:t>.</w:t>
            </w:r>
          </w:p>
        </w:tc>
        <w:tc>
          <w:tcPr>
            <w:tcW w:w="630" w:type="dxa"/>
          </w:tcPr>
          <w:p w14:paraId="4AC655F1" w14:textId="77777777" w:rsidR="00E174C6" w:rsidRDefault="00E174C6" w:rsidP="00031031">
            <w:pPr>
              <w:spacing w:before="30"/>
              <w:jc w:val="center"/>
              <w:rPr>
                <w:rFonts w:asciiTheme="majorBidi" w:hAnsiTheme="majorBidi" w:cstheme="majorBidi"/>
                <w:sz w:val="24"/>
                <w:szCs w:val="24"/>
              </w:rPr>
            </w:pPr>
          </w:p>
          <w:p w14:paraId="513101A9" w14:textId="77777777" w:rsidR="00E174C6" w:rsidRDefault="00E174C6" w:rsidP="00031031">
            <w:pPr>
              <w:spacing w:before="30"/>
              <w:jc w:val="center"/>
              <w:rPr>
                <w:rFonts w:asciiTheme="majorBidi" w:hAnsiTheme="majorBidi" w:cstheme="majorBidi"/>
                <w:sz w:val="24"/>
                <w:szCs w:val="24"/>
              </w:rPr>
            </w:pPr>
          </w:p>
          <w:p w14:paraId="320486E8" w14:textId="35DBED72" w:rsidR="003758DF" w:rsidRPr="00E82AF4" w:rsidRDefault="002B1BF6" w:rsidP="00031031">
            <w:pPr>
              <w:spacing w:before="30"/>
              <w:jc w:val="center"/>
              <w:rPr>
                <w:rFonts w:asciiTheme="majorBidi" w:hAnsiTheme="majorBidi" w:cstheme="majorBidi"/>
                <w:sz w:val="24"/>
                <w:szCs w:val="24"/>
              </w:rPr>
            </w:pPr>
            <w:r>
              <w:rPr>
                <w:rFonts w:asciiTheme="majorBidi" w:hAnsiTheme="majorBidi" w:cstheme="majorBidi"/>
                <w:sz w:val="24"/>
                <w:szCs w:val="24"/>
              </w:rPr>
              <w:t>28</w:t>
            </w:r>
          </w:p>
        </w:tc>
      </w:tr>
      <w:tr w:rsidR="003758DF" w14:paraId="55492E50" w14:textId="77777777" w:rsidTr="00E174C6">
        <w:tc>
          <w:tcPr>
            <w:tcW w:w="661" w:type="dxa"/>
          </w:tcPr>
          <w:p w14:paraId="2421C95E" w14:textId="77777777" w:rsidR="003758DF" w:rsidRPr="004F086B" w:rsidRDefault="003758DF" w:rsidP="00031031">
            <w:pPr>
              <w:spacing w:before="30"/>
              <w:jc w:val="center"/>
              <w:rPr>
                <w:rFonts w:asciiTheme="majorBidi" w:hAnsiTheme="majorBidi" w:cstheme="majorBidi"/>
                <w:sz w:val="24"/>
                <w:szCs w:val="24"/>
              </w:rPr>
            </w:pPr>
            <w:r>
              <w:rPr>
                <w:rFonts w:asciiTheme="majorBidi" w:hAnsiTheme="majorBidi" w:cstheme="majorBidi"/>
                <w:sz w:val="24"/>
                <w:szCs w:val="24"/>
              </w:rPr>
              <w:t>2.3</w:t>
            </w:r>
          </w:p>
        </w:tc>
        <w:tc>
          <w:tcPr>
            <w:tcW w:w="7799" w:type="dxa"/>
          </w:tcPr>
          <w:p w14:paraId="3F36D020" w14:textId="509CBAD2" w:rsidR="003758DF" w:rsidRPr="002B3BBC" w:rsidRDefault="003758DF" w:rsidP="00031031">
            <w:pPr>
              <w:spacing w:before="30"/>
              <w:jc w:val="both"/>
              <w:rPr>
                <w:rFonts w:asciiTheme="majorBidi" w:hAnsiTheme="majorBidi" w:cstheme="majorBidi"/>
                <w:sz w:val="24"/>
                <w:szCs w:val="24"/>
              </w:rPr>
            </w:pPr>
            <w:r w:rsidRPr="00FD55C2">
              <w:rPr>
                <w:rFonts w:asciiTheme="majorBidi" w:hAnsiTheme="majorBidi" w:cstheme="majorBidi"/>
                <w:sz w:val="24"/>
                <w:szCs w:val="24"/>
              </w:rPr>
              <w:t>ML phylogenetic tree based on 3564 SNP loci</w:t>
            </w:r>
            <w:r>
              <w:rPr>
                <w:rFonts w:asciiTheme="majorBidi" w:hAnsiTheme="majorBidi" w:cstheme="majorBidi"/>
                <w:sz w:val="24"/>
                <w:szCs w:val="24"/>
              </w:rPr>
              <w:t xml:space="preserve">, </w:t>
            </w:r>
            <w:r w:rsidRPr="00FD55C2">
              <w:rPr>
                <w:rFonts w:asciiTheme="majorBidi" w:hAnsiTheme="majorBidi" w:cstheme="majorBidi"/>
                <w:sz w:val="24"/>
                <w:szCs w:val="24"/>
              </w:rPr>
              <w:t>multi-coalescent species tree considering circa 3400 neutral SNPs</w:t>
            </w:r>
            <w:r>
              <w:rPr>
                <w:rFonts w:asciiTheme="majorBidi" w:hAnsiTheme="majorBidi" w:cstheme="majorBidi"/>
                <w:sz w:val="24"/>
                <w:szCs w:val="24"/>
              </w:rPr>
              <w:t xml:space="preserve">, and </w:t>
            </w:r>
            <w:r w:rsidRPr="00FD55C2">
              <w:rPr>
                <w:rFonts w:asciiTheme="majorBidi" w:hAnsiTheme="majorBidi" w:cstheme="majorBidi"/>
                <w:sz w:val="24"/>
                <w:szCs w:val="24"/>
              </w:rPr>
              <w:t xml:space="preserve">phylogenetic inference based on </w:t>
            </w:r>
            <w:r w:rsidRPr="00BD39AD">
              <w:rPr>
                <w:rFonts w:asciiTheme="majorBidi" w:hAnsiTheme="majorBidi" w:cstheme="majorBidi"/>
                <w:i/>
                <w:iCs/>
                <w:sz w:val="24"/>
                <w:szCs w:val="24"/>
              </w:rPr>
              <w:t>mt</w:t>
            </w:r>
            <w:r w:rsidRPr="00FD55C2">
              <w:rPr>
                <w:rFonts w:asciiTheme="majorBidi" w:hAnsiTheme="majorBidi" w:cstheme="majorBidi"/>
                <w:sz w:val="24"/>
                <w:szCs w:val="24"/>
              </w:rPr>
              <w:t>DNA</w:t>
            </w:r>
            <w:r w:rsidR="00E174C6">
              <w:rPr>
                <w:rFonts w:asciiTheme="majorBidi" w:hAnsiTheme="majorBidi" w:cstheme="majorBidi"/>
                <w:sz w:val="24"/>
                <w:szCs w:val="24"/>
              </w:rPr>
              <w:t>………………………………………………………………………….</w:t>
            </w:r>
          </w:p>
        </w:tc>
        <w:tc>
          <w:tcPr>
            <w:tcW w:w="630" w:type="dxa"/>
          </w:tcPr>
          <w:p w14:paraId="54AC2F2E" w14:textId="77777777" w:rsidR="00E174C6" w:rsidRDefault="00E174C6" w:rsidP="00031031">
            <w:pPr>
              <w:spacing w:before="30"/>
              <w:jc w:val="center"/>
              <w:rPr>
                <w:rFonts w:asciiTheme="majorBidi" w:hAnsiTheme="majorBidi" w:cstheme="majorBidi"/>
                <w:sz w:val="24"/>
                <w:szCs w:val="24"/>
              </w:rPr>
            </w:pPr>
          </w:p>
          <w:p w14:paraId="0B7133DF" w14:textId="77777777" w:rsidR="00E174C6" w:rsidRDefault="00E174C6" w:rsidP="00031031">
            <w:pPr>
              <w:spacing w:before="30"/>
              <w:jc w:val="center"/>
              <w:rPr>
                <w:rFonts w:asciiTheme="majorBidi" w:hAnsiTheme="majorBidi" w:cstheme="majorBidi"/>
                <w:sz w:val="24"/>
                <w:szCs w:val="24"/>
              </w:rPr>
            </w:pPr>
          </w:p>
          <w:p w14:paraId="34DB1F36" w14:textId="6C9AD884" w:rsidR="003758DF" w:rsidRPr="00E82AF4" w:rsidRDefault="002B1BF6" w:rsidP="00031031">
            <w:pPr>
              <w:spacing w:before="30"/>
              <w:jc w:val="center"/>
              <w:rPr>
                <w:rFonts w:asciiTheme="majorBidi" w:hAnsiTheme="majorBidi" w:cstheme="majorBidi"/>
                <w:sz w:val="24"/>
                <w:szCs w:val="24"/>
              </w:rPr>
            </w:pPr>
            <w:r>
              <w:rPr>
                <w:rFonts w:asciiTheme="majorBidi" w:hAnsiTheme="majorBidi" w:cstheme="majorBidi"/>
                <w:sz w:val="24"/>
                <w:szCs w:val="24"/>
              </w:rPr>
              <w:t>31</w:t>
            </w:r>
          </w:p>
        </w:tc>
      </w:tr>
      <w:tr w:rsidR="003758DF" w14:paraId="56D118E7" w14:textId="77777777" w:rsidTr="00E174C6">
        <w:tc>
          <w:tcPr>
            <w:tcW w:w="661" w:type="dxa"/>
          </w:tcPr>
          <w:p w14:paraId="738288C7" w14:textId="77777777" w:rsidR="003758DF" w:rsidRPr="004F086B" w:rsidRDefault="003758DF" w:rsidP="00031031">
            <w:pPr>
              <w:spacing w:before="30"/>
              <w:jc w:val="center"/>
              <w:rPr>
                <w:rFonts w:asciiTheme="majorBidi" w:hAnsiTheme="majorBidi" w:cstheme="majorBidi"/>
                <w:sz w:val="24"/>
                <w:szCs w:val="24"/>
              </w:rPr>
            </w:pPr>
            <w:r>
              <w:rPr>
                <w:rFonts w:asciiTheme="majorBidi" w:hAnsiTheme="majorBidi" w:cstheme="majorBidi"/>
                <w:sz w:val="24"/>
                <w:szCs w:val="24"/>
              </w:rPr>
              <w:t>3.1</w:t>
            </w:r>
          </w:p>
        </w:tc>
        <w:tc>
          <w:tcPr>
            <w:tcW w:w="7799" w:type="dxa"/>
          </w:tcPr>
          <w:p w14:paraId="71C632B3" w14:textId="602C5F9E" w:rsidR="003758DF" w:rsidRPr="002B3BBC" w:rsidRDefault="003758DF" w:rsidP="00031031">
            <w:pPr>
              <w:spacing w:before="30"/>
              <w:jc w:val="both"/>
              <w:rPr>
                <w:rFonts w:asciiTheme="majorBidi" w:hAnsiTheme="majorBidi" w:cstheme="majorBidi"/>
                <w:sz w:val="24"/>
                <w:szCs w:val="24"/>
              </w:rPr>
            </w:pPr>
            <w:r w:rsidRPr="00936413">
              <w:rPr>
                <w:rFonts w:asciiTheme="majorBidi" w:hAnsiTheme="majorBidi" w:cstheme="majorBidi"/>
                <w:sz w:val="24"/>
                <w:szCs w:val="24"/>
              </w:rPr>
              <w:t>Population structure at the microevolutionary scales</w:t>
            </w:r>
            <w:r>
              <w:rPr>
                <w:rFonts w:asciiTheme="majorBidi" w:hAnsiTheme="majorBidi" w:cstheme="majorBidi"/>
                <w:sz w:val="24"/>
                <w:szCs w:val="24"/>
              </w:rPr>
              <w:t xml:space="preserve"> in</w:t>
            </w:r>
            <w:r w:rsidRPr="00936413">
              <w:rPr>
                <w:rFonts w:asciiTheme="majorBidi" w:hAnsiTheme="majorBidi" w:cstheme="majorBidi"/>
                <w:sz w:val="24"/>
                <w:szCs w:val="24"/>
              </w:rPr>
              <w:t xml:space="preserve"> the Tropical Eastern Pacific and the Tropical</w:t>
            </w:r>
            <w:r>
              <w:rPr>
                <w:rFonts w:asciiTheme="majorBidi" w:hAnsiTheme="majorBidi" w:cstheme="majorBidi"/>
                <w:sz w:val="24"/>
                <w:szCs w:val="24"/>
              </w:rPr>
              <w:t xml:space="preserve"> Atlantic regions………………………………………</w:t>
            </w:r>
          </w:p>
        </w:tc>
        <w:tc>
          <w:tcPr>
            <w:tcW w:w="630" w:type="dxa"/>
          </w:tcPr>
          <w:p w14:paraId="0A7B2B08" w14:textId="77777777" w:rsidR="00E174C6" w:rsidRDefault="00E174C6" w:rsidP="00031031">
            <w:pPr>
              <w:spacing w:before="30"/>
              <w:jc w:val="center"/>
              <w:rPr>
                <w:rFonts w:asciiTheme="majorBidi" w:hAnsiTheme="majorBidi" w:cstheme="majorBidi"/>
                <w:sz w:val="24"/>
                <w:szCs w:val="24"/>
              </w:rPr>
            </w:pPr>
          </w:p>
          <w:p w14:paraId="5B93F955" w14:textId="215D11A8" w:rsidR="003758DF" w:rsidRPr="00E82AF4" w:rsidRDefault="002B1BF6" w:rsidP="00031031">
            <w:pPr>
              <w:spacing w:before="30"/>
              <w:jc w:val="center"/>
              <w:rPr>
                <w:rFonts w:asciiTheme="majorBidi" w:hAnsiTheme="majorBidi" w:cstheme="majorBidi"/>
                <w:sz w:val="24"/>
                <w:szCs w:val="24"/>
              </w:rPr>
            </w:pPr>
            <w:r>
              <w:rPr>
                <w:rFonts w:asciiTheme="majorBidi" w:hAnsiTheme="majorBidi" w:cstheme="majorBidi"/>
                <w:sz w:val="24"/>
                <w:szCs w:val="24"/>
              </w:rPr>
              <w:t>57</w:t>
            </w:r>
          </w:p>
        </w:tc>
      </w:tr>
      <w:tr w:rsidR="003758DF" w14:paraId="3E49F8DC" w14:textId="77777777" w:rsidTr="00E174C6">
        <w:tc>
          <w:tcPr>
            <w:tcW w:w="661" w:type="dxa"/>
          </w:tcPr>
          <w:p w14:paraId="2EB54CC1" w14:textId="77777777" w:rsidR="003758DF" w:rsidRPr="004F086B" w:rsidRDefault="003758DF" w:rsidP="00031031">
            <w:pPr>
              <w:spacing w:before="30"/>
              <w:jc w:val="center"/>
              <w:rPr>
                <w:rFonts w:asciiTheme="majorBidi" w:hAnsiTheme="majorBidi" w:cstheme="majorBidi"/>
                <w:sz w:val="24"/>
                <w:szCs w:val="24"/>
              </w:rPr>
            </w:pPr>
            <w:r>
              <w:rPr>
                <w:rFonts w:asciiTheme="majorBidi" w:hAnsiTheme="majorBidi" w:cstheme="majorBidi"/>
                <w:sz w:val="24"/>
                <w:szCs w:val="24"/>
              </w:rPr>
              <w:t>3.2</w:t>
            </w:r>
          </w:p>
        </w:tc>
        <w:tc>
          <w:tcPr>
            <w:tcW w:w="7799" w:type="dxa"/>
          </w:tcPr>
          <w:p w14:paraId="7C4E6519" w14:textId="0CF1E792" w:rsidR="003758DF" w:rsidRPr="002B3BBC" w:rsidRDefault="003758DF" w:rsidP="00031031">
            <w:pPr>
              <w:spacing w:before="30"/>
              <w:jc w:val="both"/>
              <w:rPr>
                <w:rFonts w:asciiTheme="majorBidi" w:hAnsiTheme="majorBidi" w:cstheme="majorBidi"/>
                <w:sz w:val="24"/>
                <w:szCs w:val="24"/>
              </w:rPr>
            </w:pPr>
            <w:r w:rsidRPr="00AF7F70">
              <w:rPr>
                <w:rFonts w:asciiTheme="majorBidi" w:hAnsiTheme="majorBidi" w:cstheme="majorBidi"/>
                <w:sz w:val="24"/>
                <w:szCs w:val="24"/>
              </w:rPr>
              <w:t xml:space="preserve">Landmarks scheme </w:t>
            </w:r>
            <w:r>
              <w:rPr>
                <w:rFonts w:asciiTheme="majorBidi" w:hAnsiTheme="majorBidi" w:cstheme="majorBidi"/>
                <w:sz w:val="24"/>
                <w:szCs w:val="24"/>
              </w:rPr>
              <w:t>and</w:t>
            </w:r>
            <w:r w:rsidRPr="00AF7F70">
              <w:rPr>
                <w:rFonts w:asciiTheme="majorBidi" w:hAnsiTheme="majorBidi" w:cstheme="majorBidi"/>
                <w:sz w:val="24"/>
                <w:szCs w:val="24"/>
              </w:rPr>
              <w:t xml:space="preserve"> geometric morphometric analyses at micro</w:t>
            </w:r>
            <w:r>
              <w:rPr>
                <w:rFonts w:asciiTheme="majorBidi" w:hAnsiTheme="majorBidi" w:cstheme="majorBidi"/>
                <w:sz w:val="24"/>
                <w:szCs w:val="24"/>
              </w:rPr>
              <w:t xml:space="preserve"> and macro</w:t>
            </w:r>
            <w:r w:rsidRPr="00AF7F70">
              <w:rPr>
                <w:rFonts w:asciiTheme="majorBidi" w:hAnsiTheme="majorBidi" w:cstheme="majorBidi"/>
                <w:sz w:val="24"/>
                <w:szCs w:val="24"/>
              </w:rPr>
              <w:t>evolutionary scales</w:t>
            </w:r>
            <w:r>
              <w:rPr>
                <w:rFonts w:asciiTheme="majorBidi" w:hAnsiTheme="majorBidi" w:cstheme="majorBidi"/>
                <w:sz w:val="24"/>
                <w:szCs w:val="24"/>
              </w:rPr>
              <w:t>………………………………………………………</w:t>
            </w:r>
            <w:r w:rsidR="00E174C6">
              <w:rPr>
                <w:rFonts w:asciiTheme="majorBidi" w:hAnsiTheme="majorBidi" w:cstheme="majorBidi"/>
                <w:sz w:val="24"/>
                <w:szCs w:val="24"/>
              </w:rPr>
              <w:t>.</w:t>
            </w:r>
          </w:p>
        </w:tc>
        <w:tc>
          <w:tcPr>
            <w:tcW w:w="630" w:type="dxa"/>
          </w:tcPr>
          <w:p w14:paraId="3699F4AA" w14:textId="77777777" w:rsidR="00E174C6" w:rsidRDefault="00E174C6" w:rsidP="00031031">
            <w:pPr>
              <w:spacing w:before="30"/>
              <w:jc w:val="center"/>
              <w:rPr>
                <w:rFonts w:asciiTheme="majorBidi" w:hAnsiTheme="majorBidi" w:cstheme="majorBidi"/>
                <w:sz w:val="24"/>
                <w:szCs w:val="24"/>
              </w:rPr>
            </w:pPr>
          </w:p>
          <w:p w14:paraId="668959E1" w14:textId="374D96AB" w:rsidR="003758DF" w:rsidRPr="00E82AF4" w:rsidRDefault="002B1BF6" w:rsidP="00031031">
            <w:pPr>
              <w:spacing w:before="30"/>
              <w:jc w:val="center"/>
              <w:rPr>
                <w:rFonts w:asciiTheme="majorBidi" w:hAnsiTheme="majorBidi" w:cstheme="majorBidi"/>
                <w:sz w:val="24"/>
                <w:szCs w:val="24"/>
              </w:rPr>
            </w:pPr>
            <w:r>
              <w:rPr>
                <w:rFonts w:asciiTheme="majorBidi" w:hAnsiTheme="majorBidi" w:cstheme="majorBidi"/>
                <w:sz w:val="24"/>
                <w:szCs w:val="24"/>
              </w:rPr>
              <w:t>59</w:t>
            </w:r>
          </w:p>
        </w:tc>
      </w:tr>
      <w:tr w:rsidR="003758DF" w14:paraId="043C5F91" w14:textId="77777777" w:rsidTr="00E174C6">
        <w:tc>
          <w:tcPr>
            <w:tcW w:w="661" w:type="dxa"/>
          </w:tcPr>
          <w:p w14:paraId="36DCEDE2" w14:textId="77777777" w:rsidR="003758DF" w:rsidRPr="004F086B" w:rsidRDefault="003758DF" w:rsidP="00031031">
            <w:pPr>
              <w:spacing w:before="30"/>
              <w:jc w:val="center"/>
              <w:rPr>
                <w:rFonts w:asciiTheme="majorBidi" w:hAnsiTheme="majorBidi" w:cstheme="majorBidi"/>
                <w:sz w:val="24"/>
                <w:szCs w:val="24"/>
              </w:rPr>
            </w:pPr>
            <w:r>
              <w:rPr>
                <w:rFonts w:asciiTheme="majorBidi" w:hAnsiTheme="majorBidi" w:cstheme="majorBidi"/>
                <w:sz w:val="24"/>
                <w:szCs w:val="24"/>
              </w:rPr>
              <w:t>3.3</w:t>
            </w:r>
          </w:p>
        </w:tc>
        <w:tc>
          <w:tcPr>
            <w:tcW w:w="7799" w:type="dxa"/>
          </w:tcPr>
          <w:p w14:paraId="549EC866" w14:textId="296D80CE" w:rsidR="003758DF" w:rsidRPr="002B3BBC" w:rsidRDefault="003758DF" w:rsidP="00031031">
            <w:pPr>
              <w:spacing w:before="30"/>
              <w:jc w:val="both"/>
              <w:rPr>
                <w:rFonts w:asciiTheme="majorBidi" w:hAnsiTheme="majorBidi" w:cstheme="majorBidi"/>
                <w:sz w:val="24"/>
                <w:szCs w:val="24"/>
              </w:rPr>
            </w:pPr>
            <w:r w:rsidRPr="00AF772C">
              <w:rPr>
                <w:rFonts w:asciiTheme="majorBidi" w:hAnsiTheme="majorBidi" w:cstheme="majorBidi"/>
                <w:bCs/>
                <w:sz w:val="24"/>
                <w:szCs w:val="24"/>
              </w:rPr>
              <w:t xml:space="preserve">Seascape genomic analyses of </w:t>
            </w:r>
            <w:r w:rsidRPr="00AF772C">
              <w:rPr>
                <w:rFonts w:asciiTheme="majorBidi" w:hAnsiTheme="majorBidi" w:cstheme="majorBidi"/>
                <w:bCs/>
                <w:i/>
                <w:iCs/>
                <w:sz w:val="24"/>
                <w:szCs w:val="24"/>
              </w:rPr>
              <w:t>Malacoctenus</w:t>
            </w:r>
            <w:r w:rsidRPr="00AF772C">
              <w:rPr>
                <w:rFonts w:asciiTheme="majorBidi" w:hAnsiTheme="majorBidi" w:cstheme="majorBidi"/>
                <w:bCs/>
                <w:sz w:val="24"/>
                <w:szCs w:val="24"/>
              </w:rPr>
              <w:t>, illustrating main environmental features driving divergence at both intraspecific and  interspecific levels in the Tropical Eastern Pacific and Tropical Atlantic</w:t>
            </w:r>
            <w:r>
              <w:rPr>
                <w:rFonts w:asciiTheme="majorBidi" w:hAnsiTheme="majorBidi" w:cstheme="majorBidi"/>
                <w:bCs/>
                <w:sz w:val="24"/>
                <w:szCs w:val="24"/>
              </w:rPr>
              <w:t>…………………………………</w:t>
            </w:r>
          </w:p>
        </w:tc>
        <w:tc>
          <w:tcPr>
            <w:tcW w:w="630" w:type="dxa"/>
          </w:tcPr>
          <w:p w14:paraId="530376DA" w14:textId="77777777" w:rsidR="00E174C6" w:rsidRDefault="00E174C6" w:rsidP="00031031">
            <w:pPr>
              <w:spacing w:before="30"/>
              <w:jc w:val="center"/>
              <w:rPr>
                <w:rFonts w:asciiTheme="majorBidi" w:hAnsiTheme="majorBidi" w:cstheme="majorBidi"/>
                <w:sz w:val="24"/>
                <w:szCs w:val="24"/>
              </w:rPr>
            </w:pPr>
          </w:p>
          <w:p w14:paraId="01452C4B" w14:textId="77777777" w:rsidR="00E174C6" w:rsidRDefault="00E174C6" w:rsidP="00031031">
            <w:pPr>
              <w:spacing w:before="30"/>
              <w:jc w:val="center"/>
              <w:rPr>
                <w:rFonts w:asciiTheme="majorBidi" w:hAnsiTheme="majorBidi" w:cstheme="majorBidi"/>
                <w:sz w:val="24"/>
                <w:szCs w:val="24"/>
              </w:rPr>
            </w:pPr>
          </w:p>
          <w:p w14:paraId="6A7ACDF7" w14:textId="46F35D0A" w:rsidR="003758DF" w:rsidRPr="00E82AF4" w:rsidRDefault="002B1BF6" w:rsidP="00031031">
            <w:pPr>
              <w:spacing w:before="30"/>
              <w:jc w:val="center"/>
              <w:rPr>
                <w:rFonts w:asciiTheme="majorBidi" w:hAnsiTheme="majorBidi" w:cstheme="majorBidi"/>
                <w:sz w:val="24"/>
                <w:szCs w:val="24"/>
              </w:rPr>
            </w:pPr>
            <w:r>
              <w:rPr>
                <w:rFonts w:asciiTheme="majorBidi" w:hAnsiTheme="majorBidi" w:cstheme="majorBidi"/>
                <w:sz w:val="24"/>
                <w:szCs w:val="24"/>
              </w:rPr>
              <w:t>60</w:t>
            </w:r>
          </w:p>
        </w:tc>
      </w:tr>
      <w:tr w:rsidR="003758DF" w14:paraId="4310AE2C" w14:textId="77777777" w:rsidTr="00E174C6">
        <w:tc>
          <w:tcPr>
            <w:tcW w:w="661" w:type="dxa"/>
          </w:tcPr>
          <w:p w14:paraId="1B2AE132" w14:textId="77777777" w:rsidR="003758DF" w:rsidRPr="004F086B" w:rsidRDefault="003758DF" w:rsidP="00031031">
            <w:pPr>
              <w:spacing w:before="30"/>
              <w:jc w:val="center"/>
              <w:rPr>
                <w:rFonts w:asciiTheme="majorBidi" w:hAnsiTheme="majorBidi" w:cstheme="majorBidi"/>
                <w:sz w:val="24"/>
                <w:szCs w:val="24"/>
              </w:rPr>
            </w:pPr>
            <w:r>
              <w:rPr>
                <w:rFonts w:asciiTheme="majorBidi" w:hAnsiTheme="majorBidi" w:cstheme="majorBidi"/>
                <w:sz w:val="24"/>
                <w:szCs w:val="24"/>
              </w:rPr>
              <w:t>3.4</w:t>
            </w:r>
          </w:p>
        </w:tc>
        <w:tc>
          <w:tcPr>
            <w:tcW w:w="7799" w:type="dxa"/>
          </w:tcPr>
          <w:p w14:paraId="570DF263" w14:textId="7771E58E" w:rsidR="003758DF" w:rsidRPr="002B3BBC" w:rsidRDefault="003758DF" w:rsidP="00031031">
            <w:pPr>
              <w:spacing w:before="30"/>
              <w:jc w:val="both"/>
              <w:rPr>
                <w:rFonts w:asciiTheme="majorBidi" w:hAnsiTheme="majorBidi" w:cstheme="majorBidi"/>
                <w:sz w:val="24"/>
                <w:szCs w:val="24"/>
              </w:rPr>
            </w:pPr>
            <w:r w:rsidRPr="006C3896">
              <w:rPr>
                <w:rFonts w:asciiTheme="majorBidi" w:hAnsiTheme="majorBidi" w:cstheme="majorBidi"/>
                <w:bCs/>
                <w:sz w:val="24"/>
                <w:szCs w:val="24"/>
              </w:rPr>
              <w:t>A time-calibrated species tree, based on 28K SNPs</w:t>
            </w:r>
            <w:r>
              <w:rPr>
                <w:rFonts w:asciiTheme="majorBidi" w:hAnsiTheme="majorBidi" w:cstheme="majorBidi"/>
                <w:bCs/>
                <w:sz w:val="24"/>
                <w:szCs w:val="24"/>
              </w:rPr>
              <w:t xml:space="preserve"> with i</w:t>
            </w:r>
            <w:r w:rsidRPr="006C3896">
              <w:rPr>
                <w:rFonts w:asciiTheme="majorBidi" w:hAnsiTheme="majorBidi" w:cstheme="majorBidi"/>
                <w:bCs/>
                <w:sz w:val="24"/>
                <w:szCs w:val="24"/>
              </w:rPr>
              <w:t>nferred paths of dispersal and colonization events within the genus</w:t>
            </w:r>
            <w:r>
              <w:rPr>
                <w:rFonts w:asciiTheme="majorBidi" w:hAnsiTheme="majorBidi" w:cstheme="majorBidi"/>
                <w:bCs/>
                <w:sz w:val="24"/>
                <w:szCs w:val="24"/>
              </w:rPr>
              <w:t>……………………………</w:t>
            </w:r>
            <w:r w:rsidR="00E174C6">
              <w:rPr>
                <w:rFonts w:asciiTheme="majorBidi" w:hAnsiTheme="majorBidi" w:cstheme="majorBidi"/>
                <w:bCs/>
                <w:sz w:val="24"/>
                <w:szCs w:val="24"/>
              </w:rPr>
              <w:t>..</w:t>
            </w:r>
          </w:p>
        </w:tc>
        <w:tc>
          <w:tcPr>
            <w:tcW w:w="630" w:type="dxa"/>
          </w:tcPr>
          <w:p w14:paraId="478CA4C9" w14:textId="77777777" w:rsidR="00E174C6" w:rsidRDefault="00E174C6" w:rsidP="00031031">
            <w:pPr>
              <w:spacing w:before="30"/>
              <w:jc w:val="center"/>
              <w:rPr>
                <w:rFonts w:asciiTheme="majorBidi" w:hAnsiTheme="majorBidi" w:cstheme="majorBidi"/>
                <w:sz w:val="24"/>
                <w:szCs w:val="24"/>
              </w:rPr>
            </w:pPr>
          </w:p>
          <w:p w14:paraId="4D1894C8" w14:textId="67807EC8" w:rsidR="003758DF" w:rsidRPr="00E82AF4" w:rsidRDefault="002B1BF6" w:rsidP="00031031">
            <w:pPr>
              <w:spacing w:before="30"/>
              <w:jc w:val="center"/>
              <w:rPr>
                <w:rFonts w:asciiTheme="majorBidi" w:hAnsiTheme="majorBidi" w:cstheme="majorBidi"/>
                <w:sz w:val="24"/>
                <w:szCs w:val="24"/>
              </w:rPr>
            </w:pPr>
            <w:r>
              <w:rPr>
                <w:rFonts w:asciiTheme="majorBidi" w:hAnsiTheme="majorBidi" w:cstheme="majorBidi"/>
                <w:sz w:val="24"/>
                <w:szCs w:val="24"/>
              </w:rPr>
              <w:t>61</w:t>
            </w:r>
          </w:p>
        </w:tc>
      </w:tr>
    </w:tbl>
    <w:p w14:paraId="486B6D3B" w14:textId="186EDB88" w:rsidR="003758DF" w:rsidRDefault="003758DF" w:rsidP="003758DF">
      <w:pPr>
        <w:spacing w:before="240"/>
        <w:rPr>
          <w:rFonts w:asciiTheme="majorBidi" w:hAnsiTheme="majorBidi" w:cstheme="majorBidi"/>
          <w:sz w:val="24"/>
          <w:szCs w:val="24"/>
        </w:rPr>
      </w:pPr>
    </w:p>
    <w:p w14:paraId="43AC4E11" w14:textId="51538208" w:rsidR="008775F8" w:rsidRDefault="00284B59" w:rsidP="008775F8">
      <w:pPr>
        <w:rPr>
          <w:rFonts w:asciiTheme="majorBidi" w:hAnsiTheme="majorBidi" w:cstheme="majorBidi"/>
          <w:sz w:val="24"/>
          <w:szCs w:val="24"/>
        </w:rPr>
      </w:pPr>
      <w:r>
        <w:rPr>
          <w:rFonts w:asciiTheme="majorBidi" w:hAnsiTheme="majorBidi" w:cstheme="majorBidi"/>
          <w:sz w:val="24"/>
          <w:szCs w:val="24"/>
        </w:rPr>
        <w:br w:type="page"/>
      </w:r>
    </w:p>
    <w:p w14:paraId="64FC83CE" w14:textId="77777777" w:rsidR="003758DF" w:rsidRDefault="003758DF" w:rsidP="003758DF">
      <w:pPr>
        <w:rPr>
          <w:rFonts w:asciiTheme="majorBidi" w:hAnsiTheme="majorBidi" w:cstheme="majorBidi"/>
          <w:b/>
          <w:bCs/>
          <w:sz w:val="24"/>
          <w:szCs w:val="24"/>
        </w:rPr>
      </w:pPr>
      <w:r>
        <w:rPr>
          <w:rFonts w:asciiTheme="majorBidi" w:hAnsiTheme="majorBidi" w:cstheme="majorBidi"/>
          <w:b/>
          <w:bCs/>
          <w:sz w:val="56"/>
          <w:szCs w:val="56"/>
        </w:rPr>
        <w:lastRenderedPageBreak/>
        <w:t>List of tables</w:t>
      </w:r>
    </w:p>
    <w:p w14:paraId="46595C7D" w14:textId="77777777" w:rsidR="003758DF" w:rsidRDefault="003758DF" w:rsidP="003758DF">
      <w:pPr>
        <w:spacing w:before="30" w:after="0"/>
        <w:rPr>
          <w:rFonts w:asciiTheme="majorBidi" w:hAnsiTheme="majorBidi" w:cstheme="majorBidi"/>
          <w:b/>
          <w:bCs/>
          <w:sz w:val="24"/>
          <w:szCs w:val="24"/>
        </w:rPr>
      </w:pP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230"/>
        <w:gridCol w:w="1350"/>
      </w:tblGrid>
      <w:tr w:rsidR="003758DF" w14:paraId="6FDCD21B" w14:textId="77777777" w:rsidTr="00692062">
        <w:tc>
          <w:tcPr>
            <w:tcW w:w="685" w:type="dxa"/>
          </w:tcPr>
          <w:p w14:paraId="6D3DFB67" w14:textId="77777777" w:rsidR="003758DF" w:rsidRDefault="003758DF" w:rsidP="00031031">
            <w:pPr>
              <w:spacing w:before="30"/>
              <w:jc w:val="center"/>
              <w:rPr>
                <w:rFonts w:asciiTheme="majorBidi" w:hAnsiTheme="majorBidi" w:cstheme="majorBidi"/>
                <w:b/>
                <w:bCs/>
                <w:sz w:val="24"/>
                <w:szCs w:val="24"/>
              </w:rPr>
            </w:pPr>
            <w:r>
              <w:rPr>
                <w:rFonts w:asciiTheme="majorBidi" w:hAnsiTheme="majorBidi" w:cstheme="majorBidi"/>
                <w:sz w:val="24"/>
                <w:szCs w:val="24"/>
              </w:rPr>
              <w:t>2</w:t>
            </w:r>
            <w:r w:rsidRPr="00E82AF4">
              <w:rPr>
                <w:rFonts w:asciiTheme="majorBidi" w:hAnsiTheme="majorBidi" w:cstheme="majorBidi"/>
                <w:sz w:val="24"/>
                <w:szCs w:val="24"/>
              </w:rPr>
              <w:t>.1</w:t>
            </w:r>
          </w:p>
        </w:tc>
        <w:tc>
          <w:tcPr>
            <w:tcW w:w="7230" w:type="dxa"/>
          </w:tcPr>
          <w:p w14:paraId="7DE29001" w14:textId="67A66145" w:rsidR="003758DF" w:rsidRPr="00E82AF4" w:rsidRDefault="003758DF" w:rsidP="00031031">
            <w:pPr>
              <w:spacing w:before="30"/>
              <w:jc w:val="both"/>
              <w:rPr>
                <w:rFonts w:asciiTheme="majorBidi" w:hAnsiTheme="majorBidi" w:cstheme="majorBidi"/>
                <w:sz w:val="24"/>
                <w:szCs w:val="24"/>
              </w:rPr>
            </w:pPr>
            <w:r w:rsidRPr="00C82472">
              <w:rPr>
                <w:rFonts w:asciiTheme="majorBidi" w:hAnsiTheme="majorBidi" w:cstheme="majorBidi"/>
                <w:sz w:val="24"/>
                <w:szCs w:val="24"/>
              </w:rPr>
              <w:t xml:space="preserve">Results of bayes factor delimitation (BFD*) analyses for the </w:t>
            </w:r>
            <w:r w:rsidRPr="00C82472">
              <w:rPr>
                <w:rFonts w:asciiTheme="majorBidi" w:hAnsiTheme="majorBidi" w:cstheme="majorBidi"/>
                <w:i/>
                <w:iCs/>
                <w:sz w:val="24"/>
                <w:szCs w:val="24"/>
              </w:rPr>
              <w:t>humboldtianum</w:t>
            </w:r>
            <w:r w:rsidRPr="00C82472">
              <w:rPr>
                <w:rFonts w:asciiTheme="majorBidi" w:hAnsiTheme="majorBidi" w:cstheme="majorBidi"/>
                <w:sz w:val="24"/>
                <w:szCs w:val="24"/>
              </w:rPr>
              <w:t xml:space="preserve"> group using three SNPs subsets (ranging from 39</w:t>
            </w:r>
            <w:r>
              <w:rPr>
                <w:rFonts w:asciiTheme="majorBidi" w:hAnsiTheme="majorBidi" w:cstheme="majorBidi"/>
                <w:sz w:val="24"/>
                <w:szCs w:val="24"/>
              </w:rPr>
              <w:t xml:space="preserve"> </w:t>
            </w:r>
            <w:r w:rsidRPr="00C82472">
              <w:rPr>
                <w:rFonts w:asciiTheme="majorBidi" w:hAnsiTheme="majorBidi" w:cstheme="majorBidi"/>
                <w:sz w:val="24"/>
                <w:szCs w:val="24"/>
              </w:rPr>
              <w:t>to 59 individuals, and 411–1102 SNP loci)</w:t>
            </w:r>
            <w:r w:rsidR="00692062">
              <w:rPr>
                <w:rFonts w:asciiTheme="majorBidi" w:hAnsiTheme="majorBidi" w:cstheme="majorBidi"/>
                <w:sz w:val="24"/>
                <w:szCs w:val="24"/>
              </w:rPr>
              <w:t>……………………………………..</w:t>
            </w:r>
          </w:p>
        </w:tc>
        <w:tc>
          <w:tcPr>
            <w:tcW w:w="1350" w:type="dxa"/>
          </w:tcPr>
          <w:p w14:paraId="632D0215" w14:textId="77777777" w:rsidR="003758DF" w:rsidRDefault="003758DF" w:rsidP="00031031">
            <w:pPr>
              <w:spacing w:before="30"/>
              <w:jc w:val="center"/>
              <w:rPr>
                <w:rFonts w:asciiTheme="majorBidi" w:hAnsiTheme="majorBidi" w:cstheme="majorBidi"/>
                <w:sz w:val="24"/>
                <w:szCs w:val="24"/>
              </w:rPr>
            </w:pPr>
          </w:p>
          <w:p w14:paraId="67623936" w14:textId="77777777" w:rsidR="00692062" w:rsidRDefault="00692062" w:rsidP="00031031">
            <w:pPr>
              <w:spacing w:before="30"/>
              <w:jc w:val="center"/>
              <w:rPr>
                <w:rFonts w:asciiTheme="majorBidi" w:hAnsiTheme="majorBidi" w:cstheme="majorBidi"/>
                <w:sz w:val="24"/>
                <w:szCs w:val="24"/>
              </w:rPr>
            </w:pPr>
          </w:p>
          <w:p w14:paraId="77BB84A6" w14:textId="47658923" w:rsidR="00692062" w:rsidRPr="00E82AF4" w:rsidRDefault="00692062" w:rsidP="00031031">
            <w:pPr>
              <w:spacing w:before="30"/>
              <w:jc w:val="center"/>
              <w:rPr>
                <w:rFonts w:asciiTheme="majorBidi" w:hAnsiTheme="majorBidi" w:cstheme="majorBidi"/>
                <w:sz w:val="24"/>
                <w:szCs w:val="24"/>
              </w:rPr>
            </w:pPr>
            <w:r>
              <w:rPr>
                <w:rFonts w:asciiTheme="majorBidi" w:hAnsiTheme="majorBidi" w:cstheme="majorBidi"/>
                <w:sz w:val="24"/>
                <w:szCs w:val="24"/>
              </w:rPr>
              <w:t>32</w:t>
            </w:r>
          </w:p>
        </w:tc>
      </w:tr>
      <w:tr w:rsidR="003758DF" w14:paraId="6BD5E91D" w14:textId="77777777" w:rsidTr="00692062">
        <w:tc>
          <w:tcPr>
            <w:tcW w:w="685" w:type="dxa"/>
          </w:tcPr>
          <w:p w14:paraId="0575551E" w14:textId="77777777" w:rsidR="003758DF" w:rsidRDefault="003758DF" w:rsidP="00031031">
            <w:pPr>
              <w:spacing w:before="30"/>
              <w:jc w:val="center"/>
              <w:rPr>
                <w:rFonts w:asciiTheme="majorBidi" w:hAnsiTheme="majorBidi" w:cstheme="majorBidi"/>
                <w:b/>
                <w:bCs/>
                <w:sz w:val="24"/>
                <w:szCs w:val="24"/>
              </w:rPr>
            </w:pPr>
            <w:r>
              <w:rPr>
                <w:rFonts w:asciiTheme="majorBidi" w:hAnsiTheme="majorBidi" w:cstheme="majorBidi"/>
                <w:sz w:val="24"/>
                <w:szCs w:val="24"/>
              </w:rPr>
              <w:t>2.2</w:t>
            </w:r>
          </w:p>
        </w:tc>
        <w:tc>
          <w:tcPr>
            <w:tcW w:w="7230" w:type="dxa"/>
          </w:tcPr>
          <w:p w14:paraId="014F0465" w14:textId="64BD96F7" w:rsidR="003758DF" w:rsidRPr="00E82AF4" w:rsidRDefault="003758DF" w:rsidP="00031031">
            <w:pPr>
              <w:spacing w:before="30"/>
              <w:jc w:val="both"/>
              <w:rPr>
                <w:rFonts w:asciiTheme="majorBidi" w:hAnsiTheme="majorBidi" w:cstheme="majorBidi"/>
                <w:sz w:val="24"/>
                <w:szCs w:val="24"/>
              </w:rPr>
            </w:pPr>
            <w:r w:rsidRPr="009135DC">
              <w:rPr>
                <w:rFonts w:asciiTheme="majorBidi" w:hAnsiTheme="majorBidi" w:cstheme="majorBidi"/>
                <w:sz w:val="24"/>
                <w:szCs w:val="24"/>
              </w:rPr>
              <w:t xml:space="preserve">Genomic diversity of 3482 neutral SNPs loci estimates for the </w:t>
            </w:r>
            <w:r w:rsidRPr="009135DC">
              <w:rPr>
                <w:rFonts w:asciiTheme="majorBidi" w:hAnsiTheme="majorBidi" w:cstheme="majorBidi"/>
                <w:i/>
                <w:iCs/>
                <w:sz w:val="24"/>
                <w:szCs w:val="24"/>
              </w:rPr>
              <w:t>humboldtianum</w:t>
            </w:r>
            <w:r w:rsidRPr="009135DC">
              <w:rPr>
                <w:rFonts w:asciiTheme="majorBidi" w:hAnsiTheme="majorBidi" w:cstheme="majorBidi"/>
                <w:sz w:val="24"/>
                <w:szCs w:val="24"/>
              </w:rPr>
              <w:t xml:space="preserve"> group, under each species delimitation</w:t>
            </w:r>
            <w:r>
              <w:rPr>
                <w:rFonts w:asciiTheme="majorBidi" w:hAnsiTheme="majorBidi" w:cstheme="majorBidi"/>
                <w:sz w:val="24"/>
                <w:szCs w:val="24"/>
              </w:rPr>
              <w:t xml:space="preserve"> </w:t>
            </w:r>
            <w:r w:rsidRPr="009135DC">
              <w:rPr>
                <w:rFonts w:asciiTheme="majorBidi" w:hAnsiTheme="majorBidi" w:cstheme="majorBidi"/>
                <w:sz w:val="24"/>
                <w:szCs w:val="24"/>
              </w:rPr>
              <w:t>hypothesis examined in this study (i–iv)</w:t>
            </w:r>
            <w:r>
              <w:rPr>
                <w:rFonts w:asciiTheme="majorBidi" w:hAnsiTheme="majorBidi" w:cstheme="majorBidi"/>
                <w:sz w:val="24"/>
                <w:szCs w:val="24"/>
              </w:rPr>
              <w:t>……………...</w:t>
            </w:r>
            <w:r w:rsidR="00692062">
              <w:rPr>
                <w:rFonts w:asciiTheme="majorBidi" w:hAnsiTheme="majorBidi" w:cstheme="majorBidi"/>
                <w:sz w:val="24"/>
                <w:szCs w:val="24"/>
              </w:rPr>
              <w:t>................................................</w:t>
            </w:r>
          </w:p>
        </w:tc>
        <w:tc>
          <w:tcPr>
            <w:tcW w:w="1350" w:type="dxa"/>
          </w:tcPr>
          <w:p w14:paraId="5D53148C" w14:textId="77777777" w:rsidR="003758DF" w:rsidRDefault="003758DF" w:rsidP="00031031">
            <w:pPr>
              <w:spacing w:before="30"/>
              <w:jc w:val="center"/>
              <w:rPr>
                <w:rFonts w:asciiTheme="majorBidi" w:hAnsiTheme="majorBidi" w:cstheme="majorBidi"/>
                <w:sz w:val="24"/>
                <w:szCs w:val="24"/>
              </w:rPr>
            </w:pPr>
          </w:p>
          <w:p w14:paraId="075DB4DF" w14:textId="77777777" w:rsidR="00692062" w:rsidRDefault="00692062" w:rsidP="00031031">
            <w:pPr>
              <w:spacing w:before="30"/>
              <w:jc w:val="center"/>
              <w:rPr>
                <w:rFonts w:asciiTheme="majorBidi" w:hAnsiTheme="majorBidi" w:cstheme="majorBidi"/>
                <w:sz w:val="24"/>
                <w:szCs w:val="24"/>
              </w:rPr>
            </w:pPr>
          </w:p>
          <w:p w14:paraId="4F683569" w14:textId="153B0D8D" w:rsidR="00692062" w:rsidRPr="00E82AF4" w:rsidRDefault="00692062" w:rsidP="00031031">
            <w:pPr>
              <w:spacing w:before="30"/>
              <w:jc w:val="center"/>
              <w:rPr>
                <w:rFonts w:asciiTheme="majorBidi" w:hAnsiTheme="majorBidi" w:cstheme="majorBidi"/>
                <w:sz w:val="24"/>
                <w:szCs w:val="24"/>
              </w:rPr>
            </w:pPr>
            <w:r>
              <w:rPr>
                <w:rFonts w:asciiTheme="majorBidi" w:hAnsiTheme="majorBidi" w:cstheme="majorBidi"/>
                <w:sz w:val="24"/>
                <w:szCs w:val="24"/>
              </w:rPr>
              <w:t>33</w:t>
            </w:r>
          </w:p>
        </w:tc>
      </w:tr>
    </w:tbl>
    <w:p w14:paraId="75EBCE68" w14:textId="3EF64B28" w:rsidR="005E607D" w:rsidRDefault="00380C1C" w:rsidP="003758DF">
      <w:pPr>
        <w:spacing w:before="240"/>
        <w:rPr>
          <w:noProof/>
        </w:rPr>
      </w:pPr>
      <w:r>
        <w:rPr>
          <w:rFonts w:asciiTheme="majorBidi" w:hAnsiTheme="majorBidi"/>
          <w:b/>
          <w:bCs/>
          <w:sz w:val="28"/>
          <w:szCs w:val="28"/>
        </w:rPr>
        <w:fldChar w:fldCharType="begin"/>
      </w:r>
      <w:r>
        <w:rPr>
          <w:rFonts w:asciiTheme="majorBidi" w:hAnsiTheme="majorBidi"/>
          <w:b/>
          <w:bCs/>
          <w:sz w:val="28"/>
          <w:szCs w:val="28"/>
        </w:rPr>
        <w:instrText xml:space="preserve"> TOC \h \z \c "Figure 3." </w:instrText>
      </w:r>
      <w:r>
        <w:rPr>
          <w:rFonts w:asciiTheme="majorBidi" w:hAnsiTheme="majorBidi"/>
          <w:b/>
          <w:bCs/>
          <w:sz w:val="28"/>
          <w:szCs w:val="28"/>
        </w:rPr>
        <w:fldChar w:fldCharType="separate"/>
      </w:r>
    </w:p>
    <w:p w14:paraId="4E7091DE" w14:textId="55D61A76" w:rsidR="009C2632" w:rsidRPr="00A94780" w:rsidRDefault="00380C1C" w:rsidP="00A94780">
      <w:pPr>
        <w:rPr>
          <w:rFonts w:asciiTheme="majorBidi" w:hAnsiTheme="majorBidi"/>
          <w:b/>
          <w:bCs/>
          <w:sz w:val="28"/>
          <w:szCs w:val="28"/>
        </w:rPr>
      </w:pPr>
      <w:r>
        <w:rPr>
          <w:rFonts w:asciiTheme="majorBidi" w:hAnsiTheme="majorBidi"/>
          <w:b/>
          <w:bCs/>
          <w:sz w:val="28"/>
          <w:szCs w:val="28"/>
        </w:rPr>
        <w:fldChar w:fldCharType="end"/>
      </w:r>
    </w:p>
    <w:p w14:paraId="2530C4B1" w14:textId="2AA9F985" w:rsidR="00621369" w:rsidRPr="00263887" w:rsidRDefault="00621369" w:rsidP="00263887">
      <w:pPr>
        <w:rPr>
          <w:rFonts w:asciiTheme="majorBidi" w:hAnsiTheme="majorBidi" w:cstheme="majorBidi"/>
          <w:sz w:val="24"/>
          <w:szCs w:val="24"/>
        </w:rPr>
        <w:sectPr w:rsidR="00621369" w:rsidRPr="00263887" w:rsidSect="00442DA3">
          <w:footerReference w:type="default" r:id="rId10"/>
          <w:footerReference w:type="first" r:id="rId11"/>
          <w:pgSz w:w="12240" w:h="15840"/>
          <w:pgMar w:top="1440" w:right="1440" w:bottom="1440" w:left="1440" w:header="720" w:footer="720" w:gutter="0"/>
          <w:pgNumType w:fmt="lowerRoman"/>
          <w:cols w:space="720"/>
          <w:titlePg/>
          <w:docGrid w:linePitch="360"/>
        </w:sectPr>
      </w:pPr>
    </w:p>
    <w:p w14:paraId="154965E8" w14:textId="77777777" w:rsidR="009B3615" w:rsidRDefault="009B3615" w:rsidP="009B3615">
      <w:pPr>
        <w:rPr>
          <w:rFonts w:asciiTheme="majorBidi" w:hAnsiTheme="majorBidi" w:cstheme="majorBidi"/>
          <w:b/>
          <w:bCs/>
          <w:sz w:val="56"/>
          <w:szCs w:val="56"/>
        </w:rPr>
      </w:pPr>
      <w:r>
        <w:rPr>
          <w:rFonts w:asciiTheme="majorBidi" w:hAnsiTheme="majorBidi" w:cstheme="majorBidi"/>
          <w:b/>
          <w:bCs/>
          <w:sz w:val="56"/>
          <w:szCs w:val="56"/>
        </w:rPr>
        <w:lastRenderedPageBreak/>
        <w:t>Chapter 1</w:t>
      </w:r>
    </w:p>
    <w:p w14:paraId="3BD73F3C" w14:textId="77777777" w:rsidR="009B3615" w:rsidRDefault="009B3615" w:rsidP="009B3615">
      <w:pPr>
        <w:rPr>
          <w:rFonts w:asciiTheme="majorBidi" w:hAnsiTheme="majorBidi" w:cstheme="majorBidi"/>
          <w:b/>
          <w:bCs/>
          <w:sz w:val="56"/>
          <w:szCs w:val="56"/>
        </w:rPr>
      </w:pPr>
    </w:p>
    <w:p w14:paraId="4BA1C55A" w14:textId="77777777" w:rsidR="009B3615" w:rsidRDefault="009B3615" w:rsidP="009B3615">
      <w:pPr>
        <w:rPr>
          <w:rFonts w:asciiTheme="majorBidi" w:hAnsiTheme="majorBidi" w:cstheme="majorBidi"/>
          <w:b/>
          <w:bCs/>
          <w:sz w:val="56"/>
          <w:szCs w:val="56"/>
        </w:rPr>
      </w:pPr>
      <w:r w:rsidRPr="00AD2D8A">
        <w:rPr>
          <w:rFonts w:asciiTheme="majorBidi" w:hAnsiTheme="majorBidi" w:cstheme="majorBidi"/>
          <w:b/>
          <w:bCs/>
          <w:sz w:val="56"/>
          <w:szCs w:val="56"/>
        </w:rPr>
        <w:t>Genomics overrules mitochondrial DNA, siding with morphology on a controversial case of species delimitation</w:t>
      </w:r>
    </w:p>
    <w:p w14:paraId="181CDE65" w14:textId="77777777" w:rsidR="009B3615" w:rsidRDefault="009B3615" w:rsidP="009B3615">
      <w:pPr>
        <w:rPr>
          <w:rFonts w:asciiTheme="majorBidi" w:hAnsiTheme="majorBidi" w:cstheme="majorBidi"/>
          <w:b/>
          <w:bCs/>
          <w:sz w:val="24"/>
          <w:szCs w:val="24"/>
        </w:rPr>
      </w:pPr>
    </w:p>
    <w:p w14:paraId="3BB25DE3" w14:textId="31FABF81" w:rsidR="00522802" w:rsidRDefault="00522802" w:rsidP="009B3615">
      <w:pPr>
        <w:rPr>
          <w:rFonts w:ascii="Times New Roman" w:hAnsi="Times New Roman" w:cs="Times New Roman"/>
          <w:sz w:val="24"/>
          <w:szCs w:val="24"/>
        </w:rPr>
      </w:pPr>
      <w:r>
        <w:rPr>
          <w:rFonts w:ascii="Times New Roman" w:hAnsi="Times New Roman" w:cs="Times New Roman"/>
          <w:sz w:val="24"/>
          <w:szCs w:val="24"/>
        </w:rPr>
        <w:t xml:space="preserve">Published in </w:t>
      </w:r>
      <w:r w:rsidRPr="00522802">
        <w:rPr>
          <w:rFonts w:ascii="Times New Roman" w:hAnsi="Times New Roman" w:cs="Times New Roman"/>
          <w:i/>
          <w:iCs/>
          <w:sz w:val="24"/>
          <w:szCs w:val="24"/>
        </w:rPr>
        <w:t>Proceedings of</w:t>
      </w:r>
      <w:r w:rsidR="000E720D">
        <w:rPr>
          <w:rFonts w:ascii="Times New Roman" w:hAnsi="Times New Roman" w:cs="Times New Roman"/>
          <w:i/>
          <w:iCs/>
          <w:sz w:val="24"/>
          <w:szCs w:val="24"/>
        </w:rPr>
        <w:t xml:space="preserve"> the Royal Society</w:t>
      </w:r>
      <w:r w:rsidRPr="00522802">
        <w:rPr>
          <w:rFonts w:ascii="Times New Roman" w:hAnsi="Times New Roman" w:cs="Times New Roman"/>
          <w:i/>
          <w:iCs/>
          <w:sz w:val="24"/>
          <w:szCs w:val="24"/>
        </w:rPr>
        <w:t xml:space="preserve"> </w:t>
      </w:r>
      <w:r>
        <w:rPr>
          <w:rFonts w:ascii="Times New Roman" w:hAnsi="Times New Roman" w:cs="Times New Roman"/>
          <w:i/>
          <w:iCs/>
          <w:sz w:val="24"/>
          <w:szCs w:val="24"/>
        </w:rPr>
        <w:t xml:space="preserve">B </w:t>
      </w:r>
      <w:r>
        <w:rPr>
          <w:rFonts w:ascii="Times New Roman" w:hAnsi="Times New Roman" w:cs="Times New Roman"/>
          <w:sz w:val="24"/>
          <w:szCs w:val="24"/>
        </w:rPr>
        <w:t>(</w:t>
      </w:r>
      <w:r w:rsidR="000E720D" w:rsidRPr="000E720D">
        <w:rPr>
          <w:rFonts w:ascii="Times New Roman" w:hAnsi="Times New Roman" w:cs="Times New Roman"/>
          <w:sz w:val="24"/>
          <w:szCs w:val="24"/>
        </w:rPr>
        <w:t>http://dx.doi.org/10.1098/rspb.2018.2924</w:t>
      </w:r>
      <w:r>
        <w:rPr>
          <w:rFonts w:ascii="Times New Roman" w:hAnsi="Times New Roman" w:cs="Times New Roman"/>
          <w:sz w:val="24"/>
          <w:szCs w:val="24"/>
        </w:rPr>
        <w:t>)</w:t>
      </w:r>
    </w:p>
    <w:p w14:paraId="2FFA48E7" w14:textId="77777777" w:rsidR="00613DFD" w:rsidRDefault="00613DFD" w:rsidP="00613DFD">
      <w:pPr>
        <w:jc w:val="both"/>
        <w:rPr>
          <w:rFonts w:asciiTheme="majorBidi" w:hAnsiTheme="majorBidi" w:cstheme="majorBidi"/>
          <w:sz w:val="24"/>
          <w:szCs w:val="24"/>
          <w:vertAlign w:val="superscript"/>
          <w:lang w:val="es-ES"/>
        </w:rPr>
      </w:pPr>
      <w:r w:rsidRPr="00613DFD">
        <w:rPr>
          <w:rFonts w:asciiTheme="majorBidi" w:hAnsiTheme="majorBidi" w:cstheme="majorBidi"/>
          <w:sz w:val="24"/>
          <w:szCs w:val="24"/>
          <w:lang w:val="es-ES"/>
        </w:rPr>
        <w:t xml:space="preserve">Carmen del R. Pedraza-Marrón*, Raimundo Silva, Jonathan Deeds, Steven M. Van Belleghem, Alicia Mastretta-Yanes, Omar Domínguez-Domínguez, Rafael A. Rivero-Vega, Loretta </w:t>
      </w:r>
      <w:proofErr w:type="spellStart"/>
      <w:r w:rsidRPr="00613DFD">
        <w:rPr>
          <w:rFonts w:asciiTheme="majorBidi" w:hAnsiTheme="majorBidi" w:cstheme="majorBidi"/>
          <w:sz w:val="24"/>
          <w:szCs w:val="24"/>
          <w:lang w:val="es-ES"/>
        </w:rPr>
        <w:t>Lutackas</w:t>
      </w:r>
      <w:proofErr w:type="spellEnd"/>
      <w:r w:rsidRPr="00613DFD">
        <w:rPr>
          <w:rFonts w:asciiTheme="majorBidi" w:hAnsiTheme="majorBidi" w:cstheme="majorBidi"/>
          <w:sz w:val="24"/>
          <w:szCs w:val="24"/>
          <w:lang w:val="es-ES"/>
        </w:rPr>
        <w:t xml:space="preserve">, Debra </w:t>
      </w:r>
      <w:proofErr w:type="spellStart"/>
      <w:r w:rsidRPr="00613DFD">
        <w:rPr>
          <w:rFonts w:asciiTheme="majorBidi" w:hAnsiTheme="majorBidi" w:cstheme="majorBidi"/>
          <w:sz w:val="24"/>
          <w:szCs w:val="24"/>
          <w:lang w:val="es-ES"/>
        </w:rPr>
        <w:t>Murie</w:t>
      </w:r>
      <w:proofErr w:type="spellEnd"/>
      <w:r w:rsidRPr="00613DFD">
        <w:rPr>
          <w:rFonts w:asciiTheme="majorBidi" w:hAnsiTheme="majorBidi" w:cstheme="majorBidi"/>
          <w:sz w:val="24"/>
          <w:szCs w:val="24"/>
          <w:lang w:val="es-ES"/>
        </w:rPr>
        <w:t xml:space="preserve">, </w:t>
      </w:r>
      <w:proofErr w:type="spellStart"/>
      <w:r w:rsidRPr="00613DFD">
        <w:rPr>
          <w:rFonts w:asciiTheme="majorBidi" w:hAnsiTheme="majorBidi" w:cstheme="majorBidi"/>
          <w:sz w:val="24"/>
          <w:szCs w:val="24"/>
          <w:lang w:val="es-ES"/>
        </w:rPr>
        <w:t>Daryl</w:t>
      </w:r>
      <w:proofErr w:type="spellEnd"/>
      <w:r w:rsidRPr="00613DFD">
        <w:rPr>
          <w:rFonts w:asciiTheme="majorBidi" w:hAnsiTheme="majorBidi" w:cstheme="majorBidi"/>
          <w:sz w:val="24"/>
          <w:szCs w:val="24"/>
          <w:lang w:val="es-ES"/>
        </w:rPr>
        <w:t xml:space="preserve"> </w:t>
      </w:r>
      <w:proofErr w:type="spellStart"/>
      <w:r w:rsidRPr="00613DFD">
        <w:rPr>
          <w:rFonts w:asciiTheme="majorBidi" w:hAnsiTheme="majorBidi" w:cstheme="majorBidi"/>
          <w:sz w:val="24"/>
          <w:szCs w:val="24"/>
          <w:lang w:val="es-ES"/>
        </w:rPr>
        <w:t>Parkyn</w:t>
      </w:r>
      <w:proofErr w:type="spellEnd"/>
      <w:r w:rsidRPr="00613DFD">
        <w:rPr>
          <w:rFonts w:asciiTheme="majorBidi" w:hAnsiTheme="majorBidi" w:cstheme="majorBidi"/>
          <w:sz w:val="24"/>
          <w:szCs w:val="24"/>
          <w:lang w:val="es-ES"/>
        </w:rPr>
        <w:t xml:space="preserve">, </w:t>
      </w:r>
      <w:proofErr w:type="spellStart"/>
      <w:r w:rsidRPr="00613DFD">
        <w:rPr>
          <w:rFonts w:asciiTheme="majorBidi" w:hAnsiTheme="majorBidi" w:cstheme="majorBidi"/>
          <w:sz w:val="24"/>
          <w:szCs w:val="24"/>
          <w:lang w:val="es-ES"/>
        </w:rPr>
        <w:t>Lew</w:t>
      </w:r>
      <w:proofErr w:type="spellEnd"/>
      <w:r w:rsidRPr="00613DFD">
        <w:rPr>
          <w:rFonts w:asciiTheme="majorBidi" w:hAnsiTheme="majorBidi" w:cstheme="majorBidi"/>
          <w:sz w:val="24"/>
          <w:szCs w:val="24"/>
          <w:lang w:val="es-ES"/>
        </w:rPr>
        <w:t xml:space="preserve"> Bullock, </w:t>
      </w:r>
      <w:proofErr w:type="spellStart"/>
      <w:r w:rsidRPr="00613DFD">
        <w:rPr>
          <w:rFonts w:asciiTheme="majorBidi" w:hAnsiTheme="majorBidi" w:cstheme="majorBidi"/>
          <w:sz w:val="24"/>
          <w:szCs w:val="24"/>
          <w:lang w:val="es-ES"/>
        </w:rPr>
        <w:t>Kristin</w:t>
      </w:r>
      <w:proofErr w:type="spellEnd"/>
      <w:r w:rsidRPr="00613DFD">
        <w:rPr>
          <w:rFonts w:asciiTheme="majorBidi" w:hAnsiTheme="majorBidi" w:cstheme="majorBidi"/>
          <w:sz w:val="24"/>
          <w:szCs w:val="24"/>
          <w:lang w:val="es-ES"/>
        </w:rPr>
        <w:t xml:space="preserve"> </w:t>
      </w:r>
      <w:proofErr w:type="spellStart"/>
      <w:r w:rsidRPr="00613DFD">
        <w:rPr>
          <w:rFonts w:asciiTheme="majorBidi" w:hAnsiTheme="majorBidi" w:cstheme="majorBidi"/>
          <w:sz w:val="24"/>
          <w:szCs w:val="24"/>
          <w:lang w:val="es-ES"/>
        </w:rPr>
        <w:t>Foss</w:t>
      </w:r>
      <w:proofErr w:type="spellEnd"/>
      <w:r w:rsidRPr="00613DFD">
        <w:rPr>
          <w:rFonts w:asciiTheme="majorBidi" w:hAnsiTheme="majorBidi" w:cstheme="majorBidi"/>
          <w:sz w:val="24"/>
          <w:szCs w:val="24"/>
          <w:lang w:val="es-ES"/>
        </w:rPr>
        <w:t>, Humberto Ortiz-</w:t>
      </w:r>
      <w:proofErr w:type="spellStart"/>
      <w:r w:rsidRPr="00613DFD">
        <w:rPr>
          <w:rFonts w:asciiTheme="majorBidi" w:hAnsiTheme="majorBidi" w:cstheme="majorBidi"/>
          <w:sz w:val="24"/>
          <w:szCs w:val="24"/>
          <w:lang w:val="es-ES"/>
        </w:rPr>
        <w:t>Zuazaga</w:t>
      </w:r>
      <w:proofErr w:type="spellEnd"/>
      <w:r w:rsidRPr="00613DFD">
        <w:rPr>
          <w:rFonts w:asciiTheme="majorBidi" w:hAnsiTheme="majorBidi" w:cstheme="majorBidi"/>
          <w:sz w:val="24"/>
          <w:szCs w:val="24"/>
          <w:lang w:val="es-ES"/>
        </w:rPr>
        <w:t>, Juan Narváez-</w:t>
      </w:r>
      <w:proofErr w:type="spellStart"/>
      <w:r w:rsidRPr="00613DFD">
        <w:rPr>
          <w:rFonts w:asciiTheme="majorBidi" w:hAnsiTheme="majorBidi" w:cstheme="majorBidi"/>
          <w:sz w:val="24"/>
          <w:szCs w:val="24"/>
          <w:lang w:val="es-ES"/>
        </w:rPr>
        <w:t>Barandica</w:t>
      </w:r>
      <w:proofErr w:type="spellEnd"/>
      <w:r w:rsidRPr="00613DFD">
        <w:rPr>
          <w:rFonts w:asciiTheme="majorBidi" w:hAnsiTheme="majorBidi" w:cstheme="majorBidi"/>
          <w:sz w:val="24"/>
          <w:szCs w:val="24"/>
          <w:lang w:val="es-ES"/>
        </w:rPr>
        <w:t xml:space="preserve">, Arturo Acero, </w:t>
      </w:r>
      <w:proofErr w:type="spellStart"/>
      <w:r w:rsidRPr="00613DFD">
        <w:rPr>
          <w:rFonts w:asciiTheme="majorBidi" w:hAnsiTheme="majorBidi" w:cstheme="majorBidi"/>
          <w:sz w:val="24"/>
          <w:szCs w:val="24"/>
          <w:lang w:val="es-ES"/>
        </w:rPr>
        <w:t>Grazielle</w:t>
      </w:r>
      <w:proofErr w:type="spellEnd"/>
      <w:r w:rsidRPr="00613DFD">
        <w:rPr>
          <w:rFonts w:asciiTheme="majorBidi" w:hAnsiTheme="majorBidi" w:cstheme="majorBidi"/>
          <w:sz w:val="24"/>
          <w:szCs w:val="24"/>
          <w:lang w:val="es-ES"/>
        </w:rPr>
        <w:t xml:space="preserve"> Gomes, Ricardo Betancur-R.*</w:t>
      </w:r>
    </w:p>
    <w:p w14:paraId="3584D5F9" w14:textId="4762AFAD" w:rsidR="000E720D" w:rsidRPr="00613DFD" w:rsidRDefault="00613DFD" w:rsidP="00613DFD">
      <w:pPr>
        <w:jc w:val="both"/>
        <w:rPr>
          <w:rFonts w:asciiTheme="majorBidi" w:hAnsiTheme="majorBidi" w:cstheme="majorBidi"/>
          <w:sz w:val="24"/>
          <w:szCs w:val="24"/>
          <w:vertAlign w:val="superscript"/>
          <w:lang w:val="es-ES"/>
        </w:rPr>
      </w:pPr>
      <w:r w:rsidRPr="00613DFD">
        <w:rPr>
          <w:rFonts w:asciiTheme="majorBidi" w:hAnsiTheme="majorBidi" w:cstheme="majorBidi"/>
          <w:sz w:val="24"/>
          <w:szCs w:val="24"/>
        </w:rPr>
        <w:t xml:space="preserve">(*) </w:t>
      </w:r>
      <w:r w:rsidRPr="00613DFD">
        <w:rPr>
          <w:rFonts w:asciiTheme="majorBidi" w:hAnsiTheme="majorBidi" w:cstheme="majorBidi"/>
          <w:i/>
          <w:iCs/>
          <w:sz w:val="24"/>
          <w:szCs w:val="24"/>
        </w:rPr>
        <w:t>equal contribution</w:t>
      </w:r>
    </w:p>
    <w:p w14:paraId="09845F52" w14:textId="77777777" w:rsidR="00613DFD" w:rsidRPr="00522802" w:rsidRDefault="00613DFD" w:rsidP="009B3615">
      <w:pPr>
        <w:rPr>
          <w:rFonts w:asciiTheme="majorBidi" w:hAnsiTheme="majorBidi" w:cstheme="majorBidi"/>
          <w:b/>
          <w:bCs/>
          <w:sz w:val="24"/>
          <w:szCs w:val="24"/>
        </w:rPr>
      </w:pPr>
    </w:p>
    <w:p w14:paraId="268C9439" w14:textId="348A7C14" w:rsidR="009B3615" w:rsidRPr="000610B1" w:rsidRDefault="009B3615" w:rsidP="000610B1">
      <w:pPr>
        <w:pStyle w:val="ListParagraph"/>
        <w:numPr>
          <w:ilvl w:val="1"/>
          <w:numId w:val="1"/>
        </w:numPr>
        <w:rPr>
          <w:rFonts w:asciiTheme="majorBidi" w:hAnsiTheme="majorBidi" w:cstheme="majorBidi"/>
          <w:b/>
          <w:bCs/>
          <w:sz w:val="32"/>
          <w:szCs w:val="32"/>
        </w:rPr>
      </w:pPr>
      <w:r w:rsidRPr="000610B1">
        <w:rPr>
          <w:rFonts w:asciiTheme="majorBidi" w:hAnsiTheme="majorBidi" w:cstheme="majorBidi"/>
          <w:b/>
          <w:bCs/>
          <w:sz w:val="32"/>
          <w:szCs w:val="32"/>
        </w:rPr>
        <w:t>Abstract</w:t>
      </w:r>
    </w:p>
    <w:p w14:paraId="4B41C0B3" w14:textId="14EAEBBF" w:rsidR="000610B1" w:rsidRDefault="000610B1" w:rsidP="003343DC">
      <w:pPr>
        <w:jc w:val="both"/>
        <w:rPr>
          <w:rFonts w:asciiTheme="majorBidi" w:hAnsiTheme="majorBidi" w:cstheme="majorBidi"/>
          <w:sz w:val="24"/>
          <w:szCs w:val="24"/>
        </w:rPr>
      </w:pPr>
      <w:r w:rsidRPr="000610B1">
        <w:rPr>
          <w:rFonts w:asciiTheme="majorBidi" w:hAnsiTheme="majorBidi" w:cstheme="majorBidi"/>
          <w:sz w:val="24"/>
          <w:szCs w:val="24"/>
        </w:rPr>
        <w:t xml:space="preserve">Species delimitation is a major quest in biology and is essential for adequate management of the organismal diversity. A challenging example comprises the fish species of red snappers in the Western Atlantic. Red snappers have been traditionally recognized as two separate species based on morphology: </w:t>
      </w:r>
      <w:r w:rsidRPr="000610B1">
        <w:rPr>
          <w:rFonts w:asciiTheme="majorBidi" w:hAnsiTheme="majorBidi" w:cstheme="majorBidi"/>
          <w:i/>
          <w:sz w:val="24"/>
          <w:szCs w:val="24"/>
        </w:rPr>
        <w:t xml:space="preserve">Lutjanus campechanus </w:t>
      </w:r>
      <w:r w:rsidRPr="000610B1">
        <w:rPr>
          <w:rFonts w:asciiTheme="majorBidi" w:hAnsiTheme="majorBidi" w:cstheme="majorBidi"/>
          <w:sz w:val="24"/>
          <w:szCs w:val="24"/>
        </w:rPr>
        <w:t xml:space="preserve">(northern red snapper) and </w:t>
      </w:r>
      <w:r w:rsidRPr="000610B1">
        <w:rPr>
          <w:rFonts w:asciiTheme="majorBidi" w:hAnsiTheme="majorBidi" w:cstheme="majorBidi"/>
          <w:i/>
          <w:sz w:val="24"/>
          <w:szCs w:val="24"/>
        </w:rPr>
        <w:t xml:space="preserve">L. purpureus </w:t>
      </w:r>
      <w:r w:rsidRPr="000610B1">
        <w:rPr>
          <w:rFonts w:asciiTheme="majorBidi" w:hAnsiTheme="majorBidi" w:cstheme="majorBidi"/>
          <w:sz w:val="24"/>
          <w:szCs w:val="24"/>
        </w:rPr>
        <w:t>(southern red snapper). Recent genetic studies using mitochondrial markers, however, failed to delineate these nominal species, leading to the current lumping of the northern and southern populations into a single species (</w:t>
      </w:r>
      <w:r w:rsidRPr="000610B1">
        <w:rPr>
          <w:rFonts w:asciiTheme="majorBidi" w:hAnsiTheme="majorBidi" w:cstheme="majorBidi"/>
          <w:i/>
          <w:sz w:val="24"/>
          <w:szCs w:val="24"/>
        </w:rPr>
        <w:t>L. campechanus</w:t>
      </w:r>
      <w:r w:rsidRPr="000610B1">
        <w:rPr>
          <w:rFonts w:asciiTheme="majorBidi" w:hAnsiTheme="majorBidi" w:cstheme="majorBidi"/>
          <w:sz w:val="24"/>
          <w:szCs w:val="24"/>
        </w:rPr>
        <w:t xml:space="preserve">). This decision carries broad implications for conservation and management as red snappers have been commercially over-exploited across the Western Atlantic and are currently listed as vulnerable. To address this conflict, we examine genome-wide data collected throughout the range of the two species. Population genomics, phylogenetic and coalescent analyses favor the existence of two independent evolutionary lineages, a result that con- firms the morphology-based delimitation scenario in agreement with conventional taxonomy. Despite finding evidence of introgression in geo- graphically neighboring populations in northern South America, our genomic analyses strongly support isolation and differentiation of these </w:t>
      </w:r>
      <w:r w:rsidRPr="000610B1">
        <w:rPr>
          <w:rFonts w:asciiTheme="majorBidi" w:hAnsiTheme="majorBidi" w:cstheme="majorBidi"/>
          <w:sz w:val="24"/>
          <w:szCs w:val="24"/>
        </w:rPr>
        <w:lastRenderedPageBreak/>
        <w:t>species, suggesting that the northern and southern red snappers should be treated as distinct taxonomic entities.</w:t>
      </w:r>
    </w:p>
    <w:p w14:paraId="636CA400" w14:textId="77777777" w:rsidR="00580472" w:rsidRDefault="00580472" w:rsidP="003343DC">
      <w:pPr>
        <w:jc w:val="both"/>
        <w:rPr>
          <w:rFonts w:asciiTheme="majorBidi" w:hAnsiTheme="majorBidi" w:cstheme="majorBidi"/>
          <w:sz w:val="24"/>
          <w:szCs w:val="24"/>
        </w:rPr>
      </w:pPr>
    </w:p>
    <w:p w14:paraId="41FB826E" w14:textId="58E49AAB" w:rsidR="00580472" w:rsidRDefault="00580472" w:rsidP="00580472">
      <w:pPr>
        <w:pStyle w:val="ListParagraph"/>
        <w:numPr>
          <w:ilvl w:val="1"/>
          <w:numId w:val="1"/>
        </w:numPr>
        <w:rPr>
          <w:rFonts w:asciiTheme="majorBidi" w:hAnsiTheme="majorBidi" w:cstheme="majorBidi"/>
          <w:b/>
          <w:bCs/>
          <w:sz w:val="32"/>
          <w:szCs w:val="32"/>
        </w:rPr>
      </w:pPr>
      <w:r>
        <w:rPr>
          <w:rFonts w:asciiTheme="majorBidi" w:hAnsiTheme="majorBidi" w:cstheme="majorBidi"/>
          <w:b/>
          <w:bCs/>
          <w:sz w:val="32"/>
          <w:szCs w:val="32"/>
        </w:rPr>
        <w:t>Introduction</w:t>
      </w:r>
    </w:p>
    <w:p w14:paraId="40A41432" w14:textId="4E2AE958" w:rsidR="0031518F" w:rsidRDefault="005210FA" w:rsidP="0031518F">
      <w:pPr>
        <w:jc w:val="both"/>
        <w:rPr>
          <w:rFonts w:asciiTheme="majorBidi" w:hAnsiTheme="majorBidi" w:cstheme="majorBidi"/>
          <w:sz w:val="24"/>
          <w:szCs w:val="24"/>
        </w:rPr>
      </w:pPr>
      <w:r w:rsidRPr="005210FA">
        <w:rPr>
          <w:rFonts w:asciiTheme="majorBidi" w:hAnsiTheme="majorBidi" w:cstheme="majorBidi"/>
          <w:sz w:val="24"/>
          <w:szCs w:val="24"/>
        </w:rPr>
        <w:t>Delimitation of species—the basic unit of biological diversity—is of great interest across many fields in biology. The adoption of molecular information for species delimitation analyses has unveiled cryptic diversity across several taxa [1,2]. Initial approximations that integrated genetic markers, such as mitochondrial DNA (mtDNA) or scant nuclear DNA (nDNA) fragments, into traditional taxonomy provided greater resolution for a broad array of groups [1], from marine corals and fishes [3,4] to terrestrial fungi and mammals [5,6]. Mitochondrial and single nuclear markers, however, are not always efficient tools [7 – 9], and can at times fail to discriminate species correctly [10]. This is exemplified by the often incongruent genealogies inferred from different genetic loci that identify conflicting histories [11], which can ultimately arise from incomplete lineage sorting (ILS) or introgression [7,9,12] and reveal the history of the genes examined rather than that of the species [13]. Although mtDNA markers, widely used in molecular barcoding, have proven powerful at detecting cryptic species (e.g. fishes [3,14]), there are few examples in natural populations where mitochondrial-based approaches conflict with both conventional taxonomy and genomic inferences (e.g. sharks [15], lampreys [16], caddisflies [17]; see [18] for a review). Recently, the advent of high-throughput sequencing technologies has facilitated the generation of large-scale datasets with thousands of markers for high resolution of shallow evolutionary inferences [19], further allowing the elucidation of complex speciation scenarios (e.g. [17,20,21]). Uncovering signals of population and species differentiation with genome- wide molecular information is now becoming mainstream [2,22] and permits the rigorous validation of relationships that were previously inferred from single or few genetic loci.</w:t>
      </w:r>
    </w:p>
    <w:p w14:paraId="4507024B" w14:textId="2244B36D" w:rsidR="005210FA" w:rsidRDefault="005210FA" w:rsidP="0031518F">
      <w:pPr>
        <w:ind w:firstLine="720"/>
        <w:jc w:val="both"/>
        <w:rPr>
          <w:rFonts w:asciiTheme="majorBidi" w:hAnsiTheme="majorBidi" w:cstheme="majorBidi"/>
          <w:sz w:val="24"/>
          <w:szCs w:val="24"/>
        </w:rPr>
      </w:pPr>
      <w:r w:rsidRPr="005210FA">
        <w:rPr>
          <w:rFonts w:asciiTheme="majorBidi" w:hAnsiTheme="majorBidi" w:cstheme="majorBidi"/>
          <w:sz w:val="24"/>
          <w:szCs w:val="24"/>
        </w:rPr>
        <w:t>Here, we address a controversial case of species delimitation of red snappers (Teleostei: Lutjanidae) in the Western Atlantic (WA) where mtDNA has delimited fewer species than initially documented. For over a century, two allopatric species of red snappers have been recognized on the basis of morphological and meristic traits, including number of scales in the lateral line (or scale counts in rows above and below the lateral line) and modal differences in</w:t>
      </w:r>
      <w:r>
        <w:rPr>
          <w:rFonts w:asciiTheme="majorBidi" w:hAnsiTheme="majorBidi" w:cstheme="majorBidi"/>
          <w:sz w:val="24"/>
          <w:szCs w:val="24"/>
        </w:rPr>
        <w:t xml:space="preserve"> </w:t>
      </w:r>
      <w:r w:rsidRPr="005210FA">
        <w:rPr>
          <w:rFonts w:asciiTheme="majorBidi" w:hAnsiTheme="majorBidi" w:cstheme="majorBidi"/>
          <w:sz w:val="24"/>
          <w:szCs w:val="24"/>
        </w:rPr>
        <w:t>anal</w:t>
      </w:r>
      <w:r w:rsidR="0031518F">
        <w:rPr>
          <w:rFonts w:asciiTheme="majorBidi" w:hAnsiTheme="majorBidi" w:cstheme="majorBidi"/>
          <w:sz w:val="24"/>
          <w:szCs w:val="24"/>
        </w:rPr>
        <w:t xml:space="preserve"> </w:t>
      </w:r>
      <w:r w:rsidRPr="005210FA">
        <w:rPr>
          <w:rFonts w:asciiTheme="majorBidi" w:hAnsiTheme="majorBidi" w:cstheme="majorBidi"/>
          <w:sz w:val="24"/>
          <w:szCs w:val="24"/>
        </w:rPr>
        <w:t xml:space="preserve">fin ray counts [23]. The northern red snapper, </w:t>
      </w:r>
      <w:r w:rsidRPr="005210FA">
        <w:rPr>
          <w:rFonts w:asciiTheme="majorBidi" w:hAnsiTheme="majorBidi" w:cstheme="majorBidi"/>
          <w:i/>
          <w:sz w:val="24"/>
          <w:szCs w:val="24"/>
        </w:rPr>
        <w:t>Lutjanus</w:t>
      </w:r>
      <w:r>
        <w:rPr>
          <w:rFonts w:asciiTheme="majorBidi" w:hAnsiTheme="majorBidi" w:cstheme="majorBidi"/>
          <w:sz w:val="24"/>
          <w:szCs w:val="24"/>
        </w:rPr>
        <w:t xml:space="preserve"> </w:t>
      </w:r>
      <w:r w:rsidRPr="005210FA">
        <w:rPr>
          <w:rFonts w:asciiTheme="majorBidi" w:hAnsiTheme="majorBidi" w:cstheme="majorBidi"/>
          <w:i/>
          <w:sz w:val="24"/>
          <w:szCs w:val="24"/>
        </w:rPr>
        <w:t xml:space="preserve">campechanus </w:t>
      </w:r>
      <w:r w:rsidRPr="005210FA">
        <w:rPr>
          <w:rFonts w:asciiTheme="majorBidi" w:hAnsiTheme="majorBidi" w:cstheme="majorBidi"/>
          <w:sz w:val="24"/>
          <w:szCs w:val="24"/>
        </w:rPr>
        <w:t>(</w:t>
      </w:r>
      <w:proofErr w:type="spellStart"/>
      <w:r w:rsidRPr="005210FA">
        <w:rPr>
          <w:rFonts w:asciiTheme="majorBidi" w:hAnsiTheme="majorBidi" w:cstheme="majorBidi"/>
          <w:sz w:val="24"/>
          <w:szCs w:val="24"/>
        </w:rPr>
        <w:t>Poey</w:t>
      </w:r>
      <w:proofErr w:type="spellEnd"/>
      <w:r w:rsidRPr="005210FA">
        <w:rPr>
          <w:rFonts w:asciiTheme="majorBidi" w:hAnsiTheme="majorBidi" w:cstheme="majorBidi"/>
          <w:sz w:val="24"/>
          <w:szCs w:val="24"/>
        </w:rPr>
        <w:t xml:space="preserve">, 1860), is distributed along the US East coast and the Gulf of Mexico; the southern red snapper, </w:t>
      </w:r>
      <w:r w:rsidRPr="005210FA">
        <w:rPr>
          <w:rFonts w:asciiTheme="majorBidi" w:hAnsiTheme="majorBidi" w:cstheme="majorBidi"/>
          <w:i/>
          <w:sz w:val="24"/>
          <w:szCs w:val="24"/>
        </w:rPr>
        <w:t xml:space="preserve">Lutjanus purpureus </w:t>
      </w:r>
      <w:r w:rsidRPr="005210FA">
        <w:rPr>
          <w:rFonts w:asciiTheme="majorBidi" w:hAnsiTheme="majorBidi" w:cstheme="majorBidi"/>
          <w:sz w:val="24"/>
          <w:szCs w:val="24"/>
        </w:rPr>
        <w:t>(</w:t>
      </w:r>
      <w:proofErr w:type="spellStart"/>
      <w:r w:rsidRPr="005210FA">
        <w:rPr>
          <w:rFonts w:asciiTheme="majorBidi" w:hAnsiTheme="majorBidi" w:cstheme="majorBidi"/>
          <w:sz w:val="24"/>
          <w:szCs w:val="24"/>
        </w:rPr>
        <w:t>Poey</w:t>
      </w:r>
      <w:proofErr w:type="spellEnd"/>
      <w:r w:rsidRPr="005210FA">
        <w:rPr>
          <w:rFonts w:asciiTheme="majorBidi" w:hAnsiTheme="majorBidi" w:cstheme="majorBidi"/>
          <w:sz w:val="24"/>
          <w:szCs w:val="24"/>
        </w:rPr>
        <w:t>, 1866), occurs in the Caribbean Sea and southwards through northeastern Brazil. Recent attempts to investigate population genetic structure and to evaluate the degree of similarity of red snappers using mtDNA sequences [24,25] failed, however, to discriminate the nominal species as independent evolutionary groups. These studies have ultimately suggested that the northern and southern red snappers constitute a single species (</w:t>
      </w:r>
      <w:r w:rsidRPr="005210FA">
        <w:rPr>
          <w:rFonts w:asciiTheme="majorBidi" w:hAnsiTheme="majorBidi" w:cstheme="majorBidi"/>
          <w:i/>
          <w:sz w:val="24"/>
          <w:szCs w:val="24"/>
        </w:rPr>
        <w:t>L. campechanus</w:t>
      </w:r>
      <w:r w:rsidRPr="005210FA">
        <w:rPr>
          <w:rFonts w:asciiTheme="majorBidi" w:hAnsiTheme="majorBidi" w:cstheme="majorBidi"/>
          <w:sz w:val="24"/>
          <w:szCs w:val="24"/>
        </w:rPr>
        <w:t xml:space="preserve">) that exhibits phenotypic variability throughout the WA. This decision has been recently adopted by several taxonomic authorities [26,27], carrying down- stream repercussions for conservation and fisheries management. The conflicting morphological and mitochondrial evidence has raised a controversial case of species delimitation where an accurate taxonomic demarcation is of particular concern, as </w:t>
      </w:r>
      <w:r w:rsidRPr="005210FA">
        <w:rPr>
          <w:rFonts w:asciiTheme="majorBidi" w:hAnsiTheme="majorBidi" w:cstheme="majorBidi"/>
          <w:sz w:val="24"/>
          <w:szCs w:val="24"/>
        </w:rPr>
        <w:lastRenderedPageBreak/>
        <w:t>red snappers have been widely overfished and are currently listed as vulnerable by the IUCN Red List of Threatened Species [28].</w:t>
      </w:r>
    </w:p>
    <w:p w14:paraId="61DD9D30" w14:textId="21EC01CE" w:rsidR="005210FA" w:rsidRPr="005210FA" w:rsidRDefault="005210FA" w:rsidP="0031518F">
      <w:pPr>
        <w:ind w:firstLine="720"/>
        <w:jc w:val="both"/>
        <w:rPr>
          <w:rFonts w:asciiTheme="majorBidi" w:hAnsiTheme="majorBidi" w:cstheme="majorBidi"/>
          <w:sz w:val="24"/>
          <w:szCs w:val="24"/>
        </w:rPr>
      </w:pPr>
      <w:r w:rsidRPr="005210FA">
        <w:rPr>
          <w:rFonts w:asciiTheme="majorBidi" w:hAnsiTheme="majorBidi" w:cstheme="majorBidi"/>
          <w:sz w:val="24"/>
          <w:szCs w:val="24"/>
        </w:rPr>
        <w:t>Using genome-wide markers generated via RAD</w:t>
      </w:r>
      <w:r>
        <w:rPr>
          <w:rFonts w:asciiTheme="majorBidi" w:hAnsiTheme="majorBidi" w:cstheme="majorBidi"/>
          <w:sz w:val="24"/>
          <w:szCs w:val="24"/>
        </w:rPr>
        <w:t xml:space="preserve"> sequencing </w:t>
      </w:r>
      <w:r w:rsidRPr="005210FA">
        <w:rPr>
          <w:rFonts w:asciiTheme="majorBidi" w:hAnsiTheme="majorBidi" w:cstheme="majorBidi"/>
          <w:sz w:val="24"/>
          <w:szCs w:val="24"/>
        </w:rPr>
        <w:t>approaches, we test the discordance between the mtDNA- and morphology-based hypotheses that has led to a continuing conflict of species delimitation in WA red snappers.</w:t>
      </w:r>
      <w:r>
        <w:rPr>
          <w:rFonts w:asciiTheme="majorBidi" w:hAnsiTheme="majorBidi" w:cstheme="majorBidi"/>
          <w:sz w:val="24"/>
          <w:szCs w:val="24"/>
        </w:rPr>
        <w:t xml:space="preserve"> </w:t>
      </w:r>
      <w:r w:rsidRPr="005210FA">
        <w:rPr>
          <w:rFonts w:asciiTheme="majorBidi" w:hAnsiTheme="majorBidi" w:cstheme="majorBidi"/>
          <w:sz w:val="24"/>
          <w:szCs w:val="24"/>
        </w:rPr>
        <w:t>We show that southern and northern red snappers represent two independent evolutionary lineages that should be recognized as distinct species. We highlight the importance of using genomic approaches to reconcile complex species delimitation scenarios where different lines of evidence conflict.</w:t>
      </w:r>
    </w:p>
    <w:p w14:paraId="6F3C957F" w14:textId="77777777" w:rsidR="005210FA" w:rsidRPr="005210FA" w:rsidRDefault="005210FA" w:rsidP="005210FA">
      <w:pPr>
        <w:rPr>
          <w:rFonts w:asciiTheme="majorBidi" w:hAnsiTheme="majorBidi" w:cstheme="majorBidi"/>
          <w:sz w:val="24"/>
          <w:szCs w:val="24"/>
        </w:rPr>
      </w:pPr>
    </w:p>
    <w:p w14:paraId="2481975A" w14:textId="03A3CD83" w:rsidR="00580472" w:rsidRDefault="00580472" w:rsidP="00580472">
      <w:pPr>
        <w:pStyle w:val="ListParagraph"/>
        <w:numPr>
          <w:ilvl w:val="1"/>
          <w:numId w:val="1"/>
        </w:numPr>
        <w:rPr>
          <w:rFonts w:asciiTheme="majorBidi" w:hAnsiTheme="majorBidi" w:cstheme="majorBidi"/>
          <w:b/>
          <w:bCs/>
          <w:sz w:val="32"/>
          <w:szCs w:val="32"/>
        </w:rPr>
      </w:pPr>
      <w:r>
        <w:rPr>
          <w:rFonts w:asciiTheme="majorBidi" w:hAnsiTheme="majorBidi" w:cstheme="majorBidi"/>
          <w:b/>
          <w:bCs/>
          <w:sz w:val="32"/>
          <w:szCs w:val="32"/>
        </w:rPr>
        <w:t>Materials and methods</w:t>
      </w:r>
    </w:p>
    <w:p w14:paraId="33D2C236" w14:textId="38A4D2D9" w:rsidR="005C215B" w:rsidRPr="00966993" w:rsidRDefault="00966993" w:rsidP="00966993">
      <w:pPr>
        <w:rPr>
          <w:rFonts w:asciiTheme="majorBidi" w:hAnsiTheme="majorBidi" w:cstheme="majorBidi"/>
          <w:b/>
          <w:bCs/>
          <w:sz w:val="28"/>
          <w:szCs w:val="28"/>
        </w:rPr>
      </w:pPr>
      <w:r w:rsidRPr="00966993">
        <w:rPr>
          <w:rFonts w:asciiTheme="majorBidi" w:hAnsiTheme="majorBidi" w:cstheme="majorBidi"/>
          <w:b/>
          <w:bCs/>
          <w:sz w:val="28"/>
          <w:szCs w:val="28"/>
        </w:rPr>
        <w:t>Sampling</w:t>
      </w:r>
    </w:p>
    <w:p w14:paraId="710A0CA4" w14:textId="27F2C579" w:rsidR="00966993" w:rsidRDefault="00966993" w:rsidP="00966993">
      <w:pPr>
        <w:jc w:val="both"/>
        <w:rPr>
          <w:rFonts w:asciiTheme="majorBidi" w:hAnsiTheme="majorBidi" w:cstheme="majorBidi"/>
          <w:sz w:val="24"/>
          <w:szCs w:val="24"/>
        </w:rPr>
      </w:pPr>
      <w:r w:rsidRPr="00966993">
        <w:rPr>
          <w:rFonts w:asciiTheme="majorBidi" w:hAnsiTheme="majorBidi" w:cstheme="majorBidi"/>
          <w:sz w:val="24"/>
          <w:szCs w:val="24"/>
        </w:rPr>
        <w:t xml:space="preserve">We examined a total of 178 red snapper individuals (105 of </w:t>
      </w:r>
      <w:r w:rsidRPr="00966993">
        <w:rPr>
          <w:rFonts w:asciiTheme="majorBidi" w:hAnsiTheme="majorBidi" w:cstheme="majorBidi"/>
          <w:i/>
          <w:sz w:val="24"/>
          <w:szCs w:val="24"/>
        </w:rPr>
        <w:t xml:space="preserve">L. campechanus </w:t>
      </w:r>
      <w:r w:rsidRPr="00966993">
        <w:rPr>
          <w:rFonts w:asciiTheme="majorBidi" w:hAnsiTheme="majorBidi" w:cstheme="majorBidi"/>
          <w:sz w:val="24"/>
          <w:szCs w:val="24"/>
        </w:rPr>
        <w:t xml:space="preserve">and 73 of </w:t>
      </w:r>
      <w:r w:rsidRPr="00966993">
        <w:rPr>
          <w:rFonts w:asciiTheme="majorBidi" w:hAnsiTheme="majorBidi" w:cstheme="majorBidi"/>
          <w:i/>
          <w:sz w:val="24"/>
          <w:szCs w:val="24"/>
        </w:rPr>
        <w:t>L. purpureus</w:t>
      </w:r>
      <w:r w:rsidRPr="00966993">
        <w:rPr>
          <w:rFonts w:asciiTheme="majorBidi" w:hAnsiTheme="majorBidi" w:cstheme="majorBidi"/>
          <w:sz w:val="24"/>
          <w:szCs w:val="24"/>
        </w:rPr>
        <w:t>) collected from 15 locations across the WA (figure 1</w:t>
      </w:r>
      <w:r w:rsidR="00230089">
        <w:rPr>
          <w:rFonts w:asciiTheme="majorBidi" w:hAnsiTheme="majorBidi" w:cstheme="majorBidi"/>
          <w:sz w:val="24"/>
          <w:szCs w:val="24"/>
        </w:rPr>
        <w:t>.1</w:t>
      </w:r>
      <w:r w:rsidRPr="00966993">
        <w:rPr>
          <w:rFonts w:asciiTheme="majorBidi" w:hAnsiTheme="majorBidi" w:cstheme="majorBidi"/>
          <w:sz w:val="24"/>
          <w:szCs w:val="24"/>
        </w:rPr>
        <w:t xml:space="preserve">; </w:t>
      </w:r>
      <w:r w:rsidR="00514CD3">
        <w:rPr>
          <w:rFonts w:asciiTheme="majorBidi" w:hAnsiTheme="majorBidi" w:cstheme="majorBidi"/>
          <w:sz w:val="24"/>
          <w:szCs w:val="24"/>
        </w:rPr>
        <w:t>Appendix A</w:t>
      </w:r>
      <w:r w:rsidRPr="00966993">
        <w:rPr>
          <w:rFonts w:asciiTheme="majorBidi" w:hAnsiTheme="majorBidi" w:cstheme="majorBidi"/>
          <w:sz w:val="24"/>
          <w:szCs w:val="24"/>
        </w:rPr>
        <w:t xml:space="preserve">, table S1). Georeferenced data are available for most sampling sites; for others, the approximate location was inferred by interpreting collecting site descriptions. We also attempted to acquire specimens that would fill the sampling gap through the Caribbean Islands or intermediate populations in Central America. Although we actively searched for over 2 years in two key Caribbean locations (Puerto Rico and San Andre´s Island, Colombia), all surveys were unsuccessful (see details in </w:t>
      </w:r>
      <w:r w:rsidR="00514CD3">
        <w:rPr>
          <w:rFonts w:asciiTheme="majorBidi" w:hAnsiTheme="majorBidi" w:cstheme="majorBidi"/>
          <w:sz w:val="24"/>
          <w:szCs w:val="24"/>
        </w:rPr>
        <w:t>Appendix A</w:t>
      </w:r>
      <w:r w:rsidRPr="00966993">
        <w:rPr>
          <w:rFonts w:asciiTheme="majorBidi" w:hAnsiTheme="majorBidi" w:cstheme="majorBidi"/>
          <w:sz w:val="24"/>
          <w:szCs w:val="24"/>
        </w:rPr>
        <w:t>, figure S1). Given the apparent scarcity of the species in the region, other Caribbean locations were also ineffectively probed for samples through networking efforts. To emphasize the low abundance of red snappers in many Caribbean localities, we generated a map with total records for both species using reports available from FishNet (www.fishnet2.net) and the Ocean Biogeographic Information System (OBIS) (www.iobis.org) (</w:t>
      </w:r>
      <w:r w:rsidR="00514CD3">
        <w:rPr>
          <w:rFonts w:asciiTheme="majorBidi" w:hAnsiTheme="majorBidi" w:cstheme="majorBidi"/>
          <w:sz w:val="24"/>
          <w:szCs w:val="24"/>
        </w:rPr>
        <w:t>Appendix A</w:t>
      </w:r>
      <w:r w:rsidRPr="00966993">
        <w:rPr>
          <w:rFonts w:asciiTheme="majorBidi" w:hAnsiTheme="majorBidi" w:cstheme="majorBidi"/>
          <w:sz w:val="24"/>
          <w:szCs w:val="24"/>
        </w:rPr>
        <w:t>, figure S1).</w:t>
      </w:r>
    </w:p>
    <w:p w14:paraId="5434D5A8" w14:textId="06407C2A" w:rsidR="00EA1502" w:rsidRPr="00966993" w:rsidRDefault="00EA1502" w:rsidP="00966993">
      <w:pPr>
        <w:jc w:val="both"/>
        <w:rPr>
          <w:rFonts w:asciiTheme="majorBidi" w:hAnsiTheme="majorBidi" w:cstheme="majorBidi"/>
          <w:b/>
          <w:bCs/>
          <w:sz w:val="28"/>
          <w:szCs w:val="28"/>
        </w:rPr>
      </w:pPr>
      <w:r>
        <w:rPr>
          <w:rFonts w:asciiTheme="majorBidi" w:hAnsiTheme="majorBidi" w:cstheme="majorBidi"/>
          <w:b/>
          <w:bCs/>
          <w:sz w:val="28"/>
          <w:szCs w:val="28"/>
        </w:rPr>
        <w:t>Molecular protocols, mitochondrial data and SNP genotyping</w:t>
      </w:r>
    </w:p>
    <w:p w14:paraId="258230F7" w14:textId="4342EE10" w:rsidR="00EA1502" w:rsidRPr="00EA1502" w:rsidRDefault="00EA1502" w:rsidP="00EA1502">
      <w:pPr>
        <w:jc w:val="both"/>
        <w:rPr>
          <w:rFonts w:asciiTheme="majorBidi" w:hAnsiTheme="majorBidi" w:cstheme="majorBidi"/>
          <w:sz w:val="24"/>
          <w:szCs w:val="24"/>
        </w:rPr>
      </w:pPr>
      <w:r w:rsidRPr="00EA1502">
        <w:rPr>
          <w:rFonts w:asciiTheme="majorBidi" w:hAnsiTheme="majorBidi" w:cstheme="majorBidi"/>
          <w:sz w:val="24"/>
          <w:szCs w:val="24"/>
        </w:rPr>
        <w:t xml:space="preserve">All individuals examined were sequenced using restriction-digest-associated DNA sequencing (RADseq) approaches by applying the double-digest (ddRADseq) protocol of Peterson </w:t>
      </w:r>
      <w:r w:rsidRPr="00EA1502">
        <w:rPr>
          <w:rFonts w:asciiTheme="majorBidi" w:hAnsiTheme="majorBidi" w:cstheme="majorBidi"/>
          <w:i/>
          <w:sz w:val="24"/>
          <w:szCs w:val="24"/>
        </w:rPr>
        <w:t xml:space="preserve">et al. </w:t>
      </w:r>
      <w:r w:rsidRPr="00EA1502">
        <w:rPr>
          <w:rFonts w:asciiTheme="majorBidi" w:hAnsiTheme="majorBidi" w:cstheme="majorBidi"/>
          <w:sz w:val="24"/>
          <w:szCs w:val="24"/>
        </w:rPr>
        <w:t>[29]. This technique allows for the low cost discovery and genotyping of thousands of genetic markers and is particularly useful for non-model organisms [30]. In order to compare the population structure using genome-wide RADseq markers to that obtained with mtDNA (e.g. as in previous studies [24,25]), a subset of 83 samples was barcoded using the mtDNA gene cytochrome-c oxidase subunit I (</w:t>
      </w:r>
      <w:r w:rsidRPr="00EA1502">
        <w:rPr>
          <w:rFonts w:asciiTheme="majorBidi" w:hAnsiTheme="majorBidi" w:cstheme="majorBidi"/>
          <w:i/>
          <w:sz w:val="24"/>
          <w:szCs w:val="24"/>
        </w:rPr>
        <w:t>COI</w:t>
      </w:r>
      <w:r w:rsidRPr="00EA1502">
        <w:rPr>
          <w:rFonts w:asciiTheme="majorBidi" w:hAnsiTheme="majorBidi" w:cstheme="majorBidi"/>
          <w:sz w:val="24"/>
          <w:szCs w:val="24"/>
        </w:rPr>
        <w:t>) following standard protocols [31] (</w:t>
      </w:r>
      <w:r w:rsidR="00514CD3">
        <w:rPr>
          <w:rFonts w:asciiTheme="majorBidi" w:hAnsiTheme="majorBidi" w:cstheme="majorBidi"/>
          <w:sz w:val="24"/>
          <w:szCs w:val="24"/>
        </w:rPr>
        <w:t>Appendix A</w:t>
      </w:r>
      <w:r w:rsidRPr="00EA1502">
        <w:rPr>
          <w:rFonts w:asciiTheme="majorBidi" w:hAnsiTheme="majorBidi" w:cstheme="majorBidi"/>
          <w:sz w:val="24"/>
          <w:szCs w:val="24"/>
        </w:rPr>
        <w:t xml:space="preserve">, table S2). Additional mtDNA sequences for </w:t>
      </w:r>
      <w:r w:rsidRPr="00EA1502">
        <w:rPr>
          <w:rFonts w:asciiTheme="majorBidi" w:hAnsiTheme="majorBidi" w:cstheme="majorBidi"/>
          <w:i/>
          <w:sz w:val="24"/>
          <w:szCs w:val="24"/>
        </w:rPr>
        <w:t xml:space="preserve">COI </w:t>
      </w:r>
      <w:r w:rsidRPr="00EA1502">
        <w:rPr>
          <w:rFonts w:asciiTheme="majorBidi" w:hAnsiTheme="majorBidi" w:cstheme="majorBidi"/>
          <w:sz w:val="24"/>
          <w:szCs w:val="24"/>
        </w:rPr>
        <w:t xml:space="preserve">and </w:t>
      </w:r>
      <w:r w:rsidRPr="00EA1502">
        <w:rPr>
          <w:rFonts w:asciiTheme="majorBidi" w:hAnsiTheme="majorBidi" w:cstheme="majorBidi"/>
          <w:i/>
          <w:sz w:val="24"/>
          <w:szCs w:val="24"/>
        </w:rPr>
        <w:t xml:space="preserve">D-loop </w:t>
      </w:r>
      <w:r w:rsidRPr="00EA1502">
        <w:rPr>
          <w:rFonts w:asciiTheme="majorBidi" w:hAnsiTheme="majorBidi" w:cstheme="majorBidi"/>
          <w:sz w:val="24"/>
          <w:szCs w:val="24"/>
        </w:rPr>
        <w:t>were downloaded from available data on NCBI (</w:t>
      </w:r>
      <w:r w:rsidR="00514CD3">
        <w:rPr>
          <w:rFonts w:asciiTheme="majorBidi" w:hAnsiTheme="majorBidi" w:cstheme="majorBidi"/>
          <w:sz w:val="24"/>
          <w:szCs w:val="24"/>
        </w:rPr>
        <w:t>Appendix A</w:t>
      </w:r>
      <w:r w:rsidRPr="00EA1502">
        <w:rPr>
          <w:rFonts w:asciiTheme="majorBidi" w:hAnsiTheme="majorBidi" w:cstheme="majorBidi"/>
          <w:sz w:val="24"/>
          <w:szCs w:val="24"/>
        </w:rPr>
        <w:t>, table S3). ddRADseq data were processed using several packages, including STACKS v1.49 [32], FASTQC v0.11.5 (www.bioinformatics.babraham.ac.uk/pro-jects/fastqc/), TASSEL v5.2.43 [33], and VCFTOOLS v0.1.15 [34]. Different combinations of assembly parameters were first tested on a subset of 30 samples (following [35]) in STACKS. Final locus assembly was performed using a minimum of five raw reads required to form a stack, and allowing a maximum of two mismatches between stacks and three mismatches between loci of different individuals. Loci with a minimum allele frequency of</w:t>
      </w:r>
      <w:r>
        <w:rPr>
          <w:rFonts w:asciiTheme="majorBidi" w:hAnsiTheme="majorBidi" w:cstheme="majorBidi"/>
          <w:sz w:val="24"/>
          <w:szCs w:val="24"/>
        </w:rPr>
        <w:t xml:space="preserve"> </w:t>
      </w:r>
      <w:r w:rsidRPr="00EA1502">
        <w:rPr>
          <w:rFonts w:asciiTheme="majorBidi" w:hAnsiTheme="majorBidi" w:cstheme="majorBidi"/>
          <w:sz w:val="24"/>
          <w:szCs w:val="24"/>
        </w:rPr>
        <w:t xml:space="preserve">0.05 and a maximum observed heterozygosity of 0.70 were further </w:t>
      </w:r>
      <w:r w:rsidRPr="00EA1502">
        <w:rPr>
          <w:rFonts w:asciiTheme="majorBidi" w:hAnsiTheme="majorBidi" w:cstheme="majorBidi"/>
          <w:sz w:val="24"/>
          <w:szCs w:val="24"/>
        </w:rPr>
        <w:lastRenderedPageBreak/>
        <w:t>excluded as potential paralogues. The sensitivity of results to number of individuals and missing data was also evaluated by applying a variety of filters. Four datasets that contained between 21 431 and 55 795 loci were first selected based on loci present in multiple predetermined numbers of populations (p) and percentage of individuals (r) ( p11r50, p12r50, p9r60 and p8r60). A second filter (‘min. sites’) was applied after removing individuals with different thresholds for missing sites (0.75, 0.50, 0.25 and 0.05). These filters resulted in 20 datasets (</w:t>
      </w:r>
      <w:r w:rsidR="00514CD3">
        <w:rPr>
          <w:rFonts w:asciiTheme="majorBidi" w:hAnsiTheme="majorBidi" w:cstheme="majorBidi"/>
          <w:sz w:val="24"/>
          <w:szCs w:val="24"/>
        </w:rPr>
        <w:t>Appendix A</w:t>
      </w:r>
      <w:r w:rsidRPr="00EA1502">
        <w:rPr>
          <w:rFonts w:asciiTheme="majorBidi" w:hAnsiTheme="majorBidi" w:cstheme="majorBidi"/>
          <w:sz w:val="24"/>
          <w:szCs w:val="24"/>
        </w:rPr>
        <w:t xml:space="preserve">, table S4), of which six were further selected according to the amount of missing data (9 – 46%), number of individuals present (44 – 155), number of SNPs (15 112 – 42 406), and number of populations (8 – 15). Additional details on molecular protocols for </w:t>
      </w:r>
      <w:r w:rsidRPr="00EA1502">
        <w:rPr>
          <w:rFonts w:asciiTheme="majorBidi" w:hAnsiTheme="majorBidi" w:cstheme="majorBidi"/>
          <w:i/>
          <w:sz w:val="24"/>
          <w:szCs w:val="24"/>
        </w:rPr>
        <w:t xml:space="preserve">de novo </w:t>
      </w:r>
      <w:r w:rsidRPr="00EA1502">
        <w:rPr>
          <w:rFonts w:asciiTheme="majorBidi" w:hAnsiTheme="majorBidi" w:cstheme="majorBidi"/>
          <w:sz w:val="24"/>
          <w:szCs w:val="24"/>
        </w:rPr>
        <w:t xml:space="preserve">assembly of RAD loci are given in the </w:t>
      </w:r>
      <w:r w:rsidR="00514CD3">
        <w:rPr>
          <w:rFonts w:asciiTheme="majorBidi" w:hAnsiTheme="majorBidi" w:cstheme="majorBidi"/>
          <w:sz w:val="24"/>
          <w:szCs w:val="24"/>
        </w:rPr>
        <w:t>Appendix A</w:t>
      </w:r>
      <w:r w:rsidRPr="00EA1502">
        <w:rPr>
          <w:rFonts w:asciiTheme="majorBidi" w:hAnsiTheme="majorBidi" w:cstheme="majorBidi"/>
          <w:sz w:val="24"/>
          <w:szCs w:val="24"/>
        </w:rPr>
        <w:t>.</w:t>
      </w:r>
    </w:p>
    <w:p w14:paraId="219648C3" w14:textId="03BE4265" w:rsidR="00895E51" w:rsidRPr="00966993" w:rsidRDefault="00895E51" w:rsidP="00895E51">
      <w:pPr>
        <w:jc w:val="both"/>
        <w:rPr>
          <w:rFonts w:asciiTheme="majorBidi" w:hAnsiTheme="majorBidi" w:cstheme="majorBidi"/>
          <w:b/>
          <w:bCs/>
          <w:sz w:val="28"/>
          <w:szCs w:val="28"/>
        </w:rPr>
      </w:pPr>
      <w:r>
        <w:rPr>
          <w:rFonts w:asciiTheme="majorBidi" w:hAnsiTheme="majorBidi" w:cstheme="majorBidi"/>
          <w:b/>
          <w:bCs/>
          <w:sz w:val="28"/>
          <w:szCs w:val="28"/>
        </w:rPr>
        <w:t>Phylogenetic and coalescent analyses</w:t>
      </w:r>
    </w:p>
    <w:p w14:paraId="5C3ED3F5" w14:textId="47F56ECC" w:rsidR="00895E51" w:rsidRPr="00895E51" w:rsidRDefault="00895E51" w:rsidP="00895E51">
      <w:pPr>
        <w:jc w:val="both"/>
        <w:rPr>
          <w:rFonts w:asciiTheme="majorBidi" w:hAnsiTheme="majorBidi" w:cstheme="majorBidi"/>
          <w:sz w:val="24"/>
          <w:szCs w:val="24"/>
        </w:rPr>
      </w:pPr>
      <w:r w:rsidRPr="00895E51">
        <w:rPr>
          <w:rFonts w:asciiTheme="majorBidi" w:hAnsiTheme="majorBidi" w:cstheme="majorBidi"/>
          <w:sz w:val="24"/>
          <w:szCs w:val="24"/>
        </w:rPr>
        <w:t>A phylogenetic network was computed based on 15 112 SNPs with the Neighbor-Net algorithm in SPLITSTREE v4.14.6 (www.splitstree.org). Phylogenetic reconstruction was performed in a maximum-likelihood (ML) framework using the software RAxML v8 [36]. Trees were inferred for the six SNP datasets selected in the previous step. All invariant sites were removed from the matrices using the R package phrynomics (https://github.com/bbanbury/phrynomics/). Two alternative ML ana- lyses were performed: one in which heterozygous alleles were collapsed using ambiguity (IUPAC) codes, and another using concatenated variants (extracted in order of appearance from the VCF file). No major differences were found between trees reconstructed from these variants and only the latter trees are reported. To account for acquisition biases inherent to SNP datasets [37], we used the GTR + I model with ascertainment bias correction (ASC) in RAxML. Nodal support was assessed in</w:t>
      </w:r>
      <w:r>
        <w:rPr>
          <w:rFonts w:asciiTheme="majorBidi" w:hAnsiTheme="majorBidi" w:cstheme="majorBidi"/>
          <w:sz w:val="24"/>
          <w:szCs w:val="24"/>
        </w:rPr>
        <w:t xml:space="preserve"> </w:t>
      </w:r>
      <w:r w:rsidRPr="00895E51">
        <w:rPr>
          <w:rFonts w:asciiTheme="majorBidi" w:hAnsiTheme="majorBidi" w:cstheme="majorBidi"/>
          <w:sz w:val="24"/>
          <w:szCs w:val="24"/>
        </w:rPr>
        <w:t xml:space="preserve">RAxML using 100 rapid bootstrap replicates. For the mitochondrial matrix, haplotype networks of 654 bp </w:t>
      </w:r>
      <w:r w:rsidRPr="00895E51">
        <w:rPr>
          <w:rFonts w:asciiTheme="majorBidi" w:hAnsiTheme="majorBidi" w:cstheme="majorBidi"/>
          <w:i/>
          <w:sz w:val="24"/>
          <w:szCs w:val="24"/>
        </w:rPr>
        <w:t xml:space="preserve">COI </w:t>
      </w:r>
      <w:r w:rsidRPr="00895E51">
        <w:rPr>
          <w:rFonts w:asciiTheme="majorBidi" w:hAnsiTheme="majorBidi" w:cstheme="majorBidi"/>
          <w:sz w:val="24"/>
          <w:szCs w:val="24"/>
        </w:rPr>
        <w:t xml:space="preserve">and 858 bp </w:t>
      </w:r>
      <w:r w:rsidRPr="00895E51">
        <w:rPr>
          <w:rFonts w:asciiTheme="majorBidi" w:hAnsiTheme="majorBidi" w:cstheme="majorBidi"/>
          <w:i/>
          <w:sz w:val="24"/>
          <w:szCs w:val="24"/>
        </w:rPr>
        <w:t xml:space="preserve">D-loop </w:t>
      </w:r>
      <w:r w:rsidRPr="00895E51">
        <w:rPr>
          <w:rFonts w:asciiTheme="majorBidi" w:hAnsiTheme="majorBidi" w:cstheme="majorBidi"/>
          <w:sz w:val="24"/>
          <w:szCs w:val="24"/>
        </w:rPr>
        <w:t xml:space="preserve">were constructed using the TCS Network available in POPART [38]. The </w:t>
      </w:r>
      <w:r w:rsidRPr="00895E51">
        <w:rPr>
          <w:rFonts w:asciiTheme="majorBidi" w:hAnsiTheme="majorBidi" w:cstheme="majorBidi"/>
          <w:i/>
          <w:sz w:val="24"/>
          <w:szCs w:val="24"/>
        </w:rPr>
        <w:t xml:space="preserve">COI </w:t>
      </w:r>
      <w:r w:rsidRPr="00895E51">
        <w:rPr>
          <w:rFonts w:asciiTheme="majorBidi" w:hAnsiTheme="majorBidi" w:cstheme="majorBidi"/>
          <w:sz w:val="24"/>
          <w:szCs w:val="24"/>
        </w:rPr>
        <w:t xml:space="preserve">sequences were aligned using available references of </w:t>
      </w:r>
      <w:r w:rsidRPr="00895E51">
        <w:rPr>
          <w:rFonts w:asciiTheme="majorBidi" w:hAnsiTheme="majorBidi" w:cstheme="majorBidi"/>
          <w:i/>
          <w:sz w:val="24"/>
          <w:szCs w:val="24"/>
        </w:rPr>
        <w:t xml:space="preserve">L. campechanus </w:t>
      </w:r>
      <w:r w:rsidRPr="00895E51">
        <w:rPr>
          <w:rFonts w:asciiTheme="majorBidi" w:hAnsiTheme="majorBidi" w:cstheme="majorBidi"/>
          <w:sz w:val="24"/>
          <w:szCs w:val="24"/>
        </w:rPr>
        <w:t xml:space="preserve">and </w:t>
      </w:r>
      <w:r w:rsidRPr="00895E51">
        <w:rPr>
          <w:rFonts w:asciiTheme="majorBidi" w:hAnsiTheme="majorBidi" w:cstheme="majorBidi"/>
          <w:i/>
          <w:sz w:val="24"/>
          <w:szCs w:val="24"/>
        </w:rPr>
        <w:t xml:space="preserve">L. purpureus </w:t>
      </w:r>
      <w:r w:rsidRPr="00895E51">
        <w:rPr>
          <w:rFonts w:asciiTheme="majorBidi" w:hAnsiTheme="majorBidi" w:cstheme="majorBidi"/>
          <w:sz w:val="24"/>
          <w:szCs w:val="24"/>
        </w:rPr>
        <w:t>from GenBank (accession no. EU752115 and EU752118).</w:t>
      </w:r>
    </w:p>
    <w:p w14:paraId="5F55938A" w14:textId="5C005583" w:rsidR="00966993" w:rsidRDefault="00895E51" w:rsidP="00895E51">
      <w:pPr>
        <w:ind w:firstLine="720"/>
        <w:jc w:val="both"/>
        <w:rPr>
          <w:rFonts w:asciiTheme="majorBidi" w:hAnsiTheme="majorBidi" w:cstheme="majorBidi"/>
          <w:sz w:val="24"/>
          <w:szCs w:val="24"/>
        </w:rPr>
      </w:pPr>
      <w:r w:rsidRPr="00895E51">
        <w:rPr>
          <w:rFonts w:asciiTheme="majorBidi" w:hAnsiTheme="majorBidi" w:cstheme="majorBidi"/>
          <w:sz w:val="24"/>
          <w:szCs w:val="24"/>
        </w:rPr>
        <w:t xml:space="preserve">We also assessed the fit of the two alternative scenarios of species delimitation in WA red snappers in a coalescent frame- work. We used the Bayes factor delimitation (BFD*) method implemented for genome-wide SNP data [39] in the programs SNAPP v1.3.0 [40] and BEAST2 v2.4.1 [41]. To reduce computational burden, we first applied additional filters to the p12r50 dataset (with 15 112 SNPs from 15 populations; see above) by retaining both loci and individuals from each population with the lowest proportions of missing data. Three subsets with 58 – 108 individuals and 149 – 957 loci were assembled (see </w:t>
      </w:r>
      <w:r w:rsidR="001D48AF">
        <w:rPr>
          <w:rFonts w:asciiTheme="majorBidi" w:hAnsiTheme="majorBidi" w:cstheme="majorBidi"/>
          <w:sz w:val="24"/>
          <w:szCs w:val="24"/>
        </w:rPr>
        <w:t>Appendix A</w:t>
      </w:r>
      <w:r w:rsidRPr="00895E51">
        <w:rPr>
          <w:rFonts w:asciiTheme="majorBidi" w:hAnsiTheme="majorBidi" w:cstheme="majorBidi"/>
          <w:sz w:val="24"/>
          <w:szCs w:val="24"/>
        </w:rPr>
        <w:t>). To set up priors and MCMC runs, we carefully followed the guidelines outlined in the BFD* tutorial by A. Leaché (http://www.beast2.org/bfd/). Because the scenarios tested contained fewer than three species-tree nodes (e.g. for one species the leaf node is also the root node), we removed all tree operators from the analyses (R. Bouckaert 2019, personal communication). Finally, we compared the marginal likelihood estimates for the alternative scenarios using Bayes factors</w:t>
      </w:r>
      <w:r w:rsidR="002E0ACD">
        <w:rPr>
          <w:rFonts w:asciiTheme="majorBidi" w:hAnsiTheme="majorBidi" w:cstheme="majorBidi"/>
          <w:sz w:val="24"/>
          <w:szCs w:val="24"/>
        </w:rPr>
        <w:t>.</w:t>
      </w:r>
    </w:p>
    <w:p w14:paraId="228009B6" w14:textId="7F876425" w:rsidR="00146777" w:rsidRPr="00966993" w:rsidRDefault="00146777" w:rsidP="00146777">
      <w:pPr>
        <w:jc w:val="both"/>
        <w:rPr>
          <w:rFonts w:asciiTheme="majorBidi" w:hAnsiTheme="majorBidi" w:cstheme="majorBidi"/>
          <w:b/>
          <w:bCs/>
          <w:sz w:val="28"/>
          <w:szCs w:val="28"/>
        </w:rPr>
      </w:pPr>
      <w:r>
        <w:rPr>
          <w:rFonts w:asciiTheme="majorBidi" w:hAnsiTheme="majorBidi" w:cstheme="majorBidi"/>
          <w:b/>
          <w:bCs/>
          <w:sz w:val="28"/>
          <w:szCs w:val="28"/>
        </w:rPr>
        <w:t>Population structure analyses</w:t>
      </w:r>
    </w:p>
    <w:p w14:paraId="12ADB1E5" w14:textId="1D83BE98" w:rsidR="00146777" w:rsidRDefault="00146777" w:rsidP="0039303D">
      <w:pPr>
        <w:jc w:val="both"/>
        <w:rPr>
          <w:rFonts w:asciiTheme="majorBidi" w:hAnsiTheme="majorBidi" w:cstheme="majorBidi"/>
          <w:sz w:val="24"/>
          <w:szCs w:val="24"/>
        </w:rPr>
      </w:pPr>
      <w:r w:rsidRPr="00146777">
        <w:rPr>
          <w:rFonts w:asciiTheme="majorBidi" w:hAnsiTheme="majorBidi" w:cstheme="majorBidi"/>
          <w:sz w:val="24"/>
          <w:szCs w:val="24"/>
        </w:rPr>
        <w:lastRenderedPageBreak/>
        <w:t xml:space="preserve">Principal component analyses (PCAs) were first computed on allele frequencies using TASSEL v5.2.43 [33]. The analyses for p12r50 and p8r60 matrices were performed with three different proportions of ‘min. sites’ (0.75, 0.25 and 0.5), and figures were plotted using the R [42] package ggplot [43]. The p12r50 matrix was selected for downstream analyses, as this dataset captures the genetic information of 155 individuals from all 15 populations while maximizing population discrimination. Next, the fastStructure v1.0 [44] package, a Bayesian clustering method, was used for inferring population structure. The number of population clusters was evaluated by running multiple values of </w:t>
      </w:r>
      <w:r w:rsidRPr="00146777">
        <w:rPr>
          <w:rFonts w:asciiTheme="majorBidi" w:hAnsiTheme="majorBidi" w:cstheme="majorBidi"/>
          <w:i/>
          <w:sz w:val="24"/>
          <w:szCs w:val="24"/>
        </w:rPr>
        <w:t xml:space="preserve">K </w:t>
      </w:r>
      <w:r w:rsidRPr="00146777">
        <w:rPr>
          <w:rFonts w:asciiTheme="majorBidi" w:hAnsiTheme="majorBidi" w:cstheme="majorBidi"/>
          <w:sz w:val="24"/>
          <w:szCs w:val="24"/>
        </w:rPr>
        <w:t xml:space="preserve">(1 – 18) using a logistic prior. The best-fitting model complexity was selected with the chooseK.py routine and the resulting </w:t>
      </w:r>
      <w:r w:rsidRPr="00146777">
        <w:rPr>
          <w:rFonts w:asciiTheme="majorBidi" w:hAnsiTheme="majorBidi" w:cstheme="majorBidi"/>
          <w:i/>
          <w:sz w:val="24"/>
          <w:szCs w:val="24"/>
        </w:rPr>
        <w:t xml:space="preserve">K </w:t>
      </w:r>
      <w:r w:rsidRPr="00146777">
        <w:rPr>
          <w:rFonts w:asciiTheme="majorBidi" w:hAnsiTheme="majorBidi" w:cstheme="majorBidi"/>
          <w:sz w:val="24"/>
          <w:szCs w:val="24"/>
        </w:rPr>
        <w:t>value was re-run through fastStructure 25</w:t>
      </w:r>
      <w:r>
        <w:rPr>
          <w:rFonts w:asciiTheme="majorBidi" w:hAnsiTheme="majorBidi" w:cstheme="majorBidi"/>
          <w:sz w:val="24"/>
          <w:szCs w:val="24"/>
        </w:rPr>
        <w:t xml:space="preserve"> times with multiple random seeds to identify the five </w:t>
      </w:r>
      <w:r w:rsidRPr="00146777">
        <w:rPr>
          <w:rFonts w:asciiTheme="majorBidi" w:hAnsiTheme="majorBidi" w:cstheme="majorBidi"/>
          <w:sz w:val="24"/>
          <w:szCs w:val="24"/>
        </w:rPr>
        <w:t xml:space="preserve">highest values of the log-marginal likelihood (LLBO). Final plots were constructed using disruct.py, available from fastStructure. Lastly, Weir and Cockerham </w:t>
      </w:r>
      <w:r w:rsidRPr="00146777">
        <w:rPr>
          <w:rFonts w:asciiTheme="majorBidi" w:hAnsiTheme="majorBidi" w:cstheme="majorBidi"/>
          <w:i/>
          <w:sz w:val="24"/>
          <w:szCs w:val="24"/>
        </w:rPr>
        <w:t>F</w:t>
      </w:r>
      <w:r w:rsidRPr="00146777">
        <w:rPr>
          <w:rFonts w:asciiTheme="majorBidi" w:hAnsiTheme="majorBidi" w:cstheme="majorBidi"/>
          <w:sz w:val="24"/>
          <w:szCs w:val="24"/>
          <w:vertAlign w:val="subscript"/>
        </w:rPr>
        <w:t>ST</w:t>
      </w:r>
      <w:r w:rsidRPr="00146777">
        <w:rPr>
          <w:rFonts w:asciiTheme="majorBidi" w:hAnsiTheme="majorBidi" w:cstheme="majorBidi"/>
          <w:sz w:val="24"/>
          <w:szCs w:val="24"/>
        </w:rPr>
        <w:t xml:space="preserve"> values were estimated using the R package hierfstat [45] using 100 bootstrap replicates. Because large amounts of loci with missing data can deviate true values of summary statistics [46], we calculated </w:t>
      </w:r>
      <w:r w:rsidRPr="00146777">
        <w:rPr>
          <w:rFonts w:asciiTheme="majorBidi" w:hAnsiTheme="majorBidi" w:cstheme="majorBidi"/>
          <w:i/>
          <w:sz w:val="24"/>
          <w:szCs w:val="24"/>
        </w:rPr>
        <w:t>F</w:t>
      </w:r>
      <w:r w:rsidRPr="00146777">
        <w:rPr>
          <w:rFonts w:asciiTheme="majorBidi" w:hAnsiTheme="majorBidi" w:cstheme="majorBidi"/>
          <w:sz w:val="24"/>
          <w:szCs w:val="24"/>
          <w:vertAlign w:val="subscript"/>
        </w:rPr>
        <w:t>ST</w:t>
      </w:r>
      <w:r w:rsidRPr="00146777">
        <w:rPr>
          <w:rFonts w:asciiTheme="majorBidi" w:hAnsiTheme="majorBidi" w:cstheme="majorBidi"/>
          <w:sz w:val="24"/>
          <w:szCs w:val="24"/>
        </w:rPr>
        <w:t xml:space="preserve"> values from two datasets: (i) p12r50-155, as previously selected; and (ii) p12r50-89, excluding three populations with few represented loci. </w:t>
      </w:r>
      <w:r w:rsidRPr="00146777">
        <w:rPr>
          <w:rFonts w:asciiTheme="majorBidi" w:hAnsiTheme="majorBidi" w:cstheme="majorBidi"/>
          <w:i/>
          <w:sz w:val="24"/>
          <w:szCs w:val="24"/>
        </w:rPr>
        <w:t>F</w:t>
      </w:r>
      <w:r w:rsidRPr="00146777">
        <w:rPr>
          <w:rFonts w:asciiTheme="majorBidi" w:hAnsiTheme="majorBidi" w:cstheme="majorBidi"/>
          <w:sz w:val="24"/>
          <w:szCs w:val="24"/>
          <w:vertAlign w:val="subscript"/>
        </w:rPr>
        <w:t>ST</w:t>
      </w:r>
      <w:r w:rsidRPr="00146777">
        <w:rPr>
          <w:rFonts w:asciiTheme="majorBidi" w:hAnsiTheme="majorBidi" w:cstheme="majorBidi"/>
          <w:sz w:val="24"/>
          <w:szCs w:val="24"/>
        </w:rPr>
        <w:t xml:space="preserve"> values were plotted as heatmaps using the R package gplots [47].</w:t>
      </w:r>
    </w:p>
    <w:p w14:paraId="519D47BB" w14:textId="52B03EA5" w:rsidR="0039303D" w:rsidRPr="00966993" w:rsidRDefault="0039303D" w:rsidP="0039303D">
      <w:pPr>
        <w:jc w:val="both"/>
        <w:rPr>
          <w:rFonts w:asciiTheme="majorBidi" w:hAnsiTheme="majorBidi" w:cstheme="majorBidi"/>
          <w:b/>
          <w:bCs/>
          <w:sz w:val="28"/>
          <w:szCs w:val="28"/>
        </w:rPr>
      </w:pPr>
      <w:r>
        <w:rPr>
          <w:rFonts w:asciiTheme="majorBidi" w:hAnsiTheme="majorBidi" w:cstheme="majorBidi"/>
          <w:b/>
          <w:bCs/>
          <w:sz w:val="28"/>
          <w:szCs w:val="28"/>
        </w:rPr>
        <w:t>Isolation by distance</w:t>
      </w:r>
    </w:p>
    <w:p w14:paraId="50928C0C" w14:textId="6C1F3435" w:rsidR="0039303D" w:rsidRDefault="0039303D" w:rsidP="0039303D">
      <w:pPr>
        <w:jc w:val="both"/>
        <w:rPr>
          <w:rFonts w:asciiTheme="majorBidi" w:hAnsiTheme="majorBidi" w:cstheme="majorBidi"/>
          <w:sz w:val="24"/>
          <w:szCs w:val="24"/>
        </w:rPr>
      </w:pPr>
      <w:r w:rsidRPr="0039303D">
        <w:rPr>
          <w:rFonts w:asciiTheme="majorBidi" w:hAnsiTheme="majorBidi" w:cstheme="majorBidi"/>
          <w:sz w:val="24"/>
          <w:szCs w:val="24"/>
        </w:rPr>
        <w:t xml:space="preserve">Limited dispersal capabilities in panmictic populations often result in a correlation between geographical distance and genetic differentiation among populations—a process termed isolation- by-distance (IBD) [48]. To test whether the red snapper populations follow a pattern of IBD, we performed a Mantel test using a correlation and a major axis correction [49,50] between Weir and Cockerham </w:t>
      </w:r>
      <w:r w:rsidRPr="0039303D">
        <w:rPr>
          <w:rFonts w:asciiTheme="majorBidi" w:hAnsiTheme="majorBidi" w:cstheme="majorBidi"/>
          <w:i/>
          <w:sz w:val="24"/>
          <w:szCs w:val="24"/>
        </w:rPr>
        <w:t>F</w:t>
      </w:r>
      <w:r w:rsidRPr="0039303D">
        <w:rPr>
          <w:rFonts w:asciiTheme="majorBidi" w:hAnsiTheme="majorBidi" w:cstheme="majorBidi"/>
          <w:sz w:val="24"/>
          <w:szCs w:val="24"/>
          <w:vertAlign w:val="subscript"/>
        </w:rPr>
        <w:t>ST</w:t>
      </w:r>
      <w:r w:rsidRPr="0039303D">
        <w:rPr>
          <w:rFonts w:asciiTheme="majorBidi" w:hAnsiTheme="majorBidi" w:cstheme="majorBidi"/>
          <w:sz w:val="24"/>
          <w:szCs w:val="24"/>
        </w:rPr>
        <w:t xml:space="preserve"> values among populations and their corresponding geographical distances (including 15 populations). Geographical distances were calculated via the least cost path (LCP) distance over seawater using the R package marmap [51]. We constrained the LCP to depth values between 10 and 190 m, which constitute the depth range of suitable habitat for red snappers [26]. Because these species can also disperse through oceanic currents during their pelagic larval phase, additional mantel tests were conducted using Euclidean geo- graphical distances (computed with the R package adegenet [52]). Results of Mantel tests were not affected by the use of LCP or Euclidean distances; therefore, only the former results are reported (figure 1</w:t>
      </w:r>
      <w:r w:rsidR="00230089">
        <w:rPr>
          <w:rFonts w:asciiTheme="majorBidi" w:hAnsiTheme="majorBidi" w:cstheme="majorBidi"/>
          <w:sz w:val="24"/>
          <w:szCs w:val="24"/>
        </w:rPr>
        <w:t>.1</w:t>
      </w:r>
      <w:r w:rsidRPr="0039303D">
        <w:rPr>
          <w:rFonts w:asciiTheme="majorBidi" w:hAnsiTheme="majorBidi" w:cstheme="majorBidi"/>
          <w:i/>
          <w:sz w:val="24"/>
          <w:szCs w:val="24"/>
        </w:rPr>
        <w:t xml:space="preserve">f </w:t>
      </w:r>
      <w:r w:rsidRPr="0039303D">
        <w:rPr>
          <w:rFonts w:asciiTheme="majorBidi" w:hAnsiTheme="majorBidi" w:cstheme="majorBidi"/>
          <w:sz w:val="24"/>
          <w:szCs w:val="24"/>
        </w:rPr>
        <w:t>).</w:t>
      </w:r>
    </w:p>
    <w:p w14:paraId="265E1BB3" w14:textId="5E5F8B20" w:rsidR="00342D89" w:rsidRPr="00966993" w:rsidRDefault="00342D89" w:rsidP="00342D89">
      <w:pPr>
        <w:jc w:val="both"/>
        <w:rPr>
          <w:rFonts w:asciiTheme="majorBidi" w:hAnsiTheme="majorBidi" w:cstheme="majorBidi"/>
          <w:b/>
          <w:bCs/>
          <w:sz w:val="28"/>
          <w:szCs w:val="28"/>
        </w:rPr>
      </w:pPr>
      <w:r>
        <w:rPr>
          <w:rFonts w:asciiTheme="majorBidi" w:hAnsiTheme="majorBidi" w:cstheme="majorBidi"/>
          <w:b/>
          <w:bCs/>
          <w:sz w:val="28"/>
          <w:szCs w:val="28"/>
        </w:rPr>
        <w:t>Hybridization</w:t>
      </w:r>
    </w:p>
    <w:p w14:paraId="5FF767E0" w14:textId="0C7F8419" w:rsidR="003D4686" w:rsidRPr="003D4686" w:rsidRDefault="003D4686" w:rsidP="003C13B7">
      <w:pPr>
        <w:jc w:val="both"/>
        <w:rPr>
          <w:rFonts w:asciiTheme="majorBidi" w:hAnsiTheme="majorBidi" w:cstheme="majorBidi"/>
          <w:sz w:val="24"/>
          <w:szCs w:val="24"/>
        </w:rPr>
      </w:pPr>
      <w:r w:rsidRPr="003D4686">
        <w:rPr>
          <w:rFonts w:asciiTheme="majorBidi" w:hAnsiTheme="majorBidi" w:cstheme="majorBidi"/>
          <w:sz w:val="24"/>
          <w:szCs w:val="24"/>
        </w:rPr>
        <w:t xml:space="preserve">In order to test for ongoing hybridization between the two species, we used the R package gghybrid to estimate the hybrid index (HI)—a measure of genetic admixture within individuals </w:t>
      </w:r>
      <w:r w:rsidRPr="003C13B7">
        <w:rPr>
          <w:rFonts w:asciiTheme="majorBidi" w:hAnsiTheme="majorBidi" w:cstheme="majorBidi"/>
          <w:sz w:val="24"/>
          <w:szCs w:val="24"/>
        </w:rPr>
        <w:t>[53].</w:t>
      </w:r>
      <w:r w:rsidRPr="003D4686">
        <w:rPr>
          <w:rFonts w:asciiTheme="majorBidi" w:hAnsiTheme="majorBidi" w:cstheme="majorBidi"/>
          <w:sz w:val="24"/>
          <w:szCs w:val="24"/>
        </w:rPr>
        <w:t xml:space="preserve"> The gghybrid package uses a Bayesian algorithm on bi-allelic genomic data to calculate the proportion of allele copies coming from parental reference sets </w:t>
      </w:r>
      <w:r w:rsidRPr="003C13B7">
        <w:rPr>
          <w:rFonts w:asciiTheme="majorBidi" w:hAnsiTheme="majorBidi" w:cstheme="majorBidi"/>
          <w:sz w:val="24"/>
          <w:szCs w:val="24"/>
        </w:rPr>
        <w:t>[54]</w:t>
      </w:r>
      <w:r w:rsidRPr="003D4686">
        <w:rPr>
          <w:rFonts w:asciiTheme="majorBidi" w:hAnsiTheme="majorBidi" w:cstheme="majorBidi"/>
          <w:sz w:val="24"/>
          <w:szCs w:val="24"/>
        </w:rPr>
        <w:t xml:space="preserve"> while applying a logit- logistic model for the genomic cline curve [</w:t>
      </w:r>
      <w:r w:rsidRPr="003C13B7">
        <w:rPr>
          <w:rFonts w:asciiTheme="majorBidi" w:hAnsiTheme="majorBidi" w:cstheme="majorBidi"/>
          <w:sz w:val="24"/>
          <w:szCs w:val="24"/>
        </w:rPr>
        <w:t>54,55].</w:t>
      </w:r>
      <w:r w:rsidRPr="003D4686">
        <w:rPr>
          <w:rFonts w:asciiTheme="majorBidi" w:hAnsiTheme="majorBidi" w:cstheme="majorBidi"/>
          <w:sz w:val="24"/>
          <w:szCs w:val="24"/>
        </w:rPr>
        <w:t xml:space="preserve"> We ran HI estimations using 10 000 MCMC iterations and estimated posterior probability values after a 5000 iteration </w:t>
      </w:r>
      <w:proofErr w:type="spellStart"/>
      <w:r w:rsidRPr="003D4686">
        <w:rPr>
          <w:rFonts w:asciiTheme="majorBidi" w:hAnsiTheme="majorBidi" w:cstheme="majorBidi"/>
          <w:sz w:val="24"/>
          <w:szCs w:val="24"/>
        </w:rPr>
        <w:t>burnin</w:t>
      </w:r>
      <w:proofErr w:type="spellEnd"/>
      <w:r w:rsidRPr="003D4686">
        <w:rPr>
          <w:rFonts w:asciiTheme="majorBidi" w:hAnsiTheme="majorBidi" w:cstheme="majorBidi"/>
          <w:sz w:val="24"/>
          <w:szCs w:val="24"/>
        </w:rPr>
        <w:t xml:space="preserve">. We selected the northernmost populations of </w:t>
      </w:r>
      <w:r w:rsidRPr="003D4686">
        <w:rPr>
          <w:rFonts w:asciiTheme="majorBidi" w:hAnsiTheme="majorBidi" w:cstheme="majorBidi"/>
          <w:i/>
          <w:sz w:val="24"/>
          <w:szCs w:val="24"/>
        </w:rPr>
        <w:t xml:space="preserve">L. campechanus </w:t>
      </w:r>
      <w:r w:rsidRPr="003D4686">
        <w:rPr>
          <w:rFonts w:asciiTheme="majorBidi" w:hAnsiTheme="majorBidi" w:cstheme="majorBidi"/>
          <w:sz w:val="24"/>
          <w:szCs w:val="24"/>
        </w:rPr>
        <w:t xml:space="preserve">(Florida and Apalachicola) and the southernmost populations of </w:t>
      </w:r>
      <w:r w:rsidRPr="003D4686">
        <w:rPr>
          <w:rFonts w:asciiTheme="majorBidi" w:hAnsiTheme="majorBidi" w:cstheme="majorBidi"/>
          <w:i/>
          <w:sz w:val="24"/>
          <w:szCs w:val="24"/>
        </w:rPr>
        <w:t>L. purpureus</w:t>
      </w:r>
      <w:r>
        <w:rPr>
          <w:rFonts w:asciiTheme="majorBidi" w:hAnsiTheme="majorBidi" w:cstheme="majorBidi"/>
          <w:sz w:val="24"/>
          <w:szCs w:val="24"/>
        </w:rPr>
        <w:t xml:space="preserve"> </w:t>
      </w:r>
      <w:r w:rsidRPr="003D4686">
        <w:rPr>
          <w:rFonts w:asciiTheme="majorBidi" w:hAnsiTheme="majorBidi" w:cstheme="majorBidi"/>
          <w:sz w:val="24"/>
          <w:szCs w:val="24"/>
        </w:rPr>
        <w:t>(Fortaleza and Salvador) as parental references in order to reduce the probability of gene exchange between major lineages. By selecting populations with a low probability of contact, the analysis focuses on loci that are highly differentiated in the parental reference populations.</w:t>
      </w:r>
    </w:p>
    <w:p w14:paraId="73799088" w14:textId="78998D7E" w:rsidR="005210FA" w:rsidRDefault="005210FA" w:rsidP="00580472">
      <w:pPr>
        <w:pStyle w:val="ListParagraph"/>
        <w:numPr>
          <w:ilvl w:val="1"/>
          <w:numId w:val="1"/>
        </w:numPr>
        <w:rPr>
          <w:rFonts w:asciiTheme="majorBidi" w:hAnsiTheme="majorBidi" w:cstheme="majorBidi"/>
          <w:b/>
          <w:bCs/>
          <w:sz w:val="32"/>
          <w:szCs w:val="32"/>
        </w:rPr>
      </w:pPr>
      <w:r>
        <w:rPr>
          <w:rFonts w:asciiTheme="majorBidi" w:hAnsiTheme="majorBidi" w:cstheme="majorBidi"/>
          <w:b/>
          <w:bCs/>
          <w:sz w:val="32"/>
          <w:szCs w:val="32"/>
        </w:rPr>
        <w:lastRenderedPageBreak/>
        <w:t>Results</w:t>
      </w:r>
    </w:p>
    <w:p w14:paraId="2BA0D201" w14:textId="5A4A1235" w:rsidR="00FD38AB" w:rsidRDefault="00FD38AB" w:rsidP="00FD38AB">
      <w:pPr>
        <w:jc w:val="both"/>
        <w:rPr>
          <w:rFonts w:asciiTheme="majorBidi" w:hAnsiTheme="majorBidi" w:cstheme="majorBidi"/>
          <w:sz w:val="24"/>
          <w:szCs w:val="24"/>
        </w:rPr>
      </w:pPr>
      <w:r w:rsidRPr="00FD38AB">
        <w:rPr>
          <w:rFonts w:asciiTheme="majorBidi" w:hAnsiTheme="majorBidi" w:cstheme="majorBidi"/>
          <w:sz w:val="24"/>
          <w:szCs w:val="24"/>
        </w:rPr>
        <w:t>In agreement with previous studies [24,25], our mtDNA haplotype networks fail to delimit the nominal species as distinct haplogroups (figure 1</w:t>
      </w:r>
      <w:r w:rsidR="00230089">
        <w:rPr>
          <w:rFonts w:asciiTheme="majorBidi" w:hAnsiTheme="majorBidi" w:cstheme="majorBidi"/>
          <w:sz w:val="24"/>
          <w:szCs w:val="24"/>
        </w:rPr>
        <w:t>.1</w:t>
      </w:r>
      <w:r w:rsidRPr="00FD38AB">
        <w:rPr>
          <w:rFonts w:asciiTheme="majorBidi" w:hAnsiTheme="majorBidi" w:cstheme="majorBidi"/>
          <w:i/>
          <w:sz w:val="24"/>
          <w:szCs w:val="24"/>
        </w:rPr>
        <w:t>a</w:t>
      </w:r>
      <w:r w:rsidRPr="00FD38AB">
        <w:rPr>
          <w:rFonts w:asciiTheme="majorBidi" w:hAnsiTheme="majorBidi" w:cstheme="majorBidi"/>
          <w:sz w:val="24"/>
          <w:szCs w:val="24"/>
        </w:rPr>
        <w:t>,</w:t>
      </w:r>
      <w:r w:rsidRPr="00FD38AB">
        <w:rPr>
          <w:rFonts w:asciiTheme="majorBidi" w:hAnsiTheme="majorBidi" w:cstheme="majorBidi"/>
          <w:i/>
          <w:sz w:val="24"/>
          <w:szCs w:val="24"/>
        </w:rPr>
        <w:t>b</w:t>
      </w:r>
      <w:r w:rsidRPr="00FD38AB">
        <w:rPr>
          <w:rFonts w:asciiTheme="majorBidi" w:hAnsiTheme="majorBidi" w:cstheme="majorBidi"/>
          <w:sz w:val="24"/>
          <w:szCs w:val="24"/>
        </w:rPr>
        <w:t xml:space="preserve">). The </w:t>
      </w:r>
      <w:r w:rsidRPr="00FD38AB">
        <w:rPr>
          <w:rFonts w:asciiTheme="majorBidi" w:hAnsiTheme="majorBidi" w:cstheme="majorBidi"/>
          <w:i/>
          <w:sz w:val="24"/>
          <w:szCs w:val="24"/>
        </w:rPr>
        <w:t xml:space="preserve">COI </w:t>
      </w:r>
      <w:r w:rsidRPr="00FD38AB">
        <w:rPr>
          <w:rFonts w:asciiTheme="majorBidi" w:hAnsiTheme="majorBidi" w:cstheme="majorBidi"/>
          <w:sz w:val="24"/>
          <w:szCs w:val="24"/>
        </w:rPr>
        <w:t xml:space="preserve">network shows an intermingling of </w:t>
      </w:r>
      <w:r w:rsidRPr="00FD38AB">
        <w:rPr>
          <w:rFonts w:asciiTheme="majorBidi" w:hAnsiTheme="majorBidi" w:cstheme="majorBidi"/>
          <w:i/>
          <w:sz w:val="24"/>
          <w:szCs w:val="24"/>
        </w:rPr>
        <w:t xml:space="preserve">L. campechanus </w:t>
      </w:r>
      <w:r w:rsidRPr="00FD38AB">
        <w:rPr>
          <w:rFonts w:asciiTheme="majorBidi" w:hAnsiTheme="majorBidi" w:cstheme="majorBidi"/>
          <w:sz w:val="24"/>
          <w:szCs w:val="24"/>
        </w:rPr>
        <w:t xml:space="preserve">and </w:t>
      </w:r>
      <w:r w:rsidRPr="00FD38AB">
        <w:rPr>
          <w:rFonts w:asciiTheme="majorBidi" w:hAnsiTheme="majorBidi" w:cstheme="majorBidi"/>
          <w:i/>
          <w:sz w:val="24"/>
          <w:szCs w:val="24"/>
        </w:rPr>
        <w:t xml:space="preserve">L. purpureus </w:t>
      </w:r>
      <w:r w:rsidRPr="00FD38AB">
        <w:rPr>
          <w:rFonts w:asciiTheme="majorBidi" w:hAnsiTheme="majorBidi" w:cstheme="majorBidi"/>
          <w:sz w:val="24"/>
          <w:szCs w:val="24"/>
        </w:rPr>
        <w:t>(figure 1</w:t>
      </w:r>
      <w:r w:rsidR="00230089">
        <w:rPr>
          <w:rFonts w:asciiTheme="majorBidi" w:hAnsiTheme="majorBidi" w:cstheme="majorBidi"/>
          <w:sz w:val="24"/>
          <w:szCs w:val="24"/>
        </w:rPr>
        <w:t>.1</w:t>
      </w:r>
      <w:r w:rsidRPr="00FD38AB">
        <w:rPr>
          <w:rFonts w:asciiTheme="majorBidi" w:hAnsiTheme="majorBidi" w:cstheme="majorBidi"/>
          <w:i/>
          <w:sz w:val="24"/>
          <w:szCs w:val="24"/>
        </w:rPr>
        <w:t>a</w:t>
      </w:r>
      <w:r w:rsidRPr="00FD38AB">
        <w:rPr>
          <w:rFonts w:asciiTheme="majorBidi" w:hAnsiTheme="majorBidi" w:cstheme="majorBidi"/>
          <w:sz w:val="24"/>
          <w:szCs w:val="24"/>
        </w:rPr>
        <w:t xml:space="preserve">), whereas the </w:t>
      </w:r>
      <w:r w:rsidRPr="00FD38AB">
        <w:rPr>
          <w:rFonts w:asciiTheme="majorBidi" w:hAnsiTheme="majorBidi" w:cstheme="majorBidi"/>
          <w:i/>
          <w:sz w:val="24"/>
          <w:szCs w:val="24"/>
        </w:rPr>
        <w:t xml:space="preserve">D-loop </w:t>
      </w:r>
      <w:r w:rsidRPr="00FD38AB">
        <w:rPr>
          <w:rFonts w:asciiTheme="majorBidi" w:hAnsiTheme="majorBidi" w:cstheme="majorBidi"/>
          <w:sz w:val="24"/>
          <w:szCs w:val="24"/>
        </w:rPr>
        <w:t xml:space="preserve">network identifies one haplogroup formed solely by </w:t>
      </w:r>
      <w:r w:rsidRPr="00FD38AB">
        <w:rPr>
          <w:rFonts w:asciiTheme="majorBidi" w:hAnsiTheme="majorBidi" w:cstheme="majorBidi"/>
          <w:i/>
          <w:sz w:val="24"/>
          <w:szCs w:val="24"/>
        </w:rPr>
        <w:t xml:space="preserve">L. purpureus </w:t>
      </w:r>
      <w:r w:rsidRPr="00FD38AB">
        <w:rPr>
          <w:rFonts w:asciiTheme="majorBidi" w:hAnsiTheme="majorBidi" w:cstheme="majorBidi"/>
          <w:sz w:val="24"/>
          <w:szCs w:val="24"/>
        </w:rPr>
        <w:t>individuals and</w:t>
      </w:r>
      <w:r>
        <w:rPr>
          <w:rFonts w:asciiTheme="majorBidi" w:hAnsiTheme="majorBidi" w:cstheme="majorBidi"/>
          <w:sz w:val="24"/>
          <w:szCs w:val="24"/>
        </w:rPr>
        <w:t xml:space="preserve"> </w:t>
      </w:r>
      <w:r w:rsidRPr="00FD38AB">
        <w:rPr>
          <w:rFonts w:asciiTheme="majorBidi" w:hAnsiTheme="majorBidi" w:cstheme="majorBidi"/>
          <w:sz w:val="24"/>
          <w:szCs w:val="24"/>
        </w:rPr>
        <w:t xml:space="preserve">another where haplotypes of </w:t>
      </w:r>
      <w:r w:rsidRPr="00FD38AB">
        <w:rPr>
          <w:rFonts w:asciiTheme="majorBidi" w:hAnsiTheme="majorBidi" w:cstheme="majorBidi"/>
          <w:i/>
          <w:iCs/>
          <w:sz w:val="24"/>
          <w:szCs w:val="24"/>
        </w:rPr>
        <w:t>L. campechanus</w:t>
      </w:r>
      <w:r w:rsidRPr="00FD38AB">
        <w:rPr>
          <w:rFonts w:asciiTheme="majorBidi" w:hAnsiTheme="majorBidi" w:cstheme="majorBidi"/>
          <w:sz w:val="24"/>
          <w:szCs w:val="24"/>
        </w:rPr>
        <w:t xml:space="preserve"> are nested</w:t>
      </w:r>
      <w:r>
        <w:rPr>
          <w:rFonts w:asciiTheme="majorBidi" w:hAnsiTheme="majorBidi" w:cstheme="majorBidi"/>
          <w:sz w:val="24"/>
          <w:szCs w:val="24"/>
        </w:rPr>
        <w:t xml:space="preserve"> </w:t>
      </w:r>
      <w:r w:rsidRPr="00FD38AB">
        <w:rPr>
          <w:rFonts w:asciiTheme="majorBidi" w:hAnsiTheme="majorBidi" w:cstheme="majorBidi"/>
          <w:sz w:val="24"/>
          <w:szCs w:val="24"/>
        </w:rPr>
        <w:t xml:space="preserve">within the </w:t>
      </w:r>
      <w:r w:rsidRPr="00FD38AB">
        <w:rPr>
          <w:rFonts w:asciiTheme="majorBidi" w:hAnsiTheme="majorBidi" w:cstheme="majorBidi"/>
          <w:i/>
          <w:iCs/>
          <w:sz w:val="24"/>
          <w:szCs w:val="24"/>
        </w:rPr>
        <w:t>L. purpureus</w:t>
      </w:r>
      <w:r w:rsidRPr="00FD38AB">
        <w:rPr>
          <w:rFonts w:asciiTheme="majorBidi" w:hAnsiTheme="majorBidi" w:cstheme="majorBidi"/>
          <w:sz w:val="24"/>
          <w:szCs w:val="24"/>
        </w:rPr>
        <w:t xml:space="preserve"> populations (figure 1</w:t>
      </w:r>
      <w:r w:rsidR="00230089">
        <w:rPr>
          <w:rFonts w:asciiTheme="majorBidi" w:hAnsiTheme="majorBidi" w:cstheme="majorBidi"/>
          <w:sz w:val="24"/>
          <w:szCs w:val="24"/>
        </w:rPr>
        <w:t>.1</w:t>
      </w:r>
      <w:r w:rsidRPr="00FD38AB">
        <w:rPr>
          <w:rFonts w:asciiTheme="majorBidi" w:hAnsiTheme="majorBidi" w:cstheme="majorBidi"/>
          <w:i/>
          <w:iCs/>
          <w:sz w:val="24"/>
          <w:szCs w:val="24"/>
        </w:rPr>
        <w:t>b</w:t>
      </w:r>
      <w:r w:rsidRPr="00FD38AB">
        <w:rPr>
          <w:rFonts w:asciiTheme="majorBidi" w:hAnsiTheme="majorBidi" w:cstheme="majorBidi"/>
          <w:sz w:val="24"/>
          <w:szCs w:val="24"/>
        </w:rPr>
        <w:t>). Similarly,</w:t>
      </w:r>
      <w:r>
        <w:rPr>
          <w:rFonts w:asciiTheme="majorBidi" w:hAnsiTheme="majorBidi" w:cstheme="majorBidi"/>
          <w:sz w:val="24"/>
          <w:szCs w:val="24"/>
        </w:rPr>
        <w:t xml:space="preserve"> </w:t>
      </w:r>
      <w:r w:rsidRPr="00FD38AB">
        <w:rPr>
          <w:rFonts w:asciiTheme="majorBidi" w:hAnsiTheme="majorBidi" w:cstheme="majorBidi"/>
          <w:sz w:val="24"/>
          <w:szCs w:val="24"/>
        </w:rPr>
        <w:t>the mtDNA COI tree lacks resolution and reveals no geographical</w:t>
      </w:r>
      <w:r>
        <w:rPr>
          <w:rFonts w:asciiTheme="majorBidi" w:hAnsiTheme="majorBidi" w:cstheme="majorBidi"/>
          <w:sz w:val="24"/>
          <w:szCs w:val="24"/>
        </w:rPr>
        <w:t xml:space="preserve"> </w:t>
      </w:r>
      <w:r w:rsidRPr="00FD38AB">
        <w:rPr>
          <w:rFonts w:asciiTheme="majorBidi" w:hAnsiTheme="majorBidi" w:cstheme="majorBidi"/>
          <w:sz w:val="24"/>
          <w:szCs w:val="24"/>
        </w:rPr>
        <w:t>segregation of individuals based on unique</w:t>
      </w:r>
      <w:r>
        <w:rPr>
          <w:rFonts w:asciiTheme="majorBidi" w:hAnsiTheme="majorBidi" w:cstheme="majorBidi"/>
          <w:sz w:val="24"/>
          <w:szCs w:val="24"/>
        </w:rPr>
        <w:t xml:space="preserve"> </w:t>
      </w:r>
      <w:r w:rsidRPr="00FD38AB">
        <w:rPr>
          <w:rFonts w:asciiTheme="majorBidi" w:hAnsiTheme="majorBidi" w:cstheme="majorBidi"/>
          <w:sz w:val="24"/>
          <w:szCs w:val="24"/>
        </w:rPr>
        <w:t xml:space="preserve">haplotypes (figure </w:t>
      </w:r>
      <w:r w:rsidR="00230089">
        <w:rPr>
          <w:rFonts w:asciiTheme="majorBidi" w:hAnsiTheme="majorBidi" w:cstheme="majorBidi"/>
          <w:sz w:val="24"/>
          <w:szCs w:val="24"/>
        </w:rPr>
        <w:t>1.</w:t>
      </w:r>
      <w:r w:rsidRPr="00FD38AB">
        <w:rPr>
          <w:rFonts w:asciiTheme="majorBidi" w:hAnsiTheme="majorBidi" w:cstheme="majorBidi"/>
          <w:sz w:val="24"/>
          <w:szCs w:val="24"/>
        </w:rPr>
        <w:t>2</w:t>
      </w:r>
      <w:r w:rsidRPr="00FD38AB">
        <w:rPr>
          <w:rFonts w:asciiTheme="majorBidi" w:hAnsiTheme="majorBidi" w:cstheme="majorBidi"/>
          <w:i/>
          <w:iCs/>
          <w:sz w:val="24"/>
          <w:szCs w:val="24"/>
        </w:rPr>
        <w:t>a</w:t>
      </w:r>
      <w:r w:rsidRPr="00FD38AB">
        <w:rPr>
          <w:rFonts w:asciiTheme="majorBidi" w:hAnsiTheme="majorBidi" w:cstheme="majorBidi"/>
          <w:sz w:val="24"/>
          <w:szCs w:val="24"/>
        </w:rPr>
        <w:t>). By contrast, trees inferred with</w:t>
      </w:r>
      <w:r>
        <w:rPr>
          <w:rFonts w:asciiTheme="majorBidi" w:hAnsiTheme="majorBidi" w:cstheme="majorBidi"/>
          <w:sz w:val="24"/>
          <w:szCs w:val="24"/>
        </w:rPr>
        <w:t xml:space="preserve"> </w:t>
      </w:r>
      <w:r w:rsidRPr="00FD38AB">
        <w:rPr>
          <w:rFonts w:asciiTheme="majorBidi" w:hAnsiTheme="majorBidi" w:cstheme="majorBidi"/>
          <w:sz w:val="24"/>
          <w:szCs w:val="24"/>
        </w:rPr>
        <w:t>genome-wide RADseq data (15</w:t>
      </w:r>
      <w:r w:rsidR="0042453C">
        <w:rPr>
          <w:rFonts w:asciiTheme="majorBidi" w:hAnsiTheme="majorBidi" w:cstheme="majorBidi"/>
          <w:sz w:val="24"/>
          <w:szCs w:val="24"/>
        </w:rPr>
        <w:t xml:space="preserve"> </w:t>
      </w:r>
      <w:r w:rsidRPr="00FD38AB">
        <w:rPr>
          <w:rFonts w:asciiTheme="majorBidi" w:hAnsiTheme="majorBidi" w:cstheme="majorBidi"/>
          <w:sz w:val="24"/>
          <w:szCs w:val="24"/>
        </w:rPr>
        <w:t>112–42</w:t>
      </w:r>
      <w:r w:rsidR="0042453C">
        <w:rPr>
          <w:rFonts w:asciiTheme="majorBidi" w:hAnsiTheme="majorBidi" w:cstheme="majorBidi"/>
          <w:sz w:val="24"/>
          <w:szCs w:val="24"/>
        </w:rPr>
        <w:t xml:space="preserve"> </w:t>
      </w:r>
      <w:r w:rsidRPr="00FD38AB">
        <w:rPr>
          <w:rFonts w:asciiTheme="majorBidi" w:hAnsiTheme="majorBidi" w:cstheme="majorBidi"/>
          <w:sz w:val="24"/>
          <w:szCs w:val="24"/>
        </w:rPr>
        <w:t>406 loci) consistently</w:t>
      </w:r>
      <w:r>
        <w:rPr>
          <w:rFonts w:asciiTheme="majorBidi" w:hAnsiTheme="majorBidi" w:cstheme="majorBidi"/>
          <w:sz w:val="24"/>
          <w:szCs w:val="24"/>
        </w:rPr>
        <w:t xml:space="preserve"> resolve two divergent and well supported reciprocally </w:t>
      </w:r>
      <w:r w:rsidRPr="00FD38AB">
        <w:rPr>
          <w:rFonts w:asciiTheme="majorBidi" w:hAnsiTheme="majorBidi" w:cstheme="majorBidi"/>
          <w:sz w:val="24"/>
          <w:szCs w:val="24"/>
        </w:rPr>
        <w:t xml:space="preserve">monophyletic groups (bootstrap support </w:t>
      </w:r>
      <w:r>
        <w:rPr>
          <w:rFonts w:asciiTheme="majorBidi" w:hAnsiTheme="majorBidi" w:cstheme="majorBidi"/>
          <w:sz w:val="24"/>
          <w:szCs w:val="24"/>
        </w:rPr>
        <w:t>=</w:t>
      </w:r>
      <w:r w:rsidRPr="00FD38AB">
        <w:rPr>
          <w:rFonts w:asciiTheme="majorBidi" w:hAnsiTheme="majorBidi" w:cstheme="majorBidi"/>
          <w:sz w:val="24"/>
          <w:szCs w:val="24"/>
        </w:rPr>
        <w:t xml:space="preserve"> 100%) that match the established species boundaries for </w:t>
      </w:r>
      <w:r w:rsidRPr="00FD38AB">
        <w:rPr>
          <w:rFonts w:asciiTheme="majorBidi" w:hAnsiTheme="majorBidi" w:cstheme="majorBidi"/>
          <w:i/>
          <w:sz w:val="24"/>
          <w:szCs w:val="24"/>
        </w:rPr>
        <w:t xml:space="preserve">L. campechanus </w:t>
      </w:r>
      <w:r w:rsidRPr="00FD38AB">
        <w:rPr>
          <w:rFonts w:asciiTheme="majorBidi" w:hAnsiTheme="majorBidi" w:cstheme="majorBidi"/>
          <w:sz w:val="24"/>
          <w:szCs w:val="24"/>
        </w:rPr>
        <w:t xml:space="preserve">and </w:t>
      </w:r>
      <w:r w:rsidRPr="00FD38AB">
        <w:rPr>
          <w:rFonts w:asciiTheme="majorBidi" w:hAnsiTheme="majorBidi" w:cstheme="majorBidi"/>
          <w:i/>
          <w:sz w:val="24"/>
          <w:szCs w:val="24"/>
        </w:rPr>
        <w:t xml:space="preserve">L. purpureus </w:t>
      </w:r>
      <w:r w:rsidRPr="00FD38AB">
        <w:rPr>
          <w:rFonts w:asciiTheme="majorBidi" w:hAnsiTheme="majorBidi" w:cstheme="majorBidi"/>
          <w:sz w:val="24"/>
          <w:szCs w:val="24"/>
        </w:rPr>
        <w:t>(figures 1</w:t>
      </w:r>
      <w:r w:rsidR="00230089">
        <w:rPr>
          <w:rFonts w:asciiTheme="majorBidi" w:hAnsiTheme="majorBidi" w:cstheme="majorBidi"/>
          <w:sz w:val="24"/>
          <w:szCs w:val="24"/>
        </w:rPr>
        <w:t>.1</w:t>
      </w:r>
      <w:r w:rsidRPr="00FD38AB">
        <w:rPr>
          <w:rFonts w:asciiTheme="majorBidi" w:hAnsiTheme="majorBidi" w:cstheme="majorBidi"/>
          <w:i/>
          <w:sz w:val="24"/>
          <w:szCs w:val="24"/>
        </w:rPr>
        <w:t xml:space="preserve">e </w:t>
      </w:r>
      <w:r w:rsidRPr="00FD38AB">
        <w:rPr>
          <w:rFonts w:asciiTheme="majorBidi" w:hAnsiTheme="majorBidi" w:cstheme="majorBidi"/>
          <w:sz w:val="24"/>
          <w:szCs w:val="24"/>
        </w:rPr>
        <w:t xml:space="preserve">and </w:t>
      </w:r>
      <w:r w:rsidR="00230089">
        <w:rPr>
          <w:rFonts w:asciiTheme="majorBidi" w:hAnsiTheme="majorBidi" w:cstheme="majorBidi"/>
          <w:sz w:val="24"/>
          <w:szCs w:val="24"/>
        </w:rPr>
        <w:t>1.</w:t>
      </w:r>
      <w:r w:rsidRPr="00FD38AB">
        <w:rPr>
          <w:rFonts w:asciiTheme="majorBidi" w:hAnsiTheme="majorBidi" w:cstheme="majorBidi"/>
          <w:sz w:val="24"/>
          <w:szCs w:val="24"/>
        </w:rPr>
        <w:t>2</w:t>
      </w:r>
      <w:r w:rsidRPr="00FD38AB">
        <w:rPr>
          <w:rFonts w:asciiTheme="majorBidi" w:hAnsiTheme="majorBidi" w:cstheme="majorBidi"/>
          <w:i/>
          <w:sz w:val="24"/>
          <w:szCs w:val="24"/>
        </w:rPr>
        <w:t>a</w:t>
      </w:r>
      <w:r w:rsidRPr="00FD38AB">
        <w:rPr>
          <w:rFonts w:asciiTheme="majorBidi" w:hAnsiTheme="majorBidi" w:cstheme="majorBidi"/>
          <w:sz w:val="24"/>
          <w:szCs w:val="24"/>
        </w:rPr>
        <w:t>). There is no apparent pattern of geographical segregation within each clade, as individuals are not clustered in the SNP-based trees by populations/locations. Coalescent-based analyses using the BFD* method also provide overwhelming support in favor of the two species delimitation scenario (Bayes fac</w:t>
      </w:r>
      <w:r w:rsidRPr="00FD38AB">
        <w:rPr>
          <w:rFonts w:ascii="Cambria" w:eastAsia="Cambria" w:hAnsi="Cambria" w:cs="Cambria"/>
          <w:color w:val="231F20"/>
          <w:sz w:val="18"/>
          <w:szCs w:val="18"/>
        </w:rPr>
        <w:t xml:space="preserve"> </w:t>
      </w:r>
      <w:r w:rsidRPr="00FD38AB">
        <w:rPr>
          <w:rFonts w:asciiTheme="majorBidi" w:hAnsiTheme="majorBidi" w:cstheme="majorBidi"/>
          <w:sz w:val="24"/>
          <w:szCs w:val="24"/>
        </w:rPr>
        <w:t xml:space="preserve">tors for two versus one species 2310.28 – 22 356.22; see details in </w:t>
      </w:r>
      <w:r w:rsidR="001D48AF">
        <w:rPr>
          <w:rFonts w:asciiTheme="majorBidi" w:hAnsiTheme="majorBidi" w:cstheme="majorBidi"/>
          <w:sz w:val="24"/>
          <w:szCs w:val="24"/>
        </w:rPr>
        <w:t>Appendix A</w:t>
      </w:r>
      <w:r w:rsidRPr="00FD38AB">
        <w:rPr>
          <w:rFonts w:asciiTheme="majorBidi" w:hAnsiTheme="majorBidi" w:cstheme="majorBidi"/>
          <w:sz w:val="24"/>
          <w:szCs w:val="24"/>
        </w:rPr>
        <w:t xml:space="preserve">, table S5). A list of diagnostic SNPs differentiating populations of </w:t>
      </w:r>
      <w:r w:rsidRPr="00FD38AB">
        <w:rPr>
          <w:rFonts w:asciiTheme="majorBidi" w:hAnsiTheme="majorBidi" w:cstheme="majorBidi"/>
          <w:i/>
          <w:sz w:val="24"/>
          <w:szCs w:val="24"/>
        </w:rPr>
        <w:t xml:space="preserve">L. campechanus </w:t>
      </w:r>
      <w:r w:rsidRPr="00FD38AB">
        <w:rPr>
          <w:rFonts w:asciiTheme="majorBidi" w:hAnsiTheme="majorBidi" w:cstheme="majorBidi"/>
          <w:sz w:val="24"/>
          <w:szCs w:val="24"/>
        </w:rPr>
        <w:t xml:space="preserve">from </w:t>
      </w:r>
      <w:r w:rsidRPr="00FD38AB">
        <w:rPr>
          <w:rFonts w:asciiTheme="majorBidi" w:hAnsiTheme="majorBidi" w:cstheme="majorBidi"/>
          <w:i/>
          <w:sz w:val="24"/>
          <w:szCs w:val="24"/>
        </w:rPr>
        <w:t>L. purpureus</w:t>
      </w:r>
      <w:r w:rsidRPr="00FD38AB">
        <w:rPr>
          <w:rFonts w:asciiTheme="majorBidi" w:hAnsiTheme="majorBidi" w:cstheme="majorBidi"/>
          <w:sz w:val="24"/>
          <w:szCs w:val="24"/>
        </w:rPr>
        <w:t xml:space="preserve">, which can be used for barcoding purposes, is given in the </w:t>
      </w:r>
      <w:r w:rsidR="001D48AF">
        <w:rPr>
          <w:rFonts w:asciiTheme="majorBidi" w:hAnsiTheme="majorBidi" w:cstheme="majorBidi"/>
          <w:sz w:val="24"/>
          <w:szCs w:val="24"/>
        </w:rPr>
        <w:t>Appendix A</w:t>
      </w:r>
      <w:r w:rsidRPr="00FD38AB">
        <w:rPr>
          <w:rFonts w:asciiTheme="majorBidi" w:hAnsiTheme="majorBidi" w:cstheme="majorBidi"/>
          <w:sz w:val="24"/>
          <w:szCs w:val="24"/>
        </w:rPr>
        <w:t>, table S6.</w:t>
      </w:r>
    </w:p>
    <w:p w14:paraId="483AC9F8" w14:textId="60352859" w:rsidR="00FD38AB" w:rsidRPr="00FD38AB" w:rsidRDefault="00FD38AB" w:rsidP="00A27A9F">
      <w:pPr>
        <w:ind w:firstLine="720"/>
        <w:jc w:val="both"/>
        <w:rPr>
          <w:rFonts w:asciiTheme="majorBidi" w:hAnsiTheme="majorBidi" w:cstheme="majorBidi"/>
          <w:sz w:val="24"/>
          <w:szCs w:val="24"/>
        </w:rPr>
      </w:pPr>
      <w:r w:rsidRPr="00FD38AB">
        <w:rPr>
          <w:rFonts w:asciiTheme="majorBidi" w:hAnsiTheme="majorBidi" w:cstheme="majorBidi"/>
          <w:sz w:val="24"/>
          <w:szCs w:val="24"/>
        </w:rPr>
        <w:t>Population structure results based on fastStructure analyses of SNP data delimit the northern and southern lineages as separate units (figure 1</w:t>
      </w:r>
      <w:r w:rsidR="00230089">
        <w:rPr>
          <w:rFonts w:asciiTheme="majorBidi" w:hAnsiTheme="majorBidi" w:cstheme="majorBidi"/>
          <w:sz w:val="24"/>
          <w:szCs w:val="24"/>
        </w:rPr>
        <w:t>.1</w:t>
      </w:r>
      <w:r w:rsidRPr="00FD38AB">
        <w:rPr>
          <w:rFonts w:asciiTheme="majorBidi" w:hAnsiTheme="majorBidi" w:cstheme="majorBidi"/>
          <w:i/>
          <w:sz w:val="24"/>
          <w:szCs w:val="24"/>
        </w:rPr>
        <w:t>c</w:t>
      </w:r>
      <w:r w:rsidRPr="00FD38AB">
        <w:rPr>
          <w:rFonts w:asciiTheme="majorBidi" w:hAnsiTheme="majorBidi" w:cstheme="majorBidi"/>
          <w:sz w:val="24"/>
          <w:szCs w:val="24"/>
        </w:rPr>
        <w:t>,</w:t>
      </w:r>
      <w:r w:rsidRPr="00FD38AB">
        <w:rPr>
          <w:rFonts w:asciiTheme="majorBidi" w:hAnsiTheme="majorBidi" w:cstheme="majorBidi"/>
          <w:i/>
          <w:sz w:val="24"/>
          <w:szCs w:val="24"/>
        </w:rPr>
        <w:t xml:space="preserve">d </w:t>
      </w:r>
      <w:r w:rsidRPr="00FD38AB">
        <w:rPr>
          <w:rFonts w:asciiTheme="majorBidi" w:hAnsiTheme="majorBidi" w:cstheme="majorBidi"/>
          <w:sz w:val="24"/>
          <w:szCs w:val="24"/>
        </w:rPr>
        <w:t>), with a best-fitting model supporting two meta-populations (</w:t>
      </w:r>
      <w:r w:rsidRPr="00FD38AB">
        <w:rPr>
          <w:rFonts w:asciiTheme="majorBidi" w:hAnsiTheme="majorBidi" w:cstheme="majorBidi"/>
          <w:i/>
          <w:sz w:val="24"/>
          <w:szCs w:val="24"/>
        </w:rPr>
        <w:t xml:space="preserve">K </w:t>
      </w:r>
      <w:r w:rsidR="00A27A9F">
        <w:rPr>
          <w:rFonts w:asciiTheme="majorBidi" w:hAnsiTheme="majorBidi" w:cstheme="majorBidi"/>
          <w:sz w:val="24"/>
          <w:szCs w:val="24"/>
        </w:rPr>
        <w:t>=</w:t>
      </w:r>
      <w:r w:rsidRPr="00FD38AB">
        <w:rPr>
          <w:rFonts w:asciiTheme="majorBidi" w:hAnsiTheme="majorBidi" w:cstheme="majorBidi"/>
          <w:sz w:val="24"/>
          <w:szCs w:val="24"/>
        </w:rPr>
        <w:t xml:space="preserve"> 2). Although there have been recent concerns that structure analyses tend to be biased in </w:t>
      </w:r>
      <w:r w:rsidR="00A27A9F" w:rsidRPr="00FD38AB">
        <w:rPr>
          <w:rFonts w:asciiTheme="majorBidi" w:hAnsiTheme="majorBidi" w:cstheme="majorBidi"/>
          <w:sz w:val="24"/>
          <w:szCs w:val="24"/>
        </w:rPr>
        <w:t>favor</w:t>
      </w:r>
      <w:r w:rsidRPr="00FD38AB">
        <w:rPr>
          <w:rFonts w:asciiTheme="majorBidi" w:hAnsiTheme="majorBidi" w:cstheme="majorBidi"/>
          <w:sz w:val="24"/>
          <w:szCs w:val="24"/>
        </w:rPr>
        <w:t xml:space="preserve"> of </w:t>
      </w:r>
      <w:r w:rsidRPr="00FD38AB">
        <w:rPr>
          <w:rFonts w:asciiTheme="majorBidi" w:hAnsiTheme="majorBidi" w:cstheme="majorBidi"/>
          <w:i/>
          <w:sz w:val="24"/>
          <w:szCs w:val="24"/>
        </w:rPr>
        <w:t xml:space="preserve">K </w:t>
      </w:r>
      <w:r w:rsidR="00A27A9F">
        <w:rPr>
          <w:rFonts w:asciiTheme="majorBidi" w:hAnsiTheme="majorBidi" w:cstheme="majorBidi"/>
          <w:sz w:val="24"/>
          <w:szCs w:val="24"/>
        </w:rPr>
        <w:t>=</w:t>
      </w:r>
      <w:r w:rsidRPr="00FD38AB">
        <w:rPr>
          <w:rFonts w:asciiTheme="majorBidi" w:hAnsiTheme="majorBidi" w:cstheme="majorBidi"/>
          <w:sz w:val="24"/>
          <w:szCs w:val="24"/>
        </w:rPr>
        <w:t xml:space="preserve"> 2 [56], we note that our K scheme is consistent with the results inferred using multiple lines of evidence (figures 1</w:t>
      </w:r>
      <w:r w:rsidR="00230089">
        <w:rPr>
          <w:rFonts w:asciiTheme="majorBidi" w:hAnsiTheme="majorBidi" w:cstheme="majorBidi"/>
          <w:sz w:val="24"/>
          <w:szCs w:val="24"/>
        </w:rPr>
        <w:t>.1</w:t>
      </w:r>
      <w:r w:rsidRPr="00FD38AB">
        <w:rPr>
          <w:rFonts w:asciiTheme="majorBidi" w:hAnsiTheme="majorBidi" w:cstheme="majorBidi"/>
          <w:i/>
          <w:sz w:val="24"/>
          <w:szCs w:val="24"/>
        </w:rPr>
        <w:t xml:space="preserve">e </w:t>
      </w:r>
      <w:r w:rsidRPr="00FD38AB">
        <w:rPr>
          <w:rFonts w:asciiTheme="majorBidi" w:hAnsiTheme="majorBidi" w:cstheme="majorBidi"/>
          <w:sz w:val="24"/>
          <w:szCs w:val="24"/>
        </w:rPr>
        <w:t xml:space="preserve">and 2; </w:t>
      </w:r>
      <w:r w:rsidR="001D48AF">
        <w:rPr>
          <w:rFonts w:asciiTheme="majorBidi" w:hAnsiTheme="majorBidi" w:cstheme="majorBidi"/>
          <w:sz w:val="24"/>
          <w:szCs w:val="24"/>
        </w:rPr>
        <w:t>Appendix A</w:t>
      </w:r>
      <w:r w:rsidRPr="00FD38AB">
        <w:rPr>
          <w:rFonts w:asciiTheme="majorBidi" w:hAnsiTheme="majorBidi" w:cstheme="majorBidi"/>
          <w:sz w:val="24"/>
          <w:szCs w:val="24"/>
        </w:rPr>
        <w:t xml:space="preserve">, table S5). In the PCAs of RAD loci, the first principal component accounts for 21 – 27% of the variation and is congruent with the separation of </w:t>
      </w:r>
      <w:r w:rsidRPr="00FD38AB">
        <w:rPr>
          <w:rFonts w:asciiTheme="majorBidi" w:hAnsiTheme="majorBidi" w:cstheme="majorBidi"/>
          <w:i/>
          <w:sz w:val="24"/>
          <w:szCs w:val="24"/>
        </w:rPr>
        <w:t xml:space="preserve">L. campechanus </w:t>
      </w:r>
      <w:r w:rsidRPr="00FD38AB">
        <w:rPr>
          <w:rFonts w:asciiTheme="majorBidi" w:hAnsiTheme="majorBidi" w:cstheme="majorBidi"/>
          <w:sz w:val="24"/>
          <w:szCs w:val="24"/>
        </w:rPr>
        <w:t>from</w:t>
      </w:r>
      <w:r w:rsidR="00A27A9F">
        <w:rPr>
          <w:rFonts w:asciiTheme="majorBidi" w:hAnsiTheme="majorBidi" w:cstheme="majorBidi"/>
          <w:sz w:val="24"/>
          <w:szCs w:val="24"/>
        </w:rPr>
        <w:t xml:space="preserve"> </w:t>
      </w:r>
      <w:r w:rsidRPr="00FD38AB">
        <w:rPr>
          <w:rFonts w:asciiTheme="majorBidi" w:hAnsiTheme="majorBidi" w:cstheme="majorBidi"/>
          <w:i/>
          <w:sz w:val="24"/>
          <w:szCs w:val="24"/>
        </w:rPr>
        <w:t xml:space="preserve">L. purpureus </w:t>
      </w:r>
      <w:r w:rsidRPr="00FD38AB">
        <w:rPr>
          <w:rFonts w:asciiTheme="majorBidi" w:hAnsiTheme="majorBidi" w:cstheme="majorBidi"/>
          <w:sz w:val="24"/>
          <w:szCs w:val="24"/>
        </w:rPr>
        <w:t>(figure 2</w:t>
      </w:r>
      <w:r w:rsidRPr="00FD38AB">
        <w:rPr>
          <w:rFonts w:asciiTheme="majorBidi" w:hAnsiTheme="majorBidi" w:cstheme="majorBidi"/>
          <w:i/>
          <w:sz w:val="24"/>
          <w:szCs w:val="24"/>
        </w:rPr>
        <w:t>b</w:t>
      </w:r>
      <w:r w:rsidRPr="00FD38AB">
        <w:rPr>
          <w:rFonts w:asciiTheme="majorBidi" w:hAnsiTheme="majorBidi" w:cstheme="majorBidi"/>
          <w:sz w:val="24"/>
          <w:szCs w:val="24"/>
        </w:rPr>
        <w:t xml:space="preserve">; </w:t>
      </w:r>
      <w:r w:rsidR="00230089">
        <w:rPr>
          <w:rFonts w:asciiTheme="majorBidi" w:hAnsiTheme="majorBidi" w:cstheme="majorBidi"/>
          <w:sz w:val="24"/>
          <w:szCs w:val="24"/>
        </w:rPr>
        <w:t>Appendix A</w:t>
      </w:r>
      <w:r w:rsidRPr="00FD38AB">
        <w:rPr>
          <w:rFonts w:asciiTheme="majorBidi" w:hAnsiTheme="majorBidi" w:cstheme="majorBidi"/>
          <w:sz w:val="24"/>
          <w:szCs w:val="24"/>
        </w:rPr>
        <w:t>,</w:t>
      </w:r>
      <w:r w:rsidR="00A27A9F">
        <w:rPr>
          <w:rFonts w:asciiTheme="majorBidi" w:hAnsiTheme="majorBidi" w:cstheme="majorBidi"/>
          <w:sz w:val="24"/>
          <w:szCs w:val="24"/>
        </w:rPr>
        <w:t xml:space="preserve"> </w:t>
      </w:r>
      <w:r w:rsidRPr="00FD38AB">
        <w:rPr>
          <w:rFonts w:asciiTheme="majorBidi" w:hAnsiTheme="majorBidi" w:cstheme="majorBidi"/>
          <w:sz w:val="24"/>
          <w:szCs w:val="24"/>
        </w:rPr>
        <w:t>figure S3). The second principal component represents 1 – 6% of the genetic variation, resulting in scattered populations on a cline that unveils fine-scale patterns of population structure according to geography (e.g. Veracruz-Tuxpan and Alabama-Louisiana define slope extremes of</w:t>
      </w:r>
      <w:r w:rsidR="00A27A9F">
        <w:rPr>
          <w:rFonts w:asciiTheme="majorBidi" w:hAnsiTheme="majorBidi" w:cstheme="majorBidi"/>
          <w:sz w:val="24"/>
          <w:szCs w:val="24"/>
        </w:rPr>
        <w:t xml:space="preserve"> </w:t>
      </w:r>
      <w:r w:rsidRPr="00FD38AB">
        <w:rPr>
          <w:rFonts w:asciiTheme="majorBidi" w:hAnsiTheme="majorBidi" w:cstheme="majorBidi"/>
          <w:i/>
          <w:sz w:val="24"/>
          <w:szCs w:val="24"/>
        </w:rPr>
        <w:t>L. campechanus</w:t>
      </w:r>
      <w:r w:rsidRPr="00FD38AB">
        <w:rPr>
          <w:rFonts w:asciiTheme="majorBidi" w:hAnsiTheme="majorBidi" w:cstheme="majorBidi"/>
          <w:sz w:val="24"/>
          <w:szCs w:val="24"/>
        </w:rPr>
        <w:t>; the same is true for Guajira and Fortaleza</w:t>
      </w:r>
      <w:r w:rsidR="00A27A9F">
        <w:rPr>
          <w:rFonts w:asciiTheme="majorBidi" w:hAnsiTheme="majorBidi" w:cstheme="majorBidi"/>
          <w:sz w:val="24"/>
          <w:szCs w:val="24"/>
        </w:rPr>
        <w:t xml:space="preserve"> </w:t>
      </w:r>
      <w:r w:rsidRPr="00FD38AB">
        <w:rPr>
          <w:rFonts w:asciiTheme="majorBidi" w:hAnsiTheme="majorBidi" w:cstheme="majorBidi"/>
          <w:sz w:val="24"/>
          <w:szCs w:val="24"/>
        </w:rPr>
        <w:t xml:space="preserve">in </w:t>
      </w:r>
      <w:r w:rsidRPr="00FD38AB">
        <w:rPr>
          <w:rFonts w:asciiTheme="majorBidi" w:hAnsiTheme="majorBidi" w:cstheme="majorBidi"/>
          <w:i/>
          <w:sz w:val="24"/>
          <w:szCs w:val="24"/>
        </w:rPr>
        <w:t>L. purpureus</w:t>
      </w:r>
      <w:r w:rsidRPr="00FD38AB">
        <w:rPr>
          <w:rFonts w:asciiTheme="majorBidi" w:hAnsiTheme="majorBidi" w:cstheme="majorBidi"/>
          <w:sz w:val="24"/>
          <w:szCs w:val="24"/>
        </w:rPr>
        <w:t xml:space="preserve">). While results using the 42406 SNPs matrix (figure </w:t>
      </w:r>
      <w:r w:rsidR="00230089">
        <w:rPr>
          <w:rFonts w:asciiTheme="majorBidi" w:hAnsiTheme="majorBidi" w:cstheme="majorBidi"/>
          <w:sz w:val="24"/>
          <w:szCs w:val="24"/>
        </w:rPr>
        <w:t>1.</w:t>
      </w:r>
      <w:r w:rsidRPr="00FD38AB">
        <w:rPr>
          <w:rFonts w:asciiTheme="majorBidi" w:hAnsiTheme="majorBidi" w:cstheme="majorBidi"/>
          <w:sz w:val="24"/>
          <w:szCs w:val="24"/>
        </w:rPr>
        <w:t>2</w:t>
      </w:r>
      <w:r w:rsidRPr="00FD38AB">
        <w:rPr>
          <w:rFonts w:asciiTheme="majorBidi" w:hAnsiTheme="majorBidi" w:cstheme="majorBidi"/>
          <w:i/>
          <w:sz w:val="24"/>
          <w:szCs w:val="24"/>
        </w:rPr>
        <w:t>b</w:t>
      </w:r>
      <w:r w:rsidRPr="00FD38AB">
        <w:rPr>
          <w:rFonts w:asciiTheme="majorBidi" w:hAnsiTheme="majorBidi" w:cstheme="majorBidi"/>
          <w:sz w:val="24"/>
          <w:szCs w:val="24"/>
        </w:rPr>
        <w:t xml:space="preserve">; </w:t>
      </w:r>
      <w:r w:rsidR="001D48AF">
        <w:rPr>
          <w:rFonts w:asciiTheme="majorBidi" w:hAnsiTheme="majorBidi" w:cstheme="majorBidi"/>
          <w:sz w:val="24"/>
          <w:szCs w:val="24"/>
        </w:rPr>
        <w:t>Appendix A</w:t>
      </w:r>
      <w:r w:rsidRPr="00FD38AB">
        <w:rPr>
          <w:rFonts w:asciiTheme="majorBidi" w:hAnsiTheme="majorBidi" w:cstheme="majorBidi"/>
          <w:sz w:val="24"/>
          <w:szCs w:val="24"/>
        </w:rPr>
        <w:t>, figure S3d–f ) show a much clearer species demarcation relative to the 15</w:t>
      </w:r>
      <w:r w:rsidR="0042453C">
        <w:rPr>
          <w:rFonts w:asciiTheme="majorBidi" w:hAnsiTheme="majorBidi" w:cstheme="majorBidi"/>
          <w:sz w:val="24"/>
          <w:szCs w:val="24"/>
        </w:rPr>
        <w:t xml:space="preserve"> </w:t>
      </w:r>
      <w:r w:rsidRPr="00FD38AB">
        <w:rPr>
          <w:rFonts w:asciiTheme="majorBidi" w:hAnsiTheme="majorBidi" w:cstheme="majorBidi"/>
          <w:sz w:val="24"/>
          <w:szCs w:val="24"/>
        </w:rPr>
        <w:t xml:space="preserve">112 SNPs matrix (figure </w:t>
      </w:r>
      <w:r w:rsidR="001D48AF">
        <w:rPr>
          <w:rFonts w:asciiTheme="majorBidi" w:hAnsiTheme="majorBidi" w:cstheme="majorBidi"/>
          <w:sz w:val="24"/>
          <w:szCs w:val="24"/>
        </w:rPr>
        <w:t>1.</w:t>
      </w:r>
      <w:r w:rsidRPr="00FD38AB">
        <w:rPr>
          <w:rFonts w:asciiTheme="majorBidi" w:hAnsiTheme="majorBidi" w:cstheme="majorBidi"/>
          <w:sz w:val="24"/>
          <w:szCs w:val="24"/>
        </w:rPr>
        <w:t>2</w:t>
      </w:r>
      <w:r w:rsidRPr="00FD38AB">
        <w:rPr>
          <w:rFonts w:asciiTheme="majorBidi" w:hAnsiTheme="majorBidi" w:cstheme="majorBidi"/>
          <w:i/>
          <w:sz w:val="24"/>
          <w:szCs w:val="24"/>
        </w:rPr>
        <w:t>b</w:t>
      </w:r>
      <w:r w:rsidRPr="00FD38AB">
        <w:rPr>
          <w:rFonts w:asciiTheme="majorBidi" w:hAnsiTheme="majorBidi" w:cstheme="majorBidi"/>
          <w:sz w:val="24"/>
          <w:szCs w:val="24"/>
        </w:rPr>
        <w:t xml:space="preserve">; </w:t>
      </w:r>
      <w:r w:rsidR="001D48AF">
        <w:rPr>
          <w:rFonts w:asciiTheme="majorBidi" w:hAnsiTheme="majorBidi" w:cstheme="majorBidi"/>
          <w:sz w:val="24"/>
          <w:szCs w:val="24"/>
        </w:rPr>
        <w:t>Appendix A</w:t>
      </w:r>
      <w:r w:rsidRPr="00FD38AB">
        <w:rPr>
          <w:rFonts w:asciiTheme="majorBidi" w:hAnsiTheme="majorBidi" w:cstheme="majorBidi"/>
          <w:sz w:val="24"/>
          <w:szCs w:val="24"/>
        </w:rPr>
        <w:t>, figure S3a–c), PCAs overall identify the same clustering patterns regardless of the number of SNPs analyzed. Main variations on the observed genetic groups were influenced by the number of individuals contained (‘min. sites’ filter) in each PCA analysis, where PCAs generated with ‘min. site 0.05’ superimpose populations from both species that contained the highest amount of missing data (e.g. Yucat</w:t>
      </w:r>
      <w:r w:rsidR="00A27A9F">
        <w:rPr>
          <w:rFonts w:asciiTheme="majorBidi" w:hAnsiTheme="majorBidi" w:cstheme="majorBidi"/>
          <w:sz w:val="24"/>
          <w:szCs w:val="24"/>
        </w:rPr>
        <w:t>á</w:t>
      </w:r>
      <w:r w:rsidRPr="00FD38AB">
        <w:rPr>
          <w:rFonts w:asciiTheme="majorBidi" w:hAnsiTheme="majorBidi" w:cstheme="majorBidi"/>
          <w:sz w:val="24"/>
          <w:szCs w:val="24"/>
        </w:rPr>
        <w:t xml:space="preserve">n; figure </w:t>
      </w:r>
      <w:r w:rsidR="00230089">
        <w:rPr>
          <w:rFonts w:asciiTheme="majorBidi" w:hAnsiTheme="majorBidi" w:cstheme="majorBidi"/>
          <w:sz w:val="24"/>
          <w:szCs w:val="24"/>
        </w:rPr>
        <w:t>1.</w:t>
      </w:r>
      <w:r w:rsidRPr="00FD38AB">
        <w:rPr>
          <w:rFonts w:asciiTheme="majorBidi" w:hAnsiTheme="majorBidi" w:cstheme="majorBidi"/>
          <w:sz w:val="24"/>
          <w:szCs w:val="24"/>
        </w:rPr>
        <w:t>2</w:t>
      </w:r>
      <w:r w:rsidRPr="00FD38AB">
        <w:rPr>
          <w:rFonts w:asciiTheme="majorBidi" w:hAnsiTheme="majorBidi" w:cstheme="majorBidi"/>
          <w:i/>
          <w:sz w:val="24"/>
          <w:szCs w:val="24"/>
        </w:rPr>
        <w:t>b</w:t>
      </w:r>
      <w:r w:rsidRPr="00FD38AB">
        <w:rPr>
          <w:rFonts w:asciiTheme="majorBidi" w:hAnsiTheme="majorBidi" w:cstheme="majorBidi"/>
          <w:sz w:val="24"/>
          <w:szCs w:val="24"/>
        </w:rPr>
        <w:t xml:space="preserve">; </w:t>
      </w:r>
      <w:r w:rsidR="001D48AF">
        <w:rPr>
          <w:rFonts w:asciiTheme="majorBidi" w:hAnsiTheme="majorBidi" w:cstheme="majorBidi"/>
          <w:sz w:val="24"/>
          <w:szCs w:val="24"/>
        </w:rPr>
        <w:t>Appendix A</w:t>
      </w:r>
      <w:r w:rsidRPr="00FD38AB">
        <w:rPr>
          <w:rFonts w:asciiTheme="majorBidi" w:hAnsiTheme="majorBidi" w:cstheme="majorBidi"/>
          <w:sz w:val="24"/>
          <w:szCs w:val="24"/>
        </w:rPr>
        <w:t>, figure S3a). These results emphasize that missing data can bias the results obtained with large RADseq datasets [57].</w:t>
      </w:r>
    </w:p>
    <w:p w14:paraId="3B3E31DC" w14:textId="66193533" w:rsidR="00667391" w:rsidRDefault="00FD38AB" w:rsidP="0042453C">
      <w:pPr>
        <w:ind w:firstLine="720"/>
        <w:jc w:val="both"/>
        <w:rPr>
          <w:rFonts w:asciiTheme="majorBidi" w:hAnsiTheme="majorBidi" w:cstheme="majorBidi"/>
          <w:sz w:val="24"/>
          <w:szCs w:val="24"/>
        </w:rPr>
      </w:pPr>
      <w:r w:rsidRPr="00FD38AB">
        <w:rPr>
          <w:rFonts w:asciiTheme="majorBidi" w:hAnsiTheme="majorBidi" w:cstheme="majorBidi"/>
          <w:sz w:val="24"/>
          <w:szCs w:val="24"/>
        </w:rPr>
        <w:t xml:space="preserve">Weir and Cockerham </w:t>
      </w:r>
      <w:r w:rsidRPr="00FD38AB">
        <w:rPr>
          <w:rFonts w:asciiTheme="majorBidi" w:hAnsiTheme="majorBidi" w:cstheme="majorBidi"/>
          <w:i/>
          <w:sz w:val="24"/>
          <w:szCs w:val="24"/>
        </w:rPr>
        <w:t>F</w:t>
      </w:r>
      <w:r w:rsidRPr="00FD38AB">
        <w:rPr>
          <w:rFonts w:asciiTheme="majorBidi" w:hAnsiTheme="majorBidi" w:cstheme="majorBidi"/>
          <w:sz w:val="24"/>
          <w:szCs w:val="24"/>
          <w:vertAlign w:val="subscript"/>
        </w:rPr>
        <w:t>ST</w:t>
      </w:r>
      <w:r w:rsidRPr="00FD38AB">
        <w:rPr>
          <w:rFonts w:asciiTheme="majorBidi" w:hAnsiTheme="majorBidi" w:cstheme="majorBidi"/>
          <w:sz w:val="24"/>
          <w:szCs w:val="24"/>
        </w:rPr>
        <w:t xml:space="preserve"> values are substantially lower at intra- versus inter-specific levels (</w:t>
      </w:r>
      <w:r w:rsidR="001D48AF">
        <w:rPr>
          <w:rFonts w:asciiTheme="majorBidi" w:hAnsiTheme="majorBidi" w:cstheme="majorBidi"/>
          <w:sz w:val="24"/>
          <w:szCs w:val="24"/>
        </w:rPr>
        <w:t>Appendix A</w:t>
      </w:r>
      <w:r w:rsidRPr="00FD38AB">
        <w:rPr>
          <w:rFonts w:asciiTheme="majorBidi" w:hAnsiTheme="majorBidi" w:cstheme="majorBidi"/>
          <w:sz w:val="24"/>
          <w:szCs w:val="24"/>
        </w:rPr>
        <w:t xml:space="preserve">, figure S4). </w:t>
      </w:r>
      <w:r w:rsidRPr="00FD38AB">
        <w:rPr>
          <w:rFonts w:asciiTheme="majorBidi" w:hAnsiTheme="majorBidi" w:cstheme="majorBidi"/>
          <w:i/>
          <w:sz w:val="24"/>
          <w:szCs w:val="24"/>
        </w:rPr>
        <w:t xml:space="preserve">Lutjanus campechanus </w:t>
      </w:r>
      <w:r w:rsidRPr="00FD38AB">
        <w:rPr>
          <w:rFonts w:asciiTheme="majorBidi" w:hAnsiTheme="majorBidi" w:cstheme="majorBidi"/>
          <w:sz w:val="24"/>
          <w:szCs w:val="24"/>
        </w:rPr>
        <w:t>shows genetic differences between 0.0010 and 0.0119 in Tabasco- Veracruz and Veracruz-Apalachicola respectively, whereas</w:t>
      </w:r>
      <w:r w:rsidR="0042453C">
        <w:rPr>
          <w:rFonts w:asciiTheme="majorBidi" w:hAnsiTheme="majorBidi" w:cstheme="majorBidi"/>
          <w:sz w:val="24"/>
          <w:szCs w:val="24"/>
        </w:rPr>
        <w:t xml:space="preserve"> </w:t>
      </w:r>
      <w:r w:rsidRPr="00FD38AB">
        <w:rPr>
          <w:rFonts w:asciiTheme="majorBidi" w:hAnsiTheme="majorBidi" w:cstheme="majorBidi"/>
          <w:i/>
          <w:sz w:val="24"/>
          <w:szCs w:val="24"/>
        </w:rPr>
        <w:t xml:space="preserve">L. purpureus </w:t>
      </w:r>
      <w:r w:rsidRPr="00FD38AB">
        <w:rPr>
          <w:rFonts w:asciiTheme="majorBidi" w:hAnsiTheme="majorBidi" w:cstheme="majorBidi"/>
          <w:sz w:val="24"/>
          <w:szCs w:val="24"/>
        </w:rPr>
        <w:t xml:space="preserve">presents a range of </w:t>
      </w:r>
      <w:r w:rsidRPr="00FD38AB">
        <w:rPr>
          <w:rFonts w:asciiTheme="majorBidi" w:hAnsiTheme="majorBidi" w:cstheme="majorBidi"/>
          <w:i/>
          <w:sz w:val="24"/>
          <w:szCs w:val="24"/>
        </w:rPr>
        <w:t>F</w:t>
      </w:r>
      <w:r w:rsidRPr="00FD38AB">
        <w:rPr>
          <w:rFonts w:asciiTheme="majorBidi" w:hAnsiTheme="majorBidi" w:cstheme="majorBidi"/>
          <w:sz w:val="24"/>
          <w:szCs w:val="24"/>
          <w:vertAlign w:val="subscript"/>
        </w:rPr>
        <w:t>ST</w:t>
      </w:r>
      <w:r w:rsidRPr="00FD38AB">
        <w:rPr>
          <w:rFonts w:asciiTheme="majorBidi" w:hAnsiTheme="majorBidi" w:cstheme="majorBidi"/>
          <w:sz w:val="24"/>
          <w:szCs w:val="24"/>
        </w:rPr>
        <w:t xml:space="preserve"> values from 0 in Fortaleza-Salvador and 0.0588 in Fortaleza-La </w:t>
      </w:r>
      <w:r w:rsidR="001D48AF" w:rsidRPr="00FD38AB">
        <w:rPr>
          <w:rFonts w:asciiTheme="majorBidi" w:hAnsiTheme="majorBidi" w:cstheme="majorBidi"/>
          <w:sz w:val="24"/>
          <w:szCs w:val="24"/>
        </w:rPr>
        <w:t>Guajira.</w:t>
      </w:r>
    </w:p>
    <w:p w14:paraId="793A27CA" w14:textId="77777777" w:rsidR="001D48AF" w:rsidRDefault="001D48AF" w:rsidP="0042453C">
      <w:pPr>
        <w:ind w:firstLine="720"/>
        <w:jc w:val="both"/>
        <w:rPr>
          <w:rFonts w:asciiTheme="majorBidi" w:hAnsiTheme="majorBidi" w:cstheme="majorBidi"/>
          <w:sz w:val="24"/>
          <w:szCs w:val="24"/>
        </w:rPr>
      </w:pPr>
    </w:p>
    <w:p w14:paraId="4294AA82" w14:textId="57678C30" w:rsidR="00667391" w:rsidRDefault="00533B4F">
      <w:pPr>
        <w:rPr>
          <w:rFonts w:asciiTheme="majorBidi" w:hAnsiTheme="majorBidi" w:cstheme="majorBidi"/>
          <w:sz w:val="24"/>
          <w:szCs w:val="24"/>
        </w:rPr>
      </w:pPr>
      <w:r w:rsidRPr="00533B4F">
        <w:rPr>
          <w:rFonts w:asciiTheme="majorBidi" w:hAnsiTheme="majorBidi" w:cstheme="majorBidi"/>
          <w:noProof/>
          <w:sz w:val="24"/>
          <w:szCs w:val="24"/>
        </w:rPr>
        <w:lastRenderedPageBreak/>
        <w:drawing>
          <wp:anchor distT="0" distB="0" distL="114300" distR="114300" simplePos="0" relativeHeight="251664384" behindDoc="0" locked="0" layoutInCell="1" allowOverlap="1" wp14:anchorId="6D0EE5F4" wp14:editId="2C30562D">
            <wp:simplePos x="0" y="0"/>
            <wp:positionH relativeFrom="column">
              <wp:posOffset>864528</wp:posOffset>
            </wp:positionH>
            <wp:positionV relativeFrom="paragraph">
              <wp:posOffset>105410</wp:posOffset>
            </wp:positionV>
            <wp:extent cx="4240695" cy="5782478"/>
            <wp:effectExtent l="0" t="0" r="1270" b="0"/>
            <wp:wrapNone/>
            <wp:docPr id="4815515"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515" name="Picture 1" descr="A close-up of a 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0695" cy="5782478"/>
                    </a:xfrm>
                    <a:prstGeom prst="rect">
                      <a:avLst/>
                    </a:prstGeom>
                  </pic:spPr>
                </pic:pic>
              </a:graphicData>
            </a:graphic>
            <wp14:sizeRelH relativeFrom="page">
              <wp14:pctWidth>0</wp14:pctWidth>
            </wp14:sizeRelH>
            <wp14:sizeRelV relativeFrom="page">
              <wp14:pctHeight>0</wp14:pctHeight>
            </wp14:sizeRelV>
          </wp:anchor>
        </w:drawing>
      </w:r>
      <w:r w:rsidR="00667391">
        <w:rPr>
          <w:rFonts w:asciiTheme="majorBidi" w:hAnsiTheme="majorBidi" w:cstheme="majorBidi"/>
          <w:noProof/>
          <w:sz w:val="24"/>
          <w:szCs w:val="24"/>
        </w:rPr>
        <mc:AlternateContent>
          <mc:Choice Requires="wps">
            <w:drawing>
              <wp:anchor distT="0" distB="0" distL="114300" distR="114300" simplePos="0" relativeHeight="251659264" behindDoc="0" locked="0" layoutInCell="1" allowOverlap="1" wp14:anchorId="3434A01D" wp14:editId="192CB365">
                <wp:simplePos x="0" y="0"/>
                <wp:positionH relativeFrom="column">
                  <wp:posOffset>114300</wp:posOffset>
                </wp:positionH>
                <wp:positionV relativeFrom="paragraph">
                  <wp:posOffset>5952509</wp:posOffset>
                </wp:positionV>
                <wp:extent cx="5805624" cy="1973670"/>
                <wp:effectExtent l="0" t="0" r="0" b="0"/>
                <wp:wrapNone/>
                <wp:docPr id="1296257798" name="Text Box 1"/>
                <wp:cNvGraphicFramePr/>
                <a:graphic xmlns:a="http://schemas.openxmlformats.org/drawingml/2006/main">
                  <a:graphicData uri="http://schemas.microsoft.com/office/word/2010/wordprocessingShape">
                    <wps:wsp>
                      <wps:cNvSpPr txBox="1"/>
                      <wps:spPr>
                        <a:xfrm>
                          <a:off x="0" y="0"/>
                          <a:ext cx="5805624" cy="1973670"/>
                        </a:xfrm>
                        <a:prstGeom prst="rect">
                          <a:avLst/>
                        </a:prstGeom>
                        <a:solidFill>
                          <a:schemeClr val="lt1"/>
                        </a:solidFill>
                        <a:ln w="6350">
                          <a:noFill/>
                        </a:ln>
                      </wps:spPr>
                      <wps:txbx>
                        <w:txbxContent>
                          <w:p w14:paraId="32639F23" w14:textId="7CF8888F" w:rsidR="00667391" w:rsidRPr="00667391" w:rsidRDefault="00667391" w:rsidP="00667391">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667391">
                              <w:rPr>
                                <w:rFonts w:ascii="Times New Roman" w:hAnsi="Times New Roman" w:cs="Times New Roman"/>
                                <w:b/>
                                <w:color w:val="000000" w:themeColor="text1"/>
                                <w:sz w:val="20"/>
                                <w:szCs w:val="20"/>
                              </w:rPr>
                              <w:t>Figure 1.</w:t>
                            </w:r>
                            <w:r w:rsidR="00315977">
                              <w:rPr>
                                <w:rFonts w:ascii="Times New Roman" w:hAnsi="Times New Roman" w:cs="Times New Roman"/>
                                <w:b/>
                                <w:color w:val="000000" w:themeColor="text1"/>
                                <w:sz w:val="20"/>
                                <w:szCs w:val="20"/>
                              </w:rPr>
                              <w:t>1</w:t>
                            </w:r>
                            <w:r w:rsidRPr="00667391">
                              <w:rPr>
                                <w:rFonts w:ascii="Times New Roman" w:hAnsi="Times New Roman" w:cs="Times New Roman"/>
                                <w:b/>
                                <w:color w:val="000000" w:themeColor="text1"/>
                                <w:sz w:val="20"/>
                                <w:szCs w:val="20"/>
                              </w:rPr>
                              <w:t xml:space="preserve"> </w:t>
                            </w:r>
                            <w:r w:rsidRPr="00402845">
                              <w:rPr>
                                <w:rFonts w:ascii="Times New Roman" w:hAnsi="Times New Roman" w:cs="Times New Roman"/>
                                <w:bCs/>
                                <w:color w:val="000000" w:themeColor="text1"/>
                                <w:sz w:val="20"/>
                                <w:szCs w:val="20"/>
                              </w:rPr>
                              <w:t>Genetic structure of WA red snappers. The northern red snapper (</w:t>
                            </w:r>
                            <w:r w:rsidRPr="00402845">
                              <w:rPr>
                                <w:rFonts w:ascii="Times New Roman" w:hAnsi="Times New Roman" w:cs="Times New Roman"/>
                                <w:bCs/>
                                <w:i/>
                                <w:color w:val="000000" w:themeColor="text1"/>
                                <w:sz w:val="20"/>
                                <w:szCs w:val="20"/>
                              </w:rPr>
                              <w:t>Lutjanus campechanus</w:t>
                            </w:r>
                            <w:r w:rsidRPr="00402845">
                              <w:rPr>
                                <w:rFonts w:ascii="Times New Roman" w:hAnsi="Times New Roman" w:cs="Times New Roman"/>
                                <w:bCs/>
                                <w:color w:val="000000" w:themeColor="text1"/>
                                <w:sz w:val="20"/>
                                <w:szCs w:val="20"/>
                              </w:rPr>
                              <w:t>; red) and the southern red snapper (</w:t>
                            </w:r>
                            <w:r w:rsidRPr="00402845">
                              <w:rPr>
                                <w:rFonts w:ascii="Times New Roman" w:hAnsi="Times New Roman" w:cs="Times New Roman"/>
                                <w:bCs/>
                                <w:i/>
                                <w:color w:val="000000" w:themeColor="text1"/>
                                <w:sz w:val="20"/>
                                <w:szCs w:val="20"/>
                              </w:rPr>
                              <w:t>Lutjanus purpureus</w:t>
                            </w:r>
                            <w:r w:rsidRPr="00402845">
                              <w:rPr>
                                <w:rFonts w:ascii="Times New Roman" w:hAnsi="Times New Roman" w:cs="Times New Roman"/>
                                <w:bCs/>
                                <w:color w:val="000000" w:themeColor="text1"/>
                                <w:sz w:val="20"/>
                                <w:szCs w:val="20"/>
                              </w:rPr>
                              <w:t>; green) are recognized as two separate species by conventional taxonomy on the basis of morphological characters. Consistent</w:t>
                            </w:r>
                            <w:r w:rsidRPr="00667391">
                              <w:rPr>
                                <w:rFonts w:ascii="Times New Roman" w:hAnsi="Times New Roman" w:cs="Times New Roman"/>
                                <w:color w:val="000000" w:themeColor="text1"/>
                                <w:sz w:val="20"/>
                                <w:szCs w:val="20"/>
                              </w:rPr>
                              <w:t xml:space="preserve"> with previous studies, haplotype networks based on mitochondrial DNA sequences lack discriminatory power at the species level (a, </w:t>
                            </w:r>
                            <w:r w:rsidRPr="00667391">
                              <w:rPr>
                                <w:rFonts w:ascii="Times New Roman" w:hAnsi="Times New Roman" w:cs="Times New Roman"/>
                                <w:i/>
                                <w:color w:val="000000" w:themeColor="text1"/>
                                <w:sz w:val="20"/>
                                <w:szCs w:val="20"/>
                              </w:rPr>
                              <w:t>COI</w:t>
                            </w:r>
                            <w:r w:rsidRPr="00667391">
                              <w:rPr>
                                <w:rFonts w:ascii="Times New Roman" w:hAnsi="Times New Roman" w:cs="Times New Roman"/>
                                <w:color w:val="000000" w:themeColor="text1"/>
                                <w:sz w:val="20"/>
                                <w:szCs w:val="20"/>
                              </w:rPr>
                              <w:t xml:space="preserve">; b, </w:t>
                            </w:r>
                            <w:r w:rsidRPr="00667391">
                              <w:rPr>
                                <w:rFonts w:ascii="Times New Roman" w:hAnsi="Times New Roman" w:cs="Times New Roman"/>
                                <w:i/>
                                <w:color w:val="000000" w:themeColor="text1"/>
                                <w:sz w:val="20"/>
                                <w:szCs w:val="20"/>
                              </w:rPr>
                              <w:t>D-loop</w:t>
                            </w:r>
                            <w:r w:rsidRPr="00667391">
                              <w:rPr>
                                <w:rFonts w:ascii="Times New Roman" w:hAnsi="Times New Roman" w:cs="Times New Roman"/>
                                <w:color w:val="000000" w:themeColor="text1"/>
                                <w:sz w:val="20"/>
                                <w:szCs w:val="20"/>
                              </w:rPr>
                              <w:t xml:space="preserve">). However, a Bayesian structure analysis using 15,112 genome-wide SNPs identifies two main genetic clusters (K = 2) that are concordant with the traditional taxonomic delineations. Average admixture proportions were calculated for either (c) populations or (d) individuals (each structure bar representing the probability of assignment to each cluster). These results are congruent with (e) the estimated phylogenetic network (see additional trees in Fig. </w:t>
                            </w:r>
                            <w:r w:rsidR="00811AEC">
                              <w:rPr>
                                <w:rFonts w:ascii="Times New Roman" w:hAnsi="Times New Roman" w:cs="Times New Roman"/>
                                <w:color w:val="000000" w:themeColor="text1"/>
                                <w:sz w:val="20"/>
                                <w:szCs w:val="20"/>
                              </w:rPr>
                              <w:t>1.</w:t>
                            </w:r>
                            <w:r w:rsidRPr="00667391">
                              <w:rPr>
                                <w:rFonts w:ascii="Times New Roman" w:hAnsi="Times New Roman" w:cs="Times New Roman"/>
                                <w:color w:val="000000" w:themeColor="text1"/>
                                <w:sz w:val="20"/>
                                <w:szCs w:val="20"/>
                              </w:rPr>
                              <w:t xml:space="preserve">2). (f) Correction of Mantel correlogram between Weir and Cockerham </w:t>
                            </w:r>
                            <w:r w:rsidRPr="00667391">
                              <w:rPr>
                                <w:rFonts w:ascii="Times New Roman" w:hAnsi="Times New Roman" w:cs="Times New Roman"/>
                                <w:i/>
                                <w:color w:val="000000" w:themeColor="text1"/>
                                <w:sz w:val="20"/>
                                <w:szCs w:val="20"/>
                              </w:rPr>
                              <w:t>F</w:t>
                            </w:r>
                            <w:r w:rsidRPr="00667391">
                              <w:rPr>
                                <w:rFonts w:ascii="Times New Roman" w:hAnsi="Times New Roman" w:cs="Times New Roman"/>
                                <w:i/>
                                <w:color w:val="000000" w:themeColor="text1"/>
                                <w:sz w:val="20"/>
                                <w:szCs w:val="20"/>
                                <w:vertAlign w:val="subscript"/>
                              </w:rPr>
                              <w:t>ST</w:t>
                            </w:r>
                            <w:r w:rsidRPr="00667391">
                              <w:rPr>
                                <w:rFonts w:ascii="Times New Roman" w:hAnsi="Times New Roman" w:cs="Times New Roman"/>
                                <w:color w:val="000000" w:themeColor="text1"/>
                                <w:sz w:val="20"/>
                                <w:szCs w:val="20"/>
                              </w:rPr>
                              <w:t xml:space="preserve"> values versus least cost path geographic distances provide little support for a model of isolation by distance for intraspecific comparisons. Population information, descriptions, and abbreviations are given in Table S1 (</w:t>
                            </w:r>
                            <w:r w:rsidR="0080123C">
                              <w:rPr>
                                <w:rFonts w:ascii="Times New Roman" w:hAnsi="Times New Roman" w:cs="Times New Roman"/>
                                <w:color w:val="000000" w:themeColor="text1"/>
                                <w:sz w:val="20"/>
                                <w:szCs w:val="20"/>
                              </w:rPr>
                              <w:t>Appendix A</w:t>
                            </w:r>
                            <w:r w:rsidRPr="00667391">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34A01D" id="_x0000_t202" coordsize="21600,21600" o:spt="202" path="m,l,21600r21600,l21600,xe">
                <v:stroke joinstyle="miter"/>
                <v:path gradientshapeok="t" o:connecttype="rect"/>
              </v:shapetype>
              <v:shape id="Text Box 1" o:spid="_x0000_s1026" type="#_x0000_t202" style="position:absolute;margin-left:9pt;margin-top:468.7pt;width:457.15pt;height:15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" fillcolor="white [3201]" stroked="f" strokeweight=".5pt">
                <v:textbox>
                  <w:txbxContent>
                    <w:p w14:paraId="32639F23" w14:textId="7CF8888F" w:rsidR="00667391" w:rsidRPr="00667391" w:rsidRDefault="00667391" w:rsidP="00667391">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667391">
                        <w:rPr>
                          <w:rFonts w:ascii="Times New Roman" w:hAnsi="Times New Roman" w:cs="Times New Roman"/>
                          <w:b/>
                          <w:color w:val="000000" w:themeColor="text1"/>
                          <w:sz w:val="20"/>
                          <w:szCs w:val="20"/>
                        </w:rPr>
                        <w:t>Figure 1.</w:t>
                      </w:r>
                      <w:r w:rsidR="00315977">
                        <w:rPr>
                          <w:rFonts w:ascii="Times New Roman" w:hAnsi="Times New Roman" w:cs="Times New Roman"/>
                          <w:b/>
                          <w:color w:val="000000" w:themeColor="text1"/>
                          <w:sz w:val="20"/>
                          <w:szCs w:val="20"/>
                        </w:rPr>
                        <w:t>1</w:t>
                      </w:r>
                      <w:r w:rsidRPr="00667391">
                        <w:rPr>
                          <w:rFonts w:ascii="Times New Roman" w:hAnsi="Times New Roman" w:cs="Times New Roman"/>
                          <w:b/>
                          <w:color w:val="000000" w:themeColor="text1"/>
                          <w:sz w:val="20"/>
                          <w:szCs w:val="20"/>
                        </w:rPr>
                        <w:t xml:space="preserve"> </w:t>
                      </w:r>
                      <w:r w:rsidRPr="00402845">
                        <w:rPr>
                          <w:rFonts w:ascii="Times New Roman" w:hAnsi="Times New Roman" w:cs="Times New Roman"/>
                          <w:bCs/>
                          <w:color w:val="000000" w:themeColor="text1"/>
                          <w:sz w:val="20"/>
                          <w:szCs w:val="20"/>
                        </w:rPr>
                        <w:t>Genetic structure of WA red snappers. The northern red snapper (</w:t>
                      </w:r>
                      <w:r w:rsidRPr="00402845">
                        <w:rPr>
                          <w:rFonts w:ascii="Times New Roman" w:hAnsi="Times New Roman" w:cs="Times New Roman"/>
                          <w:bCs/>
                          <w:i/>
                          <w:color w:val="000000" w:themeColor="text1"/>
                          <w:sz w:val="20"/>
                          <w:szCs w:val="20"/>
                        </w:rPr>
                        <w:t>Lutjanus campechanus</w:t>
                      </w:r>
                      <w:r w:rsidRPr="00402845">
                        <w:rPr>
                          <w:rFonts w:ascii="Times New Roman" w:hAnsi="Times New Roman" w:cs="Times New Roman"/>
                          <w:bCs/>
                          <w:color w:val="000000" w:themeColor="text1"/>
                          <w:sz w:val="20"/>
                          <w:szCs w:val="20"/>
                        </w:rPr>
                        <w:t>; red) and the southern red snapper (</w:t>
                      </w:r>
                      <w:r w:rsidRPr="00402845">
                        <w:rPr>
                          <w:rFonts w:ascii="Times New Roman" w:hAnsi="Times New Roman" w:cs="Times New Roman"/>
                          <w:bCs/>
                          <w:i/>
                          <w:color w:val="000000" w:themeColor="text1"/>
                          <w:sz w:val="20"/>
                          <w:szCs w:val="20"/>
                        </w:rPr>
                        <w:t>Lutjanus purpureus</w:t>
                      </w:r>
                      <w:r w:rsidRPr="00402845">
                        <w:rPr>
                          <w:rFonts w:ascii="Times New Roman" w:hAnsi="Times New Roman" w:cs="Times New Roman"/>
                          <w:bCs/>
                          <w:color w:val="000000" w:themeColor="text1"/>
                          <w:sz w:val="20"/>
                          <w:szCs w:val="20"/>
                        </w:rPr>
                        <w:t>; green) are recognized as two separate species by conventional taxonomy on the basis of morphological characters. Consistent</w:t>
                      </w:r>
                      <w:r w:rsidRPr="00667391">
                        <w:rPr>
                          <w:rFonts w:ascii="Times New Roman" w:hAnsi="Times New Roman" w:cs="Times New Roman"/>
                          <w:color w:val="000000" w:themeColor="text1"/>
                          <w:sz w:val="20"/>
                          <w:szCs w:val="20"/>
                        </w:rPr>
                        <w:t xml:space="preserve"> with previous studies, haplotype networks based on mitochondrial DNA sequences lack discriminatory power at the species level (a, </w:t>
                      </w:r>
                      <w:r w:rsidRPr="00667391">
                        <w:rPr>
                          <w:rFonts w:ascii="Times New Roman" w:hAnsi="Times New Roman" w:cs="Times New Roman"/>
                          <w:i/>
                          <w:color w:val="000000" w:themeColor="text1"/>
                          <w:sz w:val="20"/>
                          <w:szCs w:val="20"/>
                        </w:rPr>
                        <w:t>COI</w:t>
                      </w:r>
                      <w:r w:rsidRPr="00667391">
                        <w:rPr>
                          <w:rFonts w:ascii="Times New Roman" w:hAnsi="Times New Roman" w:cs="Times New Roman"/>
                          <w:color w:val="000000" w:themeColor="text1"/>
                          <w:sz w:val="20"/>
                          <w:szCs w:val="20"/>
                        </w:rPr>
                        <w:t xml:space="preserve">; b, </w:t>
                      </w:r>
                      <w:r w:rsidRPr="00667391">
                        <w:rPr>
                          <w:rFonts w:ascii="Times New Roman" w:hAnsi="Times New Roman" w:cs="Times New Roman"/>
                          <w:i/>
                          <w:color w:val="000000" w:themeColor="text1"/>
                          <w:sz w:val="20"/>
                          <w:szCs w:val="20"/>
                        </w:rPr>
                        <w:t>D-loop</w:t>
                      </w:r>
                      <w:r w:rsidRPr="00667391">
                        <w:rPr>
                          <w:rFonts w:ascii="Times New Roman" w:hAnsi="Times New Roman" w:cs="Times New Roman"/>
                          <w:color w:val="000000" w:themeColor="text1"/>
                          <w:sz w:val="20"/>
                          <w:szCs w:val="20"/>
                        </w:rPr>
                        <w:t xml:space="preserve">). However, a Bayesian structure analysis using 15,112 genome-wide SNPs identifies two main genetic clusters (K = 2) that are concordant with the traditional taxonomic delineations. Average admixture proportions were calculated for either (c) populations or (d) individuals (each structure bar representing the probability of assignment to each cluster). These results are congruent with (e) the estimated phylogenetic network (see additional trees in Fig. </w:t>
                      </w:r>
                      <w:r w:rsidR="00811AEC">
                        <w:rPr>
                          <w:rFonts w:ascii="Times New Roman" w:hAnsi="Times New Roman" w:cs="Times New Roman"/>
                          <w:color w:val="000000" w:themeColor="text1"/>
                          <w:sz w:val="20"/>
                          <w:szCs w:val="20"/>
                        </w:rPr>
                        <w:t>1.</w:t>
                      </w:r>
                      <w:r w:rsidRPr="00667391">
                        <w:rPr>
                          <w:rFonts w:ascii="Times New Roman" w:hAnsi="Times New Roman" w:cs="Times New Roman"/>
                          <w:color w:val="000000" w:themeColor="text1"/>
                          <w:sz w:val="20"/>
                          <w:szCs w:val="20"/>
                        </w:rPr>
                        <w:t xml:space="preserve">2). (f) Correction of Mantel correlogram between Weir and Cockerham </w:t>
                      </w:r>
                      <w:r w:rsidRPr="00667391">
                        <w:rPr>
                          <w:rFonts w:ascii="Times New Roman" w:hAnsi="Times New Roman" w:cs="Times New Roman"/>
                          <w:i/>
                          <w:color w:val="000000" w:themeColor="text1"/>
                          <w:sz w:val="20"/>
                          <w:szCs w:val="20"/>
                        </w:rPr>
                        <w:t>F</w:t>
                      </w:r>
                      <w:r w:rsidRPr="00667391">
                        <w:rPr>
                          <w:rFonts w:ascii="Times New Roman" w:hAnsi="Times New Roman" w:cs="Times New Roman"/>
                          <w:i/>
                          <w:color w:val="000000" w:themeColor="text1"/>
                          <w:sz w:val="20"/>
                          <w:szCs w:val="20"/>
                          <w:vertAlign w:val="subscript"/>
                        </w:rPr>
                        <w:t>ST</w:t>
                      </w:r>
                      <w:r w:rsidRPr="00667391">
                        <w:rPr>
                          <w:rFonts w:ascii="Times New Roman" w:hAnsi="Times New Roman" w:cs="Times New Roman"/>
                          <w:color w:val="000000" w:themeColor="text1"/>
                          <w:sz w:val="20"/>
                          <w:szCs w:val="20"/>
                        </w:rPr>
                        <w:t xml:space="preserve"> values versus least cost path geographic distances provide little support for a model of isolation by distance for intraspecific comparisons. Population information, descriptions, and abbreviations are given in Table S1 (</w:t>
                      </w:r>
                      <w:r w:rsidR="0080123C">
                        <w:rPr>
                          <w:rFonts w:ascii="Times New Roman" w:hAnsi="Times New Roman" w:cs="Times New Roman"/>
                          <w:color w:val="000000" w:themeColor="text1"/>
                          <w:sz w:val="20"/>
                          <w:szCs w:val="20"/>
                        </w:rPr>
                        <w:t>Appendix A</w:t>
                      </w:r>
                      <w:r w:rsidRPr="00667391">
                        <w:rPr>
                          <w:rFonts w:ascii="Times New Roman" w:hAnsi="Times New Roman" w:cs="Times New Roman"/>
                          <w:color w:val="000000" w:themeColor="text1"/>
                          <w:sz w:val="20"/>
                          <w:szCs w:val="20"/>
                        </w:rPr>
                        <w:t>).</w:t>
                      </w:r>
                    </w:p>
                  </w:txbxContent>
                </v:textbox>
              </v:shape>
            </w:pict>
          </mc:Fallback>
        </mc:AlternateContent>
      </w:r>
      <w:r w:rsidR="00667391">
        <w:rPr>
          <w:rFonts w:asciiTheme="majorBidi" w:hAnsiTheme="majorBidi" w:cstheme="majorBidi"/>
          <w:sz w:val="24"/>
          <w:szCs w:val="24"/>
        </w:rPr>
        <w:br w:type="page"/>
      </w:r>
    </w:p>
    <w:p w14:paraId="6DE1809A" w14:textId="58115A58" w:rsidR="00775128" w:rsidRDefault="00775128" w:rsidP="00667391">
      <w:pPr>
        <w:jc w:val="both"/>
        <w:rPr>
          <w:rFonts w:asciiTheme="majorBidi" w:hAnsiTheme="majorBidi" w:cstheme="majorBidi"/>
          <w:sz w:val="24"/>
          <w:szCs w:val="24"/>
        </w:rPr>
      </w:pPr>
    </w:p>
    <w:p w14:paraId="1303EF85" w14:textId="2CC3BC7C" w:rsidR="00775128" w:rsidRDefault="009C76C2">
      <w:pPr>
        <w:rPr>
          <w:rFonts w:asciiTheme="majorBidi" w:hAnsiTheme="majorBidi" w:cstheme="majorBidi"/>
          <w:sz w:val="24"/>
          <w:szCs w:val="24"/>
        </w:rPr>
      </w:pPr>
      <w:r w:rsidRPr="009C76C2">
        <w:rPr>
          <w:rFonts w:asciiTheme="majorBidi" w:hAnsiTheme="majorBidi" w:cstheme="majorBidi"/>
          <w:noProof/>
          <w:sz w:val="24"/>
          <w:szCs w:val="24"/>
        </w:rPr>
        <w:drawing>
          <wp:anchor distT="0" distB="0" distL="114300" distR="114300" simplePos="0" relativeHeight="251665408" behindDoc="0" locked="0" layoutInCell="1" allowOverlap="1" wp14:anchorId="2E4C70C5" wp14:editId="6B97AECC">
            <wp:simplePos x="0" y="0"/>
            <wp:positionH relativeFrom="column">
              <wp:posOffset>619418</wp:posOffset>
            </wp:positionH>
            <wp:positionV relativeFrom="paragraph">
              <wp:posOffset>112395</wp:posOffset>
            </wp:positionV>
            <wp:extent cx="4431323" cy="5983876"/>
            <wp:effectExtent l="0" t="0" r="1270" b="0"/>
            <wp:wrapNone/>
            <wp:docPr id="2005669887" name="Picture 1" descr="A diagram of a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69887" name="Picture 1" descr="A diagram of a fis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31323" cy="5983876"/>
                    </a:xfrm>
                    <a:prstGeom prst="rect">
                      <a:avLst/>
                    </a:prstGeom>
                  </pic:spPr>
                </pic:pic>
              </a:graphicData>
            </a:graphic>
            <wp14:sizeRelH relativeFrom="page">
              <wp14:pctWidth>0</wp14:pctWidth>
            </wp14:sizeRelH>
            <wp14:sizeRelV relativeFrom="page">
              <wp14:pctHeight>0</wp14:pctHeight>
            </wp14:sizeRelV>
          </wp:anchor>
        </w:drawing>
      </w:r>
      <w:r w:rsidR="00775128">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51EA0077" wp14:editId="36F8CFE6">
                <wp:simplePos x="0" y="0"/>
                <wp:positionH relativeFrom="column">
                  <wp:posOffset>53009</wp:posOffset>
                </wp:positionH>
                <wp:positionV relativeFrom="paragraph">
                  <wp:posOffset>6096717</wp:posOffset>
                </wp:positionV>
                <wp:extent cx="5805624" cy="1470549"/>
                <wp:effectExtent l="0" t="0" r="0" b="3175"/>
                <wp:wrapNone/>
                <wp:docPr id="553261147" name="Text Box 1"/>
                <wp:cNvGraphicFramePr/>
                <a:graphic xmlns:a="http://schemas.openxmlformats.org/drawingml/2006/main">
                  <a:graphicData uri="http://schemas.microsoft.com/office/word/2010/wordprocessingShape">
                    <wps:wsp>
                      <wps:cNvSpPr txBox="1"/>
                      <wps:spPr>
                        <a:xfrm>
                          <a:off x="0" y="0"/>
                          <a:ext cx="5805624" cy="1470549"/>
                        </a:xfrm>
                        <a:prstGeom prst="rect">
                          <a:avLst/>
                        </a:prstGeom>
                        <a:solidFill>
                          <a:schemeClr val="lt1"/>
                        </a:solidFill>
                        <a:ln w="6350">
                          <a:noFill/>
                        </a:ln>
                      </wps:spPr>
                      <wps:txbx>
                        <w:txbxContent>
                          <w:p w14:paraId="0EEEDFBB" w14:textId="4FA2B5D9" w:rsidR="00775128" w:rsidRPr="00667391" w:rsidRDefault="00775128" w:rsidP="00775128">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775128">
                              <w:rPr>
                                <w:rFonts w:ascii="Times New Roman" w:hAnsi="Times New Roman" w:cs="Times New Roman"/>
                                <w:b/>
                                <w:color w:val="000000" w:themeColor="text1"/>
                                <w:sz w:val="20"/>
                                <w:szCs w:val="20"/>
                              </w:rPr>
                              <w:t xml:space="preserve">Figure </w:t>
                            </w:r>
                            <w:r w:rsidR="00315977">
                              <w:rPr>
                                <w:rFonts w:ascii="Times New Roman" w:hAnsi="Times New Roman" w:cs="Times New Roman"/>
                                <w:b/>
                                <w:color w:val="000000" w:themeColor="text1"/>
                                <w:sz w:val="20"/>
                                <w:szCs w:val="20"/>
                              </w:rPr>
                              <w:t>1</w:t>
                            </w:r>
                            <w:r w:rsidRPr="00775128">
                              <w:rPr>
                                <w:rFonts w:ascii="Times New Roman" w:hAnsi="Times New Roman" w:cs="Times New Roman"/>
                                <w:b/>
                                <w:color w:val="000000" w:themeColor="text1"/>
                                <w:sz w:val="20"/>
                                <w:szCs w:val="20"/>
                              </w:rPr>
                              <w:t>.</w:t>
                            </w:r>
                            <w:r w:rsidR="00315977">
                              <w:rPr>
                                <w:rFonts w:ascii="Times New Roman" w:hAnsi="Times New Roman" w:cs="Times New Roman"/>
                                <w:b/>
                                <w:color w:val="000000" w:themeColor="text1"/>
                                <w:sz w:val="20"/>
                                <w:szCs w:val="20"/>
                              </w:rPr>
                              <w:t>2</w:t>
                            </w:r>
                            <w:r w:rsidRPr="00775128">
                              <w:rPr>
                                <w:rFonts w:ascii="Times New Roman" w:hAnsi="Times New Roman" w:cs="Times New Roman"/>
                                <w:b/>
                                <w:color w:val="000000" w:themeColor="text1"/>
                                <w:sz w:val="20"/>
                                <w:szCs w:val="20"/>
                              </w:rPr>
                              <w:t xml:space="preserve"> </w:t>
                            </w:r>
                            <w:r w:rsidRPr="00474638">
                              <w:rPr>
                                <w:rFonts w:ascii="Times New Roman" w:hAnsi="Times New Roman" w:cs="Times New Roman"/>
                                <w:bCs/>
                                <w:color w:val="000000" w:themeColor="text1"/>
                                <w:sz w:val="20"/>
                                <w:szCs w:val="20"/>
                              </w:rPr>
                              <w:t>(a) Phylogenetic and (b) principal component analyses (PCAs).</w:t>
                            </w:r>
                            <w:r w:rsidRPr="00775128">
                              <w:rPr>
                                <w:rFonts w:ascii="Times New Roman" w:hAnsi="Times New Roman" w:cs="Times New Roman"/>
                                <w:b/>
                                <w:color w:val="000000" w:themeColor="text1"/>
                                <w:sz w:val="20"/>
                                <w:szCs w:val="20"/>
                              </w:rPr>
                              <w:t xml:space="preserve"> </w:t>
                            </w:r>
                            <w:r w:rsidRPr="00775128">
                              <w:rPr>
                                <w:rFonts w:ascii="Times New Roman" w:hAnsi="Times New Roman" w:cs="Times New Roman"/>
                                <w:color w:val="000000" w:themeColor="text1"/>
                                <w:sz w:val="20"/>
                                <w:szCs w:val="20"/>
                              </w:rPr>
                              <w:t xml:space="preserve">Phylogenetic trees and PCAs based on ~15,000-42,000 SNPs resolve two well-differentiated clusters that are congruent with the morphology-based hypothesis. These results are largely consistent regardless of the number of individuals or loci analyzed. As in previous studies, a phylogenetic tree based on mtDNA (a; </w:t>
                            </w:r>
                            <w:r w:rsidRPr="00775128">
                              <w:rPr>
                                <w:rFonts w:ascii="Times New Roman" w:hAnsi="Times New Roman" w:cs="Times New Roman"/>
                                <w:i/>
                                <w:color w:val="000000" w:themeColor="text1"/>
                                <w:sz w:val="20"/>
                                <w:szCs w:val="20"/>
                              </w:rPr>
                              <w:t>COI</w:t>
                            </w:r>
                            <w:r w:rsidRPr="00775128">
                              <w:rPr>
                                <w:rFonts w:ascii="Times New Roman" w:hAnsi="Times New Roman" w:cs="Times New Roman"/>
                                <w:color w:val="000000" w:themeColor="text1"/>
                                <w:sz w:val="20"/>
                                <w:szCs w:val="20"/>
                              </w:rPr>
                              <w:t xml:space="preserve"> sequences) fails to identify genetic structure that aligns with the recognized species boundaries. Trees and PCAs plots are color-coded according to their geographic location in map. Abbreviations in map correspond to locality information given in </w:t>
                            </w:r>
                            <w:r w:rsidR="0080123C">
                              <w:rPr>
                                <w:rFonts w:ascii="Times New Roman" w:hAnsi="Times New Roman" w:cs="Times New Roman"/>
                                <w:color w:val="000000" w:themeColor="text1"/>
                                <w:sz w:val="20"/>
                                <w:szCs w:val="20"/>
                              </w:rPr>
                              <w:t>Appendix A</w:t>
                            </w:r>
                            <w:r w:rsidRPr="00775128">
                              <w:rPr>
                                <w:rFonts w:ascii="Times New Roman" w:hAnsi="Times New Roman" w:cs="Times New Roman"/>
                                <w:color w:val="000000" w:themeColor="text1"/>
                                <w:sz w:val="20"/>
                                <w:szCs w:val="20"/>
                              </w:rPr>
                              <w:t xml:space="preserve"> Table S1; see also </w:t>
                            </w:r>
                            <w:r w:rsidR="0080123C">
                              <w:rPr>
                                <w:rFonts w:ascii="Times New Roman" w:hAnsi="Times New Roman" w:cs="Times New Roman"/>
                                <w:color w:val="000000" w:themeColor="text1"/>
                                <w:sz w:val="20"/>
                                <w:szCs w:val="20"/>
                              </w:rPr>
                              <w:t>Appendix A</w:t>
                            </w:r>
                            <w:r w:rsidRPr="00775128">
                              <w:rPr>
                                <w:rFonts w:ascii="Times New Roman" w:hAnsi="Times New Roman" w:cs="Times New Roman"/>
                                <w:color w:val="000000" w:themeColor="text1"/>
                                <w:sz w:val="20"/>
                                <w:szCs w:val="20"/>
                              </w:rPr>
                              <w:t xml:space="preserve"> Fig. S3 for additional details on PCAs.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A0077" id="_x0000_s1027" type="#_x0000_t202" style="position:absolute;margin-left:4.15pt;margin-top:480.05pt;width:457.15pt;height:11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" fillcolor="white [3201]" stroked="f" strokeweight=".5pt">
                <v:textbox>
                  <w:txbxContent>
                    <w:p w14:paraId="0EEEDFBB" w14:textId="4FA2B5D9" w:rsidR="00775128" w:rsidRPr="00667391" w:rsidRDefault="00775128" w:rsidP="00775128">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775128">
                        <w:rPr>
                          <w:rFonts w:ascii="Times New Roman" w:hAnsi="Times New Roman" w:cs="Times New Roman"/>
                          <w:b/>
                          <w:color w:val="000000" w:themeColor="text1"/>
                          <w:sz w:val="20"/>
                          <w:szCs w:val="20"/>
                        </w:rPr>
                        <w:t xml:space="preserve">Figure </w:t>
                      </w:r>
                      <w:r w:rsidR="00315977">
                        <w:rPr>
                          <w:rFonts w:ascii="Times New Roman" w:hAnsi="Times New Roman" w:cs="Times New Roman"/>
                          <w:b/>
                          <w:color w:val="000000" w:themeColor="text1"/>
                          <w:sz w:val="20"/>
                          <w:szCs w:val="20"/>
                        </w:rPr>
                        <w:t>1</w:t>
                      </w:r>
                      <w:r w:rsidRPr="00775128">
                        <w:rPr>
                          <w:rFonts w:ascii="Times New Roman" w:hAnsi="Times New Roman" w:cs="Times New Roman"/>
                          <w:b/>
                          <w:color w:val="000000" w:themeColor="text1"/>
                          <w:sz w:val="20"/>
                          <w:szCs w:val="20"/>
                        </w:rPr>
                        <w:t>.</w:t>
                      </w:r>
                      <w:r w:rsidR="00315977">
                        <w:rPr>
                          <w:rFonts w:ascii="Times New Roman" w:hAnsi="Times New Roman" w:cs="Times New Roman"/>
                          <w:b/>
                          <w:color w:val="000000" w:themeColor="text1"/>
                          <w:sz w:val="20"/>
                          <w:szCs w:val="20"/>
                        </w:rPr>
                        <w:t>2</w:t>
                      </w:r>
                      <w:r w:rsidRPr="00775128">
                        <w:rPr>
                          <w:rFonts w:ascii="Times New Roman" w:hAnsi="Times New Roman" w:cs="Times New Roman"/>
                          <w:b/>
                          <w:color w:val="000000" w:themeColor="text1"/>
                          <w:sz w:val="20"/>
                          <w:szCs w:val="20"/>
                        </w:rPr>
                        <w:t xml:space="preserve"> </w:t>
                      </w:r>
                      <w:r w:rsidRPr="00474638">
                        <w:rPr>
                          <w:rFonts w:ascii="Times New Roman" w:hAnsi="Times New Roman" w:cs="Times New Roman"/>
                          <w:bCs/>
                          <w:color w:val="000000" w:themeColor="text1"/>
                          <w:sz w:val="20"/>
                          <w:szCs w:val="20"/>
                        </w:rPr>
                        <w:t>(a) Phylogenetic and (b) principal component analyses (PCAs).</w:t>
                      </w:r>
                      <w:r w:rsidRPr="00775128">
                        <w:rPr>
                          <w:rFonts w:ascii="Times New Roman" w:hAnsi="Times New Roman" w:cs="Times New Roman"/>
                          <w:b/>
                          <w:color w:val="000000" w:themeColor="text1"/>
                          <w:sz w:val="20"/>
                          <w:szCs w:val="20"/>
                        </w:rPr>
                        <w:t xml:space="preserve"> </w:t>
                      </w:r>
                      <w:r w:rsidRPr="00775128">
                        <w:rPr>
                          <w:rFonts w:ascii="Times New Roman" w:hAnsi="Times New Roman" w:cs="Times New Roman"/>
                          <w:color w:val="000000" w:themeColor="text1"/>
                          <w:sz w:val="20"/>
                          <w:szCs w:val="20"/>
                        </w:rPr>
                        <w:t xml:space="preserve">Phylogenetic trees and PCAs based on ~15,000-42,000 SNPs resolve two well-differentiated clusters that are congruent with the morphology-based hypothesis. These results are largely consistent regardless of the number of individuals or loci analyzed. As in previous studies, a phylogenetic tree based on mtDNA (a; </w:t>
                      </w:r>
                      <w:r w:rsidRPr="00775128">
                        <w:rPr>
                          <w:rFonts w:ascii="Times New Roman" w:hAnsi="Times New Roman" w:cs="Times New Roman"/>
                          <w:i/>
                          <w:color w:val="000000" w:themeColor="text1"/>
                          <w:sz w:val="20"/>
                          <w:szCs w:val="20"/>
                        </w:rPr>
                        <w:t>COI</w:t>
                      </w:r>
                      <w:r w:rsidRPr="00775128">
                        <w:rPr>
                          <w:rFonts w:ascii="Times New Roman" w:hAnsi="Times New Roman" w:cs="Times New Roman"/>
                          <w:color w:val="000000" w:themeColor="text1"/>
                          <w:sz w:val="20"/>
                          <w:szCs w:val="20"/>
                        </w:rPr>
                        <w:t xml:space="preserve"> sequences) fails to identify genetic structure that aligns with the recognized species boundaries. Trees and PCAs plots are color-coded according to their geographic location in map. Abbreviations in map correspond to locality information given in </w:t>
                      </w:r>
                      <w:r w:rsidR="0080123C">
                        <w:rPr>
                          <w:rFonts w:ascii="Times New Roman" w:hAnsi="Times New Roman" w:cs="Times New Roman"/>
                          <w:color w:val="000000" w:themeColor="text1"/>
                          <w:sz w:val="20"/>
                          <w:szCs w:val="20"/>
                        </w:rPr>
                        <w:t>Appendix A</w:t>
                      </w:r>
                      <w:r w:rsidRPr="00775128">
                        <w:rPr>
                          <w:rFonts w:ascii="Times New Roman" w:hAnsi="Times New Roman" w:cs="Times New Roman"/>
                          <w:color w:val="000000" w:themeColor="text1"/>
                          <w:sz w:val="20"/>
                          <w:szCs w:val="20"/>
                        </w:rPr>
                        <w:t xml:space="preserve"> Table S1; see also </w:t>
                      </w:r>
                      <w:r w:rsidR="0080123C">
                        <w:rPr>
                          <w:rFonts w:ascii="Times New Roman" w:hAnsi="Times New Roman" w:cs="Times New Roman"/>
                          <w:color w:val="000000" w:themeColor="text1"/>
                          <w:sz w:val="20"/>
                          <w:szCs w:val="20"/>
                        </w:rPr>
                        <w:t>Appendix A</w:t>
                      </w:r>
                      <w:r w:rsidRPr="00775128">
                        <w:rPr>
                          <w:rFonts w:ascii="Times New Roman" w:hAnsi="Times New Roman" w:cs="Times New Roman"/>
                          <w:color w:val="000000" w:themeColor="text1"/>
                          <w:sz w:val="20"/>
                          <w:szCs w:val="20"/>
                        </w:rPr>
                        <w:t xml:space="preserve"> Fig. S3 for additional details on PCAs.</w:t>
                      </w:r>
                    </w:p>
                  </w:txbxContent>
                </v:textbox>
              </v:shape>
            </w:pict>
          </mc:Fallback>
        </mc:AlternateContent>
      </w:r>
      <w:r w:rsidR="00775128">
        <w:rPr>
          <w:rFonts w:asciiTheme="majorBidi" w:hAnsiTheme="majorBidi" w:cstheme="majorBidi"/>
          <w:sz w:val="24"/>
          <w:szCs w:val="24"/>
        </w:rPr>
        <w:br w:type="page"/>
      </w:r>
    </w:p>
    <w:p w14:paraId="79B20403" w14:textId="2CBCE7E6" w:rsidR="00FD38AB" w:rsidRDefault="00FD38AB" w:rsidP="00667391">
      <w:pPr>
        <w:jc w:val="both"/>
        <w:rPr>
          <w:rFonts w:asciiTheme="majorBidi" w:hAnsiTheme="majorBidi" w:cstheme="majorBidi"/>
          <w:sz w:val="24"/>
          <w:szCs w:val="24"/>
        </w:rPr>
      </w:pPr>
      <w:r w:rsidRPr="00FD38AB">
        <w:rPr>
          <w:rFonts w:asciiTheme="majorBidi" w:hAnsiTheme="majorBidi" w:cstheme="majorBidi"/>
          <w:sz w:val="24"/>
          <w:szCs w:val="24"/>
        </w:rPr>
        <w:lastRenderedPageBreak/>
        <w:t xml:space="preserve">Negative and zero </w:t>
      </w:r>
      <w:r w:rsidRPr="00FD38AB">
        <w:rPr>
          <w:rFonts w:asciiTheme="majorBidi" w:hAnsiTheme="majorBidi" w:cstheme="majorBidi"/>
          <w:i/>
          <w:sz w:val="24"/>
          <w:szCs w:val="24"/>
        </w:rPr>
        <w:t>F</w:t>
      </w:r>
      <w:r w:rsidRPr="00FD38AB">
        <w:rPr>
          <w:rFonts w:asciiTheme="majorBidi" w:hAnsiTheme="majorBidi" w:cstheme="majorBidi"/>
          <w:sz w:val="24"/>
          <w:szCs w:val="24"/>
          <w:vertAlign w:val="subscript"/>
        </w:rPr>
        <w:t>ST</w:t>
      </w:r>
      <w:r w:rsidRPr="00FD38AB">
        <w:rPr>
          <w:rFonts w:asciiTheme="majorBidi" w:hAnsiTheme="majorBidi" w:cstheme="majorBidi"/>
          <w:sz w:val="24"/>
          <w:szCs w:val="24"/>
        </w:rPr>
        <w:t xml:space="preserve"> values were common across adjacent populations for both species, suggesting higher genetic differences at intra- rather than inter-population scales (i.e. individuals from adjacent locations may form a panmictic population </w:t>
      </w:r>
      <w:r w:rsidRPr="0042453C">
        <w:rPr>
          <w:rFonts w:asciiTheme="majorBidi" w:hAnsiTheme="majorBidi" w:cstheme="majorBidi"/>
          <w:sz w:val="24"/>
          <w:szCs w:val="24"/>
        </w:rPr>
        <w:t>[58,59]).</w:t>
      </w:r>
      <w:r w:rsidRPr="00FD38AB">
        <w:rPr>
          <w:rFonts w:asciiTheme="majorBidi" w:hAnsiTheme="majorBidi" w:cstheme="majorBidi"/>
          <w:sz w:val="24"/>
          <w:szCs w:val="24"/>
        </w:rPr>
        <w:t xml:space="preserve"> By contrast, interspecific comparisons show substantially higher </w:t>
      </w:r>
      <w:r w:rsidRPr="00FD38AB">
        <w:rPr>
          <w:rFonts w:asciiTheme="majorBidi" w:hAnsiTheme="majorBidi" w:cstheme="majorBidi"/>
          <w:i/>
          <w:sz w:val="24"/>
          <w:szCs w:val="24"/>
        </w:rPr>
        <w:t>F</w:t>
      </w:r>
      <w:r w:rsidRPr="00FD38AB">
        <w:rPr>
          <w:rFonts w:asciiTheme="majorBidi" w:hAnsiTheme="majorBidi" w:cstheme="majorBidi"/>
          <w:sz w:val="24"/>
          <w:szCs w:val="24"/>
          <w:vertAlign w:val="subscript"/>
        </w:rPr>
        <w:t>ST</w:t>
      </w:r>
      <w:r w:rsidRPr="00FD38AB">
        <w:rPr>
          <w:rFonts w:asciiTheme="majorBidi" w:hAnsiTheme="majorBidi" w:cstheme="majorBidi"/>
          <w:sz w:val="24"/>
          <w:szCs w:val="24"/>
        </w:rPr>
        <w:t xml:space="preserve"> values, varying from 0.1240 among geographically closer populations (Veracruz-Nueva Esparta) to 0.3406 among the more distant comparisons (Fortaleza-Apalachicola).</w:t>
      </w:r>
    </w:p>
    <w:p w14:paraId="536B8D3B" w14:textId="78876F0F" w:rsidR="005D135E" w:rsidRPr="00FD38AB" w:rsidRDefault="005D135E" w:rsidP="0042453C">
      <w:pPr>
        <w:ind w:firstLine="720"/>
        <w:jc w:val="both"/>
        <w:rPr>
          <w:rFonts w:asciiTheme="majorBidi" w:hAnsiTheme="majorBidi" w:cstheme="majorBidi"/>
          <w:sz w:val="24"/>
          <w:szCs w:val="24"/>
        </w:rPr>
      </w:pPr>
      <w:r>
        <w:rPr>
          <w:rFonts w:asciiTheme="majorBidi" w:hAnsiTheme="majorBidi" w:cstheme="majorBidi"/>
          <w:sz w:val="24"/>
          <w:szCs w:val="24"/>
        </w:rPr>
        <w:t xml:space="preserve">Results of Mantel tests are marginally significant when </w:t>
      </w:r>
      <w:r w:rsidRPr="005D135E">
        <w:rPr>
          <w:rFonts w:asciiTheme="majorBidi" w:hAnsiTheme="majorBidi" w:cstheme="majorBidi"/>
          <w:sz w:val="24"/>
          <w:szCs w:val="24"/>
        </w:rPr>
        <w:t>the northern and southern lineages are each analyzed in isolation (</w:t>
      </w:r>
      <w:r w:rsidRPr="005D135E">
        <w:rPr>
          <w:rFonts w:asciiTheme="majorBidi" w:hAnsiTheme="majorBidi" w:cstheme="majorBidi"/>
          <w:i/>
          <w:sz w:val="24"/>
          <w:szCs w:val="24"/>
        </w:rPr>
        <w:t xml:space="preserve">p </w:t>
      </w:r>
      <w:r>
        <w:rPr>
          <w:rFonts w:asciiTheme="majorBidi" w:hAnsiTheme="majorBidi" w:cstheme="majorBidi"/>
          <w:sz w:val="24"/>
          <w:szCs w:val="24"/>
        </w:rPr>
        <w:t>=</w:t>
      </w:r>
      <w:r w:rsidRPr="005D135E">
        <w:rPr>
          <w:rFonts w:asciiTheme="majorBidi" w:hAnsiTheme="majorBidi" w:cstheme="majorBidi"/>
          <w:sz w:val="24"/>
          <w:szCs w:val="24"/>
        </w:rPr>
        <w:t xml:space="preserve"> 0.06 for </w:t>
      </w:r>
      <w:r w:rsidRPr="005D135E">
        <w:rPr>
          <w:rFonts w:asciiTheme="majorBidi" w:hAnsiTheme="majorBidi" w:cstheme="majorBidi"/>
          <w:i/>
          <w:sz w:val="24"/>
          <w:szCs w:val="24"/>
        </w:rPr>
        <w:t>L. campechanus</w:t>
      </w:r>
      <w:r w:rsidRPr="005D135E">
        <w:rPr>
          <w:rFonts w:asciiTheme="majorBidi" w:hAnsiTheme="majorBidi" w:cstheme="majorBidi"/>
          <w:sz w:val="24"/>
          <w:szCs w:val="24"/>
        </w:rPr>
        <w:t xml:space="preserve">; </w:t>
      </w:r>
      <w:r w:rsidRPr="005D135E">
        <w:rPr>
          <w:rFonts w:asciiTheme="majorBidi" w:hAnsiTheme="majorBidi" w:cstheme="majorBidi"/>
          <w:i/>
          <w:sz w:val="24"/>
          <w:szCs w:val="24"/>
        </w:rPr>
        <w:t xml:space="preserve">p </w:t>
      </w:r>
      <w:r>
        <w:rPr>
          <w:rFonts w:asciiTheme="majorBidi" w:hAnsiTheme="majorBidi" w:cstheme="majorBidi"/>
          <w:sz w:val="24"/>
          <w:szCs w:val="24"/>
        </w:rPr>
        <w:t>=</w:t>
      </w:r>
      <w:r w:rsidRPr="005D135E">
        <w:rPr>
          <w:rFonts w:asciiTheme="majorBidi" w:hAnsiTheme="majorBidi" w:cstheme="majorBidi"/>
          <w:sz w:val="24"/>
          <w:szCs w:val="24"/>
        </w:rPr>
        <w:t xml:space="preserve"> 0.02 for </w:t>
      </w:r>
      <w:r w:rsidRPr="005D135E">
        <w:rPr>
          <w:rFonts w:asciiTheme="majorBidi" w:hAnsiTheme="majorBidi" w:cstheme="majorBidi"/>
          <w:i/>
          <w:sz w:val="24"/>
          <w:szCs w:val="24"/>
        </w:rPr>
        <w:t>L. purpureus</w:t>
      </w:r>
      <w:r w:rsidRPr="005D135E">
        <w:rPr>
          <w:rFonts w:asciiTheme="majorBidi" w:hAnsiTheme="majorBidi" w:cstheme="majorBidi"/>
          <w:sz w:val="24"/>
          <w:szCs w:val="24"/>
        </w:rPr>
        <w:t xml:space="preserve">; </w:t>
      </w:r>
      <w:r w:rsidR="001D48AF">
        <w:rPr>
          <w:rFonts w:asciiTheme="majorBidi" w:hAnsiTheme="majorBidi" w:cstheme="majorBidi"/>
          <w:sz w:val="24"/>
          <w:szCs w:val="24"/>
        </w:rPr>
        <w:t>Appendix A</w:t>
      </w:r>
      <w:r w:rsidRPr="005D135E">
        <w:rPr>
          <w:rFonts w:asciiTheme="majorBidi" w:hAnsiTheme="majorBidi" w:cstheme="majorBidi"/>
          <w:sz w:val="24"/>
          <w:szCs w:val="24"/>
        </w:rPr>
        <w:t>, figure S5a,b). No substantial association between genetic and geographical distances (IBD), however, is detected for Euclidean nor LCP distances, as the points do not form continuous linear plots (figure 1</w:t>
      </w:r>
      <w:r w:rsidR="00230089">
        <w:rPr>
          <w:rFonts w:asciiTheme="majorBidi" w:hAnsiTheme="majorBidi" w:cstheme="majorBidi"/>
          <w:sz w:val="24"/>
          <w:szCs w:val="24"/>
        </w:rPr>
        <w:t>.1</w:t>
      </w:r>
      <w:r w:rsidRPr="005D135E">
        <w:rPr>
          <w:rFonts w:asciiTheme="majorBidi" w:hAnsiTheme="majorBidi" w:cstheme="majorBidi"/>
          <w:i/>
          <w:sz w:val="24"/>
          <w:szCs w:val="24"/>
        </w:rPr>
        <w:t>f</w:t>
      </w:r>
      <w:r w:rsidRPr="005D135E">
        <w:rPr>
          <w:rFonts w:asciiTheme="majorBidi" w:hAnsiTheme="majorBidi" w:cstheme="majorBidi"/>
          <w:sz w:val="24"/>
          <w:szCs w:val="24"/>
        </w:rPr>
        <w:t xml:space="preserve">; </w:t>
      </w:r>
      <w:r w:rsidR="001D48AF">
        <w:rPr>
          <w:rFonts w:asciiTheme="majorBidi" w:hAnsiTheme="majorBidi" w:cstheme="majorBidi"/>
          <w:sz w:val="24"/>
          <w:szCs w:val="24"/>
        </w:rPr>
        <w:t>Appendix A</w:t>
      </w:r>
      <w:r w:rsidRPr="005D135E">
        <w:rPr>
          <w:rFonts w:asciiTheme="majorBidi" w:hAnsiTheme="majorBidi" w:cstheme="majorBidi"/>
          <w:sz w:val="24"/>
          <w:szCs w:val="24"/>
        </w:rPr>
        <w:t>, figure S5c,d).</w:t>
      </w:r>
      <w:r>
        <w:rPr>
          <w:rFonts w:asciiTheme="majorBidi" w:hAnsiTheme="majorBidi" w:cstheme="majorBidi"/>
          <w:sz w:val="24"/>
          <w:szCs w:val="24"/>
        </w:rPr>
        <w:t xml:space="preserve"> </w:t>
      </w:r>
      <w:r w:rsidRPr="005D135E">
        <w:rPr>
          <w:rFonts w:asciiTheme="majorBidi" w:hAnsiTheme="majorBidi" w:cstheme="majorBidi"/>
          <w:sz w:val="24"/>
          <w:szCs w:val="24"/>
        </w:rPr>
        <w:t>Admixture plots from fastStructure reveal introgression (figure 1</w:t>
      </w:r>
      <w:r w:rsidR="00230089">
        <w:rPr>
          <w:rFonts w:asciiTheme="majorBidi" w:hAnsiTheme="majorBidi" w:cstheme="majorBidi"/>
          <w:sz w:val="24"/>
          <w:szCs w:val="24"/>
        </w:rPr>
        <w:t>.1</w:t>
      </w:r>
      <w:r w:rsidRPr="005D135E">
        <w:rPr>
          <w:rFonts w:asciiTheme="majorBidi" w:hAnsiTheme="majorBidi" w:cstheme="majorBidi"/>
          <w:i/>
          <w:sz w:val="24"/>
          <w:szCs w:val="24"/>
        </w:rPr>
        <w:t>c</w:t>
      </w:r>
      <w:r w:rsidRPr="005D135E">
        <w:rPr>
          <w:rFonts w:asciiTheme="majorBidi" w:hAnsiTheme="majorBidi" w:cstheme="majorBidi"/>
          <w:sz w:val="24"/>
          <w:szCs w:val="24"/>
        </w:rPr>
        <w:t>,</w:t>
      </w:r>
      <w:r w:rsidRPr="005D135E">
        <w:rPr>
          <w:rFonts w:asciiTheme="majorBidi" w:hAnsiTheme="majorBidi" w:cstheme="majorBidi"/>
          <w:i/>
          <w:sz w:val="24"/>
          <w:szCs w:val="24"/>
        </w:rPr>
        <w:t xml:space="preserve">d </w:t>
      </w:r>
      <w:r w:rsidRPr="005D135E">
        <w:rPr>
          <w:rFonts w:asciiTheme="majorBidi" w:hAnsiTheme="majorBidi" w:cstheme="majorBidi"/>
          <w:sz w:val="24"/>
          <w:szCs w:val="24"/>
        </w:rPr>
        <w:t>) at geographically neighboring populations between the two species in northern South America. This result is further confirmed with the hybrid index estimated with gghybrid (</w:t>
      </w:r>
      <w:r w:rsidR="001D48AF">
        <w:rPr>
          <w:rFonts w:asciiTheme="majorBidi" w:hAnsiTheme="majorBidi" w:cstheme="majorBidi"/>
          <w:sz w:val="24"/>
          <w:szCs w:val="24"/>
        </w:rPr>
        <w:t>Appendix A</w:t>
      </w:r>
      <w:r w:rsidRPr="005D135E">
        <w:rPr>
          <w:rFonts w:asciiTheme="majorBidi" w:hAnsiTheme="majorBidi" w:cstheme="majorBidi"/>
          <w:sz w:val="24"/>
          <w:szCs w:val="24"/>
        </w:rPr>
        <w:t>, figure S6), which identifies admixture in geographically inter- mediate populations in Colombia (La Guajira), Venezuela (Nueva Esparta), and to some extent Brazil (Amap</w:t>
      </w:r>
      <w:r>
        <w:rPr>
          <w:rFonts w:asciiTheme="majorBidi" w:hAnsiTheme="majorBidi" w:cstheme="majorBidi"/>
          <w:sz w:val="24"/>
          <w:szCs w:val="24"/>
        </w:rPr>
        <w:t>á</w:t>
      </w:r>
      <w:r w:rsidRPr="005D135E">
        <w:rPr>
          <w:rFonts w:asciiTheme="majorBidi" w:hAnsiTheme="majorBidi" w:cstheme="majorBidi"/>
          <w:sz w:val="24"/>
          <w:szCs w:val="24"/>
        </w:rPr>
        <w:t xml:space="preserve">). By contrast, none of the populations of </w:t>
      </w:r>
      <w:r w:rsidRPr="005D135E">
        <w:rPr>
          <w:rFonts w:asciiTheme="majorBidi" w:hAnsiTheme="majorBidi" w:cstheme="majorBidi"/>
          <w:i/>
          <w:sz w:val="24"/>
          <w:szCs w:val="24"/>
        </w:rPr>
        <w:t xml:space="preserve">L. campechanus </w:t>
      </w:r>
      <w:r w:rsidRPr="005D135E">
        <w:rPr>
          <w:rFonts w:asciiTheme="majorBidi" w:hAnsiTheme="majorBidi" w:cstheme="majorBidi"/>
          <w:sz w:val="24"/>
          <w:szCs w:val="24"/>
        </w:rPr>
        <w:t>reveal signs of ongoing introgression. Taken together, these results indicate a pattern of unidirectional interspecific introgression</w:t>
      </w:r>
      <w:r>
        <w:rPr>
          <w:rFonts w:asciiTheme="majorBidi" w:hAnsiTheme="majorBidi" w:cstheme="majorBidi"/>
          <w:sz w:val="24"/>
          <w:szCs w:val="24"/>
        </w:rPr>
        <w:t xml:space="preserve"> in </w:t>
      </w:r>
      <w:r w:rsidRPr="005D135E">
        <w:rPr>
          <w:rFonts w:asciiTheme="majorBidi" w:hAnsiTheme="majorBidi" w:cstheme="majorBidi"/>
          <w:i/>
          <w:iCs/>
          <w:sz w:val="24"/>
          <w:szCs w:val="24"/>
        </w:rPr>
        <w:t>L. purpureus</w:t>
      </w:r>
      <w:r>
        <w:rPr>
          <w:rFonts w:asciiTheme="majorBidi" w:hAnsiTheme="majorBidi" w:cstheme="majorBidi"/>
          <w:sz w:val="24"/>
          <w:szCs w:val="24"/>
        </w:rPr>
        <w:t xml:space="preserve"> from </w:t>
      </w:r>
      <w:r w:rsidRPr="005D135E">
        <w:rPr>
          <w:rFonts w:asciiTheme="majorBidi" w:hAnsiTheme="majorBidi" w:cstheme="majorBidi"/>
          <w:i/>
          <w:iCs/>
          <w:sz w:val="24"/>
          <w:szCs w:val="24"/>
        </w:rPr>
        <w:t>L. campechanus</w:t>
      </w:r>
      <w:r>
        <w:rPr>
          <w:rFonts w:asciiTheme="majorBidi" w:hAnsiTheme="majorBidi" w:cstheme="majorBidi"/>
          <w:sz w:val="24"/>
          <w:szCs w:val="24"/>
        </w:rPr>
        <w:t>.</w:t>
      </w:r>
    </w:p>
    <w:p w14:paraId="2C070E7D" w14:textId="53A5463B" w:rsidR="00FD38AB" w:rsidRPr="00FD38AB" w:rsidRDefault="00FD38AB" w:rsidP="00FD38AB">
      <w:pPr>
        <w:rPr>
          <w:rFonts w:asciiTheme="majorBidi" w:hAnsiTheme="majorBidi" w:cstheme="majorBidi"/>
          <w:sz w:val="24"/>
          <w:szCs w:val="24"/>
        </w:rPr>
      </w:pPr>
    </w:p>
    <w:p w14:paraId="724E7522" w14:textId="0B1ED7D2" w:rsidR="005210FA" w:rsidRDefault="005210FA" w:rsidP="00580472">
      <w:pPr>
        <w:pStyle w:val="ListParagraph"/>
        <w:numPr>
          <w:ilvl w:val="1"/>
          <w:numId w:val="1"/>
        </w:numPr>
        <w:rPr>
          <w:rFonts w:asciiTheme="majorBidi" w:hAnsiTheme="majorBidi" w:cstheme="majorBidi"/>
          <w:b/>
          <w:bCs/>
          <w:sz w:val="32"/>
          <w:szCs w:val="32"/>
        </w:rPr>
      </w:pPr>
      <w:r>
        <w:rPr>
          <w:rFonts w:asciiTheme="majorBidi" w:hAnsiTheme="majorBidi" w:cstheme="majorBidi"/>
          <w:b/>
          <w:bCs/>
          <w:sz w:val="32"/>
          <w:szCs w:val="32"/>
        </w:rPr>
        <w:t>Discussion</w:t>
      </w:r>
    </w:p>
    <w:p w14:paraId="716B33BC" w14:textId="6BA40156" w:rsidR="008F70CB" w:rsidRPr="008F70CB" w:rsidRDefault="008F70CB" w:rsidP="008F70CB">
      <w:pPr>
        <w:jc w:val="both"/>
        <w:rPr>
          <w:rFonts w:asciiTheme="majorBidi" w:hAnsiTheme="majorBidi" w:cstheme="majorBidi"/>
          <w:b/>
          <w:bCs/>
          <w:sz w:val="28"/>
          <w:szCs w:val="28"/>
        </w:rPr>
      </w:pPr>
      <w:r>
        <w:rPr>
          <w:rFonts w:asciiTheme="majorBidi" w:hAnsiTheme="majorBidi" w:cstheme="majorBidi"/>
          <w:b/>
          <w:bCs/>
          <w:sz w:val="28"/>
          <w:szCs w:val="28"/>
        </w:rPr>
        <w:t>Species delimitation</w:t>
      </w:r>
    </w:p>
    <w:p w14:paraId="770DEE82" w14:textId="56F36474" w:rsidR="007A0D36" w:rsidRDefault="007A0D36" w:rsidP="00CB2764">
      <w:pPr>
        <w:jc w:val="both"/>
        <w:rPr>
          <w:rFonts w:asciiTheme="majorBidi" w:hAnsiTheme="majorBidi" w:cstheme="majorBidi"/>
          <w:sz w:val="24"/>
          <w:szCs w:val="24"/>
        </w:rPr>
      </w:pPr>
      <w:r w:rsidRPr="007A0D36">
        <w:rPr>
          <w:rFonts w:asciiTheme="majorBidi" w:hAnsiTheme="majorBidi" w:cstheme="majorBidi"/>
          <w:sz w:val="24"/>
          <w:szCs w:val="24"/>
        </w:rPr>
        <w:t xml:space="preserve">Western Atlantic red snappers represent two commercially important species whose taxonomic status has been recently challenged. Described on the basis of morphological and meristic traits [23], </w:t>
      </w:r>
      <w:r w:rsidRPr="007A0D36">
        <w:rPr>
          <w:rFonts w:asciiTheme="majorBidi" w:hAnsiTheme="majorBidi" w:cstheme="majorBidi"/>
          <w:i/>
          <w:sz w:val="24"/>
          <w:szCs w:val="24"/>
        </w:rPr>
        <w:t xml:space="preserve">Lutjanus campechanus </w:t>
      </w:r>
      <w:r w:rsidRPr="007A0D36">
        <w:rPr>
          <w:rFonts w:asciiTheme="majorBidi" w:hAnsiTheme="majorBidi" w:cstheme="majorBidi"/>
          <w:sz w:val="24"/>
          <w:szCs w:val="24"/>
        </w:rPr>
        <w:t xml:space="preserve">and </w:t>
      </w:r>
      <w:r w:rsidRPr="007A0D36">
        <w:rPr>
          <w:rFonts w:asciiTheme="majorBidi" w:hAnsiTheme="majorBidi" w:cstheme="majorBidi"/>
          <w:i/>
          <w:sz w:val="24"/>
          <w:szCs w:val="24"/>
        </w:rPr>
        <w:t xml:space="preserve">L. purpureus </w:t>
      </w:r>
      <w:r w:rsidRPr="007A0D36">
        <w:rPr>
          <w:rFonts w:asciiTheme="majorBidi" w:hAnsiTheme="majorBidi" w:cstheme="majorBidi"/>
          <w:sz w:val="24"/>
          <w:szCs w:val="24"/>
        </w:rPr>
        <w:t xml:space="preserve">were recently considered to be conspecific based on assessments of genetic structure that examined mitochondrial DNA sequences and failed to delineate the formerly recognized species boundaries [24,25]. Despite finding concordant results with previous studies based on expanded mitochondrial </w:t>
      </w:r>
      <w:r w:rsidRPr="007A0D36">
        <w:rPr>
          <w:rFonts w:asciiTheme="majorBidi" w:hAnsiTheme="majorBidi" w:cstheme="majorBidi"/>
          <w:i/>
          <w:sz w:val="24"/>
          <w:szCs w:val="24"/>
        </w:rPr>
        <w:t xml:space="preserve">COI </w:t>
      </w:r>
      <w:r w:rsidRPr="007A0D36">
        <w:rPr>
          <w:rFonts w:asciiTheme="majorBidi" w:hAnsiTheme="majorBidi" w:cstheme="majorBidi"/>
          <w:sz w:val="24"/>
          <w:szCs w:val="24"/>
        </w:rPr>
        <w:t xml:space="preserve">and </w:t>
      </w:r>
      <w:r w:rsidRPr="007A0D36">
        <w:rPr>
          <w:rFonts w:asciiTheme="majorBidi" w:hAnsiTheme="majorBidi" w:cstheme="majorBidi"/>
          <w:i/>
          <w:sz w:val="24"/>
          <w:szCs w:val="24"/>
        </w:rPr>
        <w:t xml:space="preserve">D-loop </w:t>
      </w:r>
      <w:r w:rsidRPr="007A0D36">
        <w:rPr>
          <w:rFonts w:asciiTheme="majorBidi" w:hAnsiTheme="majorBidi" w:cstheme="majorBidi"/>
          <w:sz w:val="24"/>
          <w:szCs w:val="24"/>
        </w:rPr>
        <w:t>sequences</w:t>
      </w:r>
      <w:r>
        <w:rPr>
          <w:rFonts w:asciiTheme="majorBidi" w:hAnsiTheme="majorBidi" w:cstheme="majorBidi"/>
          <w:sz w:val="24"/>
          <w:szCs w:val="24"/>
        </w:rPr>
        <w:t xml:space="preserve"> </w:t>
      </w:r>
      <w:r w:rsidRPr="007A0D36">
        <w:rPr>
          <w:rFonts w:asciiTheme="majorBidi" w:hAnsiTheme="majorBidi" w:cstheme="majorBidi"/>
          <w:sz w:val="24"/>
          <w:szCs w:val="24"/>
        </w:rPr>
        <w:t xml:space="preserve">(figures </w:t>
      </w:r>
      <w:r w:rsidR="00230089">
        <w:rPr>
          <w:rFonts w:asciiTheme="majorBidi" w:hAnsiTheme="majorBidi" w:cstheme="majorBidi"/>
          <w:sz w:val="24"/>
          <w:szCs w:val="24"/>
        </w:rPr>
        <w:t>1.</w:t>
      </w:r>
      <w:r w:rsidRPr="007A0D36">
        <w:rPr>
          <w:rFonts w:asciiTheme="majorBidi" w:hAnsiTheme="majorBidi" w:cstheme="majorBidi"/>
          <w:sz w:val="24"/>
          <w:szCs w:val="24"/>
        </w:rPr>
        <w:t>1</w:t>
      </w:r>
      <w:r w:rsidRPr="007A0D36">
        <w:rPr>
          <w:rFonts w:asciiTheme="majorBidi" w:hAnsiTheme="majorBidi" w:cstheme="majorBidi"/>
          <w:i/>
          <w:sz w:val="24"/>
          <w:szCs w:val="24"/>
        </w:rPr>
        <w:t>a</w:t>
      </w:r>
      <w:r w:rsidRPr="007A0D36">
        <w:rPr>
          <w:rFonts w:asciiTheme="majorBidi" w:hAnsiTheme="majorBidi" w:cstheme="majorBidi"/>
          <w:sz w:val="24"/>
          <w:szCs w:val="24"/>
        </w:rPr>
        <w:t>,</w:t>
      </w:r>
      <w:r w:rsidRPr="007A0D36">
        <w:rPr>
          <w:rFonts w:asciiTheme="majorBidi" w:hAnsiTheme="majorBidi" w:cstheme="majorBidi"/>
          <w:i/>
          <w:sz w:val="24"/>
          <w:szCs w:val="24"/>
        </w:rPr>
        <w:t xml:space="preserve">b </w:t>
      </w:r>
      <w:r w:rsidRPr="007A0D36">
        <w:rPr>
          <w:rFonts w:asciiTheme="majorBidi" w:hAnsiTheme="majorBidi" w:cstheme="majorBidi"/>
          <w:sz w:val="24"/>
          <w:szCs w:val="24"/>
        </w:rPr>
        <w:t xml:space="preserve">and </w:t>
      </w:r>
      <w:r w:rsidR="00230089">
        <w:rPr>
          <w:rFonts w:asciiTheme="majorBidi" w:hAnsiTheme="majorBidi" w:cstheme="majorBidi"/>
          <w:sz w:val="24"/>
          <w:szCs w:val="24"/>
        </w:rPr>
        <w:t>1.</w:t>
      </w:r>
      <w:r w:rsidRPr="007A0D36">
        <w:rPr>
          <w:rFonts w:asciiTheme="majorBidi" w:hAnsiTheme="majorBidi" w:cstheme="majorBidi"/>
          <w:sz w:val="24"/>
          <w:szCs w:val="24"/>
        </w:rPr>
        <w:t>2</w:t>
      </w:r>
      <w:r w:rsidRPr="007A0D36">
        <w:rPr>
          <w:rFonts w:asciiTheme="majorBidi" w:hAnsiTheme="majorBidi" w:cstheme="majorBidi"/>
          <w:i/>
          <w:sz w:val="24"/>
          <w:szCs w:val="24"/>
        </w:rPr>
        <w:t>a</w:t>
      </w:r>
      <w:r w:rsidRPr="007A0D36">
        <w:rPr>
          <w:rFonts w:asciiTheme="majorBidi" w:hAnsiTheme="majorBidi" w:cstheme="majorBidi"/>
          <w:sz w:val="24"/>
          <w:szCs w:val="24"/>
        </w:rPr>
        <w:t>), genome-wide analyses implementing</w:t>
      </w:r>
      <w:r>
        <w:rPr>
          <w:rFonts w:asciiTheme="majorBidi" w:hAnsiTheme="majorBidi" w:cstheme="majorBidi"/>
          <w:sz w:val="24"/>
          <w:szCs w:val="24"/>
        </w:rPr>
        <w:t xml:space="preserve"> </w:t>
      </w:r>
      <w:r w:rsidRPr="007A0D36">
        <w:rPr>
          <w:rFonts w:asciiTheme="majorBidi" w:hAnsiTheme="majorBidi" w:cstheme="majorBidi"/>
          <w:sz w:val="24"/>
          <w:szCs w:val="24"/>
        </w:rPr>
        <w:t>SNP data (approx. 15 000 – 42 000) identify remarkable genetic divergences between the northern and southern red snappers. These results are supported by structure analyses (figure 1</w:t>
      </w:r>
      <w:r w:rsidR="00230089">
        <w:rPr>
          <w:rFonts w:asciiTheme="majorBidi" w:hAnsiTheme="majorBidi" w:cstheme="majorBidi"/>
          <w:sz w:val="24"/>
          <w:szCs w:val="24"/>
        </w:rPr>
        <w:t>.1</w:t>
      </w:r>
      <w:r w:rsidRPr="007A0D36">
        <w:rPr>
          <w:rFonts w:asciiTheme="majorBidi" w:hAnsiTheme="majorBidi" w:cstheme="majorBidi"/>
          <w:i/>
          <w:sz w:val="24"/>
          <w:szCs w:val="24"/>
        </w:rPr>
        <w:t>c</w:t>
      </w:r>
      <w:r w:rsidRPr="007A0D36">
        <w:rPr>
          <w:rFonts w:asciiTheme="majorBidi" w:hAnsiTheme="majorBidi" w:cstheme="majorBidi"/>
          <w:sz w:val="24"/>
          <w:szCs w:val="24"/>
        </w:rPr>
        <w:t>,</w:t>
      </w:r>
      <w:r w:rsidRPr="007A0D36">
        <w:rPr>
          <w:rFonts w:asciiTheme="majorBidi" w:hAnsiTheme="majorBidi" w:cstheme="majorBidi"/>
          <w:i/>
          <w:sz w:val="24"/>
          <w:szCs w:val="24"/>
        </w:rPr>
        <w:t>d</w:t>
      </w:r>
      <w:r w:rsidRPr="007A0D36">
        <w:rPr>
          <w:rFonts w:asciiTheme="majorBidi" w:hAnsiTheme="majorBidi" w:cstheme="majorBidi"/>
          <w:sz w:val="24"/>
          <w:szCs w:val="24"/>
        </w:rPr>
        <w:t>,</w:t>
      </w:r>
      <w:r w:rsidRPr="007A0D36">
        <w:rPr>
          <w:rFonts w:asciiTheme="majorBidi" w:hAnsiTheme="majorBidi" w:cstheme="majorBidi"/>
          <w:i/>
          <w:sz w:val="24"/>
          <w:szCs w:val="24"/>
        </w:rPr>
        <w:t xml:space="preserve">f </w:t>
      </w:r>
      <w:r w:rsidRPr="007A0D36">
        <w:rPr>
          <w:rFonts w:asciiTheme="majorBidi" w:hAnsiTheme="majorBidi" w:cstheme="majorBidi"/>
          <w:sz w:val="24"/>
          <w:szCs w:val="24"/>
        </w:rPr>
        <w:t>), phylogenetic inferences (figures 1</w:t>
      </w:r>
      <w:r w:rsidRPr="007A0D36">
        <w:rPr>
          <w:rFonts w:asciiTheme="majorBidi" w:hAnsiTheme="majorBidi" w:cstheme="majorBidi"/>
          <w:i/>
          <w:sz w:val="24"/>
          <w:szCs w:val="24"/>
        </w:rPr>
        <w:t xml:space="preserve">e </w:t>
      </w:r>
      <w:r w:rsidRPr="007A0D36">
        <w:rPr>
          <w:rFonts w:asciiTheme="majorBidi" w:hAnsiTheme="majorBidi" w:cstheme="majorBidi"/>
          <w:sz w:val="24"/>
          <w:szCs w:val="24"/>
        </w:rPr>
        <w:t>and 2</w:t>
      </w:r>
      <w:r w:rsidRPr="007A0D36">
        <w:rPr>
          <w:rFonts w:asciiTheme="majorBidi" w:hAnsiTheme="majorBidi" w:cstheme="majorBidi"/>
          <w:i/>
          <w:sz w:val="24"/>
          <w:szCs w:val="24"/>
        </w:rPr>
        <w:t>a</w:t>
      </w:r>
      <w:r w:rsidRPr="007A0D36">
        <w:rPr>
          <w:rFonts w:asciiTheme="majorBidi" w:hAnsiTheme="majorBidi" w:cstheme="majorBidi"/>
          <w:sz w:val="24"/>
          <w:szCs w:val="24"/>
        </w:rPr>
        <w:t>), coalescent tests (</w:t>
      </w:r>
      <w:r w:rsidR="001D48AF">
        <w:rPr>
          <w:rFonts w:asciiTheme="majorBidi" w:hAnsiTheme="majorBidi" w:cstheme="majorBidi"/>
          <w:sz w:val="24"/>
          <w:szCs w:val="24"/>
        </w:rPr>
        <w:t>Appendix A</w:t>
      </w:r>
      <w:r w:rsidRPr="007A0D36">
        <w:rPr>
          <w:rFonts w:asciiTheme="majorBidi" w:hAnsiTheme="majorBidi" w:cstheme="majorBidi"/>
          <w:sz w:val="24"/>
          <w:szCs w:val="24"/>
        </w:rPr>
        <w:t xml:space="preserve">, table S5), PCAs (figure </w:t>
      </w:r>
      <w:r w:rsidR="00230089">
        <w:rPr>
          <w:rFonts w:asciiTheme="majorBidi" w:hAnsiTheme="majorBidi" w:cstheme="majorBidi"/>
          <w:sz w:val="24"/>
          <w:szCs w:val="24"/>
        </w:rPr>
        <w:t>1.</w:t>
      </w:r>
      <w:r w:rsidRPr="007A0D36">
        <w:rPr>
          <w:rFonts w:asciiTheme="majorBidi" w:hAnsiTheme="majorBidi" w:cstheme="majorBidi"/>
          <w:sz w:val="24"/>
          <w:szCs w:val="24"/>
        </w:rPr>
        <w:t>2</w:t>
      </w:r>
      <w:r w:rsidRPr="007A0D36">
        <w:rPr>
          <w:rFonts w:asciiTheme="majorBidi" w:hAnsiTheme="majorBidi" w:cstheme="majorBidi"/>
          <w:i/>
          <w:sz w:val="24"/>
          <w:szCs w:val="24"/>
        </w:rPr>
        <w:t>b</w:t>
      </w:r>
      <w:r w:rsidRPr="007A0D36">
        <w:rPr>
          <w:rFonts w:asciiTheme="majorBidi" w:hAnsiTheme="majorBidi" w:cstheme="majorBidi"/>
          <w:sz w:val="24"/>
          <w:szCs w:val="24"/>
        </w:rPr>
        <w:t>), and</w:t>
      </w:r>
      <w:r>
        <w:rPr>
          <w:rFonts w:asciiTheme="majorBidi" w:hAnsiTheme="majorBidi" w:cstheme="majorBidi"/>
          <w:sz w:val="24"/>
          <w:szCs w:val="24"/>
        </w:rPr>
        <w:t xml:space="preserve"> </w:t>
      </w:r>
      <w:r w:rsidRPr="007A0D36">
        <w:rPr>
          <w:rFonts w:asciiTheme="majorBidi" w:hAnsiTheme="majorBidi" w:cstheme="majorBidi"/>
          <w:sz w:val="24"/>
          <w:szCs w:val="24"/>
        </w:rPr>
        <w:t xml:space="preserve">geographical patterns of population abundances (from FishNet and OBIS; </w:t>
      </w:r>
      <w:r w:rsidR="001D48AF">
        <w:rPr>
          <w:rFonts w:asciiTheme="majorBidi" w:hAnsiTheme="majorBidi" w:cstheme="majorBidi"/>
          <w:sz w:val="24"/>
          <w:szCs w:val="24"/>
        </w:rPr>
        <w:t>Appendix A</w:t>
      </w:r>
      <w:r w:rsidRPr="007A0D36">
        <w:rPr>
          <w:rFonts w:asciiTheme="majorBidi" w:hAnsiTheme="majorBidi" w:cstheme="majorBidi"/>
          <w:sz w:val="24"/>
          <w:szCs w:val="24"/>
        </w:rPr>
        <w:t>, figure S1b), all of which are in agreement with the morphospecies delimitation and are largely robust to the number of individuals, SNPs, or missing data included in each of the data matrices analyzed. The mito-nuclear discordance observed for WA red snappers can be the result of mitochondrial introgression or incipient sorting of mitochondrial haplotypes—the most likely biological sources of genealogical incongruence among recently diverged species [9]. Notably, a recent unpublished study that compared the otolith shape among different populations and species of WA red snappers using geometric morphometric approaches also identified well-differentiated and non-overlapping clusters that are consistent with the evolutionary units delineated here using genomic data [60].</w:t>
      </w:r>
    </w:p>
    <w:p w14:paraId="0058D112" w14:textId="41DADDA5" w:rsidR="00D900CD" w:rsidRDefault="00D900CD" w:rsidP="00D900CD">
      <w:pPr>
        <w:ind w:firstLine="720"/>
        <w:jc w:val="both"/>
        <w:rPr>
          <w:rFonts w:asciiTheme="majorBidi" w:hAnsiTheme="majorBidi" w:cstheme="majorBidi"/>
          <w:sz w:val="24"/>
          <w:szCs w:val="24"/>
        </w:rPr>
      </w:pPr>
      <w:r w:rsidRPr="00D900CD">
        <w:rPr>
          <w:rFonts w:asciiTheme="majorBidi" w:hAnsiTheme="majorBidi" w:cstheme="majorBidi"/>
          <w:sz w:val="24"/>
          <w:szCs w:val="24"/>
        </w:rPr>
        <w:lastRenderedPageBreak/>
        <w:t xml:space="preserve">While Mantel tests and correlogram analyses indicate that intraspecific populations separated by vast geographical distances have a smaller likelihood of gene flow, our analyses find tenuous support for a pattern of intraspecific IBD (figure </w:t>
      </w:r>
      <w:r w:rsidR="00230089">
        <w:rPr>
          <w:rFonts w:asciiTheme="majorBidi" w:hAnsiTheme="majorBidi" w:cstheme="majorBidi"/>
          <w:sz w:val="24"/>
          <w:szCs w:val="24"/>
        </w:rPr>
        <w:t>1.</w:t>
      </w:r>
      <w:r w:rsidRPr="00D900CD">
        <w:rPr>
          <w:rFonts w:asciiTheme="majorBidi" w:hAnsiTheme="majorBidi" w:cstheme="majorBidi"/>
          <w:sz w:val="24"/>
          <w:szCs w:val="24"/>
        </w:rPr>
        <w:t>1</w:t>
      </w:r>
      <w:r w:rsidRPr="00D900CD">
        <w:rPr>
          <w:rFonts w:asciiTheme="majorBidi" w:hAnsiTheme="majorBidi" w:cstheme="majorBidi"/>
          <w:i/>
          <w:sz w:val="24"/>
          <w:szCs w:val="24"/>
        </w:rPr>
        <w:t>f</w:t>
      </w:r>
      <w:r w:rsidRPr="00D900CD">
        <w:rPr>
          <w:rFonts w:asciiTheme="majorBidi" w:hAnsiTheme="majorBidi" w:cstheme="majorBidi"/>
          <w:sz w:val="24"/>
          <w:szCs w:val="24"/>
        </w:rPr>
        <w:t xml:space="preserve">; </w:t>
      </w:r>
      <w:r w:rsidR="00643F90">
        <w:rPr>
          <w:rFonts w:asciiTheme="majorBidi" w:hAnsiTheme="majorBidi" w:cstheme="majorBidi"/>
          <w:sz w:val="24"/>
          <w:szCs w:val="24"/>
        </w:rPr>
        <w:t>Appendix A</w:t>
      </w:r>
      <w:r w:rsidRPr="00D900CD">
        <w:rPr>
          <w:rFonts w:asciiTheme="majorBidi" w:hAnsiTheme="majorBidi" w:cstheme="majorBidi"/>
          <w:sz w:val="24"/>
          <w:szCs w:val="24"/>
        </w:rPr>
        <w:t>, figure S5). We</w:t>
      </w:r>
      <w:r w:rsidR="00CE01A7">
        <w:rPr>
          <w:rFonts w:asciiTheme="majorBidi" w:hAnsiTheme="majorBidi" w:cstheme="majorBidi"/>
          <w:sz w:val="24"/>
          <w:szCs w:val="24"/>
        </w:rPr>
        <w:t xml:space="preserve"> find evidence, however, of ongoing interspecific hybridization (figure </w:t>
      </w:r>
      <w:r w:rsidR="00230089">
        <w:rPr>
          <w:rFonts w:asciiTheme="majorBidi" w:hAnsiTheme="majorBidi" w:cstheme="majorBidi"/>
          <w:sz w:val="24"/>
          <w:szCs w:val="24"/>
        </w:rPr>
        <w:t>1.</w:t>
      </w:r>
      <w:r w:rsidR="00CE01A7">
        <w:rPr>
          <w:rFonts w:asciiTheme="majorBidi" w:hAnsiTheme="majorBidi" w:cstheme="majorBidi"/>
          <w:sz w:val="24"/>
          <w:szCs w:val="24"/>
        </w:rPr>
        <w:t>1</w:t>
      </w:r>
      <w:r w:rsidR="00CE01A7" w:rsidRPr="00CE01A7">
        <w:rPr>
          <w:rFonts w:asciiTheme="majorBidi" w:hAnsiTheme="majorBidi" w:cstheme="majorBidi"/>
          <w:i/>
          <w:iCs/>
          <w:sz w:val="24"/>
          <w:szCs w:val="24"/>
        </w:rPr>
        <w:t>c,d</w:t>
      </w:r>
      <w:r w:rsidR="00CE01A7">
        <w:rPr>
          <w:rFonts w:asciiTheme="majorBidi" w:hAnsiTheme="majorBidi" w:cstheme="majorBidi"/>
          <w:sz w:val="24"/>
          <w:szCs w:val="24"/>
        </w:rPr>
        <w:t xml:space="preserve">) through circulating gene flow across geographically </w:t>
      </w:r>
      <w:r w:rsidR="00CE01A7" w:rsidRPr="00CE01A7">
        <w:rPr>
          <w:rFonts w:asciiTheme="majorBidi" w:hAnsiTheme="majorBidi" w:cstheme="majorBidi"/>
          <w:sz w:val="24"/>
          <w:szCs w:val="24"/>
        </w:rPr>
        <w:t xml:space="preserve">neighboring locations in northern South America (figure </w:t>
      </w:r>
      <w:r w:rsidR="00643F90">
        <w:rPr>
          <w:rFonts w:asciiTheme="majorBidi" w:hAnsiTheme="majorBidi" w:cstheme="majorBidi"/>
          <w:sz w:val="24"/>
          <w:szCs w:val="24"/>
        </w:rPr>
        <w:t>1.</w:t>
      </w:r>
      <w:r w:rsidR="00CE01A7" w:rsidRPr="00CE01A7">
        <w:rPr>
          <w:rFonts w:asciiTheme="majorBidi" w:hAnsiTheme="majorBidi" w:cstheme="majorBidi"/>
          <w:sz w:val="24"/>
          <w:szCs w:val="24"/>
        </w:rPr>
        <w:t>1</w:t>
      </w:r>
      <w:r w:rsidR="00CE01A7" w:rsidRPr="00CE01A7">
        <w:rPr>
          <w:rFonts w:asciiTheme="majorBidi" w:hAnsiTheme="majorBidi" w:cstheme="majorBidi"/>
          <w:i/>
          <w:sz w:val="24"/>
          <w:szCs w:val="24"/>
        </w:rPr>
        <w:t>c</w:t>
      </w:r>
      <w:r w:rsidR="00CE01A7" w:rsidRPr="00CE01A7">
        <w:rPr>
          <w:rFonts w:asciiTheme="majorBidi" w:hAnsiTheme="majorBidi" w:cstheme="majorBidi"/>
          <w:sz w:val="24"/>
          <w:szCs w:val="24"/>
        </w:rPr>
        <w:t>,</w:t>
      </w:r>
      <w:r w:rsidR="00CE01A7" w:rsidRPr="00CE01A7">
        <w:rPr>
          <w:rFonts w:asciiTheme="majorBidi" w:hAnsiTheme="majorBidi" w:cstheme="majorBidi"/>
          <w:i/>
          <w:sz w:val="24"/>
          <w:szCs w:val="24"/>
        </w:rPr>
        <w:t>d</w:t>
      </w:r>
      <w:r w:rsidR="00CE01A7" w:rsidRPr="00CE01A7">
        <w:rPr>
          <w:rFonts w:asciiTheme="majorBidi" w:hAnsiTheme="majorBidi" w:cstheme="majorBidi"/>
          <w:sz w:val="24"/>
          <w:szCs w:val="24"/>
        </w:rPr>
        <w:t xml:space="preserve">; </w:t>
      </w:r>
      <w:r w:rsidR="00643F90">
        <w:rPr>
          <w:rFonts w:asciiTheme="majorBidi" w:hAnsiTheme="majorBidi" w:cstheme="majorBidi"/>
          <w:sz w:val="24"/>
          <w:szCs w:val="24"/>
        </w:rPr>
        <w:t>Appendix A</w:t>
      </w:r>
      <w:r w:rsidR="00CE01A7" w:rsidRPr="00CE01A7">
        <w:rPr>
          <w:rFonts w:asciiTheme="majorBidi" w:hAnsiTheme="majorBidi" w:cstheme="majorBidi"/>
          <w:sz w:val="24"/>
          <w:szCs w:val="24"/>
        </w:rPr>
        <w:t xml:space="preserve">, figure S6). Interspecific hybridization is not rare across sister species of marine fishes (e.g. </w:t>
      </w:r>
      <w:r w:rsidR="00CE01A7" w:rsidRPr="00CE01A7">
        <w:rPr>
          <w:rFonts w:asciiTheme="majorBidi" w:hAnsiTheme="majorBidi" w:cstheme="majorBidi"/>
          <w:i/>
          <w:sz w:val="24"/>
          <w:szCs w:val="24"/>
        </w:rPr>
        <w:t xml:space="preserve">Haemulon maculicauda </w:t>
      </w:r>
      <w:r w:rsidR="00CE01A7" w:rsidRPr="00CE01A7">
        <w:rPr>
          <w:rFonts w:asciiTheme="majorBidi" w:hAnsiTheme="majorBidi" w:cstheme="majorBidi"/>
          <w:sz w:val="24"/>
          <w:szCs w:val="24"/>
        </w:rPr>
        <w:t xml:space="preserve">and </w:t>
      </w:r>
      <w:r w:rsidR="00CE01A7" w:rsidRPr="00CE01A7">
        <w:rPr>
          <w:rFonts w:asciiTheme="majorBidi" w:hAnsiTheme="majorBidi" w:cstheme="majorBidi"/>
          <w:i/>
          <w:sz w:val="24"/>
          <w:szCs w:val="24"/>
        </w:rPr>
        <w:t xml:space="preserve">H. flaviguttatum </w:t>
      </w:r>
      <w:r w:rsidR="00CE01A7" w:rsidRPr="00CE01A7">
        <w:rPr>
          <w:rFonts w:asciiTheme="majorBidi" w:hAnsiTheme="majorBidi" w:cstheme="majorBidi"/>
          <w:sz w:val="24"/>
          <w:szCs w:val="24"/>
        </w:rPr>
        <w:t>[61]) and could also lead to mito-nuclear discordance via genetic introgression [18]. In the face of introgression, genetic structure is expected to reflect geographical patterns, particularly when sister species pairs become geographically isolated and subsequently come into secondary contact [17,61]. In this case, geographical patterns appear to support secondary admixture over incomplete lineage sorting (ILS), where ongoing hybridization leads to nuclear introgression [17,18].</w:t>
      </w:r>
    </w:p>
    <w:p w14:paraId="7764B914" w14:textId="6A94CA27" w:rsidR="00CE01A7" w:rsidRDefault="00CE01A7" w:rsidP="00CE01A7">
      <w:pPr>
        <w:ind w:firstLine="720"/>
        <w:jc w:val="both"/>
        <w:rPr>
          <w:rFonts w:asciiTheme="majorBidi" w:hAnsiTheme="majorBidi" w:cstheme="majorBidi"/>
          <w:sz w:val="24"/>
          <w:szCs w:val="24"/>
        </w:rPr>
      </w:pPr>
      <w:r w:rsidRPr="00CE01A7">
        <w:rPr>
          <w:rFonts w:asciiTheme="majorBidi" w:hAnsiTheme="majorBidi" w:cstheme="majorBidi"/>
          <w:sz w:val="24"/>
          <w:szCs w:val="24"/>
        </w:rPr>
        <w:t>Remarkably, the apparent direction of the aforementioned introgression (north to south) runs counter to the progression of marine currents in the Greater Caribbean (south to north). Although a northward route seems more plausible than the reverse, this is not entirely unexpected in light of the complex patterns of connectivity in the Greater Caribbean [62,63]. For instance, the progression of the lionfish invasion in the area has taken place southwards, from Florida to South America [64]. An alternative explanation to the observed pattern is that genetic structure reflects the maintenance of ancestral polymorphisms (ILS), possibly as a result of the recent divergence of the species. This interpretation, however, seems unfeasible considering that cline analyses (gghybrid) account for ancestral shared polymorphisms by focusing on loci that are highly differentiated in the parental reference populations. Another possibility involves secondary contact after divergence between the two species, at a time when</w:t>
      </w:r>
      <w:r>
        <w:rPr>
          <w:rFonts w:asciiTheme="majorBidi" w:hAnsiTheme="majorBidi" w:cstheme="majorBidi"/>
          <w:sz w:val="24"/>
          <w:szCs w:val="24"/>
        </w:rPr>
        <w:t xml:space="preserve"> </w:t>
      </w:r>
      <w:r w:rsidRPr="00CE01A7">
        <w:rPr>
          <w:rFonts w:asciiTheme="majorBidi" w:hAnsiTheme="majorBidi" w:cstheme="majorBidi"/>
          <w:i/>
          <w:sz w:val="24"/>
          <w:szCs w:val="24"/>
        </w:rPr>
        <w:t xml:space="preserve">L. campechanus </w:t>
      </w:r>
      <w:r w:rsidRPr="00CE01A7">
        <w:rPr>
          <w:rFonts w:asciiTheme="majorBidi" w:hAnsiTheme="majorBidi" w:cstheme="majorBidi"/>
          <w:sz w:val="24"/>
          <w:szCs w:val="24"/>
        </w:rPr>
        <w:t>co-occurred in the south, and either southern</w:t>
      </w:r>
      <w:r>
        <w:rPr>
          <w:rFonts w:asciiTheme="majorBidi" w:hAnsiTheme="majorBidi" w:cstheme="majorBidi"/>
          <w:sz w:val="24"/>
          <w:szCs w:val="24"/>
        </w:rPr>
        <w:t xml:space="preserve"> </w:t>
      </w:r>
      <w:r w:rsidRPr="00CE01A7">
        <w:rPr>
          <w:rFonts w:asciiTheme="majorBidi" w:hAnsiTheme="majorBidi" w:cstheme="majorBidi"/>
          <w:i/>
          <w:sz w:val="24"/>
          <w:szCs w:val="24"/>
        </w:rPr>
        <w:t xml:space="preserve">L. campechanus </w:t>
      </w:r>
      <w:r w:rsidRPr="00CE01A7">
        <w:rPr>
          <w:rFonts w:asciiTheme="majorBidi" w:hAnsiTheme="majorBidi" w:cstheme="majorBidi"/>
          <w:sz w:val="24"/>
          <w:szCs w:val="24"/>
        </w:rPr>
        <w:t xml:space="preserve">populations are now extinct or they have been diluted into a dominant </w:t>
      </w:r>
      <w:r w:rsidRPr="00CE01A7">
        <w:rPr>
          <w:rFonts w:asciiTheme="majorBidi" w:hAnsiTheme="majorBidi" w:cstheme="majorBidi"/>
          <w:i/>
          <w:sz w:val="24"/>
          <w:szCs w:val="24"/>
        </w:rPr>
        <w:t xml:space="preserve">L. purpureus </w:t>
      </w:r>
      <w:r w:rsidRPr="00CE01A7">
        <w:rPr>
          <w:rFonts w:asciiTheme="majorBidi" w:hAnsiTheme="majorBidi" w:cstheme="majorBidi"/>
          <w:sz w:val="24"/>
          <w:szCs w:val="24"/>
        </w:rPr>
        <w:t>genetic and demographic background. All these possibilities remain to be explored in greater depth using demographic and migration tests.</w:t>
      </w:r>
    </w:p>
    <w:p w14:paraId="71015A36" w14:textId="188AE5D9" w:rsidR="00001AEA" w:rsidRDefault="00001AEA" w:rsidP="0052271D">
      <w:pPr>
        <w:ind w:firstLine="720"/>
        <w:jc w:val="both"/>
        <w:rPr>
          <w:rFonts w:asciiTheme="majorBidi" w:hAnsiTheme="majorBidi" w:cstheme="majorBidi"/>
          <w:sz w:val="24"/>
          <w:szCs w:val="24"/>
        </w:rPr>
      </w:pPr>
      <w:r w:rsidRPr="00001AEA">
        <w:rPr>
          <w:rFonts w:asciiTheme="majorBidi" w:hAnsiTheme="majorBidi" w:cstheme="majorBidi"/>
          <w:sz w:val="24"/>
          <w:szCs w:val="24"/>
        </w:rPr>
        <w:t>Although we were unable to examine samples from the western and northern Caribbean region (</w:t>
      </w:r>
      <w:r w:rsidR="00643F90">
        <w:rPr>
          <w:rFonts w:asciiTheme="majorBidi" w:hAnsiTheme="majorBidi" w:cstheme="majorBidi"/>
          <w:sz w:val="24"/>
          <w:szCs w:val="24"/>
        </w:rPr>
        <w:t>Appendix A</w:t>
      </w:r>
      <w:r w:rsidRPr="00001AEA">
        <w:rPr>
          <w:rFonts w:asciiTheme="majorBidi" w:hAnsiTheme="majorBidi" w:cstheme="majorBidi"/>
          <w:sz w:val="24"/>
          <w:szCs w:val="24"/>
        </w:rPr>
        <w:t xml:space="preserve">, figure S1), this does not necessarily represent a caveat in our study. The scarcity of records over time in the Bahamian, Eastern Caribbean, Greater Antilles, and Southwestern Caribbean marine ecoregions (regionalization according to [65]; </w:t>
      </w:r>
      <w:r w:rsidR="00643F90">
        <w:rPr>
          <w:rFonts w:asciiTheme="majorBidi" w:hAnsiTheme="majorBidi" w:cstheme="majorBidi"/>
          <w:sz w:val="24"/>
          <w:szCs w:val="24"/>
        </w:rPr>
        <w:t>Appendix A</w:t>
      </w:r>
      <w:r w:rsidRPr="00001AEA">
        <w:rPr>
          <w:rFonts w:asciiTheme="majorBidi" w:hAnsiTheme="majorBidi" w:cstheme="majorBidi"/>
          <w:sz w:val="24"/>
          <w:szCs w:val="24"/>
        </w:rPr>
        <w:t xml:space="preserve">, figure S1) suggest that the populations of red snappers are not completely established, possibly formed by vagrant individuals. This, in fact, reflects and actual gap in the connectivity of the two species that reinforces our observations and emphasizes a regional discontinuity pattern. Notwithstanding a worst-case scenario with well-established intermediate populations in the Caribbean and a smooth cline of admixture between the northern and southern lineages, the vast genomic divergences observed between these lineages provide strong evidence for the delimitation of two discrete taxonomic units. For instance, while low gen- etic differentiation values were estimated intraspecifically despite great geographical distances, the closest interspecific locations sampled feature high genetic divergences. Populations of </w:t>
      </w:r>
      <w:r w:rsidRPr="00001AEA">
        <w:rPr>
          <w:rFonts w:asciiTheme="majorBidi" w:hAnsiTheme="majorBidi" w:cstheme="majorBidi"/>
          <w:i/>
          <w:sz w:val="24"/>
          <w:szCs w:val="24"/>
        </w:rPr>
        <w:t xml:space="preserve">L. purpureus </w:t>
      </w:r>
      <w:r w:rsidRPr="00001AEA">
        <w:rPr>
          <w:rFonts w:asciiTheme="majorBidi" w:hAnsiTheme="majorBidi" w:cstheme="majorBidi"/>
          <w:sz w:val="24"/>
          <w:szCs w:val="24"/>
        </w:rPr>
        <w:t>from Nueva Esparta and S</w:t>
      </w:r>
      <w:r w:rsidR="0052271D">
        <w:rPr>
          <w:rFonts w:asciiTheme="majorBidi" w:hAnsiTheme="majorBidi" w:cstheme="majorBidi"/>
          <w:sz w:val="24"/>
          <w:szCs w:val="24"/>
        </w:rPr>
        <w:t>ã</w:t>
      </w:r>
      <w:r w:rsidRPr="00001AEA">
        <w:rPr>
          <w:rFonts w:asciiTheme="majorBidi" w:hAnsiTheme="majorBidi" w:cstheme="majorBidi"/>
          <w:sz w:val="24"/>
          <w:szCs w:val="24"/>
        </w:rPr>
        <w:t>o</w:t>
      </w:r>
      <w:r w:rsidR="0052271D">
        <w:rPr>
          <w:rFonts w:asciiTheme="majorBidi" w:hAnsiTheme="majorBidi" w:cstheme="majorBidi"/>
          <w:sz w:val="24"/>
          <w:szCs w:val="24"/>
        </w:rPr>
        <w:t xml:space="preserve"> </w:t>
      </w:r>
      <w:r w:rsidRPr="00001AEA">
        <w:rPr>
          <w:rFonts w:asciiTheme="majorBidi" w:hAnsiTheme="majorBidi" w:cstheme="majorBidi"/>
          <w:sz w:val="24"/>
          <w:szCs w:val="24"/>
        </w:rPr>
        <w:t xml:space="preserve">Salvador da Bahia are separated by an </w:t>
      </w:r>
      <w:r w:rsidRPr="00001AEA">
        <w:rPr>
          <w:rFonts w:asciiTheme="majorBidi" w:hAnsiTheme="majorBidi" w:cstheme="majorBidi"/>
          <w:i/>
          <w:sz w:val="24"/>
          <w:szCs w:val="24"/>
        </w:rPr>
        <w:t>F</w:t>
      </w:r>
      <w:r w:rsidRPr="00001AEA">
        <w:rPr>
          <w:rFonts w:asciiTheme="majorBidi" w:hAnsiTheme="majorBidi" w:cstheme="majorBidi"/>
          <w:sz w:val="24"/>
          <w:szCs w:val="24"/>
          <w:vertAlign w:val="subscript"/>
        </w:rPr>
        <w:t>ST</w:t>
      </w:r>
      <w:r w:rsidRPr="00001AEA">
        <w:rPr>
          <w:rFonts w:asciiTheme="majorBidi" w:hAnsiTheme="majorBidi" w:cstheme="majorBidi"/>
          <w:sz w:val="24"/>
          <w:szCs w:val="24"/>
        </w:rPr>
        <w:t xml:space="preserve"> of 0.04 and an</w:t>
      </w:r>
      <w:r w:rsidR="0052271D">
        <w:rPr>
          <w:rFonts w:asciiTheme="majorBidi" w:hAnsiTheme="majorBidi" w:cstheme="majorBidi"/>
          <w:sz w:val="24"/>
          <w:szCs w:val="24"/>
        </w:rPr>
        <w:t xml:space="preserve"> </w:t>
      </w:r>
      <w:r w:rsidRPr="00001AEA">
        <w:rPr>
          <w:rFonts w:asciiTheme="majorBidi" w:hAnsiTheme="majorBidi" w:cstheme="majorBidi"/>
          <w:sz w:val="24"/>
          <w:szCs w:val="24"/>
        </w:rPr>
        <w:t xml:space="preserve">LCP of 4819 km; </w:t>
      </w:r>
      <w:r w:rsidRPr="00001AEA">
        <w:rPr>
          <w:rFonts w:asciiTheme="majorBidi" w:hAnsiTheme="majorBidi" w:cstheme="majorBidi"/>
          <w:i/>
          <w:sz w:val="24"/>
          <w:szCs w:val="24"/>
        </w:rPr>
        <w:t xml:space="preserve">L. campechanus </w:t>
      </w:r>
      <w:r w:rsidRPr="00001AEA">
        <w:rPr>
          <w:rFonts w:asciiTheme="majorBidi" w:hAnsiTheme="majorBidi" w:cstheme="majorBidi"/>
          <w:sz w:val="24"/>
          <w:szCs w:val="24"/>
        </w:rPr>
        <w:t xml:space="preserve">from Campeche and Florida have an </w:t>
      </w:r>
      <w:r w:rsidRPr="00001AEA">
        <w:rPr>
          <w:rFonts w:asciiTheme="majorBidi" w:hAnsiTheme="majorBidi" w:cstheme="majorBidi"/>
          <w:i/>
          <w:sz w:val="24"/>
          <w:szCs w:val="24"/>
        </w:rPr>
        <w:t>F</w:t>
      </w:r>
      <w:r w:rsidRPr="00001AEA">
        <w:rPr>
          <w:rFonts w:asciiTheme="majorBidi" w:hAnsiTheme="majorBidi" w:cstheme="majorBidi"/>
          <w:sz w:val="24"/>
          <w:szCs w:val="24"/>
          <w:vertAlign w:val="subscript"/>
        </w:rPr>
        <w:t>ST</w:t>
      </w:r>
      <w:r w:rsidRPr="00001AEA">
        <w:rPr>
          <w:rFonts w:asciiTheme="majorBidi" w:hAnsiTheme="majorBidi" w:cstheme="majorBidi"/>
          <w:sz w:val="24"/>
          <w:szCs w:val="24"/>
        </w:rPr>
        <w:t xml:space="preserve"> of 0.003 and an LCP of 2953 km. These results are congruent with observed values proposing panmictic within- species populations [59,66]. Conversely, the </w:t>
      </w:r>
      <w:r w:rsidRPr="00001AEA">
        <w:rPr>
          <w:rFonts w:asciiTheme="majorBidi" w:hAnsiTheme="majorBidi" w:cstheme="majorBidi"/>
          <w:sz w:val="24"/>
          <w:szCs w:val="24"/>
        </w:rPr>
        <w:lastRenderedPageBreak/>
        <w:t>corresponding</w:t>
      </w:r>
      <w:r w:rsidR="00D77179">
        <w:rPr>
          <w:rFonts w:asciiTheme="majorBidi" w:hAnsiTheme="majorBidi" w:cstheme="majorBidi"/>
          <w:sz w:val="24"/>
          <w:szCs w:val="24"/>
        </w:rPr>
        <w:t xml:space="preserve"> interspecific values between Puerto de Tuxpan (northern red snapper) and La Guajira (southern red snapper) are </w:t>
      </w:r>
      <w:r w:rsidR="00D77179" w:rsidRPr="00D77179">
        <w:rPr>
          <w:rFonts w:asciiTheme="majorBidi" w:hAnsiTheme="majorBidi" w:cstheme="majorBidi"/>
          <w:sz w:val="24"/>
          <w:szCs w:val="24"/>
        </w:rPr>
        <w:t>0.18 and 4847 km, respectively (</w:t>
      </w:r>
      <w:r w:rsidR="00643F90">
        <w:rPr>
          <w:rFonts w:asciiTheme="majorBidi" w:hAnsiTheme="majorBidi" w:cstheme="majorBidi"/>
          <w:sz w:val="24"/>
          <w:szCs w:val="24"/>
        </w:rPr>
        <w:t>Appendix A</w:t>
      </w:r>
      <w:r w:rsidR="00D77179" w:rsidRPr="00D77179">
        <w:rPr>
          <w:rFonts w:asciiTheme="majorBidi" w:hAnsiTheme="majorBidi" w:cstheme="majorBidi"/>
          <w:sz w:val="24"/>
          <w:szCs w:val="24"/>
        </w:rPr>
        <w:t>, figure S4a)</w:t>
      </w:r>
      <w:r w:rsidR="00D77179">
        <w:rPr>
          <w:rFonts w:asciiTheme="majorBidi" w:hAnsiTheme="majorBidi" w:cstheme="majorBidi"/>
          <w:sz w:val="24"/>
          <w:szCs w:val="24"/>
        </w:rPr>
        <w:t>.</w:t>
      </w:r>
    </w:p>
    <w:p w14:paraId="0AFE20F1" w14:textId="6C27443D" w:rsidR="00D77179" w:rsidRPr="00001AEA" w:rsidRDefault="00D77179" w:rsidP="0052271D">
      <w:pPr>
        <w:ind w:firstLine="720"/>
        <w:jc w:val="both"/>
        <w:rPr>
          <w:rFonts w:asciiTheme="majorBidi" w:hAnsiTheme="majorBidi" w:cstheme="majorBidi"/>
          <w:sz w:val="24"/>
          <w:szCs w:val="24"/>
        </w:rPr>
      </w:pPr>
      <w:r w:rsidRPr="00D77179">
        <w:rPr>
          <w:rFonts w:asciiTheme="majorBidi" w:hAnsiTheme="majorBidi" w:cstheme="majorBidi"/>
          <w:sz w:val="24"/>
          <w:szCs w:val="24"/>
        </w:rPr>
        <w:t>It is important to note that we are not splitting species here based on genetic differences alone (e.g. [6]). Instead, we are testing the morphological and mitochondrial hypotheses in light of analyses based on thousands of genetic markers, with the former setting a century-long precedent on the validation of two species. In our present scheme, finding the cline between the two lineages would be difficult, as the lack of samples from intermediate locations precludes the determination of accurate geographical boundaries and the extent of the hybrid zone. Novel approaches allow the delimitation of species in the presence of gene flow [67]; however, these require gene trees as input, which is unfeasible using SNP data. Therefore, although we cannot confidently assert that these populations represent two valid species under the Biological Species Concept (BSC), they do represent two well-defined entities that match the Phylogenetic Species Concept (PSC)—the most commonly used criterion to delimit species in ichthyology [3]. Given that similar controversies exist about the specific taxonomic status of other living and extinct organisms (e.g. Neanderthal and Denisovan hominids [68]), debating whether these lineages fail to match particular aspects of species concepts can be a difficult and possibly futile endeavour. As Darwin notes: ‘.. .to discuss if they are rightly called species or varieties, before any definition of these terms has been generally accepted, is vainly to beat the air’ [69, p. 49].</w:t>
      </w:r>
    </w:p>
    <w:p w14:paraId="3A87D1F1" w14:textId="714458DF" w:rsidR="00004FB3" w:rsidRPr="008F70CB" w:rsidRDefault="00004FB3" w:rsidP="00004FB3">
      <w:pPr>
        <w:jc w:val="both"/>
        <w:rPr>
          <w:rFonts w:asciiTheme="majorBidi" w:hAnsiTheme="majorBidi" w:cstheme="majorBidi"/>
          <w:b/>
          <w:bCs/>
          <w:sz w:val="28"/>
          <w:szCs w:val="28"/>
        </w:rPr>
      </w:pPr>
      <w:r>
        <w:rPr>
          <w:rFonts w:asciiTheme="majorBidi" w:hAnsiTheme="majorBidi" w:cstheme="majorBidi"/>
          <w:b/>
          <w:bCs/>
          <w:sz w:val="28"/>
          <w:szCs w:val="28"/>
        </w:rPr>
        <w:t>Conservation Implications</w:t>
      </w:r>
    </w:p>
    <w:p w14:paraId="48093A44" w14:textId="5E2F7227" w:rsidR="00E751BF" w:rsidRDefault="00004FB3" w:rsidP="00C13D6D">
      <w:pPr>
        <w:ind w:firstLine="720"/>
        <w:jc w:val="both"/>
        <w:rPr>
          <w:rFonts w:asciiTheme="majorBidi" w:hAnsiTheme="majorBidi" w:cstheme="majorBidi"/>
          <w:sz w:val="24"/>
          <w:szCs w:val="24"/>
        </w:rPr>
      </w:pPr>
      <w:r w:rsidRPr="00004FB3">
        <w:rPr>
          <w:rFonts w:asciiTheme="majorBidi" w:hAnsiTheme="majorBidi" w:cstheme="majorBidi"/>
          <w:sz w:val="24"/>
          <w:szCs w:val="24"/>
        </w:rPr>
        <w:t xml:space="preserve">Red snappers represent some of the most economically important commercial and recreational fisheries in the Western Atlantic (WA), generating estimated annual revenues of over USD $27 million in the US alone [70]. Such fishing pressures have had an adverse effect on their populations, leading to heavily overfished stocks [71]. Delimitation of their species boundaries is imperative as the IUCN only lists the northern red snapper as Vulnerable (the southern red snapper has not been evaluated) [28]. Generally, an accurate evaluation of species—in particular commercially important and threatened species—represents the basic scientific knowledge required to determine conservation status that is assessed by international conservation organizations including the IUCN and the Food and Agriculture Organization of the United Nations (FAO), as natural species do not follow political delimitations. Even though the northern and southern stocks are managed by different legal entities, it is crucial to include genetic information as a baseline for planned stock enhancement [72] in multiple countries. Finally, correct delimitation of species also has implications for the enforcement of seafood mislabeling given that only </w:t>
      </w:r>
      <w:r w:rsidRPr="00004FB3">
        <w:rPr>
          <w:rFonts w:asciiTheme="majorBidi" w:hAnsiTheme="majorBidi" w:cstheme="majorBidi"/>
          <w:i/>
          <w:sz w:val="24"/>
          <w:szCs w:val="24"/>
        </w:rPr>
        <w:t xml:space="preserve">L. campechanus </w:t>
      </w:r>
      <w:r w:rsidRPr="00004FB3">
        <w:rPr>
          <w:rFonts w:asciiTheme="majorBidi" w:hAnsiTheme="majorBidi" w:cstheme="majorBidi"/>
          <w:sz w:val="24"/>
          <w:szCs w:val="24"/>
        </w:rPr>
        <w:t>has been traditionally allowed to use the US market name ‘red snapper’; other species labelled as red snapper, including</w:t>
      </w:r>
      <w:r>
        <w:rPr>
          <w:rFonts w:asciiTheme="majorBidi" w:hAnsiTheme="majorBidi" w:cstheme="majorBidi"/>
          <w:sz w:val="24"/>
          <w:szCs w:val="24"/>
        </w:rPr>
        <w:t xml:space="preserve"> </w:t>
      </w:r>
      <w:r w:rsidRPr="00004FB3">
        <w:rPr>
          <w:rFonts w:asciiTheme="majorBidi" w:hAnsiTheme="majorBidi" w:cstheme="majorBidi"/>
          <w:i/>
          <w:sz w:val="24"/>
          <w:szCs w:val="24"/>
        </w:rPr>
        <w:t>L. purpureus</w:t>
      </w:r>
      <w:r w:rsidRPr="00004FB3">
        <w:rPr>
          <w:rFonts w:asciiTheme="majorBidi" w:hAnsiTheme="majorBidi" w:cstheme="majorBidi"/>
          <w:sz w:val="24"/>
          <w:szCs w:val="24"/>
        </w:rPr>
        <w:t>, are considered misbranded [73].</w:t>
      </w:r>
    </w:p>
    <w:p w14:paraId="55720CAF" w14:textId="77777777" w:rsidR="00E751BF" w:rsidRPr="007A0D36" w:rsidRDefault="00E751BF" w:rsidP="00D900CD">
      <w:pPr>
        <w:ind w:firstLine="720"/>
        <w:jc w:val="both"/>
        <w:rPr>
          <w:rFonts w:asciiTheme="majorBidi" w:hAnsiTheme="majorBidi" w:cstheme="majorBidi"/>
          <w:sz w:val="24"/>
          <w:szCs w:val="24"/>
        </w:rPr>
      </w:pPr>
    </w:p>
    <w:p w14:paraId="6F563838" w14:textId="710CFD4A" w:rsidR="005210FA" w:rsidRDefault="005210FA" w:rsidP="00580472">
      <w:pPr>
        <w:pStyle w:val="ListParagraph"/>
        <w:numPr>
          <w:ilvl w:val="1"/>
          <w:numId w:val="1"/>
        </w:numPr>
        <w:rPr>
          <w:rFonts w:asciiTheme="majorBidi" w:hAnsiTheme="majorBidi" w:cstheme="majorBidi"/>
          <w:b/>
          <w:bCs/>
          <w:sz w:val="32"/>
          <w:szCs w:val="32"/>
        </w:rPr>
      </w:pPr>
      <w:r>
        <w:rPr>
          <w:rFonts w:asciiTheme="majorBidi" w:hAnsiTheme="majorBidi" w:cstheme="majorBidi"/>
          <w:b/>
          <w:bCs/>
          <w:sz w:val="32"/>
          <w:szCs w:val="32"/>
        </w:rPr>
        <w:t>Conclusion</w:t>
      </w:r>
    </w:p>
    <w:p w14:paraId="3FB90FBC" w14:textId="619A9072" w:rsidR="004B4698" w:rsidRDefault="004B4698" w:rsidP="00B3725C">
      <w:pPr>
        <w:jc w:val="both"/>
        <w:rPr>
          <w:rFonts w:asciiTheme="majorBidi" w:hAnsiTheme="majorBidi" w:cstheme="majorBidi"/>
          <w:sz w:val="24"/>
          <w:szCs w:val="24"/>
        </w:rPr>
      </w:pPr>
      <w:r w:rsidRPr="004B4698">
        <w:rPr>
          <w:rFonts w:asciiTheme="majorBidi" w:hAnsiTheme="majorBidi" w:cstheme="majorBidi"/>
          <w:sz w:val="24"/>
          <w:szCs w:val="24"/>
        </w:rPr>
        <w:t>Our genome-wide analyses provided a strong signal of genetic differentiation among the northern and southern red</w:t>
      </w:r>
      <w:r>
        <w:rPr>
          <w:rFonts w:asciiTheme="majorBidi" w:hAnsiTheme="majorBidi" w:cstheme="majorBidi"/>
          <w:sz w:val="24"/>
          <w:szCs w:val="24"/>
        </w:rPr>
        <w:t xml:space="preserve"> snappers in the Western Atlantic, reconciling a long-standing </w:t>
      </w:r>
      <w:r w:rsidRPr="004B4698">
        <w:rPr>
          <w:rFonts w:asciiTheme="majorBidi" w:hAnsiTheme="majorBidi" w:cstheme="majorBidi"/>
          <w:sz w:val="24"/>
          <w:szCs w:val="24"/>
        </w:rPr>
        <w:t xml:space="preserve">conflict of species delimitation between mtDNA and morphology (figure </w:t>
      </w:r>
      <w:r w:rsidR="00230089">
        <w:rPr>
          <w:rFonts w:asciiTheme="majorBidi" w:hAnsiTheme="majorBidi" w:cstheme="majorBidi"/>
          <w:sz w:val="24"/>
          <w:szCs w:val="24"/>
        </w:rPr>
        <w:t>1.</w:t>
      </w:r>
      <w:r w:rsidRPr="004B4698">
        <w:rPr>
          <w:rFonts w:asciiTheme="majorBidi" w:hAnsiTheme="majorBidi" w:cstheme="majorBidi"/>
          <w:sz w:val="24"/>
          <w:szCs w:val="24"/>
        </w:rPr>
        <w:t xml:space="preserve">3). These results highlight the importance </w:t>
      </w:r>
      <w:r w:rsidRPr="004B4698">
        <w:rPr>
          <w:rFonts w:asciiTheme="majorBidi" w:hAnsiTheme="majorBidi" w:cstheme="majorBidi"/>
          <w:sz w:val="24"/>
          <w:szCs w:val="24"/>
        </w:rPr>
        <w:lastRenderedPageBreak/>
        <w:t xml:space="preserve">of using powerful markers for addressing complex species delineation problems, particularly with organisms that rely on accurate recognition of species boundaries to inform their conservation status. We conclude that the two red snappers should be managed as separate taxonomic units. Our findings further emphasize the importance of implementing genomic approaches to settle species delimitation disagreements, where more conventional methods that lack discerning power may lead to the underestimation of biological diversity. These results ultimately align with observations from recent studies [15,16], which recommend that taxonomic decisions should strive to be conservative when based on single locus inferences, as those can be affected by incomplete </w:t>
      </w:r>
      <w:bookmarkStart w:id="0" w:name="Data_accessibility"/>
      <w:bookmarkEnd w:id="0"/>
      <w:r w:rsidRPr="004B4698">
        <w:rPr>
          <w:rFonts w:asciiTheme="majorBidi" w:hAnsiTheme="majorBidi" w:cstheme="majorBidi"/>
          <w:sz w:val="24"/>
          <w:szCs w:val="24"/>
        </w:rPr>
        <w:t>lineage sorting or introgression in recent speciation events.</w:t>
      </w:r>
    </w:p>
    <w:p w14:paraId="355EDD1C" w14:textId="02A6191B" w:rsidR="00C13D6D" w:rsidRDefault="00C13D6D" w:rsidP="00B3725C">
      <w:pPr>
        <w:jc w:val="both"/>
        <w:rPr>
          <w:rFonts w:asciiTheme="majorBidi" w:hAnsiTheme="majorBidi" w:cstheme="majorBidi"/>
          <w:sz w:val="24"/>
          <w:szCs w:val="24"/>
        </w:rPr>
      </w:pPr>
      <w:r w:rsidRPr="00474638">
        <w:rPr>
          <w:rFonts w:asciiTheme="majorBidi" w:hAnsiTheme="majorBidi" w:cstheme="majorBidi"/>
          <w:noProof/>
          <w:sz w:val="24"/>
          <w:szCs w:val="24"/>
        </w:rPr>
        <w:drawing>
          <wp:anchor distT="0" distB="0" distL="114300" distR="114300" simplePos="0" relativeHeight="251666432" behindDoc="0" locked="0" layoutInCell="1" allowOverlap="1" wp14:anchorId="066979C7" wp14:editId="475A0D6E">
            <wp:simplePos x="0" y="0"/>
            <wp:positionH relativeFrom="column">
              <wp:posOffset>0</wp:posOffset>
            </wp:positionH>
            <wp:positionV relativeFrom="paragraph">
              <wp:posOffset>27717</wp:posOffset>
            </wp:positionV>
            <wp:extent cx="5943600" cy="2110105"/>
            <wp:effectExtent l="0" t="0" r="0" b="0"/>
            <wp:wrapNone/>
            <wp:docPr id="798827415" name="Picture 1" descr="A diagram of a fi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27415" name="Picture 1" descr="A diagram of a fish&#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110105"/>
                    </a:xfrm>
                    <a:prstGeom prst="rect">
                      <a:avLst/>
                    </a:prstGeom>
                  </pic:spPr>
                </pic:pic>
              </a:graphicData>
            </a:graphic>
            <wp14:sizeRelH relativeFrom="page">
              <wp14:pctWidth>0</wp14:pctWidth>
            </wp14:sizeRelH>
            <wp14:sizeRelV relativeFrom="page">
              <wp14:pctHeight>0</wp14:pctHeight>
            </wp14:sizeRelV>
          </wp:anchor>
        </w:drawing>
      </w:r>
    </w:p>
    <w:p w14:paraId="4C0FC13C" w14:textId="324FEAD3" w:rsidR="00C13D6D" w:rsidRDefault="00C13D6D" w:rsidP="00B3725C">
      <w:pPr>
        <w:jc w:val="both"/>
        <w:rPr>
          <w:rFonts w:asciiTheme="majorBidi" w:hAnsiTheme="majorBidi" w:cstheme="majorBidi"/>
          <w:sz w:val="24"/>
          <w:szCs w:val="24"/>
        </w:rPr>
      </w:pPr>
    </w:p>
    <w:p w14:paraId="0A2A33C2" w14:textId="4D8F9E8B" w:rsidR="00C13D6D" w:rsidRDefault="00C13D6D" w:rsidP="00B3725C">
      <w:pPr>
        <w:jc w:val="both"/>
        <w:rPr>
          <w:rFonts w:asciiTheme="majorBidi" w:hAnsiTheme="majorBidi" w:cstheme="majorBidi"/>
          <w:sz w:val="24"/>
          <w:szCs w:val="24"/>
        </w:rPr>
      </w:pPr>
    </w:p>
    <w:p w14:paraId="5ECF0281" w14:textId="0C43FEC1" w:rsidR="00C13D6D" w:rsidRDefault="00C13D6D" w:rsidP="00B3725C">
      <w:pPr>
        <w:jc w:val="both"/>
        <w:rPr>
          <w:rFonts w:asciiTheme="majorBidi" w:hAnsiTheme="majorBidi" w:cstheme="majorBidi"/>
          <w:sz w:val="24"/>
          <w:szCs w:val="24"/>
        </w:rPr>
      </w:pPr>
    </w:p>
    <w:p w14:paraId="04D0B7F7" w14:textId="295024F2" w:rsidR="00C13D6D" w:rsidRDefault="00C13D6D" w:rsidP="00B3725C">
      <w:pPr>
        <w:jc w:val="both"/>
        <w:rPr>
          <w:rFonts w:asciiTheme="majorBidi" w:hAnsiTheme="majorBidi" w:cstheme="majorBidi"/>
          <w:sz w:val="24"/>
          <w:szCs w:val="24"/>
        </w:rPr>
      </w:pPr>
    </w:p>
    <w:p w14:paraId="44B093C8" w14:textId="431D1369" w:rsidR="00C13D6D" w:rsidRDefault="00C13D6D" w:rsidP="00B3725C">
      <w:pPr>
        <w:jc w:val="both"/>
        <w:rPr>
          <w:rFonts w:asciiTheme="majorBidi" w:hAnsiTheme="majorBidi" w:cstheme="majorBidi"/>
          <w:sz w:val="24"/>
          <w:szCs w:val="24"/>
        </w:rPr>
      </w:pPr>
    </w:p>
    <w:p w14:paraId="4B3003E3" w14:textId="094D52F9" w:rsidR="00C13D6D" w:rsidRDefault="00C13D6D" w:rsidP="00B3725C">
      <w:pPr>
        <w:jc w:val="both"/>
        <w:rPr>
          <w:rFonts w:asciiTheme="majorBidi" w:hAnsiTheme="majorBidi" w:cstheme="majorBidi"/>
          <w:sz w:val="24"/>
          <w:szCs w:val="24"/>
        </w:rPr>
      </w:pPr>
    </w:p>
    <w:p w14:paraId="2AD98208" w14:textId="30036834" w:rsidR="00C13D6D" w:rsidRDefault="00C13D6D" w:rsidP="00B3725C">
      <w:pPr>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15E6C561" wp14:editId="067C0098">
                <wp:simplePos x="0" y="0"/>
                <wp:positionH relativeFrom="column">
                  <wp:posOffset>57150</wp:posOffset>
                </wp:positionH>
                <wp:positionV relativeFrom="paragraph">
                  <wp:posOffset>99472</wp:posOffset>
                </wp:positionV>
                <wp:extent cx="5805170" cy="516835"/>
                <wp:effectExtent l="0" t="0" r="0" b="4445"/>
                <wp:wrapNone/>
                <wp:docPr id="1314018434" name="Text Box 1"/>
                <wp:cNvGraphicFramePr/>
                <a:graphic xmlns:a="http://schemas.openxmlformats.org/drawingml/2006/main">
                  <a:graphicData uri="http://schemas.microsoft.com/office/word/2010/wordprocessingShape">
                    <wps:wsp>
                      <wps:cNvSpPr txBox="1"/>
                      <wps:spPr>
                        <a:xfrm>
                          <a:off x="0" y="0"/>
                          <a:ext cx="5805170" cy="516835"/>
                        </a:xfrm>
                        <a:prstGeom prst="rect">
                          <a:avLst/>
                        </a:prstGeom>
                        <a:solidFill>
                          <a:schemeClr val="lt1"/>
                        </a:solidFill>
                        <a:ln w="6350">
                          <a:noFill/>
                        </a:ln>
                      </wps:spPr>
                      <wps:txbx>
                        <w:txbxContent>
                          <w:p w14:paraId="55F6B896" w14:textId="1A4D7D27" w:rsidR="00E751BF" w:rsidRPr="00E751BF" w:rsidRDefault="00E751BF" w:rsidP="00E751BF">
                            <w:pPr>
                              <w:widowControl w:val="0"/>
                              <w:autoSpaceDE w:val="0"/>
                              <w:autoSpaceDN w:val="0"/>
                              <w:adjustRightInd w:val="0"/>
                              <w:spacing w:before="120" w:after="120"/>
                              <w:jc w:val="both"/>
                              <w:rPr>
                                <w:rFonts w:ascii="Times New Roman" w:hAnsi="Times New Roman" w:cs="Times New Roman"/>
                                <w:b/>
                                <w:color w:val="000000" w:themeColor="text1"/>
                                <w:sz w:val="20"/>
                                <w:szCs w:val="20"/>
                              </w:rPr>
                            </w:pPr>
                            <w:r w:rsidRPr="00E751BF">
                              <w:rPr>
                                <w:rFonts w:ascii="Times New Roman" w:hAnsi="Times New Roman" w:cs="Times New Roman"/>
                                <w:b/>
                                <w:color w:val="000000" w:themeColor="text1"/>
                                <w:sz w:val="20"/>
                                <w:szCs w:val="20"/>
                              </w:rPr>
                              <w:t xml:space="preserve">Figure </w:t>
                            </w:r>
                            <w:r w:rsidR="00315977">
                              <w:rPr>
                                <w:rFonts w:ascii="Times New Roman" w:hAnsi="Times New Roman" w:cs="Times New Roman"/>
                                <w:b/>
                                <w:color w:val="000000" w:themeColor="text1"/>
                                <w:sz w:val="20"/>
                                <w:szCs w:val="20"/>
                              </w:rPr>
                              <w:t>1.3</w:t>
                            </w:r>
                            <w:r w:rsidRPr="00E751BF">
                              <w:rPr>
                                <w:rFonts w:ascii="Times New Roman" w:hAnsi="Times New Roman" w:cs="Times New Roman"/>
                                <w:b/>
                                <w:color w:val="000000" w:themeColor="text1"/>
                                <w:sz w:val="20"/>
                                <w:szCs w:val="20"/>
                              </w:rPr>
                              <w:t xml:space="preserve"> </w:t>
                            </w:r>
                            <w:r w:rsidRPr="00E751BF">
                              <w:rPr>
                                <w:rFonts w:ascii="Times New Roman" w:hAnsi="Times New Roman" w:cs="Times New Roman"/>
                                <w:bCs/>
                                <w:color w:val="000000" w:themeColor="text1"/>
                                <w:sz w:val="20"/>
                                <w:szCs w:val="20"/>
                              </w:rPr>
                              <w:t>Timeline of the controversial species delimitation of WA red snappers and present resolution using genomic data.</w:t>
                            </w:r>
                          </w:p>
                          <w:p w14:paraId="73B8FF99" w14:textId="5F22D29D" w:rsidR="00E751BF" w:rsidRPr="00667391" w:rsidRDefault="00E751BF" w:rsidP="00E751BF">
                            <w:pPr>
                              <w:widowControl w:val="0"/>
                              <w:autoSpaceDE w:val="0"/>
                              <w:autoSpaceDN w:val="0"/>
                              <w:adjustRightInd w:val="0"/>
                              <w:spacing w:before="120" w:after="120"/>
                              <w:jc w:val="both"/>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6C561" id="_x0000_s1028" type="#_x0000_t202" style="position:absolute;left:0;text-align:left;margin-left:4.5pt;margin-top:7.85pt;width:457.1pt;height:4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mXVuMQIAAFsEAAAOAAAAZHJzL2Uyb0RvYy54bWysVE1v2zAMvQ/YfxB0X2ynSZoZ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" fillcolor="white [3201]" stroked="f" strokeweight=".5pt">
                <v:textbox>
                  <w:txbxContent>
                    <w:p w14:paraId="55F6B896" w14:textId="1A4D7D27" w:rsidR="00E751BF" w:rsidRPr="00E751BF" w:rsidRDefault="00E751BF" w:rsidP="00E751BF">
                      <w:pPr>
                        <w:widowControl w:val="0"/>
                        <w:autoSpaceDE w:val="0"/>
                        <w:autoSpaceDN w:val="0"/>
                        <w:adjustRightInd w:val="0"/>
                        <w:spacing w:before="120" w:after="120"/>
                        <w:jc w:val="both"/>
                        <w:rPr>
                          <w:rFonts w:ascii="Times New Roman" w:hAnsi="Times New Roman" w:cs="Times New Roman"/>
                          <w:b/>
                          <w:color w:val="000000" w:themeColor="text1"/>
                          <w:sz w:val="20"/>
                          <w:szCs w:val="20"/>
                        </w:rPr>
                      </w:pPr>
                      <w:r w:rsidRPr="00E751BF">
                        <w:rPr>
                          <w:rFonts w:ascii="Times New Roman" w:hAnsi="Times New Roman" w:cs="Times New Roman"/>
                          <w:b/>
                          <w:color w:val="000000" w:themeColor="text1"/>
                          <w:sz w:val="20"/>
                          <w:szCs w:val="20"/>
                        </w:rPr>
                        <w:t xml:space="preserve">Figure </w:t>
                      </w:r>
                      <w:r w:rsidR="00315977">
                        <w:rPr>
                          <w:rFonts w:ascii="Times New Roman" w:hAnsi="Times New Roman" w:cs="Times New Roman"/>
                          <w:b/>
                          <w:color w:val="000000" w:themeColor="text1"/>
                          <w:sz w:val="20"/>
                          <w:szCs w:val="20"/>
                        </w:rPr>
                        <w:t>1.3</w:t>
                      </w:r>
                      <w:r w:rsidRPr="00E751BF">
                        <w:rPr>
                          <w:rFonts w:ascii="Times New Roman" w:hAnsi="Times New Roman" w:cs="Times New Roman"/>
                          <w:b/>
                          <w:color w:val="000000" w:themeColor="text1"/>
                          <w:sz w:val="20"/>
                          <w:szCs w:val="20"/>
                        </w:rPr>
                        <w:t xml:space="preserve"> </w:t>
                      </w:r>
                      <w:r w:rsidRPr="00E751BF">
                        <w:rPr>
                          <w:rFonts w:ascii="Times New Roman" w:hAnsi="Times New Roman" w:cs="Times New Roman"/>
                          <w:bCs/>
                          <w:color w:val="000000" w:themeColor="text1"/>
                          <w:sz w:val="20"/>
                          <w:szCs w:val="20"/>
                        </w:rPr>
                        <w:t>Timeline of the controversial species delimitation of WA red snappers and present resolution using genomic data.</w:t>
                      </w:r>
                    </w:p>
                    <w:p w14:paraId="73B8FF99" w14:textId="5F22D29D" w:rsidR="00E751BF" w:rsidRPr="00667391" w:rsidRDefault="00E751BF" w:rsidP="00E751BF">
                      <w:pPr>
                        <w:widowControl w:val="0"/>
                        <w:autoSpaceDE w:val="0"/>
                        <w:autoSpaceDN w:val="0"/>
                        <w:adjustRightInd w:val="0"/>
                        <w:spacing w:before="120" w:after="120"/>
                        <w:jc w:val="both"/>
                        <w:rPr>
                          <w:rFonts w:ascii="Times New Roman" w:hAnsi="Times New Roman" w:cs="Times New Roman"/>
                          <w:color w:val="000000" w:themeColor="text1"/>
                          <w:sz w:val="20"/>
                          <w:szCs w:val="20"/>
                        </w:rPr>
                      </w:pPr>
                    </w:p>
                  </w:txbxContent>
                </v:textbox>
              </v:shape>
            </w:pict>
          </mc:Fallback>
        </mc:AlternateContent>
      </w:r>
    </w:p>
    <w:p w14:paraId="3A79D9D4" w14:textId="5D1C31D1" w:rsidR="00C13D6D" w:rsidRDefault="00C13D6D" w:rsidP="00B3725C">
      <w:pPr>
        <w:jc w:val="both"/>
        <w:rPr>
          <w:rFonts w:asciiTheme="majorBidi" w:hAnsiTheme="majorBidi" w:cstheme="majorBidi"/>
          <w:sz w:val="24"/>
          <w:szCs w:val="24"/>
        </w:rPr>
      </w:pPr>
    </w:p>
    <w:p w14:paraId="799653A9" w14:textId="399D6F3F" w:rsidR="004B4698" w:rsidRPr="004B4698" w:rsidRDefault="004B4698" w:rsidP="004B4698">
      <w:pPr>
        <w:rPr>
          <w:rFonts w:asciiTheme="majorBidi" w:hAnsiTheme="majorBidi" w:cstheme="majorBidi"/>
          <w:sz w:val="24"/>
          <w:szCs w:val="24"/>
        </w:rPr>
      </w:pPr>
    </w:p>
    <w:p w14:paraId="21D48D93" w14:textId="6F9093D5" w:rsidR="005210FA" w:rsidRDefault="005210FA" w:rsidP="00580472">
      <w:pPr>
        <w:pStyle w:val="ListParagraph"/>
        <w:numPr>
          <w:ilvl w:val="1"/>
          <w:numId w:val="1"/>
        </w:numPr>
        <w:rPr>
          <w:rFonts w:asciiTheme="majorBidi" w:hAnsiTheme="majorBidi" w:cstheme="majorBidi"/>
          <w:b/>
          <w:bCs/>
          <w:sz w:val="32"/>
          <w:szCs w:val="32"/>
        </w:rPr>
      </w:pPr>
      <w:r>
        <w:rPr>
          <w:rFonts w:asciiTheme="majorBidi" w:hAnsiTheme="majorBidi" w:cstheme="majorBidi"/>
          <w:b/>
          <w:bCs/>
          <w:sz w:val="32"/>
          <w:szCs w:val="32"/>
        </w:rPr>
        <w:t>References</w:t>
      </w:r>
    </w:p>
    <w:p w14:paraId="11661A8D" w14:textId="00D95C8B"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1.</w:t>
      </w:r>
      <w:r w:rsidRPr="006968D1">
        <w:rPr>
          <w:rFonts w:ascii="Times New Roman" w:eastAsia="Times New Roman" w:hAnsi="Times New Roman" w:cs="Times New Roman"/>
          <w:noProof/>
          <w:color w:val="000000" w:themeColor="text1"/>
          <w:sz w:val="24"/>
          <w:szCs w:val="24"/>
        </w:rPr>
        <w:tab/>
        <w:t xml:space="preserve">Thielsch A, Knell A, Mohammadyari A, Petrusek A, Schwenk K. 2017 Divergent clades or cryptic species ? Mito-nuclear discordance in a </w:t>
      </w:r>
      <w:r w:rsidRPr="004F0DA1">
        <w:rPr>
          <w:rFonts w:ascii="Times New Roman" w:eastAsia="Times New Roman" w:hAnsi="Times New Roman" w:cs="Times New Roman"/>
          <w:i/>
          <w:iCs/>
          <w:noProof/>
          <w:color w:val="000000" w:themeColor="text1"/>
          <w:sz w:val="24"/>
          <w:szCs w:val="24"/>
        </w:rPr>
        <w:t>Daphnia</w:t>
      </w:r>
      <w:r w:rsidRPr="006968D1">
        <w:rPr>
          <w:rFonts w:ascii="Times New Roman" w:eastAsia="Times New Roman" w:hAnsi="Times New Roman" w:cs="Times New Roman"/>
          <w:noProof/>
          <w:color w:val="000000" w:themeColor="text1"/>
          <w:sz w:val="24"/>
          <w:szCs w:val="24"/>
        </w:rPr>
        <w:t xml:space="preserve"> species complex. </w:t>
      </w:r>
      <w:r w:rsidRPr="006968D1">
        <w:rPr>
          <w:rFonts w:ascii="Times New Roman" w:eastAsia="Times New Roman" w:hAnsi="Times New Roman" w:cs="Times New Roman"/>
          <w:i/>
          <w:iCs/>
          <w:noProof/>
          <w:color w:val="000000" w:themeColor="text1"/>
          <w:sz w:val="24"/>
          <w:szCs w:val="24"/>
        </w:rPr>
        <w:t>BMC Evol.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17</w:t>
      </w:r>
      <w:r w:rsidRPr="006968D1">
        <w:rPr>
          <w:rFonts w:ascii="Times New Roman" w:eastAsia="Times New Roman" w:hAnsi="Times New Roman" w:cs="Times New Roman"/>
          <w:noProof/>
          <w:color w:val="000000" w:themeColor="text1"/>
          <w:sz w:val="24"/>
          <w:szCs w:val="24"/>
        </w:rPr>
        <w:t>, 1–9. (doi:10.1186/s12862-017-1070-4)</w:t>
      </w:r>
    </w:p>
    <w:p w14:paraId="1515438E"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w:t>
      </w:r>
      <w:r w:rsidRPr="006968D1">
        <w:rPr>
          <w:rFonts w:ascii="Times New Roman" w:eastAsia="Times New Roman" w:hAnsi="Times New Roman" w:cs="Times New Roman"/>
          <w:noProof/>
          <w:color w:val="000000" w:themeColor="text1"/>
          <w:sz w:val="24"/>
          <w:szCs w:val="24"/>
        </w:rPr>
        <w:tab/>
        <w:t xml:space="preserve">Bickford D, Lohman DJ, Sodhi NS, Ng PKL, Meier R, Winker K, Ingram KK, Das I. 2007 Cryptic species as a window on diversity and conservation. </w:t>
      </w:r>
      <w:r w:rsidRPr="006968D1">
        <w:rPr>
          <w:rFonts w:ascii="Times New Roman" w:eastAsia="Times New Roman" w:hAnsi="Times New Roman" w:cs="Times New Roman"/>
          <w:i/>
          <w:iCs/>
          <w:noProof/>
          <w:color w:val="000000" w:themeColor="text1"/>
          <w:sz w:val="24"/>
          <w:szCs w:val="24"/>
        </w:rPr>
        <w:t>Trends Ecol. Evol.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22</w:t>
      </w:r>
      <w:r w:rsidRPr="006968D1">
        <w:rPr>
          <w:rFonts w:ascii="Times New Roman" w:eastAsia="Times New Roman" w:hAnsi="Times New Roman" w:cs="Times New Roman"/>
          <w:noProof/>
          <w:color w:val="000000" w:themeColor="text1"/>
          <w:sz w:val="24"/>
          <w:szCs w:val="24"/>
        </w:rPr>
        <w:t>, 148–155. (doi:10.1016/j.tree.2006.11.004)</w:t>
      </w:r>
    </w:p>
    <w:p w14:paraId="6BCD5821"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3.</w:t>
      </w:r>
      <w:r w:rsidRPr="006968D1">
        <w:rPr>
          <w:rFonts w:ascii="Times New Roman" w:eastAsia="Times New Roman" w:hAnsi="Times New Roman" w:cs="Times New Roman"/>
          <w:noProof/>
          <w:color w:val="000000" w:themeColor="text1"/>
          <w:sz w:val="24"/>
          <w:szCs w:val="24"/>
        </w:rPr>
        <w:tab/>
        <w:t xml:space="preserve">Victor BC. 2015 How many coral reef fish species are there? Cryptic diversity and the new molecular taxonomy. In </w:t>
      </w:r>
      <w:r w:rsidRPr="006968D1">
        <w:rPr>
          <w:rFonts w:ascii="Times New Roman" w:eastAsia="Times New Roman" w:hAnsi="Times New Roman" w:cs="Times New Roman"/>
          <w:i/>
          <w:iCs/>
          <w:noProof/>
          <w:color w:val="000000" w:themeColor="text1"/>
          <w:sz w:val="24"/>
          <w:szCs w:val="24"/>
        </w:rPr>
        <w:t>Ecology of Fishes on Coral Reefs: The Functioning of an Ecosystem in a Changing World. Cambridge University Press, Cambridge, United Kingdom</w:t>
      </w:r>
      <w:r w:rsidRPr="006968D1">
        <w:rPr>
          <w:rFonts w:ascii="Times New Roman" w:eastAsia="Times New Roman" w:hAnsi="Times New Roman" w:cs="Times New Roman"/>
          <w:noProof/>
          <w:color w:val="000000" w:themeColor="text1"/>
          <w:sz w:val="24"/>
          <w:szCs w:val="24"/>
        </w:rPr>
        <w:t>, pp. 76–87.</w:t>
      </w:r>
    </w:p>
    <w:p w14:paraId="3FBAD702" w14:textId="312DAA32"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w:t>
      </w:r>
      <w:r w:rsidRPr="006968D1">
        <w:rPr>
          <w:rFonts w:ascii="Times New Roman" w:eastAsia="Times New Roman" w:hAnsi="Times New Roman" w:cs="Times New Roman"/>
          <w:noProof/>
          <w:color w:val="000000" w:themeColor="text1"/>
          <w:sz w:val="24"/>
          <w:szCs w:val="24"/>
        </w:rPr>
        <w:tab/>
        <w:t xml:space="preserve">Pinzo JH. 2011 Species delimitation of common reef corals in the genus </w:t>
      </w:r>
      <w:r w:rsidRPr="004F0DA1">
        <w:rPr>
          <w:rFonts w:ascii="Times New Roman" w:eastAsia="Times New Roman" w:hAnsi="Times New Roman" w:cs="Times New Roman"/>
          <w:i/>
          <w:iCs/>
          <w:noProof/>
          <w:color w:val="000000" w:themeColor="text1"/>
          <w:sz w:val="24"/>
          <w:szCs w:val="24"/>
        </w:rPr>
        <w:t>Pocillopora</w:t>
      </w:r>
      <w:r w:rsidRPr="006968D1">
        <w:rPr>
          <w:rFonts w:ascii="Times New Roman" w:eastAsia="Times New Roman" w:hAnsi="Times New Roman" w:cs="Times New Roman"/>
          <w:noProof/>
          <w:color w:val="000000" w:themeColor="text1"/>
          <w:sz w:val="24"/>
          <w:szCs w:val="24"/>
        </w:rPr>
        <w:t xml:space="preserve"> using nucleotide sequence phylogenies , population genetics and symbiosis ecology. </w:t>
      </w:r>
      <w:r w:rsidR="004F0DA1" w:rsidRPr="004F0DA1">
        <w:rPr>
          <w:rFonts w:ascii="Times New Roman" w:eastAsia="Times New Roman" w:hAnsi="Times New Roman" w:cs="Times New Roman"/>
          <w:i/>
          <w:iCs/>
          <w:noProof/>
          <w:color w:val="000000" w:themeColor="text1"/>
          <w:sz w:val="24"/>
          <w:szCs w:val="24"/>
        </w:rPr>
        <w:t>Mol. Ecol.</w:t>
      </w:r>
      <w:r w:rsidR="004F0DA1">
        <w:rPr>
          <w:rFonts w:ascii="Times New Roman" w:eastAsia="Times New Roman" w:hAnsi="Times New Roman" w:cs="Times New Roman"/>
          <w:noProof/>
          <w:color w:val="000000" w:themeColor="text1"/>
          <w:sz w:val="24"/>
          <w:szCs w:val="24"/>
        </w:rPr>
        <w:t xml:space="preserve"> </w:t>
      </w:r>
      <w:r w:rsidR="004F0DA1" w:rsidRPr="004F0DA1">
        <w:rPr>
          <w:rFonts w:ascii="Times New Roman" w:eastAsia="Times New Roman" w:hAnsi="Times New Roman" w:cs="Times New Roman"/>
          <w:b/>
          <w:bCs/>
          <w:noProof/>
          <w:color w:val="000000" w:themeColor="text1"/>
          <w:sz w:val="24"/>
          <w:szCs w:val="24"/>
        </w:rPr>
        <w:t>20</w:t>
      </w:r>
      <w:r w:rsidRPr="006968D1">
        <w:rPr>
          <w:rFonts w:ascii="Times New Roman" w:eastAsia="Times New Roman" w:hAnsi="Times New Roman" w:cs="Times New Roman"/>
          <w:noProof/>
          <w:color w:val="000000" w:themeColor="text1"/>
          <w:sz w:val="24"/>
          <w:szCs w:val="24"/>
        </w:rPr>
        <w:t>, 311–325. (doi:10.1111/j.1365-294X.2010.04939.x)</w:t>
      </w:r>
    </w:p>
    <w:p w14:paraId="7DD74CA7"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w:t>
      </w:r>
      <w:r w:rsidRPr="006968D1">
        <w:rPr>
          <w:rFonts w:ascii="Times New Roman" w:eastAsia="Times New Roman" w:hAnsi="Times New Roman" w:cs="Times New Roman"/>
          <w:noProof/>
          <w:color w:val="000000" w:themeColor="text1"/>
          <w:sz w:val="24"/>
          <w:szCs w:val="24"/>
        </w:rPr>
        <w:tab/>
        <w:t xml:space="preserve">Balasundaram S V, Engh IB, Skrede I, Kauserud H. 2015 How many DNA markers are needed to reveal cryptic fungal species? </w:t>
      </w:r>
      <w:r w:rsidRPr="006968D1">
        <w:rPr>
          <w:rFonts w:ascii="Times New Roman" w:eastAsia="Times New Roman" w:hAnsi="Times New Roman" w:cs="Times New Roman"/>
          <w:i/>
          <w:iCs/>
          <w:noProof/>
          <w:color w:val="000000" w:themeColor="text1"/>
          <w:sz w:val="24"/>
          <w:szCs w:val="24"/>
        </w:rPr>
        <w:t>Fungal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119</w:t>
      </w:r>
      <w:r w:rsidRPr="006968D1">
        <w:rPr>
          <w:rFonts w:ascii="Times New Roman" w:eastAsia="Times New Roman" w:hAnsi="Times New Roman" w:cs="Times New Roman"/>
          <w:noProof/>
          <w:color w:val="000000" w:themeColor="text1"/>
          <w:sz w:val="24"/>
          <w:szCs w:val="24"/>
        </w:rPr>
        <w:t xml:space="preserve">, 940–945. </w:t>
      </w:r>
      <w:r w:rsidRPr="006968D1">
        <w:rPr>
          <w:rFonts w:ascii="Times New Roman" w:eastAsia="Times New Roman" w:hAnsi="Times New Roman" w:cs="Times New Roman"/>
          <w:noProof/>
          <w:color w:val="000000" w:themeColor="text1"/>
          <w:sz w:val="24"/>
          <w:szCs w:val="24"/>
        </w:rPr>
        <w:lastRenderedPageBreak/>
        <w:t>(doi:10.1016/j.funbio.2015.07.006)</w:t>
      </w:r>
    </w:p>
    <w:p w14:paraId="47A49635"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6.</w:t>
      </w:r>
      <w:r w:rsidRPr="006968D1">
        <w:rPr>
          <w:rFonts w:ascii="Times New Roman" w:eastAsia="Times New Roman" w:hAnsi="Times New Roman" w:cs="Times New Roman"/>
          <w:noProof/>
          <w:color w:val="000000" w:themeColor="text1"/>
          <w:sz w:val="24"/>
          <w:szCs w:val="24"/>
        </w:rPr>
        <w:tab/>
        <w:t xml:space="preserve">Fennessy J, Bidon T, Reuss F, Kumar V, Elkan P, Nilsson MA, Vamberger M, Fritz U, Janke A. 2016 Multi-locus Analyses Reveal Four Giraffe Species Instead of One. </w:t>
      </w:r>
      <w:r w:rsidRPr="006968D1">
        <w:rPr>
          <w:rFonts w:ascii="Times New Roman" w:eastAsia="Times New Roman" w:hAnsi="Times New Roman" w:cs="Times New Roman"/>
          <w:i/>
          <w:iCs/>
          <w:noProof/>
          <w:color w:val="000000" w:themeColor="text1"/>
          <w:sz w:val="24"/>
          <w:szCs w:val="24"/>
        </w:rPr>
        <w:t>Curr.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26</w:t>
      </w:r>
      <w:r w:rsidRPr="006968D1">
        <w:rPr>
          <w:rFonts w:ascii="Times New Roman" w:eastAsia="Times New Roman" w:hAnsi="Times New Roman" w:cs="Times New Roman"/>
          <w:noProof/>
          <w:color w:val="000000" w:themeColor="text1"/>
          <w:sz w:val="24"/>
          <w:szCs w:val="24"/>
        </w:rPr>
        <w:t>, 2543–2549. (doi:10.1016/j.cub.2016.07.036)</w:t>
      </w:r>
    </w:p>
    <w:p w14:paraId="10234CB1"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7.</w:t>
      </w:r>
      <w:r w:rsidRPr="006968D1">
        <w:rPr>
          <w:rFonts w:ascii="Times New Roman" w:eastAsia="Times New Roman" w:hAnsi="Times New Roman" w:cs="Times New Roman"/>
          <w:noProof/>
          <w:color w:val="000000" w:themeColor="text1"/>
          <w:sz w:val="24"/>
          <w:szCs w:val="24"/>
        </w:rPr>
        <w:tab/>
        <w:t xml:space="preserve">Suchan T, Espíndola A, Rutschmann S, Emerson BC, Gori K, Dessimoz C, Arrigo N, Ronikier M, Alvarez N. 2017 Assessing the potential of RAD-sequencing to resolve phylogenetic relationships within species radiations: The fly genus </w:t>
      </w:r>
      <w:r w:rsidRPr="004F0DA1">
        <w:rPr>
          <w:rFonts w:ascii="Times New Roman" w:eastAsia="Times New Roman" w:hAnsi="Times New Roman" w:cs="Times New Roman"/>
          <w:i/>
          <w:iCs/>
          <w:noProof/>
          <w:color w:val="000000" w:themeColor="text1"/>
          <w:sz w:val="24"/>
          <w:szCs w:val="24"/>
        </w:rPr>
        <w:t>Chiastocheta</w:t>
      </w:r>
      <w:r w:rsidRPr="006968D1">
        <w:rPr>
          <w:rFonts w:ascii="Times New Roman" w:eastAsia="Times New Roman" w:hAnsi="Times New Roman" w:cs="Times New Roman"/>
          <w:noProof/>
          <w:color w:val="000000" w:themeColor="text1"/>
          <w:sz w:val="24"/>
          <w:szCs w:val="24"/>
        </w:rPr>
        <w:t xml:space="preserve"> (Diptera: Anthomyiidae) as a case study. </w:t>
      </w:r>
      <w:r w:rsidRPr="006968D1">
        <w:rPr>
          <w:rFonts w:ascii="Times New Roman" w:eastAsia="Times New Roman" w:hAnsi="Times New Roman" w:cs="Times New Roman"/>
          <w:i/>
          <w:iCs/>
          <w:noProof/>
          <w:color w:val="000000" w:themeColor="text1"/>
          <w:sz w:val="24"/>
          <w:szCs w:val="24"/>
        </w:rPr>
        <w:t>Mol. Phylogenet. Evol.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114</w:t>
      </w:r>
      <w:r w:rsidRPr="006968D1">
        <w:rPr>
          <w:rFonts w:ascii="Times New Roman" w:eastAsia="Times New Roman" w:hAnsi="Times New Roman" w:cs="Times New Roman"/>
          <w:noProof/>
          <w:color w:val="000000" w:themeColor="text1"/>
          <w:sz w:val="24"/>
          <w:szCs w:val="24"/>
        </w:rPr>
        <w:t>, 189–198. (doi:10.1016/j.ympev.2017.06.012)</w:t>
      </w:r>
    </w:p>
    <w:p w14:paraId="3541E92F"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8.</w:t>
      </w:r>
      <w:r w:rsidRPr="006968D1">
        <w:rPr>
          <w:rFonts w:ascii="Times New Roman" w:eastAsia="Times New Roman" w:hAnsi="Times New Roman" w:cs="Times New Roman"/>
          <w:noProof/>
          <w:color w:val="000000" w:themeColor="text1"/>
          <w:sz w:val="24"/>
          <w:szCs w:val="24"/>
        </w:rPr>
        <w:tab/>
        <w:t xml:space="preserve">Funk DJ, Omland KE. 2003 Species-Level Paraphyly and Polyphyly: Frequency, Causes, and Consequences, with Insights from Animal Mitochondrial DNA. </w:t>
      </w:r>
      <w:r w:rsidRPr="006968D1">
        <w:rPr>
          <w:rFonts w:ascii="Times New Roman" w:eastAsia="Times New Roman" w:hAnsi="Times New Roman" w:cs="Times New Roman"/>
          <w:i/>
          <w:iCs/>
          <w:noProof/>
          <w:color w:val="000000" w:themeColor="text1"/>
          <w:sz w:val="24"/>
          <w:szCs w:val="24"/>
        </w:rPr>
        <w:t>Annu. Rev. Ecol. Evol. Syst.</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34</w:t>
      </w:r>
      <w:r w:rsidRPr="006968D1">
        <w:rPr>
          <w:rFonts w:ascii="Times New Roman" w:eastAsia="Times New Roman" w:hAnsi="Times New Roman" w:cs="Times New Roman"/>
          <w:noProof/>
          <w:color w:val="000000" w:themeColor="text1"/>
          <w:sz w:val="24"/>
          <w:szCs w:val="24"/>
        </w:rPr>
        <w:t>, 397–423. (doi:10.1146/annurev.ecolsys.34.011802.132421)</w:t>
      </w:r>
    </w:p>
    <w:p w14:paraId="3C9B8378"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9.</w:t>
      </w:r>
      <w:r w:rsidRPr="006968D1">
        <w:rPr>
          <w:rFonts w:ascii="Times New Roman" w:eastAsia="Times New Roman" w:hAnsi="Times New Roman" w:cs="Times New Roman"/>
          <w:noProof/>
          <w:color w:val="000000" w:themeColor="text1"/>
          <w:sz w:val="24"/>
          <w:szCs w:val="24"/>
        </w:rPr>
        <w:tab/>
        <w:t xml:space="preserve">Mutanen M </w:t>
      </w:r>
      <w:r w:rsidRPr="006968D1">
        <w:rPr>
          <w:rFonts w:ascii="Times New Roman" w:eastAsia="Times New Roman" w:hAnsi="Times New Roman" w:cs="Times New Roman"/>
          <w:i/>
          <w:iCs/>
          <w:noProof/>
          <w:color w:val="000000" w:themeColor="text1"/>
          <w:sz w:val="24"/>
          <w:szCs w:val="24"/>
        </w:rPr>
        <w:t>et al.</w:t>
      </w:r>
      <w:r w:rsidRPr="006968D1">
        <w:rPr>
          <w:rFonts w:ascii="Times New Roman" w:eastAsia="Times New Roman" w:hAnsi="Times New Roman" w:cs="Times New Roman"/>
          <w:noProof/>
          <w:color w:val="000000" w:themeColor="text1"/>
          <w:sz w:val="24"/>
          <w:szCs w:val="24"/>
        </w:rPr>
        <w:t xml:space="preserve"> 2016 Species-level para- and polyphyly in DNA barcode gene trees: Strong operational bias in European Lepidoptera. </w:t>
      </w:r>
      <w:r w:rsidRPr="006968D1">
        <w:rPr>
          <w:rFonts w:ascii="Times New Roman" w:eastAsia="Times New Roman" w:hAnsi="Times New Roman" w:cs="Times New Roman"/>
          <w:i/>
          <w:iCs/>
          <w:noProof/>
          <w:color w:val="000000" w:themeColor="text1"/>
          <w:sz w:val="24"/>
          <w:szCs w:val="24"/>
        </w:rPr>
        <w:t>Syst.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65</w:t>
      </w:r>
      <w:r w:rsidRPr="006968D1">
        <w:rPr>
          <w:rFonts w:ascii="Times New Roman" w:eastAsia="Times New Roman" w:hAnsi="Times New Roman" w:cs="Times New Roman"/>
          <w:noProof/>
          <w:color w:val="000000" w:themeColor="text1"/>
          <w:sz w:val="24"/>
          <w:szCs w:val="24"/>
        </w:rPr>
        <w:t>, 1024–1040. (doi:10.1093/sysbio/syw044)</w:t>
      </w:r>
    </w:p>
    <w:p w14:paraId="350F72CD"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10.</w:t>
      </w:r>
      <w:r w:rsidRPr="006968D1">
        <w:rPr>
          <w:rFonts w:ascii="Times New Roman" w:eastAsia="Times New Roman" w:hAnsi="Times New Roman" w:cs="Times New Roman"/>
          <w:noProof/>
          <w:color w:val="000000" w:themeColor="text1"/>
          <w:sz w:val="24"/>
          <w:szCs w:val="24"/>
        </w:rPr>
        <w:tab/>
        <w:t xml:space="preserve">Spinks PQ, Thomson RC, Shaffer BH. 2014 The advantages of going large : genome-wide SNPs clarify the complex population history and systematics of the threatened western pond turtle. </w:t>
      </w:r>
      <w:r w:rsidRPr="006968D1">
        <w:rPr>
          <w:rFonts w:ascii="Times New Roman" w:eastAsia="Times New Roman" w:hAnsi="Times New Roman" w:cs="Times New Roman"/>
          <w:i/>
          <w:iCs/>
          <w:noProof/>
          <w:color w:val="000000" w:themeColor="text1"/>
          <w:sz w:val="24"/>
          <w:szCs w:val="24"/>
        </w:rPr>
        <w:t>Mol. Ecol.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23</w:t>
      </w:r>
      <w:r w:rsidRPr="006968D1">
        <w:rPr>
          <w:rFonts w:ascii="Times New Roman" w:eastAsia="Times New Roman" w:hAnsi="Times New Roman" w:cs="Times New Roman"/>
          <w:noProof/>
          <w:color w:val="000000" w:themeColor="text1"/>
          <w:sz w:val="24"/>
          <w:szCs w:val="24"/>
        </w:rPr>
        <w:t>, 2228–2241. (doi:10.1111/mec.12736)</w:t>
      </w:r>
    </w:p>
    <w:p w14:paraId="2CB40501"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11.</w:t>
      </w:r>
      <w:r w:rsidRPr="006968D1">
        <w:rPr>
          <w:rFonts w:ascii="Times New Roman" w:eastAsia="Times New Roman" w:hAnsi="Times New Roman" w:cs="Times New Roman"/>
          <w:noProof/>
          <w:color w:val="000000" w:themeColor="text1"/>
          <w:sz w:val="24"/>
          <w:szCs w:val="24"/>
        </w:rPr>
        <w:tab/>
        <w:t xml:space="preserve">Martin SH, Belleghem SM Van. 2017 Exploring Evolutionary Relationships Across the. </w:t>
      </w:r>
      <w:r w:rsidRPr="006968D1">
        <w:rPr>
          <w:rFonts w:ascii="Times New Roman" w:eastAsia="Times New Roman" w:hAnsi="Times New Roman" w:cs="Times New Roman"/>
          <w:i/>
          <w:iCs/>
          <w:noProof/>
          <w:color w:val="000000" w:themeColor="text1"/>
          <w:sz w:val="24"/>
          <w:szCs w:val="24"/>
        </w:rPr>
        <w:t>Genetics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206</w:t>
      </w:r>
      <w:r w:rsidRPr="006968D1">
        <w:rPr>
          <w:rFonts w:ascii="Times New Roman" w:eastAsia="Times New Roman" w:hAnsi="Times New Roman" w:cs="Times New Roman"/>
          <w:noProof/>
          <w:color w:val="000000" w:themeColor="text1"/>
          <w:sz w:val="24"/>
          <w:szCs w:val="24"/>
        </w:rPr>
        <w:t>, 429–438. (doi:10.1534/genetics.116.194720/-/DC1.1)</w:t>
      </w:r>
    </w:p>
    <w:p w14:paraId="1130CBBC"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12.</w:t>
      </w:r>
      <w:r w:rsidRPr="006968D1">
        <w:rPr>
          <w:rFonts w:ascii="Times New Roman" w:eastAsia="Times New Roman" w:hAnsi="Times New Roman" w:cs="Times New Roman"/>
          <w:noProof/>
          <w:color w:val="000000" w:themeColor="text1"/>
          <w:sz w:val="24"/>
          <w:szCs w:val="24"/>
        </w:rPr>
        <w:tab/>
        <w:t xml:space="preserve">Toffoli D, Hrbek T, de Araújo MLG, de Almeida MP, Charvet-Almeida P, Farias IP. 2008 A test of the utility of DNA barcoding in the radiation of the freshwater stingray genus </w:t>
      </w:r>
      <w:r w:rsidRPr="004F0DA1">
        <w:rPr>
          <w:rFonts w:ascii="Times New Roman" w:eastAsia="Times New Roman" w:hAnsi="Times New Roman" w:cs="Times New Roman"/>
          <w:i/>
          <w:iCs/>
          <w:noProof/>
          <w:color w:val="000000" w:themeColor="text1"/>
          <w:sz w:val="24"/>
          <w:szCs w:val="24"/>
        </w:rPr>
        <w:t>Potamotrygon</w:t>
      </w:r>
      <w:r w:rsidRPr="006968D1">
        <w:rPr>
          <w:rFonts w:ascii="Times New Roman" w:eastAsia="Times New Roman" w:hAnsi="Times New Roman" w:cs="Times New Roman"/>
          <w:noProof/>
          <w:color w:val="000000" w:themeColor="text1"/>
          <w:sz w:val="24"/>
          <w:szCs w:val="24"/>
        </w:rPr>
        <w:t xml:space="preserve"> (Potamotrygonidae, Myliobatiformes). </w:t>
      </w:r>
      <w:r w:rsidRPr="006968D1">
        <w:rPr>
          <w:rFonts w:ascii="Times New Roman" w:eastAsia="Times New Roman" w:hAnsi="Times New Roman" w:cs="Times New Roman"/>
          <w:i/>
          <w:iCs/>
          <w:noProof/>
          <w:color w:val="000000" w:themeColor="text1"/>
          <w:sz w:val="24"/>
          <w:szCs w:val="24"/>
        </w:rPr>
        <w:t>Genet. Mol.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31</w:t>
      </w:r>
      <w:r w:rsidRPr="006968D1">
        <w:rPr>
          <w:rFonts w:ascii="Times New Roman" w:eastAsia="Times New Roman" w:hAnsi="Times New Roman" w:cs="Times New Roman"/>
          <w:noProof/>
          <w:color w:val="000000" w:themeColor="text1"/>
          <w:sz w:val="24"/>
          <w:szCs w:val="24"/>
        </w:rPr>
        <w:t>, 324–336. (doi:10.1590/S1415-47572008000200028)</w:t>
      </w:r>
    </w:p>
    <w:p w14:paraId="1804B302" w14:textId="44351AA8"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13.</w:t>
      </w:r>
      <w:r w:rsidRPr="006968D1">
        <w:rPr>
          <w:rFonts w:ascii="Times New Roman" w:eastAsia="Times New Roman" w:hAnsi="Times New Roman" w:cs="Times New Roman"/>
          <w:noProof/>
          <w:color w:val="000000" w:themeColor="text1"/>
          <w:sz w:val="24"/>
          <w:szCs w:val="24"/>
        </w:rPr>
        <w:tab/>
        <w:t>Roberts MA, Schwartz TS, Karl SA, August S. 2004 Global Population Genetic Structure and Male-Mediated Gene Flow in the Green Sea Turtle (</w:t>
      </w:r>
      <w:r w:rsidRPr="004F0DA1">
        <w:rPr>
          <w:rFonts w:ascii="Times New Roman" w:eastAsia="Times New Roman" w:hAnsi="Times New Roman" w:cs="Times New Roman"/>
          <w:i/>
          <w:iCs/>
          <w:noProof/>
          <w:color w:val="000000" w:themeColor="text1"/>
          <w:sz w:val="24"/>
          <w:szCs w:val="24"/>
        </w:rPr>
        <w:t>Chelonia mydas</w:t>
      </w:r>
      <w:r w:rsidRPr="006968D1">
        <w:rPr>
          <w:rFonts w:ascii="Times New Roman" w:eastAsia="Times New Roman" w:hAnsi="Times New Roman" w:cs="Times New Roman"/>
          <w:noProof/>
          <w:color w:val="000000" w:themeColor="text1"/>
          <w:sz w:val="24"/>
          <w:szCs w:val="24"/>
        </w:rPr>
        <w:t xml:space="preserve">): Analysis of Microsatellite Loci. </w:t>
      </w:r>
      <w:r w:rsidR="004F0DA1" w:rsidRPr="006968D1">
        <w:rPr>
          <w:rFonts w:ascii="Times New Roman" w:eastAsia="Times New Roman" w:hAnsi="Times New Roman" w:cs="Times New Roman"/>
          <w:i/>
          <w:iCs/>
          <w:noProof/>
          <w:color w:val="000000" w:themeColor="text1"/>
          <w:sz w:val="24"/>
          <w:szCs w:val="24"/>
        </w:rPr>
        <w:t>Genetics</w:t>
      </w:r>
      <w:r w:rsidR="004F0DA1" w:rsidRPr="006968D1">
        <w:rPr>
          <w:rFonts w:ascii="Times New Roman" w:eastAsia="Times New Roman" w:hAnsi="Times New Roman" w:cs="Times New Roman"/>
          <w:noProof/>
          <w:color w:val="000000" w:themeColor="text1"/>
          <w:sz w:val="24"/>
          <w:szCs w:val="24"/>
        </w:rPr>
        <w:t xml:space="preserve"> </w:t>
      </w:r>
      <w:r w:rsidR="004F0DA1">
        <w:rPr>
          <w:rFonts w:ascii="Times New Roman" w:eastAsia="Times New Roman" w:hAnsi="Times New Roman" w:cs="Times New Roman"/>
          <w:b/>
          <w:bCs/>
          <w:noProof/>
          <w:color w:val="000000" w:themeColor="text1"/>
          <w:sz w:val="24"/>
          <w:szCs w:val="24"/>
        </w:rPr>
        <w:t>16</w:t>
      </w:r>
      <w:r w:rsidR="004F0DA1" w:rsidRPr="006968D1">
        <w:rPr>
          <w:rFonts w:ascii="Times New Roman" w:eastAsia="Times New Roman" w:hAnsi="Times New Roman" w:cs="Times New Roman"/>
          <w:b/>
          <w:bCs/>
          <w:noProof/>
          <w:color w:val="000000" w:themeColor="text1"/>
          <w:sz w:val="24"/>
          <w:szCs w:val="24"/>
        </w:rPr>
        <w:t>6</w:t>
      </w:r>
      <w:r w:rsidR="004F0DA1" w:rsidRPr="006968D1">
        <w:rPr>
          <w:rFonts w:ascii="Times New Roman" w:eastAsia="Times New Roman" w:hAnsi="Times New Roman" w:cs="Times New Roman"/>
          <w:noProof/>
          <w:color w:val="000000" w:themeColor="text1"/>
          <w:sz w:val="24"/>
          <w:szCs w:val="24"/>
        </w:rPr>
        <w:t xml:space="preserve">, </w:t>
      </w:r>
      <w:r w:rsidR="004F0DA1">
        <w:rPr>
          <w:rFonts w:ascii="Times New Roman" w:eastAsia="Times New Roman" w:hAnsi="Times New Roman" w:cs="Times New Roman"/>
          <w:noProof/>
          <w:color w:val="000000" w:themeColor="text1"/>
          <w:sz w:val="24"/>
          <w:szCs w:val="24"/>
        </w:rPr>
        <w:t>1857</w:t>
      </w:r>
      <w:r w:rsidR="004F0DA1" w:rsidRPr="006968D1">
        <w:rPr>
          <w:rFonts w:ascii="Times New Roman" w:eastAsia="Times New Roman" w:hAnsi="Times New Roman" w:cs="Times New Roman"/>
          <w:noProof/>
          <w:color w:val="000000" w:themeColor="text1"/>
          <w:sz w:val="24"/>
          <w:szCs w:val="24"/>
        </w:rPr>
        <w:t>–</w:t>
      </w:r>
      <w:r w:rsidR="004F0DA1">
        <w:rPr>
          <w:rFonts w:ascii="Times New Roman" w:eastAsia="Times New Roman" w:hAnsi="Times New Roman" w:cs="Times New Roman"/>
          <w:noProof/>
          <w:color w:val="000000" w:themeColor="text1"/>
          <w:sz w:val="24"/>
          <w:szCs w:val="24"/>
        </w:rPr>
        <w:t>1870</w:t>
      </w:r>
      <w:r w:rsidR="004F0DA1" w:rsidRPr="006968D1">
        <w:rPr>
          <w:rFonts w:ascii="Times New Roman" w:eastAsia="Times New Roman" w:hAnsi="Times New Roman" w:cs="Times New Roman"/>
          <w:noProof/>
          <w:color w:val="000000" w:themeColor="text1"/>
          <w:sz w:val="24"/>
          <w:szCs w:val="24"/>
        </w:rPr>
        <w:t>.</w:t>
      </w:r>
    </w:p>
    <w:p w14:paraId="075400B0"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14.</w:t>
      </w:r>
      <w:r w:rsidRPr="006968D1">
        <w:rPr>
          <w:rFonts w:ascii="Times New Roman" w:eastAsia="Times New Roman" w:hAnsi="Times New Roman" w:cs="Times New Roman"/>
          <w:noProof/>
          <w:color w:val="000000" w:themeColor="text1"/>
          <w:sz w:val="24"/>
          <w:szCs w:val="24"/>
        </w:rPr>
        <w:tab/>
        <w:t xml:space="preserve">Milá B, Tassell JL Van, Calderón JA, Rüber L, Zardoya R. 2017 Cryptic lineage divergence in marine environments : genetic differentiation at multiple spatial and temporal scales in the widespread intertidal goby </w:t>
      </w:r>
      <w:r w:rsidRPr="00D85DA8">
        <w:rPr>
          <w:rFonts w:ascii="Times New Roman" w:eastAsia="Times New Roman" w:hAnsi="Times New Roman" w:cs="Times New Roman"/>
          <w:i/>
          <w:iCs/>
          <w:noProof/>
          <w:color w:val="000000" w:themeColor="text1"/>
          <w:sz w:val="24"/>
          <w:szCs w:val="24"/>
        </w:rPr>
        <w:t>Gobiosoma bosc</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i/>
          <w:iCs/>
          <w:noProof/>
          <w:color w:val="000000" w:themeColor="text1"/>
          <w:sz w:val="24"/>
          <w:szCs w:val="24"/>
        </w:rPr>
        <w:t>Ecol. Evol.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7</w:t>
      </w:r>
      <w:r w:rsidRPr="006968D1">
        <w:rPr>
          <w:rFonts w:ascii="Times New Roman" w:eastAsia="Times New Roman" w:hAnsi="Times New Roman" w:cs="Times New Roman"/>
          <w:noProof/>
          <w:color w:val="000000" w:themeColor="text1"/>
          <w:sz w:val="24"/>
          <w:szCs w:val="24"/>
        </w:rPr>
        <w:t>, 5514–5523. (doi:10.1002/ece3.3161)</w:t>
      </w:r>
    </w:p>
    <w:p w14:paraId="3CAB12D0"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15.</w:t>
      </w:r>
      <w:r w:rsidRPr="006968D1">
        <w:rPr>
          <w:rFonts w:ascii="Times New Roman" w:eastAsia="Times New Roman" w:hAnsi="Times New Roman" w:cs="Times New Roman"/>
          <w:noProof/>
          <w:color w:val="000000" w:themeColor="text1"/>
          <w:sz w:val="24"/>
          <w:szCs w:val="24"/>
        </w:rPr>
        <w:tab/>
        <w:t xml:space="preserve">Corrigan S, Maisano P, Eddy C, Duffy C, Yang L, Li C, Bazinet AL, Mona S, Naylor GJP. 2017 Molecular Phylogenetics and Evolution Historical introgression drives pervasive mitochondrial admixture between two species of pelagic sharks. </w:t>
      </w:r>
      <w:r w:rsidRPr="006968D1">
        <w:rPr>
          <w:rFonts w:ascii="Times New Roman" w:eastAsia="Times New Roman" w:hAnsi="Times New Roman" w:cs="Times New Roman"/>
          <w:i/>
          <w:iCs/>
          <w:noProof/>
          <w:color w:val="000000" w:themeColor="text1"/>
          <w:sz w:val="24"/>
          <w:szCs w:val="24"/>
        </w:rPr>
        <w:t>Mol. Phylogenet. Evol.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110</w:t>
      </w:r>
      <w:r w:rsidRPr="006968D1">
        <w:rPr>
          <w:rFonts w:ascii="Times New Roman" w:eastAsia="Times New Roman" w:hAnsi="Times New Roman" w:cs="Times New Roman"/>
          <w:noProof/>
          <w:color w:val="000000" w:themeColor="text1"/>
          <w:sz w:val="24"/>
          <w:szCs w:val="24"/>
        </w:rPr>
        <w:t>, 122–126. (doi:10.1016/j.ympev.2017.03.011)</w:t>
      </w:r>
    </w:p>
    <w:p w14:paraId="09FD9C38"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16.</w:t>
      </w:r>
      <w:r w:rsidRPr="006968D1">
        <w:rPr>
          <w:rFonts w:ascii="Times New Roman" w:eastAsia="Times New Roman" w:hAnsi="Times New Roman" w:cs="Times New Roman"/>
          <w:noProof/>
          <w:color w:val="000000" w:themeColor="text1"/>
          <w:sz w:val="24"/>
          <w:szCs w:val="24"/>
        </w:rPr>
        <w:tab/>
        <w:t xml:space="preserve">Mateus CS, Stange M, Berner D, Roesti M, Quintella BR, Alves MJ, Almeida PR, Salzburger W. 2013 Strong genome-wide divergence between sympatric European river and brook lampreys. </w:t>
      </w:r>
      <w:r w:rsidRPr="006968D1">
        <w:rPr>
          <w:rFonts w:ascii="Times New Roman" w:eastAsia="Times New Roman" w:hAnsi="Times New Roman" w:cs="Times New Roman"/>
          <w:i/>
          <w:iCs/>
          <w:noProof/>
          <w:color w:val="000000" w:themeColor="text1"/>
          <w:sz w:val="24"/>
          <w:szCs w:val="24"/>
        </w:rPr>
        <w:t>Curr.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23</w:t>
      </w:r>
      <w:r w:rsidRPr="006968D1">
        <w:rPr>
          <w:rFonts w:ascii="Times New Roman" w:eastAsia="Times New Roman" w:hAnsi="Times New Roman" w:cs="Times New Roman"/>
          <w:noProof/>
          <w:color w:val="000000" w:themeColor="text1"/>
          <w:sz w:val="24"/>
          <w:szCs w:val="24"/>
        </w:rPr>
        <w:t>, R649–R650. (doi:10.1016/j.cub.2013.06.026)</w:t>
      </w:r>
    </w:p>
    <w:p w14:paraId="615EBDF9"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lastRenderedPageBreak/>
        <w:t>17.</w:t>
      </w:r>
      <w:r w:rsidRPr="006968D1">
        <w:rPr>
          <w:rFonts w:ascii="Times New Roman" w:eastAsia="Times New Roman" w:hAnsi="Times New Roman" w:cs="Times New Roman"/>
          <w:noProof/>
          <w:color w:val="000000" w:themeColor="text1"/>
          <w:sz w:val="24"/>
          <w:szCs w:val="24"/>
        </w:rPr>
        <w:tab/>
        <w:t xml:space="preserve">Weigand H, Weiss M, Cai H, Li Y, Yu L, Zhang C, Leese F. 2017 Deciphering the origin of mito-nuclear discordance in two sibling caddisfly species. </w:t>
      </w:r>
      <w:r w:rsidRPr="006968D1">
        <w:rPr>
          <w:rFonts w:ascii="Times New Roman" w:eastAsia="Times New Roman" w:hAnsi="Times New Roman" w:cs="Times New Roman"/>
          <w:i/>
          <w:iCs/>
          <w:noProof/>
          <w:color w:val="000000" w:themeColor="text1"/>
          <w:sz w:val="24"/>
          <w:szCs w:val="24"/>
        </w:rPr>
        <w:t>Mol. Ecol.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26</w:t>
      </w:r>
      <w:r w:rsidRPr="006968D1">
        <w:rPr>
          <w:rFonts w:ascii="Times New Roman" w:eastAsia="Times New Roman" w:hAnsi="Times New Roman" w:cs="Times New Roman"/>
          <w:noProof/>
          <w:color w:val="000000" w:themeColor="text1"/>
          <w:sz w:val="24"/>
          <w:szCs w:val="24"/>
        </w:rPr>
        <w:t>, 5705–5715. (doi:10.1111/ijlh.12426)</w:t>
      </w:r>
    </w:p>
    <w:p w14:paraId="0AAAEB0D"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18.</w:t>
      </w:r>
      <w:r w:rsidRPr="006968D1">
        <w:rPr>
          <w:rFonts w:ascii="Times New Roman" w:eastAsia="Times New Roman" w:hAnsi="Times New Roman" w:cs="Times New Roman"/>
          <w:noProof/>
          <w:color w:val="000000" w:themeColor="text1"/>
          <w:sz w:val="24"/>
          <w:szCs w:val="24"/>
        </w:rPr>
        <w:tab/>
        <w:t xml:space="preserve">Toews DPL, Brelsford A. 2012 The biogeography of mitochondrial and nuclear discordance in animals. </w:t>
      </w:r>
      <w:r w:rsidRPr="006968D1">
        <w:rPr>
          <w:rFonts w:ascii="Times New Roman" w:eastAsia="Times New Roman" w:hAnsi="Times New Roman" w:cs="Times New Roman"/>
          <w:i/>
          <w:iCs/>
          <w:noProof/>
          <w:color w:val="000000" w:themeColor="text1"/>
          <w:sz w:val="24"/>
          <w:szCs w:val="24"/>
        </w:rPr>
        <w:t>Mol. Ecol.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21</w:t>
      </w:r>
      <w:r w:rsidRPr="006968D1">
        <w:rPr>
          <w:rFonts w:ascii="Times New Roman" w:eastAsia="Times New Roman" w:hAnsi="Times New Roman" w:cs="Times New Roman"/>
          <w:noProof/>
          <w:color w:val="000000" w:themeColor="text1"/>
          <w:sz w:val="24"/>
          <w:szCs w:val="24"/>
        </w:rPr>
        <w:t>, 3907–3930. (doi:10.1111/j.1365-294X.2012.05664.x)</w:t>
      </w:r>
    </w:p>
    <w:p w14:paraId="5A081349"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19.</w:t>
      </w:r>
      <w:r w:rsidRPr="006968D1">
        <w:rPr>
          <w:rFonts w:ascii="Times New Roman" w:eastAsia="Times New Roman" w:hAnsi="Times New Roman" w:cs="Times New Roman"/>
          <w:noProof/>
          <w:color w:val="000000" w:themeColor="text1"/>
          <w:sz w:val="24"/>
          <w:szCs w:val="24"/>
        </w:rPr>
        <w:tab/>
        <w:t xml:space="preserve">Pie MR, Bornschein MR, Ribeiro LF, Faircloth BC, McCormack JE. 2017 Phylogenomic species delimitation in microendemic frogs of the Brazilian Atlantic Forest. </w:t>
      </w:r>
      <w:r w:rsidRPr="006968D1">
        <w:rPr>
          <w:rFonts w:ascii="Times New Roman" w:eastAsia="Times New Roman" w:hAnsi="Times New Roman" w:cs="Times New Roman"/>
          <w:i/>
          <w:iCs/>
          <w:noProof/>
          <w:color w:val="000000" w:themeColor="text1"/>
          <w:sz w:val="24"/>
          <w:szCs w:val="24"/>
        </w:rPr>
        <w:t>bioRxiv</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55</w:t>
      </w:r>
      <w:r w:rsidRPr="006968D1">
        <w:rPr>
          <w:rFonts w:ascii="Times New Roman" w:eastAsia="Times New Roman" w:hAnsi="Times New Roman" w:cs="Times New Roman"/>
          <w:noProof/>
          <w:color w:val="000000" w:themeColor="text1"/>
          <w:sz w:val="24"/>
          <w:szCs w:val="24"/>
        </w:rPr>
        <w:t>.</w:t>
      </w:r>
    </w:p>
    <w:p w14:paraId="02D8AEE4"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20.</w:t>
      </w:r>
      <w:r w:rsidRPr="006968D1">
        <w:rPr>
          <w:rFonts w:ascii="Times New Roman" w:eastAsia="Times New Roman" w:hAnsi="Times New Roman" w:cs="Times New Roman"/>
          <w:noProof/>
          <w:color w:val="000000" w:themeColor="text1"/>
          <w:sz w:val="24"/>
          <w:szCs w:val="24"/>
        </w:rPr>
        <w:tab/>
        <w:t xml:space="preserve">Martin SH </w:t>
      </w:r>
      <w:r w:rsidRPr="006968D1">
        <w:rPr>
          <w:rFonts w:ascii="Times New Roman" w:eastAsia="Times New Roman" w:hAnsi="Times New Roman" w:cs="Times New Roman"/>
          <w:i/>
          <w:iCs/>
          <w:noProof/>
          <w:color w:val="000000" w:themeColor="text1"/>
          <w:sz w:val="24"/>
          <w:szCs w:val="24"/>
        </w:rPr>
        <w:t>et al.</w:t>
      </w:r>
      <w:r w:rsidRPr="006968D1">
        <w:rPr>
          <w:rFonts w:ascii="Times New Roman" w:eastAsia="Times New Roman" w:hAnsi="Times New Roman" w:cs="Times New Roman"/>
          <w:noProof/>
          <w:color w:val="000000" w:themeColor="text1"/>
          <w:sz w:val="24"/>
          <w:szCs w:val="24"/>
        </w:rPr>
        <w:t xml:space="preserve"> 2013 Genome-wide evidence for speciation with gene flow in </w:t>
      </w:r>
      <w:r w:rsidRPr="00942552">
        <w:rPr>
          <w:rFonts w:ascii="Times New Roman" w:eastAsia="Times New Roman" w:hAnsi="Times New Roman" w:cs="Times New Roman"/>
          <w:i/>
          <w:iCs/>
          <w:noProof/>
          <w:color w:val="000000" w:themeColor="text1"/>
          <w:sz w:val="24"/>
          <w:szCs w:val="24"/>
        </w:rPr>
        <w:t>Heliconius</w:t>
      </w:r>
      <w:r w:rsidRPr="006968D1">
        <w:rPr>
          <w:rFonts w:ascii="Times New Roman" w:eastAsia="Times New Roman" w:hAnsi="Times New Roman" w:cs="Times New Roman"/>
          <w:noProof/>
          <w:color w:val="000000" w:themeColor="text1"/>
          <w:sz w:val="24"/>
          <w:szCs w:val="24"/>
        </w:rPr>
        <w:t xml:space="preserve"> butterflies. </w:t>
      </w:r>
      <w:r w:rsidRPr="006968D1">
        <w:rPr>
          <w:rFonts w:ascii="Times New Roman" w:eastAsia="Times New Roman" w:hAnsi="Times New Roman" w:cs="Times New Roman"/>
          <w:i/>
          <w:iCs/>
          <w:noProof/>
          <w:color w:val="000000" w:themeColor="text1"/>
          <w:sz w:val="24"/>
          <w:szCs w:val="24"/>
        </w:rPr>
        <w:t>Genome Res.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23</w:t>
      </w:r>
      <w:r w:rsidRPr="006968D1">
        <w:rPr>
          <w:rFonts w:ascii="Times New Roman" w:eastAsia="Times New Roman" w:hAnsi="Times New Roman" w:cs="Times New Roman"/>
          <w:noProof/>
          <w:color w:val="000000" w:themeColor="text1"/>
          <w:sz w:val="24"/>
          <w:szCs w:val="24"/>
        </w:rPr>
        <w:t>, 1817–1828. (doi:10.1101/gr.159426.113.)</w:t>
      </w:r>
    </w:p>
    <w:p w14:paraId="4DBA0C5C"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21.</w:t>
      </w:r>
      <w:r w:rsidRPr="006968D1">
        <w:rPr>
          <w:rFonts w:ascii="Times New Roman" w:eastAsia="Times New Roman" w:hAnsi="Times New Roman" w:cs="Times New Roman"/>
          <w:noProof/>
          <w:color w:val="000000" w:themeColor="text1"/>
          <w:sz w:val="24"/>
          <w:szCs w:val="24"/>
        </w:rPr>
        <w:tab/>
        <w:t xml:space="preserve">Van Belleghem SM, Vangestel C, De Wolf K, De Corte Z, Möst M, Rastas P, De Meester L, Hendrickx F. 2018 Evolution at two time frames : Polymorphisms from an ancient singular divergence event fuel contemporary parallel evolution. </w:t>
      </w:r>
      <w:r w:rsidRPr="006968D1">
        <w:rPr>
          <w:rFonts w:ascii="Times New Roman" w:eastAsia="Times New Roman" w:hAnsi="Times New Roman" w:cs="Times New Roman"/>
          <w:i/>
          <w:iCs/>
          <w:noProof/>
          <w:color w:val="000000" w:themeColor="text1"/>
          <w:sz w:val="24"/>
          <w:szCs w:val="24"/>
        </w:rPr>
        <w:t>PLoS Comput.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14</w:t>
      </w:r>
      <w:r w:rsidRPr="006968D1">
        <w:rPr>
          <w:rFonts w:ascii="Times New Roman" w:eastAsia="Times New Roman" w:hAnsi="Times New Roman" w:cs="Times New Roman"/>
          <w:noProof/>
          <w:color w:val="000000" w:themeColor="text1"/>
          <w:sz w:val="24"/>
          <w:szCs w:val="24"/>
        </w:rPr>
        <w:t>, 1–26. (doi:10.5061/dryad.77r93d5.Funding)</w:t>
      </w:r>
    </w:p>
    <w:p w14:paraId="757913B7" w14:textId="57D37AD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22.</w:t>
      </w:r>
      <w:r w:rsidRPr="006968D1">
        <w:rPr>
          <w:rFonts w:ascii="Times New Roman" w:eastAsia="Times New Roman" w:hAnsi="Times New Roman" w:cs="Times New Roman"/>
          <w:noProof/>
          <w:color w:val="000000" w:themeColor="text1"/>
          <w:sz w:val="24"/>
          <w:szCs w:val="24"/>
        </w:rPr>
        <w:tab/>
        <w:t xml:space="preserve">Karanth KP. 2017 Species complex , species concepts and characterization of cryptic diversity : vignettes from Indian systems. </w:t>
      </w:r>
      <w:r w:rsidRPr="006968D1">
        <w:rPr>
          <w:rFonts w:ascii="Times New Roman" w:eastAsia="Times New Roman" w:hAnsi="Times New Roman" w:cs="Times New Roman"/>
          <w:i/>
          <w:iCs/>
          <w:noProof/>
          <w:color w:val="000000" w:themeColor="text1"/>
          <w:sz w:val="24"/>
          <w:szCs w:val="24"/>
        </w:rPr>
        <w:t>Curr. Sci.</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112</w:t>
      </w:r>
      <w:r w:rsidR="00942552">
        <w:rPr>
          <w:rFonts w:ascii="Times New Roman" w:eastAsia="Times New Roman" w:hAnsi="Times New Roman" w:cs="Times New Roman"/>
          <w:noProof/>
          <w:color w:val="000000" w:themeColor="text1"/>
          <w:sz w:val="24"/>
          <w:szCs w:val="24"/>
        </w:rPr>
        <w:t>,</w:t>
      </w:r>
      <w:r w:rsidR="00942552" w:rsidRPr="00942552">
        <w:rPr>
          <w:rFonts w:ascii="Times New Roman" w:eastAsia="Times New Roman" w:hAnsi="Times New Roman" w:cs="Times New Roman"/>
          <w:noProof/>
          <w:color w:val="000000" w:themeColor="text1"/>
          <w:sz w:val="24"/>
          <w:szCs w:val="24"/>
        </w:rPr>
        <w:t xml:space="preserve"> </w:t>
      </w:r>
      <w:r w:rsidR="00942552">
        <w:rPr>
          <w:rFonts w:ascii="Times New Roman" w:eastAsia="Times New Roman" w:hAnsi="Times New Roman" w:cs="Times New Roman"/>
          <w:noProof/>
          <w:color w:val="000000" w:themeColor="text1"/>
          <w:sz w:val="24"/>
          <w:szCs w:val="24"/>
        </w:rPr>
        <w:t>1320</w:t>
      </w:r>
      <w:r w:rsidR="00942552" w:rsidRPr="006968D1">
        <w:rPr>
          <w:rFonts w:ascii="Times New Roman" w:eastAsia="Times New Roman" w:hAnsi="Times New Roman" w:cs="Times New Roman"/>
          <w:noProof/>
          <w:color w:val="000000" w:themeColor="text1"/>
          <w:sz w:val="24"/>
          <w:szCs w:val="24"/>
        </w:rPr>
        <w:t>–</w:t>
      </w:r>
      <w:r w:rsidR="00942552">
        <w:rPr>
          <w:rFonts w:ascii="Times New Roman" w:eastAsia="Times New Roman" w:hAnsi="Times New Roman" w:cs="Times New Roman"/>
          <w:noProof/>
          <w:color w:val="000000" w:themeColor="text1"/>
          <w:sz w:val="24"/>
          <w:szCs w:val="24"/>
        </w:rPr>
        <w:t>132</w:t>
      </w:r>
      <w:r w:rsidR="00942552" w:rsidRPr="006968D1">
        <w:rPr>
          <w:rFonts w:ascii="Times New Roman" w:eastAsia="Times New Roman" w:hAnsi="Times New Roman" w:cs="Times New Roman"/>
          <w:noProof/>
          <w:color w:val="000000" w:themeColor="text1"/>
          <w:sz w:val="24"/>
          <w:szCs w:val="24"/>
        </w:rPr>
        <w:t>4</w:t>
      </w:r>
      <w:r w:rsidR="00942552">
        <w:rPr>
          <w:rFonts w:ascii="Times New Roman" w:eastAsia="Times New Roman" w:hAnsi="Times New Roman" w:cs="Times New Roman"/>
          <w:noProof/>
          <w:color w:val="000000" w:themeColor="text1"/>
          <w:sz w:val="24"/>
          <w:szCs w:val="24"/>
        </w:rPr>
        <w:t>.</w:t>
      </w:r>
    </w:p>
    <w:p w14:paraId="40F652B6"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23.</w:t>
      </w:r>
      <w:r w:rsidRPr="006968D1">
        <w:rPr>
          <w:rFonts w:ascii="Times New Roman" w:eastAsia="Times New Roman" w:hAnsi="Times New Roman" w:cs="Times New Roman"/>
          <w:noProof/>
          <w:color w:val="000000" w:themeColor="text1"/>
          <w:sz w:val="24"/>
          <w:szCs w:val="24"/>
        </w:rPr>
        <w:tab/>
        <w:t xml:space="preserve">Anderson WD. 2002 Lutjanidae. In </w:t>
      </w:r>
      <w:r w:rsidRPr="006968D1">
        <w:rPr>
          <w:rFonts w:ascii="Times New Roman" w:eastAsia="Times New Roman" w:hAnsi="Times New Roman" w:cs="Times New Roman"/>
          <w:i/>
          <w:iCs/>
          <w:noProof/>
          <w:color w:val="000000" w:themeColor="text1"/>
          <w:sz w:val="24"/>
          <w:szCs w:val="24"/>
        </w:rPr>
        <w:t>FAO Species Identification Guides for Fishery Purposes: The Living Marine Resources of the Western Central Atlantic</w:t>
      </w:r>
      <w:r w:rsidRPr="006968D1">
        <w:rPr>
          <w:rFonts w:ascii="Times New Roman" w:eastAsia="Times New Roman" w:hAnsi="Times New Roman" w:cs="Times New Roman"/>
          <w:noProof/>
          <w:color w:val="000000" w:themeColor="text1"/>
          <w:sz w:val="24"/>
          <w:szCs w:val="24"/>
        </w:rPr>
        <w:t xml:space="preserve"> (ed KE Carpenter), pp. 1479–1504. Rome: FAO. </w:t>
      </w:r>
    </w:p>
    <w:p w14:paraId="44CFD414" w14:textId="23F9F21B"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24.</w:t>
      </w:r>
      <w:r w:rsidRPr="006968D1">
        <w:rPr>
          <w:rFonts w:ascii="Times New Roman" w:eastAsia="Times New Roman" w:hAnsi="Times New Roman" w:cs="Times New Roman"/>
          <w:noProof/>
          <w:color w:val="000000" w:themeColor="text1"/>
          <w:sz w:val="24"/>
          <w:szCs w:val="24"/>
        </w:rPr>
        <w:tab/>
        <w:t xml:space="preserve">Gomes G, Sampaio I, Schneider H. 2012 Population structure of </w:t>
      </w:r>
      <w:r w:rsidRPr="00206EB6">
        <w:rPr>
          <w:rFonts w:ascii="Times New Roman" w:eastAsia="Times New Roman" w:hAnsi="Times New Roman" w:cs="Times New Roman"/>
          <w:i/>
          <w:iCs/>
          <w:noProof/>
          <w:color w:val="000000" w:themeColor="text1"/>
          <w:sz w:val="24"/>
          <w:szCs w:val="24"/>
        </w:rPr>
        <w:t>Lutjanus purpureus</w:t>
      </w:r>
      <w:r w:rsidRPr="006968D1">
        <w:rPr>
          <w:rFonts w:ascii="Times New Roman" w:eastAsia="Times New Roman" w:hAnsi="Times New Roman" w:cs="Times New Roman"/>
          <w:noProof/>
          <w:color w:val="000000" w:themeColor="text1"/>
          <w:sz w:val="24"/>
          <w:szCs w:val="24"/>
        </w:rPr>
        <w:t xml:space="preserve"> (Lutjanidae-Perciformes) on the Brazilian coast: Further existence evidence of a single species of red snapper in the western Atlantic. </w:t>
      </w:r>
      <w:r w:rsidRPr="006968D1">
        <w:rPr>
          <w:rFonts w:ascii="Times New Roman" w:eastAsia="Times New Roman" w:hAnsi="Times New Roman" w:cs="Times New Roman"/>
          <w:i/>
          <w:iCs/>
          <w:noProof/>
          <w:color w:val="000000" w:themeColor="text1"/>
          <w:sz w:val="24"/>
          <w:szCs w:val="24"/>
        </w:rPr>
        <w:t>An. Acad. Bras. Cienc.</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84</w:t>
      </w:r>
      <w:r w:rsidRPr="006968D1">
        <w:rPr>
          <w:rFonts w:ascii="Times New Roman" w:eastAsia="Times New Roman" w:hAnsi="Times New Roman" w:cs="Times New Roman"/>
          <w:noProof/>
          <w:color w:val="000000" w:themeColor="text1"/>
          <w:sz w:val="24"/>
          <w:szCs w:val="24"/>
        </w:rPr>
        <w:t>, 979–999. (doi:10.1590/S0001-37652012000400013)</w:t>
      </w:r>
    </w:p>
    <w:p w14:paraId="7407D370"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25.</w:t>
      </w:r>
      <w:r w:rsidRPr="006968D1">
        <w:rPr>
          <w:rFonts w:ascii="Times New Roman" w:eastAsia="Times New Roman" w:hAnsi="Times New Roman" w:cs="Times New Roman"/>
          <w:noProof/>
          <w:color w:val="000000" w:themeColor="text1"/>
          <w:sz w:val="24"/>
          <w:szCs w:val="24"/>
        </w:rPr>
        <w:tab/>
        <w:t xml:space="preserve">Gomes G, Schneider H, Vallinoto M, Santos S, Ortí G, Sampaio I. 2008 Can </w:t>
      </w:r>
      <w:r w:rsidRPr="006968D1">
        <w:rPr>
          <w:rFonts w:ascii="Times New Roman" w:eastAsia="Times New Roman" w:hAnsi="Times New Roman" w:cs="Times New Roman"/>
          <w:i/>
          <w:iCs/>
          <w:noProof/>
          <w:color w:val="000000" w:themeColor="text1"/>
          <w:sz w:val="24"/>
          <w:szCs w:val="24"/>
        </w:rPr>
        <w:t>Lutjanus purpureus</w:t>
      </w:r>
      <w:r w:rsidRPr="006968D1">
        <w:rPr>
          <w:rFonts w:ascii="Times New Roman" w:eastAsia="Times New Roman" w:hAnsi="Times New Roman" w:cs="Times New Roman"/>
          <w:noProof/>
          <w:color w:val="000000" w:themeColor="text1"/>
          <w:sz w:val="24"/>
          <w:szCs w:val="24"/>
        </w:rPr>
        <w:t xml:space="preserve"> (South red snapper) be “legally” considered a red snapper (</w:t>
      </w:r>
      <w:r w:rsidRPr="006968D1">
        <w:rPr>
          <w:rFonts w:ascii="Times New Roman" w:eastAsia="Times New Roman" w:hAnsi="Times New Roman" w:cs="Times New Roman"/>
          <w:i/>
          <w:iCs/>
          <w:noProof/>
          <w:color w:val="000000" w:themeColor="text1"/>
          <w:sz w:val="24"/>
          <w:szCs w:val="24"/>
        </w:rPr>
        <w:t>Lutjanus campechanus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i/>
          <w:iCs/>
          <w:noProof/>
          <w:color w:val="000000" w:themeColor="text1"/>
          <w:sz w:val="24"/>
          <w:szCs w:val="24"/>
        </w:rPr>
        <w:t>Genet. Mol.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31</w:t>
      </w:r>
      <w:r w:rsidRPr="006968D1">
        <w:rPr>
          <w:rFonts w:ascii="Times New Roman" w:eastAsia="Times New Roman" w:hAnsi="Times New Roman" w:cs="Times New Roman"/>
          <w:noProof/>
          <w:color w:val="000000" w:themeColor="text1"/>
          <w:sz w:val="24"/>
          <w:szCs w:val="24"/>
        </w:rPr>
        <w:t>, 372–376. (doi:10.1590/S1415-47572008000200035)</w:t>
      </w:r>
    </w:p>
    <w:p w14:paraId="6B475729"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26.</w:t>
      </w:r>
      <w:r w:rsidRPr="006968D1">
        <w:rPr>
          <w:rFonts w:ascii="Times New Roman" w:eastAsia="Times New Roman" w:hAnsi="Times New Roman" w:cs="Times New Roman"/>
          <w:noProof/>
          <w:color w:val="000000" w:themeColor="text1"/>
          <w:sz w:val="24"/>
          <w:szCs w:val="24"/>
        </w:rPr>
        <w:tab/>
        <w:t>Robertson DR, Van Tassell JL. 2015 Shorefishes of the Greater Caribbean online information system. See http://biogeodb.stri.si.edu/caribbean/en/pages (accessed on 20 August 2005).</w:t>
      </w:r>
    </w:p>
    <w:p w14:paraId="2AE7BA41" w14:textId="08CE981E"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27.</w:t>
      </w:r>
      <w:r w:rsidRPr="006968D1">
        <w:rPr>
          <w:rFonts w:ascii="Times New Roman" w:eastAsia="Times New Roman" w:hAnsi="Times New Roman" w:cs="Times New Roman"/>
          <w:noProof/>
          <w:color w:val="000000" w:themeColor="text1"/>
          <w:sz w:val="24"/>
          <w:szCs w:val="24"/>
        </w:rPr>
        <w:tab/>
        <w:t xml:space="preserve">Eschmeyer WN. 2003 The catalog of fishes on-line. </w:t>
      </w:r>
      <w:r w:rsidRPr="006968D1">
        <w:rPr>
          <w:rFonts w:ascii="Times New Roman" w:eastAsia="Times New Roman" w:hAnsi="Times New Roman" w:cs="Times New Roman"/>
          <w:i/>
          <w:iCs/>
          <w:noProof/>
          <w:color w:val="000000" w:themeColor="text1"/>
          <w:sz w:val="24"/>
          <w:szCs w:val="24"/>
        </w:rPr>
        <w:t>Calif. Acad. Sci. San Fr. California. As viewed online http//www. calacademy. org/research/ichthyology/catalog/fishcatsearch. html</w:t>
      </w:r>
      <w:r w:rsidRPr="006968D1">
        <w:rPr>
          <w:rFonts w:ascii="Times New Roman" w:eastAsia="Times New Roman" w:hAnsi="Times New Roman" w:cs="Times New Roman"/>
          <w:noProof/>
          <w:color w:val="000000" w:themeColor="text1"/>
          <w:sz w:val="24"/>
          <w:szCs w:val="24"/>
        </w:rPr>
        <w:t xml:space="preserve"> </w:t>
      </w:r>
      <w:r w:rsidR="00CD0C22">
        <w:rPr>
          <w:rFonts w:ascii="Times New Roman" w:eastAsia="Times New Roman" w:hAnsi="Times New Roman" w:cs="Times New Roman"/>
          <w:noProof/>
          <w:color w:val="000000" w:themeColor="text1"/>
          <w:sz w:val="24"/>
          <w:szCs w:val="24"/>
        </w:rPr>
        <w:t>(Accessed 2 October 2019).</w:t>
      </w:r>
    </w:p>
    <w:p w14:paraId="16E11AEB"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28.</w:t>
      </w:r>
      <w:r w:rsidRPr="006968D1">
        <w:rPr>
          <w:rFonts w:ascii="Times New Roman" w:eastAsia="Times New Roman" w:hAnsi="Times New Roman" w:cs="Times New Roman"/>
          <w:noProof/>
          <w:color w:val="000000" w:themeColor="text1"/>
          <w:sz w:val="24"/>
          <w:szCs w:val="24"/>
        </w:rPr>
        <w:tab/>
        <w:t xml:space="preserve">Anderson W, Claro R, Cowan J, Lindeman K, Padovani-Ferreira B, Rocha LA. 2015 </w:t>
      </w:r>
      <w:r w:rsidRPr="00CD0C22">
        <w:rPr>
          <w:rFonts w:ascii="Times New Roman" w:eastAsia="Times New Roman" w:hAnsi="Times New Roman" w:cs="Times New Roman"/>
          <w:i/>
          <w:iCs/>
          <w:noProof/>
          <w:color w:val="000000" w:themeColor="text1"/>
          <w:sz w:val="24"/>
          <w:szCs w:val="24"/>
        </w:rPr>
        <w:t>Lutjanus campechanus</w:t>
      </w:r>
      <w:r w:rsidRPr="006968D1">
        <w:rPr>
          <w:rFonts w:ascii="Times New Roman" w:eastAsia="Times New Roman" w:hAnsi="Times New Roman" w:cs="Times New Roman"/>
          <w:noProof/>
          <w:color w:val="000000" w:themeColor="text1"/>
          <w:sz w:val="24"/>
          <w:szCs w:val="24"/>
        </w:rPr>
        <w:t xml:space="preserve"> (errata version published in 2017). The IUCN Red List of Threatened Species 2015: e.T194365A115334224. </w:t>
      </w:r>
    </w:p>
    <w:p w14:paraId="54D271E7"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29.</w:t>
      </w:r>
      <w:r w:rsidRPr="006968D1">
        <w:rPr>
          <w:rFonts w:ascii="Times New Roman" w:eastAsia="Times New Roman" w:hAnsi="Times New Roman" w:cs="Times New Roman"/>
          <w:noProof/>
          <w:color w:val="000000" w:themeColor="text1"/>
          <w:sz w:val="24"/>
          <w:szCs w:val="24"/>
        </w:rPr>
        <w:tab/>
        <w:t xml:space="preserve">Peterson BK, Weber JN, Kay EH, Fisher HS, Hoekstra HE. 2012 Double digest RADseq: An inexpensive method for </w:t>
      </w:r>
      <w:r w:rsidRPr="00CD0C22">
        <w:rPr>
          <w:rFonts w:ascii="Times New Roman" w:eastAsia="Times New Roman" w:hAnsi="Times New Roman" w:cs="Times New Roman"/>
          <w:i/>
          <w:iCs/>
          <w:noProof/>
          <w:color w:val="000000" w:themeColor="text1"/>
          <w:sz w:val="24"/>
          <w:szCs w:val="24"/>
        </w:rPr>
        <w:t>de novo</w:t>
      </w:r>
      <w:r w:rsidRPr="006968D1">
        <w:rPr>
          <w:rFonts w:ascii="Times New Roman" w:eastAsia="Times New Roman" w:hAnsi="Times New Roman" w:cs="Times New Roman"/>
          <w:noProof/>
          <w:color w:val="000000" w:themeColor="text1"/>
          <w:sz w:val="24"/>
          <w:szCs w:val="24"/>
        </w:rPr>
        <w:t xml:space="preserve"> SNP discovery and genotyping in model and non-model species. </w:t>
      </w:r>
      <w:r w:rsidRPr="006968D1">
        <w:rPr>
          <w:rFonts w:ascii="Times New Roman" w:eastAsia="Times New Roman" w:hAnsi="Times New Roman" w:cs="Times New Roman"/>
          <w:i/>
          <w:iCs/>
          <w:noProof/>
          <w:color w:val="000000" w:themeColor="text1"/>
          <w:sz w:val="24"/>
          <w:szCs w:val="24"/>
        </w:rPr>
        <w:t>PLoS One</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7</w:t>
      </w:r>
      <w:r w:rsidRPr="006968D1">
        <w:rPr>
          <w:rFonts w:ascii="Times New Roman" w:eastAsia="Times New Roman" w:hAnsi="Times New Roman" w:cs="Times New Roman"/>
          <w:noProof/>
          <w:color w:val="000000" w:themeColor="text1"/>
          <w:sz w:val="24"/>
          <w:szCs w:val="24"/>
        </w:rPr>
        <w:t>. (doi:10.1371/journal.pone.0037135)</w:t>
      </w:r>
    </w:p>
    <w:p w14:paraId="28687E2A" w14:textId="1BF555EE"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lastRenderedPageBreak/>
        <w:t>30.</w:t>
      </w:r>
      <w:r w:rsidRPr="006968D1">
        <w:rPr>
          <w:rFonts w:ascii="Times New Roman" w:eastAsia="Times New Roman" w:hAnsi="Times New Roman" w:cs="Times New Roman"/>
          <w:noProof/>
          <w:color w:val="000000" w:themeColor="text1"/>
          <w:sz w:val="24"/>
          <w:szCs w:val="24"/>
        </w:rPr>
        <w:tab/>
        <w:t xml:space="preserve">Andrews KR, Good JM, Miller MR, Luikart G, Hohenlohe PA. 2016 Harnessing the power of RADseq for ecological and evolutionary genomics. </w:t>
      </w:r>
      <w:r w:rsidRPr="006968D1">
        <w:rPr>
          <w:rFonts w:ascii="Times New Roman" w:eastAsia="Times New Roman" w:hAnsi="Times New Roman" w:cs="Times New Roman"/>
          <w:i/>
          <w:iCs/>
          <w:noProof/>
          <w:color w:val="000000" w:themeColor="text1"/>
          <w:sz w:val="24"/>
          <w:szCs w:val="24"/>
        </w:rPr>
        <w:t>Nat</w:t>
      </w:r>
      <w:r w:rsidR="00CD0C22">
        <w:rPr>
          <w:rFonts w:ascii="Times New Roman" w:eastAsia="Times New Roman" w:hAnsi="Times New Roman" w:cs="Times New Roman"/>
          <w:i/>
          <w:iCs/>
          <w:noProof/>
          <w:color w:val="000000" w:themeColor="text1"/>
          <w:sz w:val="24"/>
          <w:szCs w:val="24"/>
        </w:rPr>
        <w:t>.</w:t>
      </w:r>
      <w:r w:rsidRPr="006968D1">
        <w:rPr>
          <w:rFonts w:ascii="Times New Roman" w:eastAsia="Times New Roman" w:hAnsi="Times New Roman" w:cs="Times New Roman"/>
          <w:i/>
          <w:iCs/>
          <w:noProof/>
          <w:color w:val="000000" w:themeColor="text1"/>
          <w:sz w:val="24"/>
          <w:szCs w:val="24"/>
        </w:rPr>
        <w:t xml:space="preserve"> Rev</w:t>
      </w:r>
      <w:r w:rsidR="00CD0C22">
        <w:rPr>
          <w:rFonts w:ascii="Times New Roman" w:eastAsia="Times New Roman" w:hAnsi="Times New Roman" w:cs="Times New Roman"/>
          <w:i/>
          <w:iCs/>
          <w:noProof/>
          <w:color w:val="000000" w:themeColor="text1"/>
          <w:sz w:val="24"/>
          <w:szCs w:val="24"/>
        </w:rPr>
        <w:t>.</w:t>
      </w:r>
      <w:r w:rsidRPr="006968D1">
        <w:rPr>
          <w:rFonts w:ascii="Times New Roman" w:eastAsia="Times New Roman" w:hAnsi="Times New Roman" w:cs="Times New Roman"/>
          <w:i/>
          <w:iCs/>
          <w:noProof/>
          <w:color w:val="000000" w:themeColor="text1"/>
          <w:sz w:val="24"/>
          <w:szCs w:val="24"/>
        </w:rPr>
        <w:t xml:space="preserve"> Genet</w:t>
      </w:r>
      <w:r w:rsidR="00CD0C22">
        <w:rPr>
          <w:rFonts w:ascii="Times New Roman" w:eastAsia="Times New Roman" w:hAnsi="Times New Roman" w:cs="Times New Roman"/>
          <w:i/>
          <w:iCs/>
          <w:noProof/>
          <w:color w:val="000000" w:themeColor="text1"/>
          <w:sz w:val="24"/>
          <w:szCs w:val="24"/>
        </w:rPr>
        <w:t>.</w:t>
      </w:r>
      <w:r w:rsidRPr="006968D1">
        <w:rPr>
          <w:rFonts w:ascii="Times New Roman" w:eastAsia="Times New Roman" w:hAnsi="Times New Roman" w:cs="Times New Roman"/>
          <w:noProof/>
          <w:color w:val="000000" w:themeColor="text1"/>
          <w:sz w:val="24"/>
          <w:szCs w:val="24"/>
        </w:rPr>
        <w:t xml:space="preserve"> </w:t>
      </w:r>
      <w:r w:rsidR="00CD0C22">
        <w:rPr>
          <w:rFonts w:ascii="Times New Roman" w:eastAsia="Times New Roman" w:hAnsi="Times New Roman" w:cs="Times New Roman"/>
          <w:b/>
          <w:bCs/>
          <w:noProof/>
          <w:color w:val="000000" w:themeColor="text1"/>
          <w:sz w:val="24"/>
          <w:szCs w:val="24"/>
        </w:rPr>
        <w:t>17</w:t>
      </w:r>
      <w:r w:rsidRPr="006968D1">
        <w:rPr>
          <w:rFonts w:ascii="Times New Roman" w:eastAsia="Times New Roman" w:hAnsi="Times New Roman" w:cs="Times New Roman"/>
          <w:noProof/>
          <w:color w:val="000000" w:themeColor="text1"/>
          <w:sz w:val="24"/>
          <w:szCs w:val="24"/>
        </w:rPr>
        <w:t>, 81–92. (doi:10.1038/nrg.2015.28)</w:t>
      </w:r>
    </w:p>
    <w:p w14:paraId="4BBCE387"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31.</w:t>
      </w:r>
      <w:r w:rsidRPr="006968D1">
        <w:rPr>
          <w:rFonts w:ascii="Times New Roman" w:eastAsia="Times New Roman" w:hAnsi="Times New Roman" w:cs="Times New Roman"/>
          <w:noProof/>
          <w:color w:val="000000" w:themeColor="text1"/>
          <w:sz w:val="24"/>
          <w:szCs w:val="24"/>
        </w:rPr>
        <w:tab/>
        <w:t xml:space="preserve">Weigt LA, Driskell AC, Baldwin CC, Ormos A. 2012 DNA Barcoding Fishes. In </w:t>
      </w:r>
      <w:r w:rsidRPr="006968D1">
        <w:rPr>
          <w:rFonts w:ascii="Times New Roman" w:eastAsia="Times New Roman" w:hAnsi="Times New Roman" w:cs="Times New Roman"/>
          <w:i/>
          <w:iCs/>
          <w:noProof/>
          <w:color w:val="000000" w:themeColor="text1"/>
          <w:sz w:val="24"/>
          <w:szCs w:val="24"/>
        </w:rPr>
        <w:t>Methods in Molecular Biology</w:t>
      </w:r>
      <w:r w:rsidRPr="006968D1">
        <w:rPr>
          <w:rFonts w:ascii="Times New Roman" w:eastAsia="Times New Roman" w:hAnsi="Times New Roman" w:cs="Times New Roman"/>
          <w:noProof/>
          <w:color w:val="000000" w:themeColor="text1"/>
          <w:sz w:val="24"/>
          <w:szCs w:val="24"/>
        </w:rPr>
        <w:t>, pp. 109–126. Humana Press. (doi:10.1007/978-1-61779-591-6)</w:t>
      </w:r>
    </w:p>
    <w:p w14:paraId="28719CD1"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32.</w:t>
      </w:r>
      <w:r w:rsidRPr="006968D1">
        <w:rPr>
          <w:rFonts w:ascii="Times New Roman" w:eastAsia="Times New Roman" w:hAnsi="Times New Roman" w:cs="Times New Roman"/>
          <w:noProof/>
          <w:color w:val="000000" w:themeColor="text1"/>
          <w:sz w:val="24"/>
          <w:szCs w:val="24"/>
        </w:rPr>
        <w:tab/>
        <w:t xml:space="preserve">Catchen JM, Hohenlohe PA, Bassham S, Amores A, Cresko WA. 2013 Stacks: an analysis tool set for population genomics. </w:t>
      </w:r>
      <w:r w:rsidRPr="006968D1">
        <w:rPr>
          <w:rFonts w:ascii="Times New Roman" w:eastAsia="Times New Roman" w:hAnsi="Times New Roman" w:cs="Times New Roman"/>
          <w:i/>
          <w:iCs/>
          <w:noProof/>
          <w:color w:val="000000" w:themeColor="text1"/>
          <w:sz w:val="24"/>
          <w:szCs w:val="24"/>
        </w:rPr>
        <w:t>Mol. Ecol.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22</w:t>
      </w:r>
      <w:r w:rsidRPr="006968D1">
        <w:rPr>
          <w:rFonts w:ascii="Times New Roman" w:eastAsia="Times New Roman" w:hAnsi="Times New Roman" w:cs="Times New Roman"/>
          <w:noProof/>
          <w:color w:val="000000" w:themeColor="text1"/>
          <w:sz w:val="24"/>
          <w:szCs w:val="24"/>
        </w:rPr>
        <w:t>, 3124–3140. (doi:10.1111/mec.12354.Stacks)</w:t>
      </w:r>
    </w:p>
    <w:p w14:paraId="2999D18C"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33.</w:t>
      </w:r>
      <w:r w:rsidRPr="006968D1">
        <w:rPr>
          <w:rFonts w:ascii="Times New Roman" w:eastAsia="Times New Roman" w:hAnsi="Times New Roman" w:cs="Times New Roman"/>
          <w:noProof/>
          <w:color w:val="000000" w:themeColor="text1"/>
          <w:sz w:val="24"/>
          <w:szCs w:val="24"/>
        </w:rPr>
        <w:tab/>
        <w:t xml:space="preserve">Bradbury PJ, Zhang Z, Kroon DE, Casstevens TM, Ramdoss Y, Buckler ES. 2007 TASSEL: Software for association mapping of complex traits in diverse samples. </w:t>
      </w:r>
      <w:r w:rsidRPr="006968D1">
        <w:rPr>
          <w:rFonts w:ascii="Times New Roman" w:eastAsia="Times New Roman" w:hAnsi="Times New Roman" w:cs="Times New Roman"/>
          <w:i/>
          <w:iCs/>
          <w:noProof/>
          <w:color w:val="000000" w:themeColor="text1"/>
          <w:sz w:val="24"/>
          <w:szCs w:val="24"/>
        </w:rPr>
        <w:t>Bioinformatics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23</w:t>
      </w:r>
      <w:r w:rsidRPr="006968D1">
        <w:rPr>
          <w:rFonts w:ascii="Times New Roman" w:eastAsia="Times New Roman" w:hAnsi="Times New Roman" w:cs="Times New Roman"/>
          <w:noProof/>
          <w:color w:val="000000" w:themeColor="text1"/>
          <w:sz w:val="24"/>
          <w:szCs w:val="24"/>
        </w:rPr>
        <w:t>, 2633–2635. (doi:10.1093/bioinformatics/btm308)</w:t>
      </w:r>
    </w:p>
    <w:p w14:paraId="0D08B69D"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34.</w:t>
      </w:r>
      <w:r w:rsidRPr="006968D1">
        <w:rPr>
          <w:rFonts w:ascii="Times New Roman" w:eastAsia="Times New Roman" w:hAnsi="Times New Roman" w:cs="Times New Roman"/>
          <w:noProof/>
          <w:color w:val="000000" w:themeColor="text1"/>
          <w:sz w:val="24"/>
          <w:szCs w:val="24"/>
        </w:rPr>
        <w:tab/>
        <w:t xml:space="preserve">Danecek P </w:t>
      </w:r>
      <w:r w:rsidRPr="006968D1">
        <w:rPr>
          <w:rFonts w:ascii="Times New Roman" w:eastAsia="Times New Roman" w:hAnsi="Times New Roman" w:cs="Times New Roman"/>
          <w:i/>
          <w:iCs/>
          <w:noProof/>
          <w:color w:val="000000" w:themeColor="text1"/>
          <w:sz w:val="24"/>
          <w:szCs w:val="24"/>
        </w:rPr>
        <w:t>et al.</w:t>
      </w:r>
      <w:r w:rsidRPr="006968D1">
        <w:rPr>
          <w:rFonts w:ascii="Times New Roman" w:eastAsia="Times New Roman" w:hAnsi="Times New Roman" w:cs="Times New Roman"/>
          <w:noProof/>
          <w:color w:val="000000" w:themeColor="text1"/>
          <w:sz w:val="24"/>
          <w:szCs w:val="24"/>
        </w:rPr>
        <w:t xml:space="preserve"> 2011 The variant call format and VCFtools. </w:t>
      </w:r>
      <w:r w:rsidRPr="006968D1">
        <w:rPr>
          <w:rFonts w:ascii="Times New Roman" w:eastAsia="Times New Roman" w:hAnsi="Times New Roman" w:cs="Times New Roman"/>
          <w:i/>
          <w:iCs/>
          <w:noProof/>
          <w:color w:val="000000" w:themeColor="text1"/>
          <w:sz w:val="24"/>
          <w:szCs w:val="24"/>
        </w:rPr>
        <w:t>Bioinformatics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27</w:t>
      </w:r>
      <w:r w:rsidRPr="006968D1">
        <w:rPr>
          <w:rFonts w:ascii="Times New Roman" w:eastAsia="Times New Roman" w:hAnsi="Times New Roman" w:cs="Times New Roman"/>
          <w:noProof/>
          <w:color w:val="000000" w:themeColor="text1"/>
          <w:sz w:val="24"/>
          <w:szCs w:val="24"/>
        </w:rPr>
        <w:t>, 2156–2158. (doi:10.1093/bioinformatics/btr330)</w:t>
      </w:r>
    </w:p>
    <w:p w14:paraId="225254D7"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35.</w:t>
      </w:r>
      <w:r w:rsidRPr="006968D1">
        <w:rPr>
          <w:rFonts w:ascii="Times New Roman" w:eastAsia="Times New Roman" w:hAnsi="Times New Roman" w:cs="Times New Roman"/>
          <w:noProof/>
          <w:color w:val="000000" w:themeColor="text1"/>
          <w:sz w:val="24"/>
          <w:szCs w:val="24"/>
        </w:rPr>
        <w:tab/>
        <w:t xml:space="preserve">Mastretta-Yanes A, Arrigo N, Alvarez N, Jorgensen TH, Piñeros D, Emerson BC. 2015 Restriction site-associated DNA sequencing, genotyping error estimation and </w:t>
      </w:r>
      <w:r w:rsidRPr="007D3106">
        <w:rPr>
          <w:rFonts w:ascii="Times New Roman" w:eastAsia="Times New Roman" w:hAnsi="Times New Roman" w:cs="Times New Roman"/>
          <w:i/>
          <w:iCs/>
          <w:noProof/>
          <w:color w:val="000000" w:themeColor="text1"/>
          <w:sz w:val="24"/>
          <w:szCs w:val="24"/>
        </w:rPr>
        <w:t>de novo</w:t>
      </w:r>
      <w:r w:rsidRPr="006968D1">
        <w:rPr>
          <w:rFonts w:ascii="Times New Roman" w:eastAsia="Times New Roman" w:hAnsi="Times New Roman" w:cs="Times New Roman"/>
          <w:noProof/>
          <w:color w:val="000000" w:themeColor="text1"/>
          <w:sz w:val="24"/>
          <w:szCs w:val="24"/>
        </w:rPr>
        <w:t xml:space="preserve"> assembly optimization for population genetic inference. </w:t>
      </w:r>
      <w:r w:rsidRPr="006968D1">
        <w:rPr>
          <w:rFonts w:ascii="Times New Roman" w:eastAsia="Times New Roman" w:hAnsi="Times New Roman" w:cs="Times New Roman"/>
          <w:i/>
          <w:iCs/>
          <w:noProof/>
          <w:color w:val="000000" w:themeColor="text1"/>
          <w:sz w:val="24"/>
          <w:szCs w:val="24"/>
        </w:rPr>
        <w:t>Mol. Ecol.</w:t>
      </w:r>
      <w:r w:rsidRPr="006968D1">
        <w:rPr>
          <w:rFonts w:ascii="Times New Roman" w:eastAsia="Times New Roman" w:hAnsi="Times New Roman" w:cs="Times New Roman"/>
          <w:noProof/>
          <w:color w:val="000000" w:themeColor="text1"/>
          <w:sz w:val="24"/>
          <w:szCs w:val="24"/>
        </w:rPr>
        <w:t xml:space="preserve"> , 28–41. (doi:10.1111/1755-0998.12291)</w:t>
      </w:r>
    </w:p>
    <w:p w14:paraId="4B8D9199"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36.</w:t>
      </w:r>
      <w:r w:rsidRPr="006968D1">
        <w:rPr>
          <w:rFonts w:ascii="Times New Roman" w:eastAsia="Times New Roman" w:hAnsi="Times New Roman" w:cs="Times New Roman"/>
          <w:noProof/>
          <w:color w:val="000000" w:themeColor="text1"/>
          <w:sz w:val="24"/>
          <w:szCs w:val="24"/>
        </w:rPr>
        <w:tab/>
        <w:t xml:space="preserve">Stamatakis A. 2014 RAxML Version 8 : A Tool for Phylogenetic Analysis and Post-Analysis of Large Phylogenies post-analysis of large phylogenies. </w:t>
      </w:r>
      <w:r w:rsidRPr="006968D1">
        <w:rPr>
          <w:rFonts w:ascii="Times New Roman" w:eastAsia="Times New Roman" w:hAnsi="Times New Roman" w:cs="Times New Roman"/>
          <w:i/>
          <w:iCs/>
          <w:noProof/>
          <w:color w:val="000000" w:themeColor="text1"/>
          <w:sz w:val="24"/>
          <w:szCs w:val="24"/>
        </w:rPr>
        <w:t>Bioinformatics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30</w:t>
      </w:r>
      <w:r w:rsidRPr="006968D1">
        <w:rPr>
          <w:rFonts w:ascii="Times New Roman" w:eastAsia="Times New Roman" w:hAnsi="Times New Roman" w:cs="Times New Roman"/>
          <w:noProof/>
          <w:color w:val="000000" w:themeColor="text1"/>
          <w:sz w:val="24"/>
          <w:szCs w:val="24"/>
        </w:rPr>
        <w:t>, 1312–1313. (doi:10.1093/bioinformatics/btu033)</w:t>
      </w:r>
    </w:p>
    <w:p w14:paraId="11177E17"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37.</w:t>
      </w:r>
      <w:r w:rsidRPr="006968D1">
        <w:rPr>
          <w:rFonts w:ascii="Times New Roman" w:eastAsia="Times New Roman" w:hAnsi="Times New Roman" w:cs="Times New Roman"/>
          <w:noProof/>
          <w:color w:val="000000" w:themeColor="text1"/>
          <w:sz w:val="24"/>
          <w:szCs w:val="24"/>
        </w:rPr>
        <w:tab/>
        <w:t xml:space="preserve">Leaché AD, Oaks JR. 2017 The Utility of Single Nucleotide Polymorphism (SNP) Data in Phylogenetics. </w:t>
      </w:r>
      <w:r w:rsidRPr="006968D1">
        <w:rPr>
          <w:rFonts w:ascii="Times New Roman" w:eastAsia="Times New Roman" w:hAnsi="Times New Roman" w:cs="Times New Roman"/>
          <w:i/>
          <w:iCs/>
          <w:noProof/>
          <w:color w:val="000000" w:themeColor="text1"/>
          <w:sz w:val="24"/>
          <w:szCs w:val="24"/>
        </w:rPr>
        <w:t>Annu. Rev. Ecol. Evol. Syst.</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48</w:t>
      </w:r>
      <w:r w:rsidRPr="006968D1">
        <w:rPr>
          <w:rFonts w:ascii="Times New Roman" w:eastAsia="Times New Roman" w:hAnsi="Times New Roman" w:cs="Times New Roman"/>
          <w:noProof/>
          <w:color w:val="000000" w:themeColor="text1"/>
          <w:sz w:val="24"/>
          <w:szCs w:val="24"/>
        </w:rPr>
        <w:t>, 69–84. (doi:10.1146/annurev-ecolsys-110316-022645)</w:t>
      </w:r>
    </w:p>
    <w:p w14:paraId="4D4CF439"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38.</w:t>
      </w:r>
      <w:r w:rsidRPr="006968D1">
        <w:rPr>
          <w:rFonts w:ascii="Times New Roman" w:eastAsia="Times New Roman" w:hAnsi="Times New Roman" w:cs="Times New Roman"/>
          <w:noProof/>
          <w:color w:val="000000" w:themeColor="text1"/>
          <w:sz w:val="24"/>
          <w:szCs w:val="24"/>
        </w:rPr>
        <w:tab/>
        <w:t xml:space="preserve">Clement M, Snell Q, Walker P, Posada D, Crandall K. 2002 TCS : Estimating Gene Genealogies. </w:t>
      </w:r>
      <w:r w:rsidRPr="006968D1">
        <w:rPr>
          <w:rFonts w:ascii="Times New Roman" w:eastAsia="Times New Roman" w:hAnsi="Times New Roman" w:cs="Times New Roman"/>
          <w:i/>
          <w:iCs/>
          <w:noProof/>
          <w:color w:val="000000" w:themeColor="text1"/>
          <w:sz w:val="24"/>
          <w:szCs w:val="24"/>
        </w:rPr>
        <w:t>Proc 16th Int Parallel Distrib Process Symp</w:t>
      </w:r>
      <w:r w:rsidRPr="006968D1">
        <w:rPr>
          <w:rFonts w:ascii="Times New Roman" w:eastAsia="Times New Roman" w:hAnsi="Times New Roman" w:cs="Times New Roman"/>
          <w:noProof/>
          <w:color w:val="000000" w:themeColor="text1"/>
          <w:sz w:val="24"/>
          <w:szCs w:val="24"/>
        </w:rPr>
        <w:t xml:space="preserve"> , 2:184.</w:t>
      </w:r>
    </w:p>
    <w:p w14:paraId="1C420D92" w14:textId="759FBE55" w:rsidR="006968D1" w:rsidRPr="007D3106" w:rsidRDefault="006968D1" w:rsidP="007D3106">
      <w:pPr>
        <w:pStyle w:val="ListParagraph"/>
        <w:widowControl w:val="0"/>
        <w:numPr>
          <w:ilvl w:val="0"/>
          <w:numId w:val="4"/>
        </w:numPr>
        <w:autoSpaceDE w:val="0"/>
        <w:autoSpaceDN w:val="0"/>
        <w:adjustRightInd w:val="0"/>
        <w:spacing w:before="120" w:after="120"/>
        <w:jc w:val="both"/>
        <w:rPr>
          <w:rFonts w:ascii="Times New Roman" w:eastAsia="Times New Roman" w:hAnsi="Times New Roman" w:cs="Times New Roman"/>
          <w:noProof/>
          <w:color w:val="000000" w:themeColor="text1"/>
          <w:sz w:val="24"/>
          <w:szCs w:val="24"/>
        </w:rPr>
      </w:pPr>
      <w:r w:rsidRPr="007D3106">
        <w:rPr>
          <w:rFonts w:ascii="Times New Roman" w:eastAsia="Times New Roman" w:hAnsi="Times New Roman" w:cs="Times New Roman"/>
          <w:noProof/>
          <w:color w:val="000000" w:themeColor="text1"/>
          <w:sz w:val="24"/>
          <w:szCs w:val="24"/>
        </w:rPr>
        <w:t>39.</w:t>
      </w:r>
      <w:r w:rsidRPr="007D3106">
        <w:rPr>
          <w:rFonts w:ascii="Times New Roman" w:eastAsia="Times New Roman" w:hAnsi="Times New Roman" w:cs="Times New Roman"/>
          <w:noProof/>
          <w:color w:val="000000" w:themeColor="text1"/>
          <w:sz w:val="24"/>
          <w:szCs w:val="24"/>
        </w:rPr>
        <w:tab/>
        <w:t xml:space="preserve">Leaché A, Fujita M, Minin V, Bouckaert R. 2014 Species Delimitation using Genome-Wide SNP Data. </w:t>
      </w:r>
      <w:r w:rsidRPr="007D3106">
        <w:rPr>
          <w:rFonts w:ascii="Times New Roman" w:eastAsia="Times New Roman" w:hAnsi="Times New Roman" w:cs="Times New Roman"/>
          <w:i/>
          <w:iCs/>
          <w:noProof/>
          <w:color w:val="000000" w:themeColor="text1"/>
          <w:sz w:val="24"/>
          <w:szCs w:val="24"/>
        </w:rPr>
        <w:t>Syst. Biol.</w:t>
      </w:r>
      <w:r w:rsidRPr="007D3106">
        <w:rPr>
          <w:rFonts w:ascii="Times New Roman" w:eastAsia="Times New Roman" w:hAnsi="Times New Roman" w:cs="Times New Roman"/>
          <w:noProof/>
          <w:color w:val="000000" w:themeColor="text1"/>
          <w:sz w:val="24"/>
          <w:szCs w:val="24"/>
        </w:rPr>
        <w:t xml:space="preserve"> </w:t>
      </w:r>
      <w:r w:rsidR="007D3106" w:rsidRPr="007D3106">
        <w:rPr>
          <w:rFonts w:ascii="Times New Roman" w:eastAsia="Times New Roman" w:hAnsi="Times New Roman" w:cs="Times New Roman"/>
          <w:b/>
          <w:bCs/>
          <w:noProof/>
          <w:color w:val="000000" w:themeColor="text1"/>
          <w:sz w:val="24"/>
          <w:szCs w:val="24"/>
        </w:rPr>
        <w:t>63</w:t>
      </w:r>
      <w:r w:rsidR="007D3106" w:rsidRPr="007D3106">
        <w:rPr>
          <w:rFonts w:ascii="Times New Roman" w:eastAsia="Times New Roman" w:hAnsi="Times New Roman" w:cs="Times New Roman"/>
          <w:noProof/>
          <w:color w:val="000000" w:themeColor="text1"/>
          <w:sz w:val="24"/>
          <w:szCs w:val="24"/>
        </w:rPr>
        <w:t>, 5</w:t>
      </w:r>
      <w:r w:rsidR="007D3106">
        <w:rPr>
          <w:rFonts w:ascii="Times New Roman" w:eastAsia="Times New Roman" w:hAnsi="Times New Roman" w:cs="Times New Roman"/>
          <w:noProof/>
          <w:color w:val="000000" w:themeColor="text1"/>
          <w:sz w:val="24"/>
          <w:szCs w:val="24"/>
        </w:rPr>
        <w:t>34</w:t>
      </w:r>
      <w:r w:rsidR="007D3106" w:rsidRPr="007D3106">
        <w:rPr>
          <w:rFonts w:ascii="Times New Roman" w:eastAsia="Times New Roman" w:hAnsi="Times New Roman" w:cs="Times New Roman"/>
          <w:noProof/>
          <w:color w:val="000000" w:themeColor="text1"/>
          <w:sz w:val="24"/>
          <w:szCs w:val="24"/>
        </w:rPr>
        <w:t>–</w:t>
      </w:r>
      <w:r w:rsidR="007D3106">
        <w:rPr>
          <w:rFonts w:ascii="Times New Roman" w:eastAsia="Times New Roman" w:hAnsi="Times New Roman" w:cs="Times New Roman"/>
          <w:noProof/>
          <w:color w:val="000000" w:themeColor="text1"/>
          <w:sz w:val="24"/>
          <w:szCs w:val="24"/>
        </w:rPr>
        <w:t>542</w:t>
      </w:r>
      <w:r w:rsidR="007D3106" w:rsidRPr="007D3106">
        <w:rPr>
          <w:rFonts w:ascii="Times New Roman" w:eastAsia="Times New Roman" w:hAnsi="Times New Roman" w:cs="Times New Roman"/>
          <w:noProof/>
          <w:color w:val="000000" w:themeColor="text1"/>
          <w:sz w:val="24"/>
          <w:szCs w:val="24"/>
        </w:rPr>
        <w:t xml:space="preserve">. </w:t>
      </w:r>
      <w:r w:rsidRPr="007D3106">
        <w:rPr>
          <w:rFonts w:ascii="Times New Roman" w:eastAsia="Times New Roman" w:hAnsi="Times New Roman" w:cs="Times New Roman"/>
          <w:noProof/>
          <w:color w:val="000000" w:themeColor="text1"/>
          <w:sz w:val="24"/>
          <w:szCs w:val="24"/>
        </w:rPr>
        <w:t>(doi:10.1101/001172)</w:t>
      </w:r>
    </w:p>
    <w:p w14:paraId="2D0F4BDE"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40.</w:t>
      </w:r>
      <w:r w:rsidRPr="006968D1">
        <w:rPr>
          <w:rFonts w:ascii="Times New Roman" w:eastAsia="Times New Roman" w:hAnsi="Times New Roman" w:cs="Times New Roman"/>
          <w:noProof/>
          <w:color w:val="000000" w:themeColor="text1"/>
          <w:sz w:val="24"/>
          <w:szCs w:val="24"/>
        </w:rPr>
        <w:tab/>
        <w:t xml:space="preserve">Bryant D, Bouckaert R, Felsenstein J, Rosenberg NA, RoyChoudhury A. 2012 Inferring Species Trees Directly from Biallelic Genetic Markers : Bypassing Gene Trees in a Full Coalescent Analysis. </w:t>
      </w:r>
      <w:r w:rsidRPr="006968D1">
        <w:rPr>
          <w:rFonts w:ascii="Times New Roman" w:eastAsia="Times New Roman" w:hAnsi="Times New Roman" w:cs="Times New Roman"/>
          <w:i/>
          <w:iCs/>
          <w:noProof/>
          <w:color w:val="000000" w:themeColor="text1"/>
          <w:sz w:val="24"/>
          <w:szCs w:val="24"/>
        </w:rPr>
        <w:t>Mol. Biol. Evol.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29</w:t>
      </w:r>
      <w:r w:rsidRPr="006968D1">
        <w:rPr>
          <w:rFonts w:ascii="Times New Roman" w:eastAsia="Times New Roman" w:hAnsi="Times New Roman" w:cs="Times New Roman"/>
          <w:noProof/>
          <w:color w:val="000000" w:themeColor="text1"/>
          <w:sz w:val="24"/>
          <w:szCs w:val="24"/>
        </w:rPr>
        <w:t>, 1917–1932. (doi:10.1093/molbev/mss086)</w:t>
      </w:r>
    </w:p>
    <w:p w14:paraId="3EDE5578"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41.</w:t>
      </w:r>
      <w:r w:rsidRPr="006968D1">
        <w:rPr>
          <w:rFonts w:ascii="Times New Roman" w:eastAsia="Times New Roman" w:hAnsi="Times New Roman" w:cs="Times New Roman"/>
          <w:noProof/>
          <w:color w:val="000000" w:themeColor="text1"/>
          <w:sz w:val="24"/>
          <w:szCs w:val="24"/>
        </w:rPr>
        <w:tab/>
        <w:t xml:space="preserve">Bouckaert R, Heled J, Kühnert D, Vaughan T, Wu CH, Xie D, Suchard MA, Rambaut A, Drummond AJ. 2014 BEAST 2: A Software Platform for Bayesian Evolutionary Analysis. </w:t>
      </w:r>
      <w:r w:rsidRPr="006968D1">
        <w:rPr>
          <w:rFonts w:ascii="Times New Roman" w:eastAsia="Times New Roman" w:hAnsi="Times New Roman" w:cs="Times New Roman"/>
          <w:i/>
          <w:iCs/>
          <w:noProof/>
          <w:color w:val="000000" w:themeColor="text1"/>
          <w:sz w:val="24"/>
          <w:szCs w:val="24"/>
        </w:rPr>
        <w:t>PLoS Comput.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10</w:t>
      </w:r>
      <w:r w:rsidRPr="006968D1">
        <w:rPr>
          <w:rFonts w:ascii="Times New Roman" w:eastAsia="Times New Roman" w:hAnsi="Times New Roman" w:cs="Times New Roman"/>
          <w:noProof/>
          <w:color w:val="000000" w:themeColor="text1"/>
          <w:sz w:val="24"/>
          <w:szCs w:val="24"/>
        </w:rPr>
        <w:t>, 1–6. (doi:10.1371/journal.pcbi.1003537)</w:t>
      </w:r>
    </w:p>
    <w:p w14:paraId="7281C3EB"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42.</w:t>
      </w:r>
      <w:r w:rsidRPr="006968D1">
        <w:rPr>
          <w:rFonts w:ascii="Times New Roman" w:eastAsia="Times New Roman" w:hAnsi="Times New Roman" w:cs="Times New Roman"/>
          <w:noProof/>
          <w:color w:val="000000" w:themeColor="text1"/>
          <w:sz w:val="24"/>
          <w:szCs w:val="24"/>
        </w:rPr>
        <w:tab/>
        <w:t xml:space="preserve">RStudio Team. 2015 RStudio: Integrated Development Environment for R. </w:t>
      </w:r>
    </w:p>
    <w:p w14:paraId="7745FAB7"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43.</w:t>
      </w:r>
      <w:r w:rsidRPr="006968D1">
        <w:rPr>
          <w:rFonts w:ascii="Times New Roman" w:eastAsia="Times New Roman" w:hAnsi="Times New Roman" w:cs="Times New Roman"/>
          <w:noProof/>
          <w:color w:val="000000" w:themeColor="text1"/>
          <w:sz w:val="24"/>
          <w:szCs w:val="24"/>
        </w:rPr>
        <w:tab/>
        <w:t xml:space="preserve">Wickham H. 2009 </w:t>
      </w:r>
      <w:r w:rsidRPr="006968D1">
        <w:rPr>
          <w:rFonts w:ascii="Times New Roman" w:eastAsia="Times New Roman" w:hAnsi="Times New Roman" w:cs="Times New Roman"/>
          <w:i/>
          <w:iCs/>
          <w:noProof/>
          <w:color w:val="000000" w:themeColor="text1"/>
          <w:sz w:val="24"/>
          <w:szCs w:val="24"/>
        </w:rPr>
        <w:t>ggplot2: Elegant Graphics for Data Analysis</w:t>
      </w:r>
      <w:r w:rsidRPr="006968D1">
        <w:rPr>
          <w:rFonts w:ascii="Times New Roman" w:eastAsia="Times New Roman" w:hAnsi="Times New Roman" w:cs="Times New Roman"/>
          <w:noProof/>
          <w:color w:val="000000" w:themeColor="text1"/>
          <w:sz w:val="24"/>
          <w:szCs w:val="24"/>
        </w:rPr>
        <w:t>. Springer-Verlag New York. See http://ggplot2.org.</w:t>
      </w:r>
    </w:p>
    <w:p w14:paraId="52B0317F"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44.</w:t>
      </w:r>
      <w:r w:rsidRPr="006968D1">
        <w:rPr>
          <w:rFonts w:ascii="Times New Roman" w:eastAsia="Times New Roman" w:hAnsi="Times New Roman" w:cs="Times New Roman"/>
          <w:noProof/>
          <w:color w:val="000000" w:themeColor="text1"/>
          <w:sz w:val="24"/>
          <w:szCs w:val="24"/>
        </w:rPr>
        <w:tab/>
        <w:t xml:space="preserve">Raj A, Stephens M, Pritchard JK. 2014 FastSTRUCTURE: Variational inference of </w:t>
      </w:r>
      <w:r w:rsidRPr="006968D1">
        <w:rPr>
          <w:rFonts w:ascii="Times New Roman" w:eastAsia="Times New Roman" w:hAnsi="Times New Roman" w:cs="Times New Roman"/>
          <w:noProof/>
          <w:color w:val="000000" w:themeColor="text1"/>
          <w:sz w:val="24"/>
          <w:szCs w:val="24"/>
        </w:rPr>
        <w:lastRenderedPageBreak/>
        <w:t xml:space="preserve">population structure in large SNP data sets. </w:t>
      </w:r>
      <w:r w:rsidRPr="006968D1">
        <w:rPr>
          <w:rFonts w:ascii="Times New Roman" w:eastAsia="Times New Roman" w:hAnsi="Times New Roman" w:cs="Times New Roman"/>
          <w:i/>
          <w:iCs/>
          <w:noProof/>
          <w:color w:val="000000" w:themeColor="text1"/>
          <w:sz w:val="24"/>
          <w:szCs w:val="24"/>
        </w:rPr>
        <w:t>Genetics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197</w:t>
      </w:r>
      <w:r w:rsidRPr="006968D1">
        <w:rPr>
          <w:rFonts w:ascii="Times New Roman" w:eastAsia="Times New Roman" w:hAnsi="Times New Roman" w:cs="Times New Roman"/>
          <w:noProof/>
          <w:color w:val="000000" w:themeColor="text1"/>
          <w:sz w:val="24"/>
          <w:szCs w:val="24"/>
        </w:rPr>
        <w:t>, 573–589. (doi:10.1534/genetics.114.164350)</w:t>
      </w:r>
    </w:p>
    <w:p w14:paraId="4C67A815"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45.</w:t>
      </w:r>
      <w:r w:rsidRPr="006968D1">
        <w:rPr>
          <w:rFonts w:ascii="Times New Roman" w:eastAsia="Times New Roman" w:hAnsi="Times New Roman" w:cs="Times New Roman"/>
          <w:noProof/>
          <w:color w:val="000000" w:themeColor="text1"/>
          <w:sz w:val="24"/>
          <w:szCs w:val="24"/>
        </w:rPr>
        <w:tab/>
        <w:t xml:space="preserve">Goudet J. 2005 HIERFSTAT , a package for R to compute and test hierarchical F -statistics. </w:t>
      </w:r>
      <w:r w:rsidRPr="006968D1">
        <w:rPr>
          <w:rFonts w:ascii="Times New Roman" w:eastAsia="Times New Roman" w:hAnsi="Times New Roman" w:cs="Times New Roman"/>
          <w:i/>
          <w:iCs/>
          <w:noProof/>
          <w:color w:val="000000" w:themeColor="text1"/>
          <w:sz w:val="24"/>
          <w:szCs w:val="24"/>
        </w:rPr>
        <w:t>Mol. Ecol. Notes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w:t>
      </w:r>
      <w:r w:rsidRPr="006968D1">
        <w:rPr>
          <w:rFonts w:ascii="Times New Roman" w:eastAsia="Times New Roman" w:hAnsi="Times New Roman" w:cs="Times New Roman"/>
          <w:noProof/>
          <w:color w:val="000000" w:themeColor="text1"/>
          <w:sz w:val="24"/>
          <w:szCs w:val="24"/>
        </w:rPr>
        <w:t>, 184–186. (doi:10.1111/j.1471-8278)</w:t>
      </w:r>
    </w:p>
    <w:p w14:paraId="3FA80A64" w14:textId="00A3E4F1"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46.</w:t>
      </w:r>
      <w:r w:rsidRPr="006968D1">
        <w:rPr>
          <w:rFonts w:ascii="Times New Roman" w:eastAsia="Times New Roman" w:hAnsi="Times New Roman" w:cs="Times New Roman"/>
          <w:noProof/>
          <w:color w:val="000000" w:themeColor="text1"/>
          <w:sz w:val="24"/>
          <w:szCs w:val="24"/>
        </w:rPr>
        <w:tab/>
      </w:r>
      <w:r w:rsidR="00912276">
        <w:rPr>
          <w:rFonts w:ascii="Times New Roman" w:eastAsia="Times New Roman" w:hAnsi="Times New Roman" w:cs="Times New Roman"/>
          <w:noProof/>
          <w:color w:val="000000" w:themeColor="text1"/>
          <w:sz w:val="24"/>
          <w:szCs w:val="24"/>
        </w:rPr>
        <w:t>Arnold B, Corbett-Detig RB, Hartl D, Bomblies K</w:t>
      </w:r>
      <w:r w:rsidRPr="006968D1">
        <w:rPr>
          <w:rFonts w:ascii="Times New Roman" w:eastAsia="Times New Roman" w:hAnsi="Times New Roman" w:cs="Times New Roman"/>
          <w:noProof/>
          <w:color w:val="000000" w:themeColor="text1"/>
          <w:sz w:val="24"/>
          <w:szCs w:val="24"/>
        </w:rPr>
        <w:t xml:space="preserve">. 2013 RADseq underestimates diversity and introduces genealogical biases due to nonrandom haplotype sampling. </w:t>
      </w:r>
      <w:r w:rsidR="00912276" w:rsidRPr="00912276">
        <w:rPr>
          <w:rFonts w:ascii="Times New Roman" w:eastAsia="Times New Roman" w:hAnsi="Times New Roman" w:cs="Times New Roman"/>
          <w:i/>
          <w:iCs/>
          <w:noProof/>
          <w:color w:val="000000" w:themeColor="text1"/>
          <w:sz w:val="24"/>
          <w:szCs w:val="24"/>
        </w:rPr>
        <w:t>Mol. Ecol.</w:t>
      </w:r>
      <w:r w:rsidR="00912276">
        <w:rPr>
          <w:rFonts w:ascii="Times New Roman" w:eastAsia="Times New Roman" w:hAnsi="Times New Roman" w:cs="Times New Roman"/>
          <w:noProof/>
          <w:color w:val="000000" w:themeColor="text1"/>
          <w:sz w:val="24"/>
          <w:szCs w:val="24"/>
        </w:rPr>
        <w:t xml:space="preserve"> 22,</w:t>
      </w:r>
      <w:r w:rsidRPr="006968D1">
        <w:rPr>
          <w:rFonts w:ascii="Times New Roman" w:eastAsia="Times New Roman" w:hAnsi="Times New Roman" w:cs="Times New Roman"/>
          <w:noProof/>
          <w:color w:val="000000" w:themeColor="text1"/>
          <w:sz w:val="24"/>
          <w:szCs w:val="24"/>
        </w:rPr>
        <w:t xml:space="preserve"> 3179–3190. (doi:10.1111/mec.12276)</w:t>
      </w:r>
    </w:p>
    <w:p w14:paraId="2CA37339"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47.</w:t>
      </w:r>
      <w:r w:rsidRPr="006968D1">
        <w:rPr>
          <w:rFonts w:ascii="Times New Roman" w:eastAsia="Times New Roman" w:hAnsi="Times New Roman" w:cs="Times New Roman"/>
          <w:noProof/>
          <w:color w:val="000000" w:themeColor="text1"/>
          <w:sz w:val="24"/>
          <w:szCs w:val="24"/>
        </w:rPr>
        <w:tab/>
        <w:t xml:space="preserve">Warnes GR, Bolker B, Lumley T. In press. gplots: Various R programming tools for plotting data. R package version 2.6.0. </w:t>
      </w:r>
    </w:p>
    <w:p w14:paraId="158823D5"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48.</w:t>
      </w:r>
      <w:r w:rsidRPr="006968D1">
        <w:rPr>
          <w:rFonts w:ascii="Times New Roman" w:eastAsia="Times New Roman" w:hAnsi="Times New Roman" w:cs="Times New Roman"/>
          <w:noProof/>
          <w:color w:val="000000" w:themeColor="text1"/>
          <w:sz w:val="24"/>
          <w:szCs w:val="24"/>
        </w:rPr>
        <w:tab/>
        <w:t xml:space="preserve">Aguillon SM, Fitzpatrick JW, Bowman R, Schoech SJ, Clark AG, Coop G, Chen N. 2017 Deconstructing isolation-by-distance: The genomic consequences of limited dispersal. </w:t>
      </w:r>
      <w:r w:rsidRPr="006968D1">
        <w:rPr>
          <w:rFonts w:ascii="Times New Roman" w:eastAsia="Times New Roman" w:hAnsi="Times New Roman" w:cs="Times New Roman"/>
          <w:i/>
          <w:iCs/>
          <w:noProof/>
          <w:color w:val="000000" w:themeColor="text1"/>
          <w:sz w:val="24"/>
          <w:szCs w:val="24"/>
        </w:rPr>
        <w:t>PLoS Genet.</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13</w:t>
      </w:r>
      <w:r w:rsidRPr="006968D1">
        <w:rPr>
          <w:rFonts w:ascii="Times New Roman" w:eastAsia="Times New Roman" w:hAnsi="Times New Roman" w:cs="Times New Roman"/>
          <w:noProof/>
          <w:color w:val="000000" w:themeColor="text1"/>
          <w:sz w:val="24"/>
          <w:szCs w:val="24"/>
        </w:rPr>
        <w:t>, 1–27. (doi:10.1371/journal.pgen.1006911)</w:t>
      </w:r>
    </w:p>
    <w:p w14:paraId="22D358DB"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49.</w:t>
      </w:r>
      <w:r w:rsidRPr="006968D1">
        <w:rPr>
          <w:rFonts w:ascii="Times New Roman" w:eastAsia="Times New Roman" w:hAnsi="Times New Roman" w:cs="Times New Roman"/>
          <w:noProof/>
          <w:color w:val="000000" w:themeColor="text1"/>
          <w:sz w:val="24"/>
          <w:szCs w:val="24"/>
        </w:rPr>
        <w:tab/>
        <w:t xml:space="preserve">Diniz-filho JAF, Soares TN, Lima JS, Dobrovolski R, Landeiro VL, Pires M, Telles DC, Rangel TF, Bini LM. 2013 Mantel test in population genetics. </w:t>
      </w:r>
      <w:r w:rsidRPr="006968D1">
        <w:rPr>
          <w:rFonts w:ascii="Times New Roman" w:eastAsia="Times New Roman" w:hAnsi="Times New Roman" w:cs="Times New Roman"/>
          <w:i/>
          <w:iCs/>
          <w:noProof/>
          <w:color w:val="000000" w:themeColor="text1"/>
          <w:sz w:val="24"/>
          <w:szCs w:val="24"/>
        </w:rPr>
        <w:t>Genet. Mol.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485</w:t>
      </w:r>
      <w:r w:rsidRPr="006968D1">
        <w:rPr>
          <w:rFonts w:ascii="Times New Roman" w:eastAsia="Times New Roman" w:hAnsi="Times New Roman" w:cs="Times New Roman"/>
          <w:noProof/>
          <w:color w:val="000000" w:themeColor="text1"/>
          <w:sz w:val="24"/>
          <w:szCs w:val="24"/>
        </w:rPr>
        <w:t>, 475–485.</w:t>
      </w:r>
    </w:p>
    <w:p w14:paraId="21047F0F"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50.</w:t>
      </w:r>
      <w:r w:rsidRPr="006968D1">
        <w:rPr>
          <w:rFonts w:ascii="Times New Roman" w:eastAsia="Times New Roman" w:hAnsi="Times New Roman" w:cs="Times New Roman"/>
          <w:noProof/>
          <w:color w:val="000000" w:themeColor="text1"/>
          <w:sz w:val="24"/>
          <w:szCs w:val="24"/>
        </w:rPr>
        <w:tab/>
        <w:t xml:space="preserve">Rousset F. 1997 Genetic Differentiation and Estimation of Gene Flow from F-Statistics Under Isolation by Distance. </w:t>
      </w:r>
      <w:r w:rsidRPr="006968D1">
        <w:rPr>
          <w:rFonts w:ascii="Times New Roman" w:eastAsia="Times New Roman" w:hAnsi="Times New Roman" w:cs="Times New Roman"/>
          <w:i/>
          <w:iCs/>
          <w:noProof/>
          <w:color w:val="000000" w:themeColor="text1"/>
          <w:sz w:val="24"/>
          <w:szCs w:val="24"/>
        </w:rPr>
        <w:t>Genetics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145</w:t>
      </w:r>
      <w:r w:rsidRPr="006968D1">
        <w:rPr>
          <w:rFonts w:ascii="Times New Roman" w:eastAsia="Times New Roman" w:hAnsi="Times New Roman" w:cs="Times New Roman"/>
          <w:noProof/>
          <w:color w:val="000000" w:themeColor="text1"/>
          <w:sz w:val="24"/>
          <w:szCs w:val="24"/>
        </w:rPr>
        <w:t>, 1219–1228.</w:t>
      </w:r>
    </w:p>
    <w:p w14:paraId="448B3073"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51.</w:t>
      </w:r>
      <w:r w:rsidRPr="006968D1">
        <w:rPr>
          <w:rFonts w:ascii="Times New Roman" w:eastAsia="Times New Roman" w:hAnsi="Times New Roman" w:cs="Times New Roman"/>
          <w:noProof/>
          <w:color w:val="000000" w:themeColor="text1"/>
          <w:sz w:val="24"/>
          <w:szCs w:val="24"/>
        </w:rPr>
        <w:tab/>
        <w:t xml:space="preserve">Pante E, Simon-Bouhet B. 2013 marmap: A Package for Importing, Plotting and Analyzing Bathymetric and Topographic Data in R. </w:t>
      </w:r>
      <w:r w:rsidRPr="006968D1">
        <w:rPr>
          <w:rFonts w:ascii="Times New Roman" w:eastAsia="Times New Roman" w:hAnsi="Times New Roman" w:cs="Times New Roman"/>
          <w:i/>
          <w:iCs/>
          <w:noProof/>
          <w:color w:val="000000" w:themeColor="text1"/>
          <w:sz w:val="24"/>
          <w:szCs w:val="24"/>
        </w:rPr>
        <w:t>PLoS One</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8</w:t>
      </w:r>
      <w:r w:rsidRPr="006968D1">
        <w:rPr>
          <w:rFonts w:ascii="Times New Roman" w:eastAsia="Times New Roman" w:hAnsi="Times New Roman" w:cs="Times New Roman"/>
          <w:noProof/>
          <w:color w:val="000000" w:themeColor="text1"/>
          <w:sz w:val="24"/>
          <w:szCs w:val="24"/>
        </w:rPr>
        <w:t>, 6–9. (doi:10.1371/journal.pone.0073051)</w:t>
      </w:r>
    </w:p>
    <w:p w14:paraId="2ACE88FD"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52.</w:t>
      </w:r>
      <w:r w:rsidRPr="006968D1">
        <w:rPr>
          <w:rFonts w:ascii="Times New Roman" w:eastAsia="Times New Roman" w:hAnsi="Times New Roman" w:cs="Times New Roman"/>
          <w:noProof/>
          <w:color w:val="000000" w:themeColor="text1"/>
          <w:sz w:val="24"/>
          <w:szCs w:val="24"/>
        </w:rPr>
        <w:tab/>
        <w:t xml:space="preserve">Jombart T. 2008 Adegenet: A R package for the multivariate analysis of genetic markers. </w:t>
      </w:r>
      <w:r w:rsidRPr="006968D1">
        <w:rPr>
          <w:rFonts w:ascii="Times New Roman" w:eastAsia="Times New Roman" w:hAnsi="Times New Roman" w:cs="Times New Roman"/>
          <w:i/>
          <w:iCs/>
          <w:noProof/>
          <w:color w:val="000000" w:themeColor="text1"/>
          <w:sz w:val="24"/>
          <w:szCs w:val="24"/>
        </w:rPr>
        <w:t>Bioinformatics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24</w:t>
      </w:r>
      <w:r w:rsidRPr="006968D1">
        <w:rPr>
          <w:rFonts w:ascii="Times New Roman" w:eastAsia="Times New Roman" w:hAnsi="Times New Roman" w:cs="Times New Roman"/>
          <w:noProof/>
          <w:color w:val="000000" w:themeColor="text1"/>
          <w:sz w:val="24"/>
          <w:szCs w:val="24"/>
        </w:rPr>
        <w:t>, 1403–1405. (doi:10.1093/bioinformatics/btn129)</w:t>
      </w:r>
    </w:p>
    <w:p w14:paraId="506A2A40" w14:textId="5923FD0F"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53.</w:t>
      </w:r>
      <w:r w:rsidRPr="006968D1">
        <w:rPr>
          <w:rFonts w:ascii="Times New Roman" w:eastAsia="Times New Roman" w:hAnsi="Times New Roman" w:cs="Times New Roman"/>
          <w:noProof/>
          <w:color w:val="000000" w:themeColor="text1"/>
          <w:sz w:val="24"/>
          <w:szCs w:val="24"/>
        </w:rPr>
        <w:tab/>
        <w:t xml:space="preserve">Buerkle CA. 2005 Maximum-likelihood estimation of a hybrid index based on molecular markers. </w:t>
      </w:r>
      <w:r w:rsidR="001A6BBE" w:rsidRPr="001A6BBE">
        <w:rPr>
          <w:rFonts w:ascii="Times New Roman" w:eastAsia="Times New Roman" w:hAnsi="Times New Roman" w:cs="Times New Roman"/>
          <w:i/>
          <w:iCs/>
          <w:noProof/>
          <w:color w:val="000000" w:themeColor="text1"/>
          <w:sz w:val="24"/>
          <w:szCs w:val="24"/>
        </w:rPr>
        <w:t>Mol. Ecol. Notes</w:t>
      </w:r>
      <w:r w:rsidR="001A6BBE">
        <w:rPr>
          <w:rFonts w:ascii="Times New Roman" w:eastAsia="Times New Roman" w:hAnsi="Times New Roman" w:cs="Times New Roman"/>
          <w:noProof/>
          <w:color w:val="000000" w:themeColor="text1"/>
          <w:sz w:val="24"/>
          <w:szCs w:val="24"/>
        </w:rPr>
        <w:t xml:space="preserve"> </w:t>
      </w:r>
      <w:r w:rsidR="001A6BBE" w:rsidRPr="001A6BBE">
        <w:rPr>
          <w:rFonts w:ascii="Times New Roman" w:eastAsia="Times New Roman" w:hAnsi="Times New Roman" w:cs="Times New Roman"/>
          <w:b/>
          <w:bCs/>
          <w:noProof/>
          <w:color w:val="000000" w:themeColor="text1"/>
          <w:sz w:val="24"/>
          <w:szCs w:val="24"/>
        </w:rPr>
        <w:t>5</w:t>
      </w:r>
      <w:r w:rsidRPr="006968D1">
        <w:rPr>
          <w:rFonts w:ascii="Times New Roman" w:eastAsia="Times New Roman" w:hAnsi="Times New Roman" w:cs="Times New Roman"/>
          <w:noProof/>
          <w:color w:val="000000" w:themeColor="text1"/>
          <w:sz w:val="24"/>
          <w:szCs w:val="24"/>
        </w:rPr>
        <w:t>, 684–687. (doi:10.1111/j.1471-8286.2005.01011.x)</w:t>
      </w:r>
    </w:p>
    <w:p w14:paraId="13E3B903"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54.</w:t>
      </w:r>
      <w:r w:rsidRPr="006968D1">
        <w:rPr>
          <w:rFonts w:ascii="Times New Roman" w:eastAsia="Times New Roman" w:hAnsi="Times New Roman" w:cs="Times New Roman"/>
          <w:noProof/>
          <w:color w:val="000000" w:themeColor="text1"/>
          <w:sz w:val="24"/>
          <w:szCs w:val="24"/>
        </w:rPr>
        <w:tab/>
        <w:t xml:space="preserve">Bailey RI. 2018 gghybrid: Evolutionary Analysis of Hybrids and Hybrid Zones. </w:t>
      </w:r>
    </w:p>
    <w:p w14:paraId="223D60D0" w14:textId="2DA842BA"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55.</w:t>
      </w:r>
      <w:r w:rsidRPr="006968D1">
        <w:rPr>
          <w:rFonts w:ascii="Times New Roman" w:eastAsia="Times New Roman" w:hAnsi="Times New Roman" w:cs="Times New Roman"/>
          <w:noProof/>
          <w:color w:val="000000" w:themeColor="text1"/>
          <w:sz w:val="24"/>
          <w:szCs w:val="24"/>
        </w:rPr>
        <w:tab/>
        <w:t xml:space="preserve">Fitzpatrick BM. 2013 Alternative forms for genomic clines. </w:t>
      </w:r>
      <w:r w:rsidR="001A6BBE" w:rsidRPr="001A6BBE">
        <w:rPr>
          <w:rFonts w:ascii="Times New Roman" w:eastAsia="Times New Roman" w:hAnsi="Times New Roman" w:cs="Times New Roman"/>
          <w:i/>
          <w:iCs/>
          <w:noProof/>
          <w:color w:val="000000" w:themeColor="text1"/>
          <w:sz w:val="24"/>
          <w:szCs w:val="24"/>
        </w:rPr>
        <w:t>Ecol. Evol.</w:t>
      </w:r>
      <w:r w:rsidR="001A6BBE">
        <w:rPr>
          <w:rFonts w:ascii="Times New Roman" w:eastAsia="Times New Roman" w:hAnsi="Times New Roman" w:cs="Times New Roman"/>
          <w:noProof/>
          <w:color w:val="000000" w:themeColor="text1"/>
          <w:sz w:val="24"/>
          <w:szCs w:val="24"/>
        </w:rPr>
        <w:t xml:space="preserve"> </w:t>
      </w:r>
      <w:r w:rsidR="001A6BBE" w:rsidRPr="001A6BBE">
        <w:rPr>
          <w:rFonts w:ascii="Times New Roman" w:eastAsia="Times New Roman" w:hAnsi="Times New Roman" w:cs="Times New Roman"/>
          <w:b/>
          <w:bCs/>
          <w:noProof/>
          <w:color w:val="000000" w:themeColor="text1"/>
          <w:sz w:val="24"/>
          <w:szCs w:val="24"/>
        </w:rPr>
        <w:t>3</w:t>
      </w:r>
      <w:r w:rsidRPr="006968D1">
        <w:rPr>
          <w:rFonts w:ascii="Times New Roman" w:eastAsia="Times New Roman" w:hAnsi="Times New Roman" w:cs="Times New Roman"/>
          <w:noProof/>
          <w:color w:val="000000" w:themeColor="text1"/>
          <w:sz w:val="24"/>
          <w:szCs w:val="24"/>
        </w:rPr>
        <w:t>, 1951–1966. (doi:10.1002/ece3.609)</w:t>
      </w:r>
    </w:p>
    <w:p w14:paraId="27B7D24C"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56.</w:t>
      </w:r>
      <w:r w:rsidRPr="006968D1">
        <w:rPr>
          <w:rFonts w:ascii="Times New Roman" w:eastAsia="Times New Roman" w:hAnsi="Times New Roman" w:cs="Times New Roman"/>
          <w:noProof/>
          <w:color w:val="000000" w:themeColor="text1"/>
          <w:sz w:val="24"/>
          <w:szCs w:val="24"/>
        </w:rPr>
        <w:tab/>
        <w:t xml:space="preserve">Janes JK, Malenfant M, Andrew RL, Miller JM, Dupuis JR, Gorrell JC, Cullingham CI. 2017 The K = 2 conundrum. </w:t>
      </w:r>
      <w:r w:rsidRPr="006968D1">
        <w:rPr>
          <w:rFonts w:ascii="Times New Roman" w:eastAsia="Times New Roman" w:hAnsi="Times New Roman" w:cs="Times New Roman"/>
          <w:i/>
          <w:iCs/>
          <w:noProof/>
          <w:color w:val="000000" w:themeColor="text1"/>
          <w:sz w:val="24"/>
          <w:szCs w:val="24"/>
        </w:rPr>
        <w:t>Mol. Ecol.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26</w:t>
      </w:r>
      <w:r w:rsidRPr="006968D1">
        <w:rPr>
          <w:rFonts w:ascii="Times New Roman" w:eastAsia="Times New Roman" w:hAnsi="Times New Roman" w:cs="Times New Roman"/>
          <w:noProof/>
          <w:color w:val="000000" w:themeColor="text1"/>
          <w:sz w:val="24"/>
          <w:szCs w:val="24"/>
        </w:rPr>
        <w:t>, 3594–3602. (doi:10.1111/mec.14187)</w:t>
      </w:r>
    </w:p>
    <w:p w14:paraId="520B7311"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57.</w:t>
      </w:r>
      <w:r w:rsidRPr="006968D1">
        <w:rPr>
          <w:rFonts w:ascii="Times New Roman" w:eastAsia="Times New Roman" w:hAnsi="Times New Roman" w:cs="Times New Roman"/>
          <w:noProof/>
          <w:color w:val="000000" w:themeColor="text1"/>
          <w:sz w:val="24"/>
          <w:szCs w:val="24"/>
        </w:rPr>
        <w:tab/>
        <w:t xml:space="preserve">Leaché AD, Banbury BL, Felsenstein J, De Oca ANM, Stamatakis A. 2015 Short tree, long tree, right tree, wrong tree: New acquisition bias corrections for inferring SNP phylogenies. </w:t>
      </w:r>
      <w:r w:rsidRPr="006968D1">
        <w:rPr>
          <w:rFonts w:ascii="Times New Roman" w:eastAsia="Times New Roman" w:hAnsi="Times New Roman" w:cs="Times New Roman"/>
          <w:i/>
          <w:iCs/>
          <w:noProof/>
          <w:color w:val="000000" w:themeColor="text1"/>
          <w:sz w:val="24"/>
          <w:szCs w:val="24"/>
        </w:rPr>
        <w:t>Syst.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64</w:t>
      </w:r>
      <w:r w:rsidRPr="006968D1">
        <w:rPr>
          <w:rFonts w:ascii="Times New Roman" w:eastAsia="Times New Roman" w:hAnsi="Times New Roman" w:cs="Times New Roman"/>
          <w:noProof/>
          <w:color w:val="000000" w:themeColor="text1"/>
          <w:sz w:val="24"/>
          <w:szCs w:val="24"/>
        </w:rPr>
        <w:t>, 1032–1047. (doi:10.1093/sysbio/syv053)</w:t>
      </w:r>
    </w:p>
    <w:p w14:paraId="1C4A3BA1"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58.</w:t>
      </w:r>
      <w:r w:rsidRPr="006968D1">
        <w:rPr>
          <w:rFonts w:ascii="Times New Roman" w:eastAsia="Times New Roman" w:hAnsi="Times New Roman" w:cs="Times New Roman"/>
          <w:noProof/>
          <w:color w:val="000000" w:themeColor="text1"/>
          <w:sz w:val="24"/>
          <w:szCs w:val="24"/>
        </w:rPr>
        <w:tab/>
        <w:t xml:space="preserve">Wells RJD, Cowan JH, Fry B. 2008 Feeding ecology of red snapper </w:t>
      </w:r>
      <w:r w:rsidRPr="004861F7">
        <w:rPr>
          <w:rFonts w:ascii="Times New Roman" w:eastAsia="Times New Roman" w:hAnsi="Times New Roman" w:cs="Times New Roman"/>
          <w:i/>
          <w:iCs/>
          <w:noProof/>
          <w:color w:val="000000" w:themeColor="text1"/>
          <w:sz w:val="24"/>
          <w:szCs w:val="24"/>
        </w:rPr>
        <w:t>Lutjanus campechanus</w:t>
      </w:r>
      <w:r w:rsidRPr="006968D1">
        <w:rPr>
          <w:rFonts w:ascii="Times New Roman" w:eastAsia="Times New Roman" w:hAnsi="Times New Roman" w:cs="Times New Roman"/>
          <w:noProof/>
          <w:color w:val="000000" w:themeColor="text1"/>
          <w:sz w:val="24"/>
          <w:szCs w:val="24"/>
        </w:rPr>
        <w:t xml:space="preserve"> in the northern Gulf of Mexico. </w:t>
      </w:r>
      <w:r w:rsidRPr="006968D1">
        <w:rPr>
          <w:rFonts w:ascii="Times New Roman" w:eastAsia="Times New Roman" w:hAnsi="Times New Roman" w:cs="Times New Roman"/>
          <w:i/>
          <w:iCs/>
          <w:noProof/>
          <w:color w:val="000000" w:themeColor="text1"/>
          <w:sz w:val="24"/>
          <w:szCs w:val="24"/>
        </w:rPr>
        <w:t>Mar. Ecol. Prog. Ser.</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361</w:t>
      </w:r>
      <w:r w:rsidRPr="006968D1">
        <w:rPr>
          <w:rFonts w:ascii="Times New Roman" w:eastAsia="Times New Roman" w:hAnsi="Times New Roman" w:cs="Times New Roman"/>
          <w:noProof/>
          <w:color w:val="000000" w:themeColor="text1"/>
          <w:sz w:val="24"/>
          <w:szCs w:val="24"/>
        </w:rPr>
        <w:t>, 213–225. (doi:10.3354/meps07425)</w:t>
      </w:r>
    </w:p>
    <w:p w14:paraId="66DE4AE8" w14:textId="0C586C43"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59.</w:t>
      </w:r>
      <w:r w:rsidRPr="006968D1">
        <w:rPr>
          <w:rFonts w:ascii="Times New Roman" w:eastAsia="Times New Roman" w:hAnsi="Times New Roman" w:cs="Times New Roman"/>
          <w:noProof/>
          <w:color w:val="000000" w:themeColor="text1"/>
          <w:sz w:val="24"/>
          <w:szCs w:val="24"/>
        </w:rPr>
        <w:tab/>
        <w:t xml:space="preserve">Silva R, Sampaio I, Schneider H, Gomes G. 2016 Lack of Spatial Subdivision for the Snapper </w:t>
      </w:r>
      <w:r w:rsidRPr="00EA1681">
        <w:rPr>
          <w:rFonts w:ascii="Times New Roman" w:eastAsia="Times New Roman" w:hAnsi="Times New Roman" w:cs="Times New Roman"/>
          <w:i/>
          <w:iCs/>
          <w:noProof/>
          <w:color w:val="000000" w:themeColor="text1"/>
          <w:sz w:val="24"/>
          <w:szCs w:val="24"/>
        </w:rPr>
        <w:t>Lutjanus purpureus</w:t>
      </w:r>
      <w:r w:rsidRPr="006968D1">
        <w:rPr>
          <w:rFonts w:ascii="Times New Roman" w:eastAsia="Times New Roman" w:hAnsi="Times New Roman" w:cs="Times New Roman"/>
          <w:noProof/>
          <w:color w:val="000000" w:themeColor="text1"/>
          <w:sz w:val="24"/>
          <w:szCs w:val="24"/>
        </w:rPr>
        <w:t xml:space="preserve"> (Lutjanidae–Perciformes) from Southwest Atlantic Based on </w:t>
      </w:r>
      <w:r w:rsidRPr="006968D1">
        <w:rPr>
          <w:rFonts w:ascii="Times New Roman" w:eastAsia="Times New Roman" w:hAnsi="Times New Roman" w:cs="Times New Roman"/>
          <w:noProof/>
          <w:color w:val="000000" w:themeColor="text1"/>
          <w:sz w:val="24"/>
          <w:szCs w:val="24"/>
        </w:rPr>
        <w:lastRenderedPageBreak/>
        <w:t xml:space="preserve">Multi-Locus Analyses. </w:t>
      </w:r>
      <w:r w:rsidRPr="006968D1">
        <w:rPr>
          <w:rFonts w:ascii="Times New Roman" w:eastAsia="Times New Roman" w:hAnsi="Times New Roman" w:cs="Times New Roman"/>
          <w:i/>
          <w:iCs/>
          <w:noProof/>
          <w:color w:val="000000" w:themeColor="text1"/>
          <w:sz w:val="24"/>
          <w:szCs w:val="24"/>
        </w:rPr>
        <w:t>PLoS One</w:t>
      </w:r>
      <w:r w:rsidRPr="006968D1">
        <w:rPr>
          <w:rFonts w:ascii="Times New Roman" w:eastAsia="Times New Roman" w:hAnsi="Times New Roman" w:cs="Times New Roman"/>
          <w:noProof/>
          <w:color w:val="000000" w:themeColor="text1"/>
          <w:sz w:val="24"/>
          <w:szCs w:val="24"/>
        </w:rPr>
        <w:t xml:space="preserve"> </w:t>
      </w:r>
      <w:r w:rsidR="00EA1681">
        <w:rPr>
          <w:rFonts w:ascii="Times New Roman" w:eastAsia="Times New Roman" w:hAnsi="Times New Roman" w:cs="Times New Roman"/>
          <w:b/>
          <w:bCs/>
          <w:noProof/>
          <w:color w:val="000000" w:themeColor="text1"/>
          <w:sz w:val="24"/>
          <w:szCs w:val="24"/>
        </w:rPr>
        <w:t>1</w:t>
      </w:r>
      <w:r w:rsidR="00EA1681" w:rsidRPr="006968D1">
        <w:rPr>
          <w:rFonts w:ascii="Times New Roman" w:eastAsia="Times New Roman" w:hAnsi="Times New Roman" w:cs="Times New Roman"/>
          <w:b/>
          <w:bCs/>
          <w:noProof/>
          <w:color w:val="000000" w:themeColor="text1"/>
          <w:sz w:val="24"/>
          <w:szCs w:val="24"/>
        </w:rPr>
        <w:t>1</w:t>
      </w:r>
      <w:r w:rsidR="00EA1681" w:rsidRPr="006968D1">
        <w:rPr>
          <w:rFonts w:ascii="Times New Roman" w:eastAsia="Times New Roman" w:hAnsi="Times New Roman" w:cs="Times New Roman"/>
          <w:noProof/>
          <w:color w:val="000000" w:themeColor="text1"/>
          <w:sz w:val="24"/>
          <w:szCs w:val="24"/>
        </w:rPr>
        <w:t xml:space="preserve">, </w:t>
      </w:r>
      <w:r w:rsidR="00EA1681">
        <w:rPr>
          <w:rFonts w:ascii="Times New Roman" w:eastAsia="Times New Roman" w:hAnsi="Times New Roman" w:cs="Times New Roman"/>
          <w:noProof/>
          <w:color w:val="000000" w:themeColor="text1"/>
          <w:sz w:val="24"/>
          <w:szCs w:val="24"/>
        </w:rPr>
        <w:t>e0161617</w:t>
      </w:r>
      <w:r w:rsidR="00EA1681"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noProof/>
          <w:color w:val="000000" w:themeColor="text1"/>
          <w:sz w:val="24"/>
          <w:szCs w:val="24"/>
        </w:rPr>
        <w:t>(doi:10.1371/journal.pone.0161617)</w:t>
      </w:r>
    </w:p>
    <w:p w14:paraId="78EC81B1" w14:textId="21DE2F54" w:rsidR="006968D1" w:rsidRPr="00680402"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60.</w:t>
      </w:r>
      <w:r w:rsidRPr="006968D1">
        <w:rPr>
          <w:rFonts w:ascii="Times New Roman" w:eastAsia="Times New Roman" w:hAnsi="Times New Roman" w:cs="Times New Roman"/>
          <w:noProof/>
          <w:color w:val="000000" w:themeColor="text1"/>
          <w:sz w:val="24"/>
          <w:szCs w:val="24"/>
        </w:rPr>
        <w:tab/>
        <w:t xml:space="preserve">Marval-Rodríguez A, Renán X, Montero-Muñoz J, Galindo-Cortés G, Jiménez-Badillo M de L, Brulé T. 2018 Inter and intraspecific differences of </w:t>
      </w:r>
      <w:r w:rsidRPr="00680402">
        <w:rPr>
          <w:rFonts w:ascii="Times New Roman" w:eastAsia="Times New Roman" w:hAnsi="Times New Roman" w:cs="Times New Roman"/>
          <w:i/>
          <w:iCs/>
          <w:noProof/>
          <w:color w:val="000000" w:themeColor="text1"/>
          <w:sz w:val="24"/>
          <w:szCs w:val="24"/>
        </w:rPr>
        <w:t>Lutjanus campechanus</w:t>
      </w:r>
      <w:r w:rsidRPr="006968D1">
        <w:rPr>
          <w:rFonts w:ascii="Times New Roman" w:eastAsia="Times New Roman" w:hAnsi="Times New Roman" w:cs="Times New Roman"/>
          <w:noProof/>
          <w:color w:val="000000" w:themeColor="text1"/>
          <w:sz w:val="24"/>
          <w:szCs w:val="24"/>
        </w:rPr>
        <w:t xml:space="preserve"> and </w:t>
      </w:r>
      <w:r w:rsidRPr="00680402">
        <w:rPr>
          <w:rFonts w:ascii="Times New Roman" w:eastAsia="Times New Roman" w:hAnsi="Times New Roman" w:cs="Times New Roman"/>
          <w:i/>
          <w:iCs/>
          <w:noProof/>
          <w:color w:val="000000" w:themeColor="text1"/>
          <w:sz w:val="24"/>
          <w:szCs w:val="24"/>
        </w:rPr>
        <w:t>Lutjanus purpureus</w:t>
      </w:r>
      <w:r w:rsidRPr="006968D1">
        <w:rPr>
          <w:rFonts w:ascii="Times New Roman" w:eastAsia="Times New Roman" w:hAnsi="Times New Roman" w:cs="Times New Roman"/>
          <w:noProof/>
          <w:color w:val="000000" w:themeColor="text1"/>
          <w:sz w:val="24"/>
          <w:szCs w:val="24"/>
        </w:rPr>
        <w:t xml:space="preserve"> in otolith shape. </w:t>
      </w:r>
      <w:r w:rsidR="00680402">
        <w:rPr>
          <w:rFonts w:ascii="Times New Roman" w:eastAsia="Times New Roman" w:hAnsi="Times New Roman" w:cs="Times New Roman"/>
          <w:noProof/>
          <w:color w:val="000000" w:themeColor="text1"/>
          <w:sz w:val="24"/>
          <w:szCs w:val="24"/>
        </w:rPr>
        <w:t>Presented at</w:t>
      </w:r>
      <w:r w:rsidRPr="006968D1">
        <w:rPr>
          <w:rFonts w:ascii="Times New Roman" w:eastAsia="Times New Roman" w:hAnsi="Times New Roman" w:cs="Times New Roman"/>
          <w:noProof/>
          <w:color w:val="000000" w:themeColor="text1"/>
          <w:sz w:val="24"/>
          <w:szCs w:val="24"/>
        </w:rPr>
        <w:t xml:space="preserve"> </w:t>
      </w:r>
      <w:r w:rsidRPr="00680402">
        <w:rPr>
          <w:rFonts w:ascii="Times New Roman" w:eastAsia="Times New Roman" w:hAnsi="Times New Roman" w:cs="Times New Roman"/>
          <w:noProof/>
          <w:color w:val="000000" w:themeColor="text1"/>
          <w:sz w:val="24"/>
          <w:szCs w:val="24"/>
        </w:rPr>
        <w:t>71th annual meeting of the Gulf and Caribbean Fisheries Institute</w:t>
      </w:r>
      <w:r w:rsidR="00680402">
        <w:rPr>
          <w:rFonts w:ascii="Times New Roman" w:eastAsia="Times New Roman" w:hAnsi="Times New Roman" w:cs="Times New Roman"/>
          <w:noProof/>
          <w:color w:val="000000" w:themeColor="text1"/>
          <w:sz w:val="24"/>
          <w:szCs w:val="24"/>
        </w:rPr>
        <w:t xml:space="preserve"> Conference</w:t>
      </w:r>
      <w:r w:rsidRPr="00680402">
        <w:rPr>
          <w:rFonts w:ascii="Times New Roman" w:eastAsia="Times New Roman" w:hAnsi="Times New Roman" w:cs="Times New Roman"/>
          <w:noProof/>
          <w:color w:val="000000" w:themeColor="text1"/>
          <w:sz w:val="24"/>
          <w:szCs w:val="24"/>
        </w:rPr>
        <w:t>,</w:t>
      </w:r>
      <w:r w:rsidR="00680402">
        <w:rPr>
          <w:rFonts w:ascii="Times New Roman" w:eastAsia="Times New Roman" w:hAnsi="Times New Roman" w:cs="Times New Roman"/>
          <w:noProof/>
          <w:color w:val="000000" w:themeColor="text1"/>
          <w:sz w:val="24"/>
          <w:szCs w:val="24"/>
        </w:rPr>
        <w:t xml:space="preserve"> The Royal Decameron Isle</w:t>
      </w:r>
      <w:r w:rsidR="00680402">
        <w:rPr>
          <w:rFonts w:ascii="Times New Roman" w:eastAsia="Times New Roman" w:hAnsi="Times New Roman" w:cs="Times New Roman"/>
          <w:noProof/>
          <w:color w:val="000000" w:themeColor="text1"/>
          <w:sz w:val="24"/>
          <w:szCs w:val="24"/>
          <w:lang w:val="es-ES"/>
        </w:rPr>
        <w:t xml:space="preserve">ño </w:t>
      </w:r>
      <w:r w:rsidR="00680402">
        <w:rPr>
          <w:rFonts w:ascii="Times New Roman" w:eastAsia="Times New Roman" w:hAnsi="Times New Roman" w:cs="Times New Roman"/>
          <w:noProof/>
          <w:color w:val="000000" w:themeColor="text1"/>
          <w:sz w:val="24"/>
          <w:szCs w:val="24"/>
        </w:rPr>
        <w:t>Hotel, San Andres, Colombia, 5</w:t>
      </w:r>
      <w:r w:rsidR="00680402" w:rsidRPr="006968D1">
        <w:rPr>
          <w:rFonts w:ascii="Times New Roman" w:eastAsia="Times New Roman" w:hAnsi="Times New Roman" w:cs="Times New Roman"/>
          <w:noProof/>
          <w:color w:val="000000" w:themeColor="text1"/>
          <w:sz w:val="24"/>
          <w:szCs w:val="24"/>
        </w:rPr>
        <w:t>–</w:t>
      </w:r>
      <w:r w:rsidR="00680402">
        <w:rPr>
          <w:rFonts w:ascii="Times New Roman" w:eastAsia="Times New Roman" w:hAnsi="Times New Roman" w:cs="Times New Roman"/>
          <w:noProof/>
          <w:color w:val="000000" w:themeColor="text1"/>
          <w:sz w:val="24"/>
          <w:szCs w:val="24"/>
        </w:rPr>
        <w:t>9 November.</w:t>
      </w:r>
    </w:p>
    <w:p w14:paraId="24385438" w14:textId="1A7D9F1C"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61.</w:t>
      </w:r>
      <w:r w:rsidRPr="006968D1">
        <w:rPr>
          <w:rFonts w:ascii="Times New Roman" w:eastAsia="Times New Roman" w:hAnsi="Times New Roman" w:cs="Times New Roman"/>
          <w:noProof/>
          <w:color w:val="000000" w:themeColor="text1"/>
          <w:sz w:val="24"/>
          <w:szCs w:val="24"/>
        </w:rPr>
        <w:tab/>
        <w:t xml:space="preserve">Bernal MA, Gaither MR, Simison WB, Rocha LA. 2017 Introgression and selection shaped the evolutionary history of sympatric sister-species of coral reef fishes (genus: </w:t>
      </w:r>
      <w:r w:rsidRPr="00680402">
        <w:rPr>
          <w:rFonts w:ascii="Times New Roman" w:eastAsia="Times New Roman" w:hAnsi="Times New Roman" w:cs="Times New Roman"/>
          <w:i/>
          <w:iCs/>
          <w:noProof/>
          <w:color w:val="000000" w:themeColor="text1"/>
          <w:sz w:val="24"/>
          <w:szCs w:val="24"/>
        </w:rPr>
        <w:t>Haemulon</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i/>
          <w:iCs/>
          <w:noProof/>
          <w:color w:val="000000" w:themeColor="text1"/>
          <w:sz w:val="24"/>
          <w:szCs w:val="24"/>
        </w:rPr>
        <w:t>Mol. Ecol.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26</w:t>
      </w:r>
      <w:r w:rsidRPr="006968D1">
        <w:rPr>
          <w:rFonts w:ascii="Times New Roman" w:eastAsia="Times New Roman" w:hAnsi="Times New Roman" w:cs="Times New Roman"/>
          <w:noProof/>
          <w:color w:val="000000" w:themeColor="text1"/>
          <w:sz w:val="24"/>
          <w:szCs w:val="24"/>
        </w:rPr>
        <w:t>, 639–652. (doi:10.1111/mec.13937)</w:t>
      </w:r>
    </w:p>
    <w:p w14:paraId="2003B7FF" w14:textId="46B2419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62.</w:t>
      </w:r>
      <w:r w:rsidRPr="006968D1">
        <w:rPr>
          <w:rFonts w:ascii="Times New Roman" w:eastAsia="Times New Roman" w:hAnsi="Times New Roman" w:cs="Times New Roman"/>
          <w:noProof/>
          <w:color w:val="000000" w:themeColor="text1"/>
          <w:sz w:val="24"/>
          <w:szCs w:val="24"/>
        </w:rPr>
        <w:tab/>
        <w:t xml:space="preserve">Cowen RK. 2006 Scaling of Connectivity in Marine Populations. </w:t>
      </w:r>
      <w:r w:rsidRPr="006968D1">
        <w:rPr>
          <w:rFonts w:ascii="Times New Roman" w:eastAsia="Times New Roman" w:hAnsi="Times New Roman" w:cs="Times New Roman"/>
          <w:i/>
          <w:iCs/>
          <w:noProof/>
          <w:color w:val="000000" w:themeColor="text1"/>
          <w:sz w:val="24"/>
          <w:szCs w:val="24"/>
        </w:rPr>
        <w:t>Science</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311</w:t>
      </w:r>
      <w:r w:rsidRPr="006968D1">
        <w:rPr>
          <w:rFonts w:ascii="Times New Roman" w:eastAsia="Times New Roman" w:hAnsi="Times New Roman" w:cs="Times New Roman"/>
          <w:noProof/>
          <w:color w:val="000000" w:themeColor="text1"/>
          <w:sz w:val="24"/>
          <w:szCs w:val="24"/>
        </w:rPr>
        <w:t>, 522–527. (doi:10.1126/science.1122039)</w:t>
      </w:r>
    </w:p>
    <w:p w14:paraId="49B66856"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63.</w:t>
      </w:r>
      <w:r w:rsidRPr="006968D1">
        <w:rPr>
          <w:rFonts w:ascii="Times New Roman" w:eastAsia="Times New Roman" w:hAnsi="Times New Roman" w:cs="Times New Roman"/>
          <w:noProof/>
          <w:color w:val="000000" w:themeColor="text1"/>
          <w:sz w:val="24"/>
          <w:szCs w:val="24"/>
        </w:rPr>
        <w:tab/>
        <w:t xml:space="preserve">Cowen RK, Sponaugle S. 2009 Larval Dispersal and Marine Population Connectivity. </w:t>
      </w:r>
      <w:r w:rsidRPr="006968D1">
        <w:rPr>
          <w:rFonts w:ascii="Times New Roman" w:eastAsia="Times New Roman" w:hAnsi="Times New Roman" w:cs="Times New Roman"/>
          <w:i/>
          <w:iCs/>
          <w:noProof/>
          <w:color w:val="000000" w:themeColor="text1"/>
          <w:sz w:val="24"/>
          <w:szCs w:val="24"/>
        </w:rPr>
        <w:t>Ann. Rev. Mar. Sci.</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1</w:t>
      </w:r>
      <w:r w:rsidRPr="006968D1">
        <w:rPr>
          <w:rFonts w:ascii="Times New Roman" w:eastAsia="Times New Roman" w:hAnsi="Times New Roman" w:cs="Times New Roman"/>
          <w:noProof/>
          <w:color w:val="000000" w:themeColor="text1"/>
          <w:sz w:val="24"/>
          <w:szCs w:val="24"/>
        </w:rPr>
        <w:t>, 443–466. (doi:10.1146/annurev.marine.010908.163757)</w:t>
      </w:r>
    </w:p>
    <w:p w14:paraId="75CD75A5" w14:textId="4BE7FD29"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64.</w:t>
      </w:r>
      <w:r w:rsidRPr="006968D1">
        <w:rPr>
          <w:rFonts w:ascii="Times New Roman" w:eastAsia="Times New Roman" w:hAnsi="Times New Roman" w:cs="Times New Roman"/>
          <w:noProof/>
          <w:color w:val="000000" w:themeColor="text1"/>
          <w:sz w:val="24"/>
          <w:szCs w:val="24"/>
        </w:rPr>
        <w:tab/>
        <w:t xml:space="preserve">Betancur-r R, Hines A, P AA, Ortı G, Wilbur AE, Freshwater DW. 2011 Reconstructing the lionfish invasion: insights into Greater Caribbean biogeography. </w:t>
      </w:r>
      <w:r w:rsidRPr="006968D1">
        <w:rPr>
          <w:rFonts w:ascii="Times New Roman" w:eastAsia="Times New Roman" w:hAnsi="Times New Roman" w:cs="Times New Roman"/>
          <w:i/>
          <w:iCs/>
          <w:noProof/>
          <w:color w:val="000000" w:themeColor="text1"/>
          <w:sz w:val="24"/>
          <w:szCs w:val="24"/>
        </w:rPr>
        <w:t>J. Biogeogr.</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38</w:t>
      </w:r>
      <w:r w:rsidRPr="006968D1">
        <w:rPr>
          <w:rFonts w:ascii="Times New Roman" w:eastAsia="Times New Roman" w:hAnsi="Times New Roman" w:cs="Times New Roman"/>
          <w:noProof/>
          <w:color w:val="000000" w:themeColor="text1"/>
          <w:sz w:val="24"/>
          <w:szCs w:val="24"/>
        </w:rPr>
        <w:t>, 1281–1293. (doi:10.1111/j.1365-2699.2011.02496.x)</w:t>
      </w:r>
    </w:p>
    <w:p w14:paraId="662722F1"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65.</w:t>
      </w:r>
      <w:r w:rsidRPr="006968D1">
        <w:rPr>
          <w:rFonts w:ascii="Times New Roman" w:eastAsia="Times New Roman" w:hAnsi="Times New Roman" w:cs="Times New Roman"/>
          <w:noProof/>
          <w:color w:val="000000" w:themeColor="text1"/>
          <w:sz w:val="24"/>
          <w:szCs w:val="24"/>
        </w:rPr>
        <w:tab/>
        <w:t xml:space="preserve">Spalding MD </w:t>
      </w:r>
      <w:r w:rsidRPr="006968D1">
        <w:rPr>
          <w:rFonts w:ascii="Times New Roman" w:eastAsia="Times New Roman" w:hAnsi="Times New Roman" w:cs="Times New Roman"/>
          <w:i/>
          <w:iCs/>
          <w:noProof/>
          <w:color w:val="000000" w:themeColor="text1"/>
          <w:sz w:val="24"/>
          <w:szCs w:val="24"/>
        </w:rPr>
        <w:t>et al.</w:t>
      </w:r>
      <w:r w:rsidRPr="006968D1">
        <w:rPr>
          <w:rFonts w:ascii="Times New Roman" w:eastAsia="Times New Roman" w:hAnsi="Times New Roman" w:cs="Times New Roman"/>
          <w:noProof/>
          <w:color w:val="000000" w:themeColor="text1"/>
          <w:sz w:val="24"/>
          <w:szCs w:val="24"/>
        </w:rPr>
        <w:t xml:space="preserve"> 2007 Marine Ecoregions of the World : A Bioregionalization of Coastal and Shelf Areas. </w:t>
      </w:r>
      <w:r w:rsidRPr="006968D1">
        <w:rPr>
          <w:rFonts w:ascii="Times New Roman" w:eastAsia="Times New Roman" w:hAnsi="Times New Roman" w:cs="Times New Roman"/>
          <w:b/>
          <w:bCs/>
          <w:noProof/>
          <w:color w:val="000000" w:themeColor="text1"/>
          <w:sz w:val="24"/>
          <w:szCs w:val="24"/>
        </w:rPr>
        <w:t>57</w:t>
      </w:r>
      <w:r w:rsidRPr="006968D1">
        <w:rPr>
          <w:rFonts w:ascii="Times New Roman" w:eastAsia="Times New Roman" w:hAnsi="Times New Roman" w:cs="Times New Roman"/>
          <w:noProof/>
          <w:color w:val="000000" w:themeColor="text1"/>
          <w:sz w:val="24"/>
          <w:szCs w:val="24"/>
        </w:rPr>
        <w:t>, 573–583.</w:t>
      </w:r>
    </w:p>
    <w:p w14:paraId="067455E4" w14:textId="3032D9CA"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66.</w:t>
      </w:r>
      <w:r w:rsidRPr="006968D1">
        <w:rPr>
          <w:rFonts w:ascii="Times New Roman" w:eastAsia="Times New Roman" w:hAnsi="Times New Roman" w:cs="Times New Roman"/>
          <w:noProof/>
          <w:color w:val="000000" w:themeColor="text1"/>
          <w:sz w:val="24"/>
          <w:szCs w:val="24"/>
        </w:rPr>
        <w:tab/>
        <w:t xml:space="preserve">Alva-campbell Y, Floeter SR, Robertson DR, Bellwood DR, Bernardi G. 2010 Molecular Phylogenetics and Evolution Molecular phylogenetics and evolution of </w:t>
      </w:r>
      <w:r w:rsidRPr="008E6ECE">
        <w:rPr>
          <w:rFonts w:ascii="Times New Roman" w:eastAsia="Times New Roman" w:hAnsi="Times New Roman" w:cs="Times New Roman"/>
          <w:i/>
          <w:iCs/>
          <w:noProof/>
          <w:color w:val="000000" w:themeColor="text1"/>
          <w:sz w:val="24"/>
          <w:szCs w:val="24"/>
        </w:rPr>
        <w:t>Holacanthus</w:t>
      </w:r>
      <w:r w:rsidRPr="006968D1">
        <w:rPr>
          <w:rFonts w:ascii="Times New Roman" w:eastAsia="Times New Roman" w:hAnsi="Times New Roman" w:cs="Times New Roman"/>
          <w:noProof/>
          <w:color w:val="000000" w:themeColor="text1"/>
          <w:sz w:val="24"/>
          <w:szCs w:val="24"/>
        </w:rPr>
        <w:t xml:space="preserve"> angelfishes (Pomacanthidae). </w:t>
      </w:r>
      <w:r w:rsidRPr="006968D1">
        <w:rPr>
          <w:rFonts w:ascii="Times New Roman" w:eastAsia="Times New Roman" w:hAnsi="Times New Roman" w:cs="Times New Roman"/>
          <w:i/>
          <w:iCs/>
          <w:noProof/>
          <w:color w:val="000000" w:themeColor="text1"/>
          <w:sz w:val="24"/>
          <w:szCs w:val="24"/>
        </w:rPr>
        <w:t>Mol. Phylogenet. Evol.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56</w:t>
      </w:r>
      <w:r w:rsidRPr="006968D1">
        <w:rPr>
          <w:rFonts w:ascii="Times New Roman" w:eastAsia="Times New Roman" w:hAnsi="Times New Roman" w:cs="Times New Roman"/>
          <w:noProof/>
          <w:color w:val="000000" w:themeColor="text1"/>
          <w:sz w:val="24"/>
          <w:szCs w:val="24"/>
        </w:rPr>
        <w:t>, 456–461. (doi:10.1016/j.ympev.2010.02.014)</w:t>
      </w:r>
    </w:p>
    <w:p w14:paraId="380FB33E" w14:textId="77777777"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67.</w:t>
      </w:r>
      <w:r w:rsidRPr="006968D1">
        <w:rPr>
          <w:rFonts w:ascii="Times New Roman" w:eastAsia="Times New Roman" w:hAnsi="Times New Roman" w:cs="Times New Roman"/>
          <w:noProof/>
          <w:color w:val="000000" w:themeColor="text1"/>
          <w:sz w:val="24"/>
          <w:szCs w:val="24"/>
        </w:rPr>
        <w:tab/>
        <w:t xml:space="preserve">Jackson ND, Carstens BC, Morales AE, O’Meara BC. 2017 Species Delimitation with Gene Flow. </w:t>
      </w:r>
      <w:r w:rsidRPr="006968D1">
        <w:rPr>
          <w:rFonts w:ascii="Times New Roman" w:eastAsia="Times New Roman" w:hAnsi="Times New Roman" w:cs="Times New Roman"/>
          <w:i/>
          <w:iCs/>
          <w:noProof/>
          <w:color w:val="000000" w:themeColor="text1"/>
          <w:sz w:val="24"/>
          <w:szCs w:val="24"/>
        </w:rPr>
        <w:t>Syst. Biol.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66</w:t>
      </w:r>
      <w:r w:rsidRPr="006968D1">
        <w:rPr>
          <w:rFonts w:ascii="Times New Roman" w:eastAsia="Times New Roman" w:hAnsi="Times New Roman" w:cs="Times New Roman"/>
          <w:noProof/>
          <w:color w:val="000000" w:themeColor="text1"/>
          <w:sz w:val="24"/>
          <w:szCs w:val="24"/>
        </w:rPr>
        <w:t>, 799–812. (doi:10.1093/sysbio/syw117)</w:t>
      </w:r>
    </w:p>
    <w:p w14:paraId="6157BEB8" w14:textId="35B34495"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6</w:t>
      </w:r>
      <w:r w:rsidR="00792D47">
        <w:rPr>
          <w:rFonts w:ascii="Times New Roman" w:eastAsia="Times New Roman" w:hAnsi="Times New Roman" w:cs="Times New Roman"/>
          <w:noProof/>
          <w:color w:val="000000" w:themeColor="text1"/>
          <w:sz w:val="24"/>
          <w:szCs w:val="24"/>
        </w:rPr>
        <w:t>8</w:t>
      </w:r>
      <w:r w:rsidRPr="006968D1">
        <w:rPr>
          <w:rFonts w:ascii="Times New Roman" w:eastAsia="Times New Roman" w:hAnsi="Times New Roman" w:cs="Times New Roman"/>
          <w:noProof/>
          <w:color w:val="000000" w:themeColor="text1"/>
          <w:sz w:val="24"/>
          <w:szCs w:val="24"/>
        </w:rPr>
        <w:t>.</w:t>
      </w:r>
      <w:r w:rsidRPr="006968D1">
        <w:rPr>
          <w:rFonts w:ascii="Times New Roman" w:eastAsia="Times New Roman" w:hAnsi="Times New Roman" w:cs="Times New Roman"/>
          <w:noProof/>
          <w:color w:val="000000" w:themeColor="text1"/>
          <w:sz w:val="24"/>
          <w:szCs w:val="24"/>
        </w:rPr>
        <w:tab/>
        <w:t xml:space="preserve">Gibbons A. 2011 A New View Of the Birth of </w:t>
      </w:r>
      <w:r w:rsidRPr="008E6ECE">
        <w:rPr>
          <w:rFonts w:ascii="Times New Roman" w:eastAsia="Times New Roman" w:hAnsi="Times New Roman" w:cs="Times New Roman"/>
          <w:i/>
          <w:iCs/>
          <w:noProof/>
          <w:color w:val="000000" w:themeColor="text1"/>
          <w:sz w:val="24"/>
          <w:szCs w:val="24"/>
        </w:rPr>
        <w:t>Homo sapiens</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i/>
          <w:iCs/>
          <w:noProof/>
          <w:color w:val="000000" w:themeColor="text1"/>
          <w:sz w:val="24"/>
          <w:szCs w:val="24"/>
        </w:rPr>
        <w:t xml:space="preserve">Science </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331</w:t>
      </w:r>
      <w:r w:rsidRPr="006968D1">
        <w:rPr>
          <w:rFonts w:ascii="Times New Roman" w:eastAsia="Times New Roman" w:hAnsi="Times New Roman" w:cs="Times New Roman"/>
          <w:noProof/>
          <w:color w:val="000000" w:themeColor="text1"/>
          <w:sz w:val="24"/>
          <w:szCs w:val="24"/>
        </w:rPr>
        <w:t>, 392–394. (doi:10.1126/science.331.6016.392)</w:t>
      </w:r>
    </w:p>
    <w:p w14:paraId="7E3C777A" w14:textId="2890E33C" w:rsidR="006968D1" w:rsidRPr="006968D1" w:rsidRDefault="00D975D7"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Pr>
          <w:rFonts w:ascii="Times New Roman" w:eastAsia="Times New Roman" w:hAnsi="Times New Roman" w:cs="Times New Roman"/>
          <w:noProof/>
          <w:color w:val="000000" w:themeColor="text1"/>
          <w:sz w:val="24"/>
          <w:szCs w:val="24"/>
        </w:rPr>
        <w:t>69</w:t>
      </w:r>
      <w:r w:rsidR="006968D1" w:rsidRPr="006968D1">
        <w:rPr>
          <w:rFonts w:ascii="Times New Roman" w:eastAsia="Times New Roman" w:hAnsi="Times New Roman" w:cs="Times New Roman"/>
          <w:noProof/>
          <w:color w:val="000000" w:themeColor="text1"/>
          <w:sz w:val="24"/>
          <w:szCs w:val="24"/>
        </w:rPr>
        <w:t>.</w:t>
      </w:r>
      <w:r w:rsidR="006968D1" w:rsidRPr="006968D1">
        <w:rPr>
          <w:rFonts w:ascii="Times New Roman" w:eastAsia="Times New Roman" w:hAnsi="Times New Roman" w:cs="Times New Roman"/>
          <w:noProof/>
          <w:color w:val="000000" w:themeColor="text1"/>
          <w:sz w:val="24"/>
          <w:szCs w:val="24"/>
        </w:rPr>
        <w:tab/>
        <w:t xml:space="preserve">Darwin C. 1859 </w:t>
      </w:r>
      <w:r w:rsidR="006968D1" w:rsidRPr="006968D1">
        <w:rPr>
          <w:rFonts w:ascii="Times New Roman" w:eastAsia="Times New Roman" w:hAnsi="Times New Roman" w:cs="Times New Roman"/>
          <w:i/>
          <w:iCs/>
          <w:noProof/>
          <w:color w:val="000000" w:themeColor="text1"/>
          <w:sz w:val="24"/>
          <w:szCs w:val="24"/>
        </w:rPr>
        <w:t>The Origin of Species</w:t>
      </w:r>
      <w:r w:rsidR="006968D1" w:rsidRPr="006968D1">
        <w:rPr>
          <w:rFonts w:ascii="Times New Roman" w:eastAsia="Times New Roman" w:hAnsi="Times New Roman" w:cs="Times New Roman"/>
          <w:noProof/>
          <w:color w:val="000000" w:themeColor="text1"/>
          <w:sz w:val="24"/>
          <w:szCs w:val="24"/>
        </w:rPr>
        <w:t xml:space="preserve">. </w:t>
      </w:r>
      <w:r w:rsidR="008E6ECE">
        <w:rPr>
          <w:rFonts w:ascii="Times New Roman" w:eastAsia="Times New Roman" w:hAnsi="Times New Roman" w:cs="Times New Roman"/>
          <w:noProof/>
          <w:color w:val="000000" w:themeColor="text1"/>
          <w:sz w:val="24"/>
          <w:szCs w:val="24"/>
        </w:rPr>
        <w:t>London, UK: John Murray.</w:t>
      </w:r>
    </w:p>
    <w:p w14:paraId="70C06CF7" w14:textId="6D277A6B"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lang w:val="es-ES"/>
        </w:rPr>
        <w:t>7</w:t>
      </w:r>
      <w:r w:rsidR="00D975D7">
        <w:rPr>
          <w:rFonts w:ascii="Times New Roman" w:eastAsia="Times New Roman" w:hAnsi="Times New Roman" w:cs="Times New Roman"/>
          <w:noProof/>
          <w:color w:val="000000" w:themeColor="text1"/>
          <w:sz w:val="24"/>
          <w:szCs w:val="24"/>
          <w:lang w:val="es-ES"/>
        </w:rPr>
        <w:t>0</w:t>
      </w:r>
      <w:r w:rsidRPr="006968D1">
        <w:rPr>
          <w:rFonts w:ascii="Times New Roman" w:eastAsia="Times New Roman" w:hAnsi="Times New Roman" w:cs="Times New Roman"/>
          <w:noProof/>
          <w:color w:val="000000" w:themeColor="text1"/>
          <w:sz w:val="24"/>
          <w:szCs w:val="24"/>
          <w:lang w:val="es-ES"/>
        </w:rPr>
        <w:t>.</w:t>
      </w:r>
      <w:r w:rsidRPr="006968D1">
        <w:rPr>
          <w:rFonts w:ascii="Times New Roman" w:eastAsia="Times New Roman" w:hAnsi="Times New Roman" w:cs="Times New Roman"/>
          <w:noProof/>
          <w:color w:val="000000" w:themeColor="text1"/>
          <w:sz w:val="24"/>
          <w:szCs w:val="24"/>
          <w:lang w:val="es-ES"/>
        </w:rPr>
        <w:tab/>
        <w:t>NOAA. 2016</w:t>
      </w:r>
      <w:r w:rsidR="00792D47">
        <w:rPr>
          <w:rFonts w:ascii="Times New Roman" w:eastAsia="Times New Roman" w:hAnsi="Times New Roman" w:cs="Times New Roman"/>
          <w:noProof/>
          <w:color w:val="000000" w:themeColor="text1"/>
          <w:sz w:val="24"/>
          <w:szCs w:val="24"/>
          <w:lang w:val="es-ES"/>
        </w:rPr>
        <w:t xml:space="preserve"> Annual commercial landings by group. See</w:t>
      </w:r>
      <w:r w:rsidRPr="006968D1">
        <w:rPr>
          <w:rFonts w:ascii="Times New Roman" w:eastAsia="Times New Roman" w:hAnsi="Times New Roman" w:cs="Times New Roman"/>
          <w:noProof/>
          <w:color w:val="000000" w:themeColor="text1"/>
          <w:sz w:val="24"/>
          <w:szCs w:val="24"/>
          <w:lang w:val="es-ES"/>
        </w:rPr>
        <w:t xml:space="preserve"> https://www.st.nmfs.noaa.gov/commercial-fisheries/commercial-landings/annual-landings</w:t>
      </w:r>
      <w:r w:rsidR="00792D47">
        <w:rPr>
          <w:rFonts w:ascii="Times New Roman" w:eastAsia="Times New Roman" w:hAnsi="Times New Roman" w:cs="Times New Roman"/>
          <w:noProof/>
          <w:color w:val="000000" w:themeColor="text1"/>
          <w:sz w:val="24"/>
          <w:szCs w:val="24"/>
          <w:lang w:val="es-ES"/>
        </w:rPr>
        <w:t>.html.</w:t>
      </w:r>
    </w:p>
    <w:p w14:paraId="2121446E" w14:textId="0E4530EF"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7</w:t>
      </w:r>
      <w:r w:rsidR="00D975D7">
        <w:rPr>
          <w:rFonts w:ascii="Times New Roman" w:eastAsia="Times New Roman" w:hAnsi="Times New Roman" w:cs="Times New Roman"/>
          <w:noProof/>
          <w:color w:val="000000" w:themeColor="text1"/>
          <w:sz w:val="24"/>
          <w:szCs w:val="24"/>
        </w:rPr>
        <w:t>1</w:t>
      </w:r>
      <w:r w:rsidRPr="006968D1">
        <w:rPr>
          <w:rFonts w:ascii="Times New Roman" w:eastAsia="Times New Roman" w:hAnsi="Times New Roman" w:cs="Times New Roman"/>
          <w:noProof/>
          <w:color w:val="000000" w:themeColor="text1"/>
          <w:sz w:val="24"/>
          <w:szCs w:val="24"/>
        </w:rPr>
        <w:t>.</w:t>
      </w:r>
      <w:r w:rsidRPr="006968D1">
        <w:rPr>
          <w:rFonts w:ascii="Times New Roman" w:eastAsia="Times New Roman" w:hAnsi="Times New Roman" w:cs="Times New Roman"/>
          <w:noProof/>
          <w:color w:val="000000" w:themeColor="text1"/>
          <w:sz w:val="24"/>
          <w:szCs w:val="24"/>
        </w:rPr>
        <w:tab/>
        <w:t xml:space="preserve">Marko PB, Lee SC, Rice AM, Gramling JM, Fitzhenry TM, McAlister JS, Harper GR, Moran AL. 2004 Mislabelling of a depleted reef fish. </w:t>
      </w:r>
      <w:r w:rsidRPr="006968D1">
        <w:rPr>
          <w:rFonts w:ascii="Times New Roman" w:eastAsia="Times New Roman" w:hAnsi="Times New Roman" w:cs="Times New Roman"/>
          <w:i/>
          <w:iCs/>
          <w:noProof/>
          <w:color w:val="000000" w:themeColor="text1"/>
          <w:sz w:val="24"/>
          <w:szCs w:val="24"/>
        </w:rPr>
        <w:t>Nature</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430</w:t>
      </w:r>
      <w:r w:rsidRPr="006968D1">
        <w:rPr>
          <w:rFonts w:ascii="Times New Roman" w:eastAsia="Times New Roman" w:hAnsi="Times New Roman" w:cs="Times New Roman"/>
          <w:noProof/>
          <w:color w:val="000000" w:themeColor="text1"/>
          <w:sz w:val="24"/>
          <w:szCs w:val="24"/>
        </w:rPr>
        <w:t>, 309–310. (doi:10.1038/nature02689)</w:t>
      </w:r>
    </w:p>
    <w:p w14:paraId="144AFDD0" w14:textId="0B10290F" w:rsidR="006968D1" w:rsidRPr="006968D1" w:rsidRDefault="006968D1" w:rsidP="008C7DC4">
      <w:pPr>
        <w:widowControl w:val="0"/>
        <w:autoSpaceDE w:val="0"/>
        <w:autoSpaceDN w:val="0"/>
        <w:adjustRightInd w:val="0"/>
        <w:spacing w:before="120" w:after="120"/>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t>7</w:t>
      </w:r>
      <w:r w:rsidR="00D975D7">
        <w:rPr>
          <w:rFonts w:ascii="Times New Roman" w:eastAsia="Times New Roman" w:hAnsi="Times New Roman" w:cs="Times New Roman"/>
          <w:noProof/>
          <w:color w:val="000000" w:themeColor="text1"/>
          <w:sz w:val="24"/>
          <w:szCs w:val="24"/>
        </w:rPr>
        <w:t>2</w:t>
      </w:r>
      <w:r w:rsidRPr="006968D1">
        <w:rPr>
          <w:rFonts w:ascii="Times New Roman" w:eastAsia="Times New Roman" w:hAnsi="Times New Roman" w:cs="Times New Roman"/>
          <w:noProof/>
          <w:color w:val="000000" w:themeColor="text1"/>
          <w:sz w:val="24"/>
          <w:szCs w:val="24"/>
        </w:rPr>
        <w:t>.</w:t>
      </w:r>
      <w:r w:rsidRPr="006968D1">
        <w:rPr>
          <w:rFonts w:ascii="Times New Roman" w:eastAsia="Times New Roman" w:hAnsi="Times New Roman" w:cs="Times New Roman"/>
          <w:noProof/>
          <w:color w:val="000000" w:themeColor="text1"/>
          <w:sz w:val="24"/>
          <w:szCs w:val="24"/>
        </w:rPr>
        <w:tab/>
        <w:t>Garber AF, Tringali MD, Stuck KC. 2004 Population Structure and Variation in Red Snapper (</w:t>
      </w:r>
      <w:r w:rsidRPr="007C6FE9">
        <w:rPr>
          <w:rFonts w:ascii="Times New Roman" w:eastAsia="Times New Roman" w:hAnsi="Times New Roman" w:cs="Times New Roman"/>
          <w:i/>
          <w:iCs/>
          <w:noProof/>
          <w:color w:val="000000" w:themeColor="text1"/>
          <w:sz w:val="24"/>
          <w:szCs w:val="24"/>
        </w:rPr>
        <w:t>Lutjanus campechanus</w:t>
      </w:r>
      <w:r w:rsidRPr="006968D1">
        <w:rPr>
          <w:rFonts w:ascii="Times New Roman" w:eastAsia="Times New Roman" w:hAnsi="Times New Roman" w:cs="Times New Roman"/>
          <w:noProof/>
          <w:color w:val="000000" w:themeColor="text1"/>
          <w:sz w:val="24"/>
          <w:szCs w:val="24"/>
        </w:rPr>
        <w:t xml:space="preserve">) from the Gulf of Mexico and Atlantic Coast of Florida as Determined from Mitochondrial DNA Control Region Sequence. </w:t>
      </w:r>
      <w:r w:rsidRPr="006968D1">
        <w:rPr>
          <w:rFonts w:ascii="Times New Roman" w:eastAsia="Times New Roman" w:hAnsi="Times New Roman" w:cs="Times New Roman"/>
          <w:i/>
          <w:iCs/>
          <w:noProof/>
          <w:color w:val="000000" w:themeColor="text1"/>
          <w:sz w:val="24"/>
          <w:szCs w:val="24"/>
        </w:rPr>
        <w:t>Mar. Biotechnol.</w:t>
      </w:r>
      <w:r w:rsidRPr="006968D1">
        <w:rPr>
          <w:rFonts w:ascii="Times New Roman" w:eastAsia="Times New Roman" w:hAnsi="Times New Roman" w:cs="Times New Roman"/>
          <w:noProof/>
          <w:color w:val="000000" w:themeColor="text1"/>
          <w:sz w:val="24"/>
          <w:szCs w:val="24"/>
        </w:rPr>
        <w:t xml:space="preserve"> </w:t>
      </w:r>
      <w:r w:rsidRPr="006968D1">
        <w:rPr>
          <w:rFonts w:ascii="Times New Roman" w:eastAsia="Times New Roman" w:hAnsi="Times New Roman" w:cs="Times New Roman"/>
          <w:b/>
          <w:bCs/>
          <w:noProof/>
          <w:color w:val="000000" w:themeColor="text1"/>
          <w:sz w:val="24"/>
          <w:szCs w:val="24"/>
        </w:rPr>
        <w:t>6</w:t>
      </w:r>
      <w:r w:rsidRPr="006968D1">
        <w:rPr>
          <w:rFonts w:ascii="Times New Roman" w:eastAsia="Times New Roman" w:hAnsi="Times New Roman" w:cs="Times New Roman"/>
          <w:noProof/>
          <w:color w:val="000000" w:themeColor="text1"/>
          <w:sz w:val="24"/>
          <w:szCs w:val="24"/>
        </w:rPr>
        <w:t>, 175–185. (doi:10.1007/s10126-003-0023-7)</w:t>
      </w:r>
    </w:p>
    <w:p w14:paraId="7CF50EA8" w14:textId="486E8BE4" w:rsidR="00580472" w:rsidRDefault="006968D1" w:rsidP="008C7DC4">
      <w:pPr>
        <w:ind w:left="720" w:hanging="720"/>
        <w:jc w:val="both"/>
        <w:rPr>
          <w:rFonts w:ascii="Times New Roman" w:eastAsia="Times New Roman" w:hAnsi="Times New Roman" w:cs="Times New Roman"/>
          <w:noProof/>
          <w:color w:val="000000" w:themeColor="text1"/>
          <w:sz w:val="24"/>
          <w:szCs w:val="24"/>
        </w:rPr>
      </w:pPr>
      <w:r w:rsidRPr="006968D1">
        <w:rPr>
          <w:rFonts w:ascii="Times New Roman" w:eastAsia="Times New Roman" w:hAnsi="Times New Roman" w:cs="Times New Roman"/>
          <w:noProof/>
          <w:color w:val="000000" w:themeColor="text1"/>
          <w:sz w:val="24"/>
          <w:szCs w:val="24"/>
        </w:rPr>
        <w:lastRenderedPageBreak/>
        <w:t>7</w:t>
      </w:r>
      <w:r w:rsidR="00D975D7">
        <w:rPr>
          <w:rFonts w:ascii="Times New Roman" w:eastAsia="Times New Roman" w:hAnsi="Times New Roman" w:cs="Times New Roman"/>
          <w:noProof/>
          <w:color w:val="000000" w:themeColor="text1"/>
          <w:sz w:val="24"/>
          <w:szCs w:val="24"/>
        </w:rPr>
        <w:t>3</w:t>
      </w:r>
      <w:r w:rsidRPr="006968D1">
        <w:rPr>
          <w:rFonts w:ascii="Times New Roman" w:eastAsia="Times New Roman" w:hAnsi="Times New Roman" w:cs="Times New Roman"/>
          <w:noProof/>
          <w:color w:val="000000" w:themeColor="text1"/>
          <w:sz w:val="24"/>
          <w:szCs w:val="24"/>
        </w:rPr>
        <w:t>.</w:t>
      </w:r>
      <w:r w:rsidRPr="006968D1">
        <w:rPr>
          <w:rFonts w:ascii="Times New Roman" w:eastAsia="Times New Roman" w:hAnsi="Times New Roman" w:cs="Times New Roman"/>
          <w:noProof/>
          <w:color w:val="000000" w:themeColor="text1"/>
          <w:sz w:val="24"/>
          <w:szCs w:val="24"/>
        </w:rPr>
        <w:tab/>
        <w:t xml:space="preserve">US Food and Drug Administration. 1980 Compliance Policy Guide 540.475 Snapper - Labeling. See </w:t>
      </w:r>
      <w:r w:rsidR="00533482" w:rsidRPr="00533482">
        <w:rPr>
          <w:rFonts w:ascii="Times New Roman" w:eastAsia="Times New Roman" w:hAnsi="Times New Roman" w:cs="Times New Roman"/>
          <w:noProof/>
          <w:color w:val="000000" w:themeColor="text1"/>
          <w:sz w:val="24"/>
          <w:szCs w:val="24"/>
        </w:rPr>
        <w:t>https://www.fda.gov/ICECI/ComplianceManuals/CompliancePolicyGuidanceManual/ucm074504.htm</w:t>
      </w:r>
      <w:r w:rsidRPr="006968D1">
        <w:rPr>
          <w:rFonts w:ascii="Times New Roman" w:eastAsia="Times New Roman" w:hAnsi="Times New Roman" w:cs="Times New Roman"/>
          <w:noProof/>
          <w:color w:val="000000" w:themeColor="text1"/>
          <w:sz w:val="24"/>
          <w:szCs w:val="24"/>
        </w:rPr>
        <w:t>.</w:t>
      </w:r>
    </w:p>
    <w:p w14:paraId="6E4D89B4"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7E7345AE"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227BC94B"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6E3BA9F0"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6C975A55"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6727B645"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02471268"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585E503C"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64B35785"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38EE9694"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69A9379F"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564865DB"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519CA2C6"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5FA7D1F6"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4D051AE3"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166E4DAC"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2B72C61A"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7EE405EC"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5CBF8524"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1A750673" w14:textId="77777777" w:rsidR="00533482" w:rsidRDefault="00533482" w:rsidP="008C7DC4">
      <w:pPr>
        <w:ind w:left="720" w:hanging="720"/>
        <w:jc w:val="both"/>
        <w:rPr>
          <w:rFonts w:ascii="Times New Roman" w:eastAsia="Times New Roman" w:hAnsi="Times New Roman" w:cs="Times New Roman"/>
          <w:noProof/>
          <w:color w:val="000000" w:themeColor="text1"/>
          <w:sz w:val="24"/>
          <w:szCs w:val="24"/>
        </w:rPr>
      </w:pPr>
    </w:p>
    <w:p w14:paraId="5C858FC7" w14:textId="77777777" w:rsidR="00AD1EBD" w:rsidRDefault="00AD1EBD" w:rsidP="008C7DC4">
      <w:pPr>
        <w:ind w:left="720" w:hanging="720"/>
        <w:jc w:val="both"/>
        <w:rPr>
          <w:rFonts w:ascii="Times New Roman" w:eastAsia="Times New Roman" w:hAnsi="Times New Roman" w:cs="Times New Roman"/>
          <w:noProof/>
          <w:color w:val="000000" w:themeColor="text1"/>
          <w:sz w:val="24"/>
          <w:szCs w:val="24"/>
        </w:rPr>
      </w:pPr>
    </w:p>
    <w:p w14:paraId="4117722E" w14:textId="77777777" w:rsidR="00AD1EBD" w:rsidRDefault="00AD1EBD" w:rsidP="008C7DC4">
      <w:pPr>
        <w:ind w:left="720" w:hanging="720"/>
        <w:jc w:val="both"/>
        <w:rPr>
          <w:rFonts w:ascii="Times New Roman" w:eastAsia="Times New Roman" w:hAnsi="Times New Roman" w:cs="Times New Roman"/>
          <w:noProof/>
          <w:color w:val="000000" w:themeColor="text1"/>
          <w:sz w:val="24"/>
          <w:szCs w:val="24"/>
        </w:rPr>
      </w:pPr>
    </w:p>
    <w:p w14:paraId="57AA1FAE" w14:textId="77777777" w:rsidR="00AD1EBD" w:rsidRDefault="00AD1EBD" w:rsidP="008C7DC4">
      <w:pPr>
        <w:ind w:left="720" w:hanging="720"/>
        <w:jc w:val="both"/>
        <w:rPr>
          <w:rFonts w:ascii="Times New Roman" w:eastAsia="Times New Roman" w:hAnsi="Times New Roman" w:cs="Times New Roman"/>
          <w:noProof/>
          <w:color w:val="000000" w:themeColor="text1"/>
          <w:sz w:val="24"/>
          <w:szCs w:val="24"/>
        </w:rPr>
      </w:pPr>
    </w:p>
    <w:p w14:paraId="4D9F96DA" w14:textId="77777777" w:rsidR="00AD1EBD" w:rsidRDefault="00AD1EBD" w:rsidP="008C7DC4">
      <w:pPr>
        <w:ind w:left="720" w:hanging="720"/>
        <w:jc w:val="both"/>
        <w:rPr>
          <w:rFonts w:ascii="Times New Roman" w:eastAsia="Times New Roman" w:hAnsi="Times New Roman" w:cs="Times New Roman"/>
          <w:noProof/>
          <w:color w:val="000000" w:themeColor="text1"/>
          <w:sz w:val="24"/>
          <w:szCs w:val="24"/>
        </w:rPr>
      </w:pPr>
    </w:p>
    <w:p w14:paraId="10A27D9F" w14:textId="119EB2B9" w:rsidR="00533482" w:rsidRDefault="00533482" w:rsidP="00533482">
      <w:pPr>
        <w:rPr>
          <w:rFonts w:asciiTheme="majorBidi" w:hAnsiTheme="majorBidi" w:cstheme="majorBidi"/>
          <w:b/>
          <w:bCs/>
          <w:sz w:val="56"/>
          <w:szCs w:val="56"/>
        </w:rPr>
      </w:pPr>
      <w:r>
        <w:rPr>
          <w:rFonts w:asciiTheme="majorBidi" w:hAnsiTheme="majorBidi" w:cstheme="majorBidi"/>
          <w:b/>
          <w:bCs/>
          <w:sz w:val="56"/>
          <w:szCs w:val="56"/>
        </w:rPr>
        <w:lastRenderedPageBreak/>
        <w:t>Chapter 2</w:t>
      </w:r>
    </w:p>
    <w:p w14:paraId="44B9E7D8" w14:textId="77777777" w:rsidR="00533482" w:rsidRDefault="00533482" w:rsidP="00533482">
      <w:pPr>
        <w:rPr>
          <w:rFonts w:asciiTheme="majorBidi" w:hAnsiTheme="majorBidi" w:cstheme="majorBidi"/>
          <w:b/>
          <w:bCs/>
          <w:sz w:val="56"/>
          <w:szCs w:val="56"/>
        </w:rPr>
      </w:pPr>
    </w:p>
    <w:p w14:paraId="2B003451" w14:textId="7BA87F48" w:rsidR="00533482" w:rsidRDefault="00AB0FCE" w:rsidP="00533482">
      <w:pPr>
        <w:rPr>
          <w:rFonts w:asciiTheme="majorBidi" w:hAnsiTheme="majorBidi" w:cstheme="majorBidi"/>
          <w:b/>
          <w:bCs/>
          <w:sz w:val="56"/>
          <w:szCs w:val="56"/>
        </w:rPr>
      </w:pPr>
      <w:r>
        <w:rPr>
          <w:rFonts w:asciiTheme="majorBidi" w:hAnsiTheme="majorBidi" w:cstheme="majorBidi"/>
          <w:b/>
          <w:bCs/>
          <w:sz w:val="56"/>
          <w:szCs w:val="56"/>
        </w:rPr>
        <w:t>Genome-wide species delimitation analyses of a silverside fish species complex in central Mexico indicate taxonomic over-splitting</w:t>
      </w:r>
    </w:p>
    <w:p w14:paraId="41E3E204" w14:textId="77777777" w:rsidR="00533482" w:rsidRDefault="00533482" w:rsidP="00533482">
      <w:pPr>
        <w:rPr>
          <w:rFonts w:asciiTheme="majorBidi" w:hAnsiTheme="majorBidi" w:cstheme="majorBidi"/>
          <w:b/>
          <w:bCs/>
          <w:sz w:val="24"/>
          <w:szCs w:val="24"/>
        </w:rPr>
      </w:pPr>
    </w:p>
    <w:p w14:paraId="6D3E4ED7" w14:textId="2C70C107" w:rsidR="00533482" w:rsidRDefault="00533482" w:rsidP="00533482">
      <w:pPr>
        <w:ind w:left="720" w:hanging="720"/>
        <w:jc w:val="both"/>
        <w:rPr>
          <w:rFonts w:ascii="Times New Roman" w:hAnsi="Times New Roman" w:cs="Times New Roman"/>
          <w:sz w:val="24"/>
          <w:szCs w:val="24"/>
        </w:rPr>
      </w:pPr>
      <w:r>
        <w:rPr>
          <w:rFonts w:ascii="Times New Roman" w:hAnsi="Times New Roman" w:cs="Times New Roman"/>
          <w:sz w:val="24"/>
          <w:szCs w:val="24"/>
        </w:rPr>
        <w:t>Published in</w:t>
      </w:r>
      <w:r w:rsidR="00AB0FCE">
        <w:rPr>
          <w:rFonts w:ascii="Times New Roman" w:hAnsi="Times New Roman" w:cs="Times New Roman"/>
          <w:sz w:val="24"/>
          <w:szCs w:val="24"/>
        </w:rPr>
        <w:t xml:space="preserve"> </w:t>
      </w:r>
      <w:r w:rsidR="00AB0FCE" w:rsidRPr="00AB0FCE">
        <w:rPr>
          <w:rFonts w:ascii="Times New Roman" w:hAnsi="Times New Roman" w:cs="Times New Roman"/>
          <w:i/>
          <w:iCs/>
          <w:sz w:val="24"/>
          <w:szCs w:val="24"/>
        </w:rPr>
        <w:t>BMC Ecology and Evolution</w:t>
      </w:r>
      <w:r w:rsidR="001D0AD6">
        <w:rPr>
          <w:rFonts w:ascii="Times New Roman" w:hAnsi="Times New Roman" w:cs="Times New Roman"/>
          <w:i/>
          <w:iCs/>
          <w:sz w:val="24"/>
          <w:szCs w:val="24"/>
        </w:rPr>
        <w:t xml:space="preserve"> </w:t>
      </w:r>
      <w:r w:rsidR="001D0AD6">
        <w:rPr>
          <w:rFonts w:ascii="Times New Roman" w:hAnsi="Times New Roman" w:cs="Times New Roman"/>
          <w:sz w:val="24"/>
          <w:szCs w:val="24"/>
        </w:rPr>
        <w:t>(</w:t>
      </w:r>
      <w:r w:rsidR="001D0AD6" w:rsidRPr="001D0AD6">
        <w:rPr>
          <w:rFonts w:ascii="Times New Roman" w:hAnsi="Times New Roman" w:cs="Times New Roman"/>
          <w:sz w:val="24"/>
          <w:szCs w:val="24"/>
        </w:rPr>
        <w:t>https://doi.org/10.1186/s12862-022-02063-0</w:t>
      </w:r>
      <w:r w:rsidR="001D0AD6">
        <w:rPr>
          <w:rFonts w:ascii="Times New Roman" w:hAnsi="Times New Roman" w:cs="Times New Roman"/>
          <w:sz w:val="24"/>
          <w:szCs w:val="24"/>
        </w:rPr>
        <w:t>)</w:t>
      </w:r>
    </w:p>
    <w:p w14:paraId="26E3B2E2" w14:textId="7BFE4987" w:rsidR="005E05C9" w:rsidRDefault="005E05C9" w:rsidP="001D0AD6">
      <w:pPr>
        <w:jc w:val="both"/>
        <w:rPr>
          <w:rFonts w:asciiTheme="majorBidi" w:hAnsiTheme="majorBidi" w:cstheme="majorBidi"/>
          <w:sz w:val="24"/>
          <w:szCs w:val="24"/>
          <w:vertAlign w:val="superscript"/>
          <w:lang w:val="es-ES"/>
        </w:rPr>
      </w:pPr>
      <w:r w:rsidRPr="005E05C9">
        <w:rPr>
          <w:rFonts w:asciiTheme="majorBidi" w:hAnsiTheme="majorBidi" w:cstheme="majorBidi"/>
          <w:sz w:val="24"/>
          <w:szCs w:val="24"/>
          <w:lang w:val="es-ES"/>
        </w:rPr>
        <w:t>Victor Julio Piñeros</w:t>
      </w:r>
      <w:r>
        <w:rPr>
          <w:rFonts w:asciiTheme="majorBidi" w:hAnsiTheme="majorBidi" w:cstheme="majorBidi"/>
          <w:sz w:val="24"/>
          <w:szCs w:val="24"/>
          <w:lang w:val="es-ES"/>
        </w:rPr>
        <w:t>*</w:t>
      </w:r>
      <w:r w:rsidRPr="005E05C9">
        <w:rPr>
          <w:rFonts w:asciiTheme="majorBidi" w:hAnsiTheme="majorBidi" w:cstheme="majorBidi"/>
          <w:sz w:val="24"/>
          <w:szCs w:val="24"/>
          <w:lang w:val="es-ES"/>
        </w:rPr>
        <w:t>, Carmen del R. Pedraza-Marrón*, Isaí Betancourt-Resendes, Nancy Calderón-Cortés, Ricardo Betancur-R and Omar Domínguez-Domínguez</w:t>
      </w:r>
    </w:p>
    <w:p w14:paraId="11BB69AC" w14:textId="688ECADC" w:rsidR="001D0AD6" w:rsidRDefault="001D0AD6" w:rsidP="00382616">
      <w:pPr>
        <w:jc w:val="both"/>
        <w:rPr>
          <w:rFonts w:asciiTheme="majorBidi" w:hAnsiTheme="majorBidi" w:cstheme="majorBidi"/>
          <w:sz w:val="24"/>
          <w:szCs w:val="24"/>
          <w:vertAlign w:val="superscript"/>
          <w:lang w:val="es-ES"/>
        </w:rPr>
      </w:pPr>
      <w:r w:rsidRPr="00613DFD">
        <w:rPr>
          <w:rFonts w:asciiTheme="majorBidi" w:hAnsiTheme="majorBidi" w:cstheme="majorBidi"/>
          <w:sz w:val="24"/>
          <w:szCs w:val="24"/>
        </w:rPr>
        <w:t xml:space="preserve">(*) </w:t>
      </w:r>
      <w:r w:rsidRPr="00613DFD">
        <w:rPr>
          <w:rFonts w:asciiTheme="majorBidi" w:hAnsiTheme="majorBidi" w:cstheme="majorBidi"/>
          <w:i/>
          <w:iCs/>
          <w:sz w:val="24"/>
          <w:szCs w:val="24"/>
        </w:rPr>
        <w:t>equal contribution</w:t>
      </w:r>
    </w:p>
    <w:p w14:paraId="0418CEBA" w14:textId="77777777" w:rsidR="00382616" w:rsidRPr="00382616" w:rsidRDefault="00382616" w:rsidP="00382616">
      <w:pPr>
        <w:jc w:val="both"/>
        <w:rPr>
          <w:rFonts w:asciiTheme="majorBidi" w:hAnsiTheme="majorBidi" w:cstheme="majorBidi"/>
          <w:sz w:val="24"/>
          <w:szCs w:val="24"/>
          <w:vertAlign w:val="superscript"/>
          <w:lang w:val="es-ES"/>
        </w:rPr>
      </w:pPr>
    </w:p>
    <w:p w14:paraId="5DD19511" w14:textId="42E66559" w:rsidR="001D0AD6" w:rsidRPr="00382616" w:rsidRDefault="001D0AD6" w:rsidP="00382616">
      <w:pPr>
        <w:pStyle w:val="ListParagraph"/>
        <w:numPr>
          <w:ilvl w:val="1"/>
          <w:numId w:val="3"/>
        </w:numPr>
        <w:rPr>
          <w:rFonts w:asciiTheme="majorBidi" w:hAnsiTheme="majorBidi" w:cstheme="majorBidi"/>
          <w:b/>
          <w:bCs/>
          <w:sz w:val="32"/>
          <w:szCs w:val="32"/>
        </w:rPr>
      </w:pPr>
      <w:r w:rsidRPr="00382616">
        <w:rPr>
          <w:rFonts w:asciiTheme="majorBidi" w:hAnsiTheme="majorBidi" w:cstheme="majorBidi"/>
          <w:b/>
          <w:bCs/>
          <w:sz w:val="32"/>
          <w:szCs w:val="32"/>
        </w:rPr>
        <w:t>Abstract</w:t>
      </w:r>
    </w:p>
    <w:p w14:paraId="78F65D50" w14:textId="1576F00F" w:rsidR="001D0AD6" w:rsidRDefault="00382616" w:rsidP="00382616">
      <w:pPr>
        <w:jc w:val="both"/>
        <w:rPr>
          <w:rFonts w:asciiTheme="majorBidi" w:hAnsiTheme="majorBidi" w:cstheme="majorBidi"/>
          <w:sz w:val="24"/>
          <w:szCs w:val="24"/>
        </w:rPr>
      </w:pPr>
      <w:r w:rsidRPr="00382616">
        <w:rPr>
          <w:rFonts w:asciiTheme="majorBidi" w:hAnsiTheme="majorBidi" w:cstheme="majorBidi"/>
          <w:bCs/>
          <w:sz w:val="24"/>
          <w:szCs w:val="24"/>
        </w:rPr>
        <w:t xml:space="preserve">Delimitation of species in the speciation continuum is a complex task, as the process of species origination is not generally an instantaneous event. The use of genome-wide data provides unprecedented resolution to address convoluted species delimitation cases, commonly unraveling cryptic diversity. However, because </w:t>
      </w:r>
      <w:r w:rsidRPr="00382616">
        <w:rPr>
          <w:rFonts w:asciiTheme="majorBidi" w:hAnsiTheme="majorBidi" w:cstheme="majorBidi"/>
          <w:sz w:val="24"/>
          <w:szCs w:val="24"/>
        </w:rPr>
        <w:t xml:space="preserve">genome-wide approaches based on the multispecies coalescent model </w:t>
      </w:r>
      <w:r w:rsidRPr="00382616">
        <w:rPr>
          <w:rFonts w:asciiTheme="majorBidi" w:hAnsiTheme="majorBidi" w:cstheme="majorBidi"/>
          <w:bCs/>
          <w:sz w:val="24"/>
          <w:szCs w:val="24"/>
        </w:rPr>
        <w:t xml:space="preserve">are known to confound population structure with species boundaries, often resulting in taxonomic over-splitting, it has become increasingly evident that species delimitation research must </w:t>
      </w:r>
      <w:r w:rsidRPr="00382616">
        <w:rPr>
          <w:rFonts w:asciiTheme="majorBidi" w:hAnsiTheme="majorBidi" w:cstheme="majorBidi"/>
          <w:sz w:val="24"/>
          <w:szCs w:val="24"/>
        </w:rPr>
        <w:t>consider multiple lines of evidence</w:t>
      </w:r>
      <w:r w:rsidRPr="00382616">
        <w:rPr>
          <w:rFonts w:asciiTheme="majorBidi" w:hAnsiTheme="majorBidi" w:cstheme="majorBidi"/>
          <w:bCs/>
          <w:sz w:val="24"/>
          <w:szCs w:val="24"/>
        </w:rPr>
        <w:t xml:space="preserve">. In this study, we used </w:t>
      </w:r>
      <w:r w:rsidRPr="00382616">
        <w:rPr>
          <w:rFonts w:asciiTheme="majorBidi" w:hAnsiTheme="majorBidi" w:cstheme="majorBidi"/>
          <w:sz w:val="24"/>
          <w:szCs w:val="24"/>
        </w:rPr>
        <w:t xml:space="preserve">phylogenomic, population genomic, and coalescent-based species delimitation approaches, in the light of morphologic and ecologic information, to investigate species numbers and boundaries comprising </w:t>
      </w:r>
      <w:r w:rsidRPr="00382616">
        <w:rPr>
          <w:rFonts w:asciiTheme="majorBidi" w:hAnsiTheme="majorBidi" w:cstheme="majorBidi"/>
          <w:bCs/>
          <w:sz w:val="24"/>
          <w:szCs w:val="24"/>
        </w:rPr>
        <w:t>the “</w:t>
      </w:r>
      <w:r w:rsidRPr="00382616">
        <w:rPr>
          <w:rFonts w:asciiTheme="majorBidi" w:hAnsiTheme="majorBidi" w:cstheme="majorBidi"/>
          <w:bCs/>
          <w:i/>
          <w:iCs/>
          <w:sz w:val="24"/>
          <w:szCs w:val="24"/>
        </w:rPr>
        <w:t>humboltianum</w:t>
      </w:r>
      <w:r w:rsidRPr="00382616">
        <w:rPr>
          <w:rFonts w:asciiTheme="majorBidi" w:hAnsiTheme="majorBidi" w:cstheme="majorBidi"/>
          <w:bCs/>
          <w:sz w:val="24"/>
          <w:szCs w:val="24"/>
        </w:rPr>
        <w:t xml:space="preserve"> group” (Atherinidae)</w:t>
      </w:r>
      <w:r w:rsidRPr="00382616">
        <w:rPr>
          <w:rFonts w:asciiTheme="majorBidi" w:hAnsiTheme="majorBidi" w:cstheme="majorBidi"/>
          <w:sz w:val="24"/>
          <w:szCs w:val="24"/>
        </w:rPr>
        <w:t xml:space="preserve">—a taxonomically controversial species complex </w:t>
      </w:r>
      <w:r w:rsidRPr="00382616">
        <w:rPr>
          <w:rFonts w:asciiTheme="majorBidi" w:hAnsiTheme="majorBidi" w:cstheme="majorBidi"/>
          <w:bCs/>
          <w:sz w:val="24"/>
          <w:szCs w:val="24"/>
        </w:rPr>
        <w:t>where previous morphological and mitochondrial studies produced conflicting species delineation scenarios.</w:t>
      </w:r>
      <w:r w:rsidRPr="00382616">
        <w:rPr>
          <w:rFonts w:asciiTheme="majorBidi" w:hAnsiTheme="majorBidi" w:cstheme="majorBidi"/>
          <w:iCs/>
          <w:sz w:val="24"/>
          <w:szCs w:val="24"/>
        </w:rPr>
        <w:t xml:space="preserve"> </w:t>
      </w:r>
      <w:r w:rsidRPr="00382616">
        <w:rPr>
          <w:rFonts w:asciiTheme="majorBidi" w:hAnsiTheme="majorBidi" w:cstheme="majorBidi"/>
          <w:bCs/>
          <w:sz w:val="24"/>
          <w:szCs w:val="24"/>
        </w:rPr>
        <w:t>We generated ddRADseq data for 77 individuals representing the nine nominal species in the group, spanning their distribution range in the central Mexico plateau.</w:t>
      </w:r>
      <w:r w:rsidRPr="00382616">
        <w:rPr>
          <w:rFonts w:asciiTheme="majorBidi" w:hAnsiTheme="majorBidi" w:cstheme="majorBidi"/>
          <w:iCs/>
          <w:sz w:val="24"/>
          <w:szCs w:val="24"/>
        </w:rPr>
        <w:t xml:space="preserve"> </w:t>
      </w:r>
      <w:r w:rsidRPr="00382616">
        <w:rPr>
          <w:rFonts w:asciiTheme="majorBidi" w:hAnsiTheme="majorBidi" w:cstheme="majorBidi"/>
          <w:sz w:val="24"/>
          <w:szCs w:val="24"/>
        </w:rPr>
        <w:t xml:space="preserve">Our results conflict with the morphospecies and ecological delimitation scenarios, identifying four independently evolving lineages organized in three geographically cohesive clades: (i) </w:t>
      </w:r>
      <w:r w:rsidRPr="00382616">
        <w:rPr>
          <w:rFonts w:asciiTheme="majorBidi" w:hAnsiTheme="majorBidi" w:cstheme="majorBidi"/>
          <w:i/>
          <w:iCs/>
          <w:sz w:val="24"/>
          <w:szCs w:val="24"/>
        </w:rPr>
        <w:t xml:space="preserve">chapalae </w:t>
      </w:r>
      <w:r w:rsidRPr="00382616">
        <w:rPr>
          <w:rFonts w:asciiTheme="majorBidi" w:hAnsiTheme="majorBidi" w:cstheme="majorBidi"/>
          <w:sz w:val="24"/>
          <w:szCs w:val="24"/>
        </w:rPr>
        <w:t xml:space="preserve">and </w:t>
      </w:r>
      <w:r w:rsidRPr="00382616">
        <w:rPr>
          <w:rFonts w:asciiTheme="majorBidi" w:hAnsiTheme="majorBidi" w:cstheme="majorBidi"/>
          <w:i/>
          <w:iCs/>
          <w:sz w:val="24"/>
          <w:szCs w:val="24"/>
        </w:rPr>
        <w:t xml:space="preserve">sphyraena </w:t>
      </w:r>
      <w:r w:rsidRPr="00382616">
        <w:rPr>
          <w:rFonts w:asciiTheme="majorBidi" w:hAnsiTheme="majorBidi" w:cstheme="majorBidi"/>
          <w:iCs/>
          <w:sz w:val="24"/>
          <w:szCs w:val="24"/>
        </w:rPr>
        <w:t>groups in Lake Chapala</w:t>
      </w:r>
      <w:r w:rsidRPr="00382616">
        <w:rPr>
          <w:rFonts w:asciiTheme="majorBidi" w:hAnsiTheme="majorBidi" w:cstheme="majorBidi"/>
          <w:sz w:val="24"/>
          <w:szCs w:val="24"/>
        </w:rPr>
        <w:t xml:space="preserve">, (ii) </w:t>
      </w:r>
      <w:r w:rsidRPr="00382616">
        <w:rPr>
          <w:rFonts w:asciiTheme="majorBidi" w:hAnsiTheme="majorBidi" w:cstheme="majorBidi"/>
          <w:i/>
          <w:iCs/>
          <w:sz w:val="24"/>
          <w:szCs w:val="24"/>
        </w:rPr>
        <w:t xml:space="preserve">estor </w:t>
      </w:r>
      <w:r w:rsidRPr="00382616">
        <w:rPr>
          <w:rFonts w:asciiTheme="majorBidi" w:hAnsiTheme="majorBidi" w:cstheme="majorBidi"/>
          <w:iCs/>
          <w:sz w:val="24"/>
          <w:szCs w:val="24"/>
        </w:rPr>
        <w:t>group in Lakes Pátzcuaro and Zirahuén</w:t>
      </w:r>
      <w:r w:rsidRPr="00382616">
        <w:rPr>
          <w:rFonts w:asciiTheme="majorBidi" w:hAnsiTheme="majorBidi" w:cstheme="majorBidi"/>
          <w:sz w:val="24"/>
          <w:szCs w:val="24"/>
        </w:rPr>
        <w:t xml:space="preserve">, and (iii) </w:t>
      </w:r>
      <w:r w:rsidRPr="00382616">
        <w:rPr>
          <w:rFonts w:asciiTheme="majorBidi" w:hAnsiTheme="majorBidi" w:cstheme="majorBidi"/>
          <w:i/>
          <w:iCs/>
          <w:sz w:val="24"/>
          <w:szCs w:val="24"/>
        </w:rPr>
        <w:t>humboltianum sensu stricto</w:t>
      </w:r>
      <w:r w:rsidRPr="00382616">
        <w:rPr>
          <w:rFonts w:asciiTheme="majorBidi" w:hAnsiTheme="majorBidi" w:cstheme="majorBidi"/>
          <w:sz w:val="24"/>
          <w:szCs w:val="24"/>
        </w:rPr>
        <w:t xml:space="preserve"> group in Lake Zacapu and Lerma river system. All in all, our study provides an </w:t>
      </w:r>
      <w:r w:rsidRPr="00382616">
        <w:rPr>
          <w:rFonts w:asciiTheme="majorBidi" w:hAnsiTheme="majorBidi" w:cstheme="majorBidi"/>
          <w:sz w:val="24"/>
          <w:szCs w:val="24"/>
        </w:rPr>
        <w:lastRenderedPageBreak/>
        <w:t xml:space="preserve">atypical example where genome-wide analyses delineate fewer species than previously recognized on the basis of morphology. It also highlights the influence of the geologic history of the Chapala-Lerma hydrological system in driving allopatric speciation in the </w:t>
      </w:r>
      <w:r w:rsidRPr="00382616">
        <w:rPr>
          <w:rFonts w:asciiTheme="majorBidi" w:hAnsiTheme="majorBidi" w:cstheme="majorBidi"/>
          <w:bCs/>
          <w:i/>
          <w:iCs/>
          <w:sz w:val="24"/>
          <w:szCs w:val="24"/>
        </w:rPr>
        <w:t>humboltianum</w:t>
      </w:r>
      <w:r w:rsidRPr="00382616">
        <w:rPr>
          <w:rFonts w:asciiTheme="majorBidi" w:hAnsiTheme="majorBidi" w:cstheme="majorBidi"/>
          <w:bCs/>
          <w:sz w:val="24"/>
          <w:szCs w:val="24"/>
        </w:rPr>
        <w:t xml:space="preserve"> group</w:t>
      </w:r>
      <w:r w:rsidRPr="00382616">
        <w:rPr>
          <w:rFonts w:asciiTheme="majorBidi" w:hAnsiTheme="majorBidi" w:cstheme="majorBidi"/>
          <w:sz w:val="24"/>
          <w:szCs w:val="24"/>
        </w:rPr>
        <w:t>.</w:t>
      </w:r>
    </w:p>
    <w:p w14:paraId="427A27F9" w14:textId="77777777" w:rsidR="00382616" w:rsidRDefault="00382616" w:rsidP="00382616">
      <w:pPr>
        <w:jc w:val="both"/>
        <w:rPr>
          <w:rFonts w:asciiTheme="majorBidi" w:hAnsiTheme="majorBidi" w:cstheme="majorBidi"/>
          <w:sz w:val="24"/>
          <w:szCs w:val="24"/>
        </w:rPr>
      </w:pPr>
    </w:p>
    <w:p w14:paraId="20977EC0" w14:textId="1E02A671" w:rsidR="00382616" w:rsidRPr="00382616" w:rsidRDefault="00382616" w:rsidP="00382616">
      <w:pPr>
        <w:pStyle w:val="ListParagraph"/>
        <w:numPr>
          <w:ilvl w:val="1"/>
          <w:numId w:val="3"/>
        </w:numPr>
        <w:rPr>
          <w:rFonts w:asciiTheme="majorBidi" w:hAnsiTheme="majorBidi" w:cstheme="majorBidi"/>
          <w:b/>
          <w:bCs/>
          <w:sz w:val="32"/>
          <w:szCs w:val="32"/>
        </w:rPr>
      </w:pPr>
      <w:r>
        <w:rPr>
          <w:rFonts w:asciiTheme="majorBidi" w:hAnsiTheme="majorBidi" w:cstheme="majorBidi"/>
          <w:b/>
          <w:bCs/>
          <w:sz w:val="32"/>
          <w:szCs w:val="32"/>
        </w:rPr>
        <w:t>Introduction</w:t>
      </w:r>
    </w:p>
    <w:p w14:paraId="32D1D1B5" w14:textId="77777777" w:rsidR="00382616" w:rsidRPr="00382616" w:rsidRDefault="00382616" w:rsidP="00382616">
      <w:pPr>
        <w:jc w:val="both"/>
        <w:rPr>
          <w:rFonts w:asciiTheme="majorBidi" w:hAnsiTheme="majorBidi" w:cstheme="majorBidi"/>
          <w:bCs/>
          <w:sz w:val="24"/>
          <w:szCs w:val="24"/>
        </w:rPr>
      </w:pPr>
      <w:r w:rsidRPr="00382616">
        <w:rPr>
          <w:rFonts w:asciiTheme="majorBidi" w:hAnsiTheme="majorBidi" w:cstheme="majorBidi"/>
          <w:bCs/>
          <w:sz w:val="24"/>
          <w:szCs w:val="24"/>
        </w:rPr>
        <w:t xml:space="preserve">Species delimitation, the task of delineating species boundaries, is a core aim in biology, fundamental not only for understanding the extent of the organismal diversity but also for conservation and management planning of threatened or overexploited species. Delimiting species is difficult as speciation is usually not an instantaneous event, where a diffuse zone between populations and species exists—the speciation continuum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{"citationItems":[{"id":"ITEM-1","itemData":{"DOI":"10.1080/10635150701701083","author":[{"dropping-particle":"","family":"Queiroz","given":"Kevin","non-dropping-particle":"De","parse-names":false,"suffix":""}],"container-title":"Systematic Biology","id":"ITEM-1","issue":"6","issued":{"date-parts":[["2007"]]},"page":"879-886","title":"Species Concepts and Species Delimitation","type":"article-journal","volume":"56"},"uris":["http://www.mendeley.com/documents/?uuid=a1be9678-150a-4fe7-97b9-209b3ffc22ed"]}],"mendeley":{"formattedCitation":"[1]","plainTextFormattedCitation":"[1]","previouslyFormattedCitation":"[1]"},"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Species delimitation inference then becomes particularly challenging in recently diverged or closely related species</w:t>
      </w:r>
      <w:r w:rsidRPr="00382616" w:rsidDel="009F1C31">
        <w:rPr>
          <w:rFonts w:asciiTheme="majorBidi" w:hAnsiTheme="majorBidi" w:cstheme="majorBidi"/>
          <w:bCs/>
          <w:sz w:val="24"/>
          <w:szCs w:val="24"/>
        </w:rPr>
        <w:t xml:space="preserve"> </w:t>
      </w:r>
      <w:r w:rsidRPr="00382616">
        <w:rPr>
          <w:rFonts w:asciiTheme="majorBidi" w:hAnsiTheme="majorBidi" w:cstheme="majorBidi"/>
          <w:bCs/>
          <w:sz w:val="24"/>
          <w:szCs w:val="24"/>
        </w:rPr>
        <w:t xml:space="preserve">where differentiating population-level structure from distinct species is challenging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{"citationItems":[{"id":"ITEM-1","itemData":{"DOI":"10.1093/sysbio/syab057","ISSN":"1063-5157","abstract":"Application of genetic data to species delimitation often builds confidence in delimitations previously hypothesized using morphological, ecological, and geographic data and frequently yields recognition of previously undescribed cryptic diversity. However, a recent critique of genomic data-based species delimitation approaches is that they have the potential to conflate population structure with species diversity, resulting in taxonomic oversplitting. The need for an integrative approach to species delimitation, in which molecular, morphological, ecological, and geographic lines of evidence are evaluated together, is becoming increasingly apparent. Here, we integrate phylogenetic, population genetic, and coalescent analyses of genome-wide sequence data with investigation of variation in multiple morphological traits to delimit species within the Antarctic barbeled plunderfishes (Artedidraconidae: Pogonophryne). Pogonophryne currently comprises 29 valid species, most of which are distinguished solely by variation in the ornamentation of the mental barbel that projects from the lower jaw, a structure previously shown to vary widely within a single species. However, our genomic and phenotypic analyses result in a dramatic reduction in the number of distinct species recognized within the clade, providing evidence to support the recognition of no more than six species. We propose to synonymize 24 of the currently recognized species with five species of Pogonophryne. We find genomic and phenotypic evidence for a new species of Pogonophryne from specimens collected in the Ross Sea. Our findings represent a rare example in which the application of molecular data provides evidence of taxonomic oversplitting on the basis of morphology, clearly demonstrating the utility of an integrative species delimitation framework.[ddRADseq; multispecies coalescent; Notothenioidei; SNPs; Southern Ocean.]","author":[{"dropping-particle":"","family":"Parker","given":"Elyse","non-dropping-particle":"","parse-names":false,"suffix":""},{"dropping-particle":"","family":"Dornburg","given":"Alex","non-dropping-particle":"","parse-names":false,"suffix":""},{"dropping-particle":"","family":"Struthers","given":"Carl D","non-dropping-particle":"","parse-names":false,"suffix":""},{"dropping-particle":"","family":"Jones","given":"Christopher D","non-dropping-particle":"","parse-names":false,"suffix":""},{"dropping-particle":"","family":"Near","given":"Thomas J","non-dropping-particle":"","parse-names":false,"suffix":""}],"container-title":"Systematic Biology","id":"ITEM-1","issue":"0","issued":{"date-parts":[["2021"]]},"page":"1-20","title":"Phylogenomic Species Delimitation Dramatically Reduces Species Diversity in an Antarctic Adaptive Radiation","type":"article-journal","volume":"0"},"uris":["http://www.mendeley.com/documents/?uuid=bdc63850-888c-42d2-b89b-dbf15b492f75"]}],"mendeley":{"formattedCitation":"[2]","plainTextFormattedCitation":"[2]","previouslyFormattedCitation":"[2]"},"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[2]</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w:t>
      </w:r>
    </w:p>
    <w:p w14:paraId="3666E1B9" w14:textId="77777777" w:rsidR="00382616" w:rsidRPr="00382616" w:rsidRDefault="00382616" w:rsidP="00382616">
      <w:pPr>
        <w:ind w:firstLine="720"/>
        <w:jc w:val="both"/>
        <w:rPr>
          <w:rFonts w:asciiTheme="majorBidi" w:hAnsiTheme="majorBidi" w:cstheme="majorBidi"/>
          <w:bCs/>
          <w:sz w:val="24"/>
          <w:szCs w:val="24"/>
        </w:rPr>
      </w:pPr>
      <w:r w:rsidRPr="00382616">
        <w:rPr>
          <w:rFonts w:asciiTheme="majorBidi" w:hAnsiTheme="majorBidi" w:cstheme="majorBidi"/>
          <w:bCs/>
          <w:sz w:val="24"/>
          <w:szCs w:val="24"/>
        </w:rPr>
        <w:t xml:space="preserve">The use of large-scale genotyping techniques provides an opportunity to generate robust datasets to address species delimitation conundrums with unprecedented resolution, allowing the detection of fine-scale genetic structure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{"citationItems":[{"id":"ITEM-1","itemData":{"DOI":"10.1111/1755-0998.12155","ISBN":"3493404344","ISSN":"1755098X","PMID":"23992151","abstract":"Single nucleotide polymorphisms (SNPs) are rapidly becoming the marker of choice in population genetics due to a variety of advantages relative to other markers, including higher genomic density, data quality, reproducibility and genotyping efficiency, as well as ease of portability between laboratories. Advances in sequencing technology and methodologies to reduce genomic representation have made the isolation of SNPs feasible for nonmodel organisms. RNA-seq is one such technique for the discovery of SNPs and development of markers for large-scale genotyping. Here, we report the development of 192 validated SNP markers for parentage analysis in Tripterygion delaisi (the black-faced blenny), a small rocky-shore fish from the Mediterranean Sea. RNA-seq data for 15 individual samples were used for SNP discovery by applying a series of selection criteria. Genotypes were then collected from 1599 individuals from the same population with the resulting loci. Differences in heterozygosity and allele frequencies were found between the two data sets. Heterozygosity was lower, on average, in the population sample, and the mean difference between the frequencies of particular alleles in the two data sets was 0.135 ± 0.100. We used bootstrap resampling of the sequence data to predict appropriate sample sizes for SNP discovery. As cDNA library production is time-consuming and expensive, we suggest that using seven individuals for RNA sequencing reduces the probability of discarding highly informative SNP loci, due to lack of observed polymorphism, whereas use of more than 12 samples does not considerably improve prediction of true allele frequencies. © 2013 John Wiley &amp; Sons Ltd.","author":[{"dropping-particle":"","family":"Schunter","given":"C.","non-dropping-particle":"","parse-names":false,"suffix":""},{"dropping-particle":"","family":"Garza","given":"J. C.","non-dropping-particle":"","parse-names":false,"suffix":""},{"dropping-particle":"","family":"Macpherson","given":"E.","non-dropping-particle":"","parse-names":false,"suffix":""},{"dropping-particle":"","family":"Pascual","given":"M.","non-dropping-particle":"","parse-names":false,"suffix":""}],"container-title":"Molecular Ecology Resources","id":"ITEM-1","issue":"1","issued":{"date-parts":[["2014"]]},"page":"157-165","title":"SNP development from RNA-seq data in a nonmodel fish: How many individuals are needed for accurate allele frequency prediction?","type":"article-journal","volume":"14"},"uris":["http://www.mendeley.com/documents/?uuid=6f6ed8b9-1690-4a99-aac4-c8434b164f93"]},{"id":"ITEM-2","itemData":{"DOI":"10.1073/pnas.1607921114","ISSN":"10916490","PMID":"28137871","abstract":"The multispecies coalescent model underlies many approaches used for species delimitation. In previous work assessing the performance of species delimitation under this model, speciation was treated as an instantaneous event rather than as an extended process involving distinct phases of speciation initiation (structuring) and completion. Here, we use data under simulations that explicitly model speciation as an extended process rather than an instantaneous event and carry out species delimitation inference on these data under the multispecies coalescent. We show that the multispecies coalescent diagnoses genetic structure, not species, and that it does not statistically distinguish structure associated with population isolation vs. species boundaries. Because of the misidentification of population structure as putative species, our work raises questions about the practice of genome-based species discovery, with cascading consequences in other fields. Specifically, all fields that rely on species as units of analysis, from conservation biology to studies of macroevolutionary dynamics, will be impacted by inflated estimates of the number of species, especially as genomic resources provide unprecedented power for detecting increasingly finer-scaled genetic structure under the multispecies coalescent. As such, our work also represents a general call for systematic study to reconsider a reliance on genomic data alone. Until new methods are developed that can discriminate between structure due to population-level processes and that due to species boundaries, genomic-based results should only be considered a hypothesis that requires validation of delimited species with multiple data types, such as phenotypic and ecological information.","author":[{"dropping-particle":"","family":"Sukumaran","given":"Jeet","non-dropping-particle":"","parse-names":false,"suffix":""},{"dropping-particle":"","family":"Knowles","given":"L. Lacey","non-dropping-particle":"","parse-names":false,"suffix":""}],"container-title":"Proceedings of the National Academy of Sciences of the United States of America","id":"ITEM-2","issue":"7","issued":{"date-parts":[["2017"]]},"page":"1607-1611","title":"Multispecies coalescent delimits structure, not species","type":"article-journal","volume":"114"},"uris":["http://www.mendeley.com/documents/?uuid=42aeb9da-52aa-4c50-a651-cad46cefc07b"]}],"mendeley":{"formattedCitation":"[3, 4]","plainTextFormattedCitation":"[3, 4]","previouslyFormattedCitation":"[3, 4]"},"properties":{"noteIndex":0},"schema":"https://github.com/citation-style-language/schema/raw/master/csl-citation.json"}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[3, 4]</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Coupled with species delimitation approaches under the multispecies coalescent (MSC) model, genome-wide data provide considerable statistical power to identify recently differentiated boundaries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{"citationItems":[{"id":"ITEM-1","itemData":{"DOI":"10.1073/pnas.1607921114","ISSN":"10916490","PMID":"28137871","abstract":"The multispecies coalescent model underlies many approaches used for species delimitation. In previous work assessing the performance of species delimitation under this model, speciation was treated as an instantaneous event rather than as an extended process involving distinct phases of speciation initiation (structuring) and completion. Here, we use data under simulations that explicitly model speciation as an extended process rather than an instantaneous event and carry out species delimitation inference on these data under the multispecies coalescent. We show that the multispecies coalescent diagnoses genetic structure, not species, and that it does not statistically distinguish structure associated with population isolation vs. species boundaries. Because of the misidentification of population structure as putative species, our work raises questions about the practice of genome-based species discovery, with cascading consequences in other fields. Specifically, all fields that rely on species as units of analysis, from conservation biology to studies of macroevolutionary dynamics, will be impacted by inflated estimates of the number of species, especially as genomic resources provide unprecedented power for detecting increasingly finer-scaled genetic structure under the multispecies coalescent. As such, our work also represents a general call for systematic study to reconsider a reliance on genomic data alone. Until new methods are developed that can discriminate between structure due to population-level processes and that due to species boundaries, genomic-based results should only be considered a hypothesis that requires validation of delimited species with multiple data types, such as phenotypic and ecological information.","author":[{"dropping-particle":"","family":"Sukumaran","given":"Jeet","non-dropping-particle":"","parse-names":false,"suffix":""},{"dropping-particle":"","family":"Knowles","given":"L. Lacey","non-dropping-particle":"","parse-names":false,"suffix":""}],"container-title":"Proceedings of the National Academy of Sciences of the United States of America","id":"ITEM-1","issue":"7","issued":{"date-parts":[["2017"]]},"page":"1607-1611","title":"Multispecies coalescent delimits structure, not species","type":"article-journal","volume":"114"},"uris":["http://www.mendeley.com/documents/?uuid=42aeb9da-52aa-4c50-a651-cad46cefc07b"]}],"mendeley":{"formattedCitation":"[4]","plainTextFormattedCitation":"[4]","previouslyFormattedCitation":"[4]"},"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[4]</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However, the MSC model has been recently questioned as it can confound population structure with putative species, often leading to overestimating species diversity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{"citationItems":[{"id":"ITEM-1","itemData":{"DOI":"10.1073/pnas.1607921114","ISSN":"10916490","PMID":"28137871","abstract":"The multispecies coalescent model underlies many approaches used for species delimitation. In previous work assessing the performance of species delimitation under this model, speciation was treated as an instantaneous event rather than as an extended process involving distinct phases of speciation initiation (structuring) and completion. Here, we use data under simulations that explicitly model speciation as an extended process rather than an instantaneous event and carry out species delimitation inference on these data under the multispecies coalescent. We show that the multispecies coalescent diagnoses genetic structure, not species, and that it does not statistically distinguish structure associated with population isolation vs. species boundaries. Because of the misidentification of population structure as putative species, our work raises questions about the practice of genome-based species discovery, with cascading consequences in other fields. Specifically, all fields that rely on species as units of analysis, from conservation biology to studies of macroevolutionary dynamics, will be impacted by inflated estimates of the number of species, especially as genomic resources provide unprecedented power for detecting increasingly finer-scaled genetic structure under the multispecies coalescent. As such, our work also represents a general call for systematic study to reconsider a reliance on genomic data alone. Until new methods are developed that can discriminate between structure due to population-level processes and that due to species boundaries, genomic-based results should only be considered a hypothesis that requires validation of delimited species with multiple data types, such as phenotypic and ecological information.","author":[{"dropping-particle":"","family":"Sukumaran","given":"Jeet","non-dropping-particle":"","parse-names":false,"suffix":""},{"dropping-particle":"","family":"Knowles","given":"L. Lacey","non-dropping-particle":"","parse-names":false,"suffix":""}],"container-title":"Proceedings of the National Academy of Sciences of the United States of America","id":"ITEM-1","issue":"7","issued":{"date-parts":[["2017"]]},"page":"1607-1611","title":"Multispecies coalescent delimits structure, not species","type":"article-journal","volume":"114"},"uris":["http://www.mendeley.com/documents/?uuid=42aeb9da-52aa-4c50-a651-cad46cefc07b"]},{"id":"ITEM-2","itemData":{"DOI":"10.1093/sysbio/syz042","ISSN":"1076836X","PMID":"31180508","abstract":"—Many recent species delimitation studies rely exclusively on limited analyses of genetic data analyzed under the multispecies coalescent (MSC) model, and results from these studies often are regarded as conclusive support for taxonomic changes. However, most MSC-based species delimitation methods have well-known and often unmet assumptions. Uncritical application of these genetic-based approaches (without due consideration of sampling design, the effects of a priori group designations, isolation by distance, cytoplasmic–nuclear mismatch, and population structure) can lead to over-splitting of species. Here, we argue that in many common biological scenarios, researchers must be particularly cautious regarding these limitations, especially in cases of well-studied, geographically variable, and parapatrically distributed species complexes. We consider these points with respect to a historically controversial species group, the American milksnakes (Lampropeltis triangulum complex), using genetic data from a recent analysis (Ruane et al. 2014). We show that over-reliance on the program Bayesian Phylogenetics and Phylogeography, without adequate consideration of its assumptions and of sampling limitations, resulted in over-splitting of species in this study. Several of the hypothesized species of milksnakes instead appear to represent arbitrary slices of continuous geographic clines. We conclude that the best available evidence supports three, rather than seven, species within this complex. More generally, we recommend that coalescent-based species delimitation studies incorporate thorough analyses of geographic variation and carefully examine putative contact zones among delimited species before making taxonomic changes.","author":[{"dropping-particle":"","family":"Chambers","given":"E. Anne","non-dropping-particle":"","parse-names":false,"suffix":""},{"dropping-particle":"","family":"Hillis","given":"David M.","non-dropping-particle":"","parse-names":false,"suffix":""}],"container-title":"Systematic Biology","id":"ITEM-2","issue":"1","issued":{"date-parts":[["2020"]]},"page":"184-193","title":"The multispecies coalescent over-splits species in the case of geographically widespread taxa","type":"article-journal","volume":"69"},"uris":["http://www.mendeley.com/documents/?uuid=80f4838e-8847-4abf-8210-b135f6706ae8"]},{"id":"ITEM-3","itemData":{"DOI":"10.1643/h2021082","ISSN":"27661520","abstract":"Over the last two decades, mitochondrial DNA (mtDNA) sequence data, as well as analyses of nuclear DNA based on the multispecies coalescent model, have increasingly been used to delimit species, sometimes based on limited sampling and without other supporting evidence. We have argued elsewhere that the uncritical use of these approaches has resulted in unnecessary and unwarranted taxonomic changes that have real and long-lasting consequences for science and society. Unfortunately, these arguments have been misrepresented by Burbrink and Ruane's Point of View on \"contemporary\"species delimitation in this issue. Here, we discuss the role of models in species delimitation research, and again argue that careful consideration of model assumptions (and their potential violation) is necessary when inferring population history and delimiting species. We echo recent calls for targeted, thorough geographic sampling across contact zones and into parapatric ranges to test for reproductive isolation and draw inferences about the evolutionary independence (or lack thereof) of populations that exchange genes. Finally, despite our very different views on how best to identify species and when to make taxonomic changes, we end by highlighting areas where we agree with Burbrink and Ruane's Point of View and offer suggestions for future research.","author":[{"dropping-particle":"","family":"Hillis","given":"David M.","non-dropping-particle":"","parse-names":false,"suffix":""},{"dropping-particle":"","family":"Chambers","given":"E. Anne","non-dropping-particle":"","parse-names":false,"suffix":""},{"dropping-particle":"","family":"Devitt","given":"Thomas J.","non-dropping-particle":"","parse-names":false,"suffix":""}],"container-title":"Ichthyology &amp; Herpetology","id":"ITEM-3","issue":"3","issued":{"date-parts":[["2021"]]},"page":"895-903","title":"Contemporary Methods and Evidence for Species Delimitation","type":"article-journal","volume":"109"},"uris":["http://www.mendeley.com/documents/?uuid=8dd2a216-f6cc-4171-86c5-dd0fd9c46730"]}],"mendeley":{"formattedCitation":"[4–6]","plainTextFormattedCitation":"[4–6]","previouslyFormattedCitation":"[4–6]"},"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[4–6]</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Thus, the implementation of MSC analyses should be combined with other approaches, such as phylogenomic and population genomic methods (</w:t>
      </w:r>
      <w:r w:rsidRPr="00382616">
        <w:rPr>
          <w:rFonts w:asciiTheme="majorBidi" w:hAnsiTheme="majorBidi" w:cstheme="majorBidi"/>
          <w:bCs/>
          <w:i/>
          <w:iCs/>
          <w:sz w:val="24"/>
          <w:szCs w:val="24"/>
        </w:rPr>
        <w:t>e.g.,</w:t>
      </w:r>
      <w:r w:rsidRPr="00382616">
        <w:rPr>
          <w:rFonts w:asciiTheme="majorBidi" w:hAnsiTheme="majorBidi" w:cstheme="majorBidi"/>
          <w:bCs/>
          <w:sz w:val="24"/>
          <w:szCs w:val="24"/>
        </w:rPr>
        <w:t xml:space="preserve"> multivariate, assignment, and genetic differentiation analyses), in conjunction with other lines of evidence (</w:t>
      </w:r>
      <w:r w:rsidRPr="00382616">
        <w:rPr>
          <w:rFonts w:asciiTheme="majorBidi" w:hAnsiTheme="majorBidi" w:cstheme="majorBidi"/>
          <w:bCs/>
          <w:i/>
          <w:iCs/>
          <w:sz w:val="24"/>
          <w:szCs w:val="24"/>
        </w:rPr>
        <w:t xml:space="preserve">e.g., </w:t>
      </w:r>
      <w:r w:rsidRPr="00382616">
        <w:rPr>
          <w:rFonts w:asciiTheme="majorBidi" w:hAnsiTheme="majorBidi" w:cstheme="majorBidi"/>
          <w:bCs/>
          <w:sz w:val="24"/>
          <w:szCs w:val="24"/>
        </w:rPr>
        <w:t xml:space="preserve">biogeographic, ecological, or life-history), confers a robust framework to study species delimitation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{"citationItems":[{"id":"ITEM-1","itemData":{"DOI":"10.1080/10635150701748506","ISSN":"10635157","PMID":"18027280","author":[{"dropping-particle":"","family":"Wiens","given":"John J.","non-dropping-particle":"","parse-names":false,"suffix":""}],"container-title":"Systematic Biology","id":"ITEM-1","issue":"6","issued":{"date-parts":[["2007"]]},"page":"875-878","title":"Species delimitation: New approaches for discovering diversity","type":"article-journal","volume":"56"},"uris":["http://www.mendeley.com/documents/?uuid=4a775152-fa6e-414f-89bc-b761ea53ab30"]}],"mendeley":{"formattedCitation":"[7]","plainTextFormattedCitation":"[7]","previouslyFormattedCitation":"[7]"},"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[7]</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w:t>
      </w:r>
    </w:p>
    <w:p w14:paraId="23EE4F4C" w14:textId="77777777" w:rsidR="00382616" w:rsidRPr="00382616" w:rsidRDefault="00382616" w:rsidP="00382616">
      <w:pPr>
        <w:ind w:firstLine="720"/>
        <w:jc w:val="both"/>
        <w:rPr>
          <w:rFonts w:asciiTheme="majorBidi" w:hAnsiTheme="majorBidi" w:cstheme="majorBidi"/>
          <w:bCs/>
          <w:sz w:val="24"/>
          <w:szCs w:val="24"/>
        </w:rPr>
      </w:pPr>
      <w:r w:rsidRPr="00382616">
        <w:rPr>
          <w:rFonts w:asciiTheme="majorBidi" w:hAnsiTheme="majorBidi" w:cstheme="majorBidi"/>
          <w:bCs/>
          <w:sz w:val="24"/>
          <w:szCs w:val="24"/>
        </w:rPr>
        <w:t>New World silverside</w:t>
      </w:r>
      <w:r w:rsidRPr="00382616" w:rsidDel="00862A2E">
        <w:rPr>
          <w:rFonts w:asciiTheme="majorBidi" w:hAnsiTheme="majorBidi" w:cstheme="majorBidi"/>
          <w:bCs/>
          <w:sz w:val="24"/>
          <w:szCs w:val="24"/>
        </w:rPr>
        <w:t xml:space="preserve"> </w:t>
      </w:r>
      <w:r w:rsidRPr="00382616">
        <w:rPr>
          <w:rFonts w:asciiTheme="majorBidi" w:hAnsiTheme="majorBidi" w:cstheme="majorBidi"/>
          <w:bCs/>
          <w:sz w:val="24"/>
          <w:szCs w:val="24"/>
        </w:rPr>
        <w:t xml:space="preserve">fishes in the </w:t>
      </w:r>
      <w:r w:rsidRPr="00382616">
        <w:rPr>
          <w:rFonts w:asciiTheme="majorBidi" w:hAnsiTheme="majorBidi" w:cstheme="majorBidi"/>
          <w:bCs/>
          <w:i/>
          <w:iCs/>
          <w:sz w:val="24"/>
          <w:szCs w:val="24"/>
        </w:rPr>
        <w:t>Chirostoma humboldtianum</w:t>
      </w:r>
      <w:r w:rsidRPr="00382616">
        <w:rPr>
          <w:rFonts w:asciiTheme="majorBidi" w:hAnsiTheme="majorBidi" w:cstheme="majorBidi"/>
          <w:bCs/>
          <w:sz w:val="24"/>
          <w:szCs w:val="24"/>
        </w:rPr>
        <w:t xml:space="preserve"> species complex (Atherinopsidae; hereafter referred to as the </w:t>
      </w:r>
      <w:r w:rsidRPr="00382616">
        <w:rPr>
          <w:rFonts w:asciiTheme="majorBidi" w:hAnsiTheme="majorBidi" w:cstheme="majorBidi"/>
          <w:bCs/>
          <w:i/>
          <w:iCs/>
          <w:sz w:val="24"/>
          <w:szCs w:val="24"/>
        </w:rPr>
        <w:t>humboldtianum</w:t>
      </w:r>
      <w:r w:rsidRPr="00382616">
        <w:rPr>
          <w:rFonts w:asciiTheme="majorBidi" w:hAnsiTheme="majorBidi" w:cstheme="majorBidi"/>
          <w:bCs/>
          <w:sz w:val="24"/>
          <w:szCs w:val="24"/>
        </w:rPr>
        <w:t xml:space="preserve"> group), distributed in central Mexico, are of high economic and cultural importance since pre-Hispanic times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{"citationItems":[{"id":"ITEM-1","itemData":{"abstract":"Se presenta una visión general sobre la situación que guardan las especies del género Chirostoma conocidas como pescado blanco. Se enlistan y se describe su distribución natural y artificial, las principales características de su biología, referidas a sus hábitos alimenticios, crecimiento, madurez sexual y desarrollo larvario y se anotan los principales problemas que enfrenta este grupo de especies en los lagos de Pátzcuaro y Zirahuén en Michoacán y el de Chapala compartido en los estados de Jalisco y Michoacán, -el primero con fuerte presencia indígena- en donde se desarrollaron importantes pesquerías las que actualmente sufren de sobreexplotación, contaminación, pérdida de hábitat, desplazamiento de especies nativas por especies exóticas de menor valor económico, etc. Ante esta problemática se señalan las medidas de manejo y las líneas y estrategias de manejo que dicta la autoridad en la Carta Nacional Pesquera y en la normatividad. Por otro lado, se proponen acciones para la protección y conservación de las especies de pescado blanco, como la necesidad de realizar el saneamiento de las cuencas, la creación de un banco de genoma y el apoyo a la investigación para la acuacultura de estas especies y finalmente se llama la atención acerca de las implicaciones de la Ley de acceso y aprovechamiento de recursos genéticos, aprobada por el Senado en abril de 2005, para estas especies. Dado que este documento no pretendió ser exhaustivo, se señalan ligas para ampliación de la información presentada.","author":[{"dropping-particle":"","family":"Rojas-Carrillo","given":"Patricia","non-dropping-particle":"","parse-names":false,"suffix":""},{"dropping-particle":"","family":"Sasso-Yada","given":"Leonardo F.","non-dropping-particle":"","parse-names":false,"suffix":""}],"container-title":"Revista digital universitaria","id":"ITEM-1","issue":"8","issued":{"date-parts":[["2005"]]},"page":"2-18","title":"El pescado blanco","type":"article-journal","volume":"6"},"uris":["http://www.mendeley.com/documents/?uuid=fffe0926-7135-4867-b4a9-129dac6f2ccf"]}],"mendeley":{"formattedCitation":"[8]","plainTextFormattedCitation":"[8]","previouslyFormattedCitation":"[8]"},"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[8]</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Currently, </w:t>
      </w:r>
      <w:r w:rsidRPr="00382616">
        <w:rPr>
          <w:rFonts w:asciiTheme="majorBidi" w:hAnsiTheme="majorBidi" w:cstheme="majorBidi"/>
          <w:bCs/>
          <w:i/>
          <w:iCs/>
          <w:sz w:val="24"/>
          <w:szCs w:val="24"/>
        </w:rPr>
        <w:t>Chirostoma</w:t>
      </w:r>
      <w:r w:rsidRPr="00382616">
        <w:rPr>
          <w:rFonts w:asciiTheme="majorBidi" w:hAnsiTheme="majorBidi" w:cstheme="majorBidi"/>
          <w:bCs/>
          <w:sz w:val="24"/>
          <w:szCs w:val="24"/>
        </w:rPr>
        <w:t xml:space="preserve"> species are considered one of the most important fishery resources in the region, where they have been severely overexploited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{"citationItems":[{"id":"ITEM-1","itemData":{"abstract":"Se presenta una visión general sobre la situación que guardan las especies del género Chirostoma conocidas como pescado blanco. Se enlistan y se describe su distribución natural y artificial, las principales características de su biología, referidas a sus hábitos alimenticios, crecimiento, madurez sexual y desarrollo larvario y se anotan los principales problemas que enfrenta este grupo de especies en los lagos de Pátzcuaro y Zirahuén en Michoacán y el de Chapala compartido en los estados de Jalisco y Michoacán, -el primero con fuerte presencia indígena- en donde se desarrollaron importantes pesquerías las que actualmente sufren de sobreexplotación, contaminación, pérdida de hábitat, desplazamiento de especies nativas por especies exóticas de menor valor económico, etc. Ante esta problemática se señalan las medidas de manejo y las líneas y estrategias de manejo que dicta la autoridad en la Carta Nacional Pesquera y en la normatividad. Por otro lado, se proponen acciones para la protección y conservación de las especies de pescado blanco, como la necesidad de realizar el saneamiento de las cuencas, la creación de un banco de genoma y el apoyo a la investigación para la acuacultura de estas especies y finalmente se llama la atención acerca de las implicaciones de la Ley de acceso y aprovechamiento de recursos genéticos, aprobada por el Senado en abril de 2005, para estas especies. Dado que este documento no pretendió ser exhaustivo, se señalan ligas para ampliación de la información presentada.","author":[{"dropping-particle":"","family":"Rojas-Carrillo","given":"Patricia","non-dropping-particle":"","parse-names":false,"suffix":""},{"dropping-particle":"","family":"Sasso-Yada","given":"Leonardo F.","non-dropping-particle":"","parse-names":false,"suffix":""}],"container-title":"Revista digital universitaria","id":"ITEM-1","issue":"8","issued":{"date-parts":[["2005"]]},"page":"2-18","title":"El pescado blanco","type":"article-journal","volume":"6"},"uris":["http://www.mendeley.com/documents/?uuid=fffe0926-7135-4867-b4a9-129dac6f2ccf"]},{"id":"ITEM-2","itemData":{"author":[{"dropping-particle":"","family":"Alaye-Rahy","given":"Norma","non-dropping-particle":"","parse-names":false,"suffix":""},{"dropping-particle":"","family":"Meléndez-Galicia","given":"Carlos","non-dropping-particle":"","parse-names":false,"suffix":""},{"dropping-particle":"","family":"Romero-Acosta","given":"César","non-dropping-particle":"","parse-names":false,"suffix":""},{"dropping-particle":"","family":"Hernández-Montaño","given":"Daniel","non-dropping-particle":"","parse-names":false,"suffix":""}],"container-title":"Ciencia Pesquera","id":"ITEM-2","issue":"2","issued":{"date-parts":[["2017"]]},"page":"5-16","title":"Estado actual de la pesquería de pescado blanco Chirostoma estor del Lago de Pátzcuaro, Michoacán, México","type":"article-journal","volume":"25"},"uris":["http://www.mendeley.com/documents/?uuid=611a9084-2c42-4038-a527-3d24029fe758"]}],"mendeley":{"formattedCitation":"[8, 9]","plainTextFormattedCitation":"[8, 9]","previouslyFormattedCitation":"[8, 9]"},"properties":{"noteIndex":0},"schema":"https://github.com/citation-style-language/schema/raw/master/csl-citation.json"}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[8, 9]</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w:t>
      </w:r>
    </w:p>
    <w:p w14:paraId="0864EF54" w14:textId="322F0BEC" w:rsidR="00382616" w:rsidRDefault="00382616" w:rsidP="00382616">
      <w:pPr>
        <w:ind w:firstLine="720"/>
        <w:jc w:val="both"/>
        <w:rPr>
          <w:rFonts w:asciiTheme="majorBidi" w:hAnsiTheme="majorBidi" w:cstheme="majorBidi"/>
          <w:bCs/>
          <w:sz w:val="24"/>
          <w:szCs w:val="24"/>
        </w:rPr>
      </w:pPr>
      <w:r w:rsidRPr="00382616">
        <w:rPr>
          <w:rFonts w:asciiTheme="majorBidi" w:hAnsiTheme="majorBidi" w:cstheme="majorBidi"/>
          <w:bCs/>
          <w:sz w:val="24"/>
          <w:szCs w:val="24"/>
        </w:rPr>
        <w:t xml:space="preserve">The </w:t>
      </w:r>
      <w:r w:rsidRPr="00382616">
        <w:rPr>
          <w:rFonts w:asciiTheme="majorBidi" w:hAnsiTheme="majorBidi" w:cstheme="majorBidi"/>
          <w:bCs/>
          <w:i/>
          <w:iCs/>
          <w:sz w:val="24"/>
          <w:szCs w:val="24"/>
        </w:rPr>
        <w:t>humboldtianum</w:t>
      </w:r>
      <w:r w:rsidRPr="00382616">
        <w:rPr>
          <w:rFonts w:asciiTheme="majorBidi" w:hAnsiTheme="majorBidi" w:cstheme="majorBidi"/>
          <w:bCs/>
          <w:sz w:val="24"/>
          <w:szCs w:val="24"/>
        </w:rPr>
        <w:t xml:space="preserve"> complex represents an interesting system to address problematic species boundary delimitation as their nominal species have been subjected to taxonomic controversies, with varying numbers of species recognized based on morphologic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[10]","plainTextFormattedCitation":"[10]","previouslyFormattedCitation":"[10]"},"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[10]</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or molecular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[11]</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data. This group is geographically restricted to the lacustrine environments of the central Mexico plateau occurring mainly in Lakes Chapala, Pátzcuaro, Zirahuén, and Zacapu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[10]","plainTextFormattedCitation":"[10]","previouslyFormattedCitation":"[10]"},"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[10]</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(Fig. </w:t>
      </w:r>
      <w:r w:rsidR="00E258C7">
        <w:rPr>
          <w:rFonts w:asciiTheme="majorBidi" w:hAnsiTheme="majorBidi" w:cstheme="majorBidi"/>
          <w:bCs/>
          <w:sz w:val="24"/>
          <w:szCs w:val="24"/>
        </w:rPr>
        <w:t>2.</w:t>
      </w:r>
      <w:r w:rsidRPr="00382616">
        <w:rPr>
          <w:rFonts w:asciiTheme="majorBidi" w:hAnsiTheme="majorBidi" w:cstheme="majorBidi"/>
          <w:bCs/>
          <w:sz w:val="24"/>
          <w:szCs w:val="24"/>
        </w:rPr>
        <w:t>1)–an area comprising roughly 1716.5 km</w:t>
      </w:r>
      <w:r w:rsidRPr="00382616">
        <w:rPr>
          <w:rFonts w:asciiTheme="majorBidi" w:hAnsiTheme="majorBidi" w:cstheme="majorBidi"/>
          <w:bCs/>
          <w:sz w:val="24"/>
          <w:szCs w:val="24"/>
          <w:vertAlign w:val="superscript"/>
        </w:rPr>
        <w:t>2</w:t>
      </w:r>
      <w:r w:rsidRPr="00382616">
        <w:rPr>
          <w:rFonts w:asciiTheme="majorBidi" w:hAnsiTheme="majorBidi" w:cstheme="majorBidi"/>
          <w:bCs/>
          <w:sz w:val="24"/>
          <w:szCs w:val="24"/>
        </w:rPr>
        <w:t xml:space="preserve">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{"citationItems":[{"id":"ITEM-1","itemData":{"author":[{"dropping-particle":"","family":"Barbour","given":"Clyde D","non-dropping-particle":"","parse-names":false,"suffix":""}],"container-title":"Copeia","id":"ITEM-1","issue":"3","issued":{"date-parts":[["1973"]]},"page":"533-556","title":"A Biogeographical History of Chirostoma (Pisces : Atherinidae): A Species Flock from the Mexican Plateau","type":"article-journal","volume":"1973"},"uris":["http://www.mendeley.com/documents/?uuid=6465df30-eb18-4537-bf3a-21dbae7c6bc0"]},{"id":"ITEM-2","itemData":{"author":[{"dropping-particle":"","family":"Ayala-Ramírez","given":"G. L.","non-dropping-particle":"","parse-names":false,"suffix":""},{"dropping-particle":"","family":"Ruiz-Sevilla","given":"G.","non-dropping-particle":"","parse-names":false,"suffix":""},{"dropping-particle":"","family":"Chacón-Torres","given":"A.","non-dropping-particle":"","parse-names":false,"suffix":""}],"container-title":"Las Aguas Interiores de México: Conceptos y Casos","editor":[{"dropping-particle":"","family":"la Lanza-Espino","given":"G.","non-dropping-particle":"De","parse-names":false,"suffix":""},{"dropping-particle":"","family":"Hernández-Pulido","given":"S.","non-dropping-particle":"","parse-names":false,"suffix":""}],"id":"ITEM-2","issued":{"date-parts":[["2007"]]},"page":"268-284","publisher":"AGT EDITOR, S.A.","publisher-place":"México D.F.","title":"La laguna de Zacapu, Michoacán","type":"chapter"},"uris":["http://www.mendeley.com/documents/?uuid=74eb5506-8341-4748-87bf-083d1c5542d1"]}],"mendeley":{"formattedCitation":"[12, 13]","plainTextFormattedCitation":"[12, 13]","previouslyFormattedCitation":"[12, 13]"},"properties":{"noteIndex":0},"schema":"https://github.com/citation-style-language/schema/raw/master/csl-citation.json"}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[12, 13]</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–making it feasible to address species delimitation by examining the extent of species diversity based on samples collected across their distribution range. Nine nominal species have been described based on morphological, osteological, meristic, and allozyme data: </w:t>
      </w:r>
      <w:r w:rsidRPr="00382616">
        <w:rPr>
          <w:rFonts w:asciiTheme="majorBidi" w:hAnsiTheme="majorBidi" w:cstheme="majorBidi"/>
          <w:bCs/>
          <w:i/>
          <w:iCs/>
          <w:sz w:val="24"/>
          <w:szCs w:val="24"/>
        </w:rPr>
        <w:t>C. chapalae</w:t>
      </w:r>
      <w:r w:rsidRPr="00382616">
        <w:rPr>
          <w:rFonts w:asciiTheme="majorBidi" w:hAnsiTheme="majorBidi" w:cstheme="majorBidi"/>
          <w:bCs/>
          <w:sz w:val="24"/>
          <w:szCs w:val="24"/>
        </w:rPr>
        <w:t xml:space="preserve">, </w:t>
      </w:r>
      <w:r w:rsidRPr="00382616">
        <w:rPr>
          <w:rFonts w:asciiTheme="majorBidi" w:hAnsiTheme="majorBidi" w:cstheme="majorBidi"/>
          <w:bCs/>
          <w:i/>
          <w:iCs/>
          <w:sz w:val="24"/>
          <w:szCs w:val="24"/>
        </w:rPr>
        <w:t>C. lucius</w:t>
      </w:r>
      <w:r w:rsidRPr="00382616">
        <w:rPr>
          <w:rFonts w:asciiTheme="majorBidi" w:hAnsiTheme="majorBidi" w:cstheme="majorBidi"/>
          <w:bCs/>
          <w:sz w:val="24"/>
          <w:szCs w:val="24"/>
        </w:rPr>
        <w:t xml:space="preserve">, </w:t>
      </w:r>
      <w:r w:rsidRPr="00382616">
        <w:rPr>
          <w:rFonts w:asciiTheme="majorBidi" w:hAnsiTheme="majorBidi" w:cstheme="majorBidi"/>
          <w:bCs/>
          <w:i/>
          <w:iCs/>
          <w:sz w:val="24"/>
          <w:szCs w:val="24"/>
        </w:rPr>
        <w:t>C. promelas</w:t>
      </w:r>
      <w:r w:rsidRPr="00382616">
        <w:rPr>
          <w:rFonts w:asciiTheme="majorBidi" w:hAnsiTheme="majorBidi" w:cstheme="majorBidi"/>
          <w:bCs/>
          <w:sz w:val="24"/>
          <w:szCs w:val="24"/>
        </w:rPr>
        <w:t xml:space="preserve">, </w:t>
      </w:r>
      <w:r w:rsidRPr="00382616">
        <w:rPr>
          <w:rFonts w:asciiTheme="majorBidi" w:hAnsiTheme="majorBidi" w:cstheme="majorBidi"/>
          <w:bCs/>
          <w:i/>
          <w:iCs/>
          <w:sz w:val="24"/>
          <w:szCs w:val="24"/>
        </w:rPr>
        <w:t>C. sphyraena</w:t>
      </w:r>
      <w:r w:rsidRPr="00382616">
        <w:rPr>
          <w:rFonts w:asciiTheme="majorBidi" w:hAnsiTheme="majorBidi" w:cstheme="majorBidi"/>
          <w:bCs/>
          <w:sz w:val="24"/>
          <w:szCs w:val="24"/>
        </w:rPr>
        <w:t xml:space="preserve">, and </w:t>
      </w:r>
      <w:r w:rsidRPr="00382616">
        <w:rPr>
          <w:rFonts w:asciiTheme="majorBidi" w:hAnsiTheme="majorBidi" w:cstheme="majorBidi"/>
          <w:bCs/>
          <w:i/>
          <w:iCs/>
          <w:sz w:val="24"/>
          <w:szCs w:val="24"/>
        </w:rPr>
        <w:t>C. consocium</w:t>
      </w:r>
      <w:r w:rsidRPr="00382616">
        <w:rPr>
          <w:rFonts w:asciiTheme="majorBidi" w:hAnsiTheme="majorBidi" w:cstheme="majorBidi"/>
          <w:bCs/>
          <w:sz w:val="24"/>
          <w:szCs w:val="24"/>
        </w:rPr>
        <w:t xml:space="preserve"> from Lake Chapala; </w:t>
      </w:r>
      <w:r w:rsidRPr="00382616">
        <w:rPr>
          <w:rFonts w:asciiTheme="majorBidi" w:hAnsiTheme="majorBidi" w:cstheme="majorBidi"/>
          <w:bCs/>
          <w:i/>
          <w:iCs/>
          <w:sz w:val="24"/>
          <w:szCs w:val="24"/>
        </w:rPr>
        <w:t>C. grandocule</w:t>
      </w:r>
      <w:r w:rsidRPr="00382616">
        <w:rPr>
          <w:rFonts w:asciiTheme="majorBidi" w:hAnsiTheme="majorBidi" w:cstheme="majorBidi"/>
          <w:bCs/>
          <w:sz w:val="24"/>
          <w:szCs w:val="24"/>
        </w:rPr>
        <w:t xml:space="preserve">, and </w:t>
      </w:r>
      <w:r w:rsidRPr="00382616">
        <w:rPr>
          <w:rFonts w:asciiTheme="majorBidi" w:hAnsiTheme="majorBidi" w:cstheme="majorBidi"/>
          <w:bCs/>
          <w:i/>
          <w:iCs/>
          <w:sz w:val="24"/>
          <w:szCs w:val="24"/>
        </w:rPr>
        <w:t>C. patzcuaro</w:t>
      </w:r>
      <w:r w:rsidRPr="00382616">
        <w:rPr>
          <w:rFonts w:asciiTheme="majorBidi" w:hAnsiTheme="majorBidi" w:cstheme="majorBidi"/>
          <w:bCs/>
          <w:sz w:val="24"/>
          <w:szCs w:val="24"/>
        </w:rPr>
        <w:t xml:space="preserve"> from Lake Pátzcuaro; </w:t>
      </w:r>
      <w:r w:rsidRPr="00382616">
        <w:rPr>
          <w:rFonts w:asciiTheme="majorBidi" w:hAnsiTheme="majorBidi" w:cstheme="majorBidi"/>
          <w:bCs/>
          <w:i/>
          <w:iCs/>
          <w:sz w:val="24"/>
          <w:szCs w:val="24"/>
        </w:rPr>
        <w:t>C. humboldtianum sensu stricto</w:t>
      </w:r>
      <w:r w:rsidRPr="00382616">
        <w:rPr>
          <w:rFonts w:asciiTheme="majorBidi" w:hAnsiTheme="majorBidi" w:cstheme="majorBidi"/>
          <w:bCs/>
          <w:sz w:val="24"/>
          <w:szCs w:val="24"/>
        </w:rPr>
        <w:t xml:space="preserve"> from Lake Zacapu and the Lerma River System; and two subspecies for </w:t>
      </w:r>
      <w:r w:rsidRPr="00382616">
        <w:rPr>
          <w:rFonts w:asciiTheme="majorBidi" w:hAnsiTheme="majorBidi" w:cstheme="majorBidi"/>
          <w:bCs/>
          <w:i/>
          <w:iCs/>
          <w:sz w:val="24"/>
          <w:szCs w:val="24"/>
        </w:rPr>
        <w:t>C. estor</w:t>
      </w:r>
      <w:r w:rsidRPr="00382616">
        <w:rPr>
          <w:rFonts w:asciiTheme="majorBidi" w:hAnsiTheme="majorBidi" w:cstheme="majorBidi"/>
          <w:bCs/>
          <w:sz w:val="24"/>
          <w:szCs w:val="24"/>
        </w:rPr>
        <w:t xml:space="preserve">, </w:t>
      </w:r>
      <w:r w:rsidRPr="00382616">
        <w:rPr>
          <w:rFonts w:asciiTheme="majorBidi" w:hAnsiTheme="majorBidi" w:cstheme="majorBidi"/>
          <w:bCs/>
          <w:i/>
          <w:iCs/>
          <w:sz w:val="24"/>
          <w:szCs w:val="24"/>
        </w:rPr>
        <w:t>C. e. estor</w:t>
      </w:r>
      <w:r w:rsidRPr="00382616">
        <w:rPr>
          <w:rFonts w:asciiTheme="majorBidi" w:hAnsiTheme="majorBidi" w:cstheme="majorBidi"/>
          <w:bCs/>
          <w:sz w:val="24"/>
          <w:szCs w:val="24"/>
        </w:rPr>
        <w:t xml:space="preserve">, and </w:t>
      </w:r>
      <w:r w:rsidRPr="00382616">
        <w:rPr>
          <w:rFonts w:asciiTheme="majorBidi" w:hAnsiTheme="majorBidi" w:cstheme="majorBidi"/>
          <w:bCs/>
          <w:i/>
          <w:iCs/>
          <w:sz w:val="24"/>
          <w:szCs w:val="24"/>
        </w:rPr>
        <w:t xml:space="preserve">C. e. copandaro </w:t>
      </w:r>
      <w:r w:rsidRPr="00382616">
        <w:rPr>
          <w:rFonts w:asciiTheme="majorBidi" w:hAnsiTheme="majorBidi" w:cstheme="majorBidi"/>
          <w:bCs/>
          <w:sz w:val="24"/>
          <w:szCs w:val="24"/>
        </w:rPr>
        <w:t xml:space="preserve">from Lakes Pátzcuaro and Zirahuén respectively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id":"ITEM-2","itemData":{"author":[{"dropping-particle":"","family":"Soria-Barreto","given":"Miriam","non-dropping-particle":"","parse-names":false,"suffix":""},{"dropping-particle":"","family":"Paulo-Maya","given":"Joel","non-dropping-particle":"","parse-names":false,"suffix":""}],"container-title":"Hidrobiológica","id":"ITEM-2","issued":{"date-parts":[["2005"]]},"page":"161-168","title":"Morfometría comparada del aparato mandibular en especies de Chirostoma ( Atheriniformes : Atherinopsidae ) del Lago de Pátzcuaro , Michoacán , México Morphometric comparison of the mandibular region in species of Chirostoma ( Atheriniformes : Atherinopsid","type":"article-journal","volume":"15"},"uris":["http://www.mendeley.com/documents/?uuid=e2bb58ac-4541-45e7-bb45-e26d837e4362"]},{"id":"ITEM-3","itemData":{"author":[{"dropping-particle":"","family":"Barbour","given":"Clyde D","non-dropping-particle":"","parse-names":false,"suffix":""},{"dropping-particle":"","family":"Chernoff","given":"B","non-dropping-particle":"","parse-names":false,"suffix":""}],"container-title":"Evolution of fish species flock","editor":[{"dropping-particle":"","family":"Echelle","given":"A. A.","non-dropping-particle":"","parse-names":false,"suffix":""},{"dropping-particle":"","family":"Kornfield","given":"I.","non-dropping-particle":"","parse-names":false,"suffix":""}],"id":"ITEM-3","issued":{"date-parts":[["1984"]]},"page":"111-127","publisher":"Univ. Maine Orono","publisher-place":"Orono, Me.","title":"Comparative morphology and morphometric of the pescados blancos (genus Chirostoma) from Lake Chapala Mexico","type":"chapter"},"uris":["http://www.mendeley.com/documents/?uuid=3427e858-4971-45ec-bb5c-e96754fc5af0"]},{"id":"ITEM-4","itemData":{"ISSN":"00347744","PMID":"12298246","abstract":"The Chirostoma \"humboldtianum\" group includes seven silverside species considered as a monophyletic assemblage because of their high genetic and morphological similarities. The group includes five moderately large species, \"peces blancos\" (117-300 mm standard length - SL) and two smaller species, \"charales\" (70-142 mm SL). These species are of great economical, cultural and ichthyological interest for local populations, and their management practices are controversial. We investigated the morphometric, meristic and allozyme variations of the seven species (13 populations) and related the variations with life history, habitat and management procedures. Nineteen morphometric variables, eight meristic variables (by multivariate analysis) and 23 allozyme loci of the seven species and populations of Chirostoma were compared. Principal component analysis (PC) of morphometric and meristic data indicate that both sets of data provided information to differentiate among the seven species. The variables that accounted for most of this differentiation were head length (HL), predorsal 1 length (P1L) and length of pelvic fin base (PfbL). PC and Discriminant Analysis (DA) with morphometric data also suggested the differentiation of populations within C. grandocule (83% correctly classified organisms), whereas PC and DA with meristic data differentiated populations of C. humboldtianum (80% correctly classified organisms). The most important morphometric variables for the differentiation were anal fin height (AfH), length of anal fin base (AfbL) and predorsal 2 length (P2L) and the meristic variables D2fR, PdS and AfR. The genetic variability data indicate changes in values of some of the species in relation to previously reported data. The present populations of C. grandocule show a reduction in He (0.002 vs. 0.009). Other species showed an increase; for instance, C. consocium consocium, C. humboldtianum, C. lucius, C. promelas and C. sphyraena averaged He = 0.069 vs. 0.027. θ indicated significant genetic differentiation among the analysed species (0.247, S.D. 0.159) and θs supported the morphological data that suggest intra-specific differentiation (0.360, S.D. 0.154).","author":[{"dropping-particle":"","family":"Los Angeles Barriga-Sosa","given":"Irene","non-dropping-particle":"De","parse-names":false,"suffix":""},{"dropping-particle":"","family":"Ibáñez-Aguirre","given":"Ana Laura","non-dropping-particle":"","parse-names":false,"suffix":""},{"dropping-particle":"","family":"Arredondo-Figueroa","given":"José Luis","non-dropping-particle":"","parse-names":false,"suffix":""}],"container-title":"Revista de Biologia Tropical","id":"ITEM-4","issue":"1","issued":{"date-parts":[["2002"]]},"page":"199-216","title":"Morphological and genetic variation in seven species of the endangered Chirostoma \"humboldtianum species group\" (Atheriniformes: Atherinopsidae)","type":"article-journal","volume":"50"},"uris":["http://www.mendeley.com/documents/?uuid=294ad54c-6962-46c4-a9e0-8c5f02b42cc5"]},{"id":"ITEM-5","itemData":{"author":[{"dropping-particle":"","family":"Echelle","given":"A. A.","non-dropping-particle":"","parse-names":false,"suffix":""},{"dropping-particle":"","family":"Echelle","given":"A. F.","non-dropping-particle":"","parse-names":false,"suffix":""}],"container-title":"Evolution of fish species flock","editor":[{"dropping-particle":"","family":"Echelle","given":"A. A.","non-dropping-particle":"","parse-names":false,"suffix":""},{"dropping-particle":"","family":"Kornfield","given":"I.","non-dropping-particle":"","parse-names":false,"suffix":""}],"id":"ITEM-5","issued":{"date-parts":[["1984"]]},"page":"93-110","publisher":"Univ. Maine Orono","publisher-place":"Orono, Me.","title":"Evolutionary genetics of a \"species flock\"Atherinid fishes on mesa central of Mexico","type":"chapter"},"uris":["http://www.mendeley.com/documents/?uuid=b8674cbf-b7aa-496d-b160-0274e570278d"]}],"mendeley":{"formattedCitation":"[10, 14–17]","plainTextFormattedCitation":"[10, 14–17]","previouslyFormattedCitation":"[10, 14–17]"},"properties":{"noteIndex":0},"schema":"https://github.com/citation-style-language/schema/raw/master/csl-citation.json"}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 xml:space="preserve">[10, </w:t>
      </w:r>
      <w:r w:rsidRPr="00382616">
        <w:rPr>
          <w:rFonts w:asciiTheme="majorBidi" w:hAnsiTheme="majorBidi" w:cstheme="majorBidi"/>
          <w:bCs/>
          <w:sz w:val="24"/>
          <w:szCs w:val="24"/>
        </w:rPr>
        <w:lastRenderedPageBreak/>
        <w:t>14–17]</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(Fig. </w:t>
      </w:r>
      <w:r w:rsidR="00E258C7">
        <w:rPr>
          <w:rFonts w:asciiTheme="majorBidi" w:hAnsiTheme="majorBidi" w:cstheme="majorBidi"/>
          <w:bCs/>
          <w:sz w:val="24"/>
          <w:szCs w:val="24"/>
        </w:rPr>
        <w:t>2.</w:t>
      </w:r>
      <w:r w:rsidRPr="00382616">
        <w:rPr>
          <w:rFonts w:asciiTheme="majorBidi" w:hAnsiTheme="majorBidi" w:cstheme="majorBidi"/>
          <w:bCs/>
          <w:sz w:val="24"/>
          <w:szCs w:val="24"/>
        </w:rPr>
        <w:t xml:space="preserve">1). While a molecular study using one mitochondrial marker (NADH dehydrogenase subunit 2; </w:t>
      </w:r>
      <w:r w:rsidRPr="00382616">
        <w:rPr>
          <w:rFonts w:asciiTheme="majorBidi" w:hAnsiTheme="majorBidi" w:cstheme="majorBidi"/>
          <w:bCs/>
          <w:i/>
          <w:iCs/>
          <w:sz w:val="24"/>
          <w:szCs w:val="24"/>
        </w:rPr>
        <w:t>ND2</w:t>
      </w:r>
      <w:r w:rsidRPr="00382616">
        <w:rPr>
          <w:rFonts w:asciiTheme="majorBidi" w:hAnsiTheme="majorBidi" w:cstheme="majorBidi"/>
          <w:bCs/>
          <w:sz w:val="24"/>
          <w:szCs w:val="24"/>
        </w:rPr>
        <w:t xml:space="preserve">) failed to identify support for the monophyly of each of the nine nominal species, and also to resolve the phylogenetic relationships within the species complex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{"citationItems":[{"id":"ITEM-1","itemData":{"DOI":"10.1643/CI-07-151","ISSN":"00458511","abstract":"The silverside fish tribe Menidiini (Teleostei: Atherinopsidae) consists of four genera, Menldia, Labidesthes, Poblana, and Chirostoma, that are distributed along the Atlantic coast of North America, throughout the Gulf of Mexico, insular United States, and the Mesa Central of México. It has been suggested that Chirostoma, Poblana, and Menidia should be recognized as a single genus under the nominal Menidia. To test this hypothesis, phylogenetic relationships within the tribe Menidiini were assessed using the mitochondrially encoded ND2 gene. Monophyly of the Menidiini tribe was supported. Results also failed to support monophyly for the genera Menidia and Chirostoma as currently recognized. A central Mexican clade, inclusive of Chirostoma and Poblana, was recovered as monophyletic and strongly supported. Relationships within the Mesa Central clade support a previously recognized \"humboldtianum\" clade and the paraphyly of Chirostoma with respect to Poblana. © 2009 by the American Society of Ichthyologists and Herpetologists.","author":[{"dropping-particle":"","family":"Bloom","given":"Devin D.","non-dropping-particle":"","parse-names":false,"suffix":""},{"dropping-particle":"","family":"Piller","given":"Kyle R.","non-dropping-particle":"","parse-names":false,"suffix":""},{"dropping-particle":"","family":"Lyons","given":"John","non-dropping-particle":"","parse-names":false,"suffix":""},{"dropping-particle":"","family":"Mercado-Silva","given":"Norman","non-dropping-particle":"","parse-names":false,"suffix":""},{"dropping-particle":"","family":"Medina-Nava","given":"Martina","non-dropping-particle":"","parse-names":false,"suffix":""}],"container-title":"Copeia","id":"ITEM-1","issue":"2","issued":{"date-parts":[["2009"]]},"page":"408-417","title":"Systematics and biogeography of the silverside tribe menidiini (Teleostomi: Atherinopsidae) based on the mitochondrial ND2 gene","type":"article-journal"},"uris":["http://www.mendeley.com/documents/?uuid=59dc923f-802e-469c-a3de-db909e970a8e"]}],"mendeley":{"formattedCitation":"[18]","plainTextFormattedCitation":"[18]","previouslyFormattedCitation":"[18]"},"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[18]</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a recent phylogeographic study based on two mitochondrial (cytochrome b; </w:t>
      </w:r>
      <w:r w:rsidRPr="00382616">
        <w:rPr>
          <w:rFonts w:asciiTheme="majorBidi" w:hAnsiTheme="majorBidi" w:cstheme="majorBidi"/>
          <w:bCs/>
          <w:i/>
          <w:iCs/>
          <w:sz w:val="24"/>
          <w:szCs w:val="24"/>
        </w:rPr>
        <w:t>Cytb</w:t>
      </w:r>
      <w:r w:rsidRPr="00382616">
        <w:rPr>
          <w:rFonts w:asciiTheme="majorBidi" w:hAnsiTheme="majorBidi" w:cstheme="majorBidi"/>
          <w:bCs/>
          <w:sz w:val="24"/>
          <w:szCs w:val="24"/>
        </w:rPr>
        <w:t xml:space="preserve"> and a fragment of the hypervariable control region; </w:t>
      </w:r>
      <w:r w:rsidRPr="00382616">
        <w:rPr>
          <w:rFonts w:asciiTheme="majorBidi" w:hAnsiTheme="majorBidi" w:cstheme="majorBidi"/>
          <w:bCs/>
          <w:i/>
          <w:iCs/>
          <w:sz w:val="24"/>
          <w:szCs w:val="24"/>
        </w:rPr>
        <w:t>D-loop</w:t>
      </w:r>
      <w:r w:rsidRPr="00382616">
        <w:rPr>
          <w:rFonts w:asciiTheme="majorBidi" w:hAnsiTheme="majorBidi" w:cstheme="majorBidi"/>
          <w:bCs/>
          <w:sz w:val="24"/>
          <w:szCs w:val="24"/>
        </w:rPr>
        <w:t xml:space="preserve">) and one nuclear (first intron of the S7 ribosomal protein; </w:t>
      </w:r>
      <w:r w:rsidRPr="00382616">
        <w:rPr>
          <w:rFonts w:asciiTheme="majorBidi" w:hAnsiTheme="majorBidi" w:cstheme="majorBidi"/>
          <w:bCs/>
          <w:i/>
          <w:iCs/>
          <w:sz w:val="24"/>
          <w:szCs w:val="24"/>
        </w:rPr>
        <w:t>S7</w:t>
      </w:r>
      <w:r w:rsidRPr="00382616">
        <w:rPr>
          <w:rFonts w:asciiTheme="majorBidi" w:hAnsiTheme="majorBidi" w:cstheme="majorBidi"/>
          <w:bCs/>
          <w:sz w:val="24"/>
          <w:szCs w:val="24"/>
        </w:rPr>
        <w:t xml:space="preserve">) markers identified five haplogroups, indicating that the diversity in this species complex is overestimated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[11]</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The genetic structure recovered by such haplogroups is largely clustered by lakes, suggesting that diversification in this group is the result of historical geological and hydrographic processes.</w:t>
      </w:r>
    </w:p>
    <w:p w14:paraId="3D1F7CAE" w14:textId="65F49A22" w:rsidR="0032461E" w:rsidRDefault="00493EAD" w:rsidP="00382616">
      <w:pPr>
        <w:ind w:firstLine="720"/>
        <w:jc w:val="both"/>
        <w:rPr>
          <w:rFonts w:asciiTheme="majorBidi" w:hAnsiTheme="majorBidi" w:cstheme="majorBidi"/>
          <w:bCs/>
          <w:sz w:val="24"/>
          <w:szCs w:val="24"/>
        </w:rPr>
      </w:pPr>
      <w:r>
        <w:rPr>
          <w:rFonts w:asciiTheme="majorBidi" w:hAnsiTheme="majorBidi" w:cstheme="majorBidi"/>
          <w:bCs/>
          <w:noProof/>
          <w:sz w:val="24"/>
          <w:szCs w:val="24"/>
        </w:rPr>
        <w:drawing>
          <wp:anchor distT="0" distB="0" distL="114300" distR="114300" simplePos="0" relativeHeight="251676672" behindDoc="0" locked="0" layoutInCell="1" allowOverlap="1" wp14:anchorId="710E33E7" wp14:editId="540B6FD0">
            <wp:simplePos x="0" y="0"/>
            <wp:positionH relativeFrom="column">
              <wp:posOffset>-16510</wp:posOffset>
            </wp:positionH>
            <wp:positionV relativeFrom="paragraph">
              <wp:posOffset>210803</wp:posOffset>
            </wp:positionV>
            <wp:extent cx="5943600" cy="3623945"/>
            <wp:effectExtent l="0" t="0" r="0" b="0"/>
            <wp:wrapNone/>
            <wp:docPr id="1352911182" name="Picture 5" descr="A map of fish with black text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11182" name="Picture 5" descr="A map of fish with black text and whit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623945"/>
                    </a:xfrm>
                    <a:prstGeom prst="rect">
                      <a:avLst/>
                    </a:prstGeom>
                  </pic:spPr>
                </pic:pic>
              </a:graphicData>
            </a:graphic>
            <wp14:sizeRelH relativeFrom="page">
              <wp14:pctWidth>0</wp14:pctWidth>
            </wp14:sizeRelH>
            <wp14:sizeRelV relativeFrom="page">
              <wp14:pctHeight>0</wp14:pctHeight>
            </wp14:sizeRelV>
          </wp:anchor>
        </w:drawing>
      </w:r>
    </w:p>
    <w:p w14:paraId="7F579CE2" w14:textId="576C047A" w:rsidR="0032461E" w:rsidRDefault="0032461E" w:rsidP="00382616">
      <w:pPr>
        <w:ind w:firstLine="720"/>
        <w:jc w:val="both"/>
        <w:rPr>
          <w:rFonts w:asciiTheme="majorBidi" w:hAnsiTheme="majorBidi" w:cstheme="majorBidi"/>
          <w:bCs/>
          <w:sz w:val="24"/>
          <w:szCs w:val="24"/>
        </w:rPr>
      </w:pPr>
    </w:p>
    <w:p w14:paraId="7D67AB52" w14:textId="077806D0" w:rsidR="0032461E" w:rsidRDefault="0032461E" w:rsidP="00382616">
      <w:pPr>
        <w:ind w:firstLine="720"/>
        <w:jc w:val="both"/>
        <w:rPr>
          <w:rFonts w:asciiTheme="majorBidi" w:hAnsiTheme="majorBidi" w:cstheme="majorBidi"/>
          <w:bCs/>
          <w:sz w:val="24"/>
          <w:szCs w:val="24"/>
        </w:rPr>
      </w:pPr>
    </w:p>
    <w:p w14:paraId="49EDBDCF" w14:textId="1C4FE028" w:rsidR="0032461E" w:rsidRDefault="0032461E" w:rsidP="00382616">
      <w:pPr>
        <w:ind w:firstLine="720"/>
        <w:jc w:val="both"/>
        <w:rPr>
          <w:rFonts w:asciiTheme="majorBidi" w:hAnsiTheme="majorBidi" w:cstheme="majorBidi"/>
          <w:bCs/>
          <w:sz w:val="24"/>
          <w:szCs w:val="24"/>
        </w:rPr>
      </w:pPr>
    </w:p>
    <w:p w14:paraId="11224F9C" w14:textId="7675326B" w:rsidR="0032461E" w:rsidRDefault="0032461E" w:rsidP="00382616">
      <w:pPr>
        <w:ind w:firstLine="720"/>
        <w:jc w:val="both"/>
        <w:rPr>
          <w:rFonts w:asciiTheme="majorBidi" w:hAnsiTheme="majorBidi" w:cstheme="majorBidi"/>
          <w:bCs/>
          <w:sz w:val="24"/>
          <w:szCs w:val="24"/>
        </w:rPr>
      </w:pPr>
    </w:p>
    <w:p w14:paraId="0B043302" w14:textId="30F94769" w:rsidR="0032461E" w:rsidRDefault="0032461E" w:rsidP="00382616">
      <w:pPr>
        <w:ind w:firstLine="720"/>
        <w:jc w:val="both"/>
        <w:rPr>
          <w:rFonts w:asciiTheme="majorBidi" w:hAnsiTheme="majorBidi" w:cstheme="majorBidi"/>
          <w:bCs/>
          <w:sz w:val="24"/>
          <w:szCs w:val="24"/>
        </w:rPr>
      </w:pPr>
    </w:p>
    <w:p w14:paraId="2850B81E" w14:textId="18F0C46A" w:rsidR="0032461E" w:rsidRDefault="0032461E" w:rsidP="00382616">
      <w:pPr>
        <w:ind w:firstLine="720"/>
        <w:jc w:val="both"/>
        <w:rPr>
          <w:rFonts w:asciiTheme="majorBidi" w:hAnsiTheme="majorBidi" w:cstheme="majorBidi"/>
          <w:bCs/>
          <w:sz w:val="24"/>
          <w:szCs w:val="24"/>
        </w:rPr>
      </w:pPr>
    </w:p>
    <w:p w14:paraId="093D65AA" w14:textId="70C5CFCC" w:rsidR="0032461E" w:rsidRDefault="0032461E" w:rsidP="00382616">
      <w:pPr>
        <w:ind w:firstLine="720"/>
        <w:jc w:val="both"/>
        <w:rPr>
          <w:rFonts w:asciiTheme="majorBidi" w:hAnsiTheme="majorBidi" w:cstheme="majorBidi"/>
          <w:bCs/>
          <w:sz w:val="24"/>
          <w:szCs w:val="24"/>
        </w:rPr>
      </w:pPr>
    </w:p>
    <w:p w14:paraId="149ADC20" w14:textId="6E9E876C" w:rsidR="0032461E" w:rsidRDefault="0032461E" w:rsidP="00382616">
      <w:pPr>
        <w:ind w:firstLine="720"/>
        <w:jc w:val="both"/>
        <w:rPr>
          <w:rFonts w:asciiTheme="majorBidi" w:hAnsiTheme="majorBidi" w:cstheme="majorBidi"/>
          <w:bCs/>
          <w:sz w:val="24"/>
          <w:szCs w:val="24"/>
        </w:rPr>
      </w:pPr>
    </w:p>
    <w:p w14:paraId="2EE6DA84" w14:textId="756D90A6" w:rsidR="0032461E" w:rsidRDefault="0032461E" w:rsidP="00382616">
      <w:pPr>
        <w:ind w:firstLine="720"/>
        <w:jc w:val="both"/>
        <w:rPr>
          <w:rFonts w:asciiTheme="majorBidi" w:hAnsiTheme="majorBidi" w:cstheme="majorBidi"/>
          <w:bCs/>
          <w:sz w:val="24"/>
          <w:szCs w:val="24"/>
        </w:rPr>
      </w:pPr>
    </w:p>
    <w:p w14:paraId="340DFC37" w14:textId="60670DCA" w:rsidR="0032461E" w:rsidRDefault="0032461E" w:rsidP="00382616">
      <w:pPr>
        <w:ind w:firstLine="720"/>
        <w:jc w:val="both"/>
        <w:rPr>
          <w:rFonts w:asciiTheme="majorBidi" w:hAnsiTheme="majorBidi" w:cstheme="majorBidi"/>
          <w:bCs/>
          <w:sz w:val="24"/>
          <w:szCs w:val="24"/>
        </w:rPr>
      </w:pPr>
    </w:p>
    <w:p w14:paraId="47DC5141" w14:textId="3099E80E" w:rsidR="0032461E" w:rsidRDefault="0032461E" w:rsidP="00382616">
      <w:pPr>
        <w:ind w:firstLine="720"/>
        <w:jc w:val="both"/>
        <w:rPr>
          <w:rFonts w:asciiTheme="majorBidi" w:hAnsiTheme="majorBidi" w:cstheme="majorBidi"/>
          <w:bCs/>
          <w:sz w:val="24"/>
          <w:szCs w:val="24"/>
        </w:rPr>
      </w:pPr>
    </w:p>
    <w:p w14:paraId="52880527" w14:textId="048A6455" w:rsidR="0032461E" w:rsidRDefault="0032461E" w:rsidP="00382616">
      <w:pPr>
        <w:ind w:firstLine="720"/>
        <w:jc w:val="both"/>
        <w:rPr>
          <w:rFonts w:asciiTheme="majorBidi" w:hAnsiTheme="majorBidi" w:cstheme="majorBidi"/>
          <w:bCs/>
          <w:sz w:val="24"/>
          <w:szCs w:val="24"/>
        </w:rPr>
      </w:pPr>
    </w:p>
    <w:p w14:paraId="2BE5E835" w14:textId="441922E2" w:rsidR="0032461E" w:rsidRDefault="00413B93" w:rsidP="00382616">
      <w:pPr>
        <w:ind w:firstLine="720"/>
        <w:jc w:val="both"/>
        <w:rPr>
          <w:rFonts w:asciiTheme="majorBidi" w:hAnsiTheme="majorBidi" w:cstheme="majorBidi"/>
          <w:bCs/>
          <w:sz w:val="24"/>
          <w:szCs w:val="24"/>
        </w:rPr>
      </w:pPr>
      <w:r>
        <w:rPr>
          <w:rFonts w:asciiTheme="majorBidi" w:hAnsiTheme="majorBidi" w:cstheme="majorBidi"/>
          <w:noProof/>
          <w:sz w:val="24"/>
          <w:szCs w:val="24"/>
        </w:rPr>
        <mc:AlternateContent>
          <mc:Choice Requires="wps">
            <w:drawing>
              <wp:anchor distT="0" distB="0" distL="114300" distR="114300" simplePos="0" relativeHeight="251668480" behindDoc="0" locked="0" layoutInCell="1" allowOverlap="1" wp14:anchorId="20DBCCA1" wp14:editId="66011EE7">
                <wp:simplePos x="0" y="0"/>
                <wp:positionH relativeFrom="column">
                  <wp:posOffset>-15875</wp:posOffset>
                </wp:positionH>
                <wp:positionV relativeFrom="paragraph">
                  <wp:posOffset>57768</wp:posOffset>
                </wp:positionV>
                <wp:extent cx="5943600" cy="821690"/>
                <wp:effectExtent l="0" t="0" r="0" b="3810"/>
                <wp:wrapNone/>
                <wp:docPr id="2060393889" name="Text Box 1"/>
                <wp:cNvGraphicFramePr/>
                <a:graphic xmlns:a="http://schemas.openxmlformats.org/drawingml/2006/main">
                  <a:graphicData uri="http://schemas.microsoft.com/office/word/2010/wordprocessingShape">
                    <wps:wsp>
                      <wps:cNvSpPr txBox="1"/>
                      <wps:spPr>
                        <a:xfrm>
                          <a:off x="0" y="0"/>
                          <a:ext cx="5943600" cy="821690"/>
                        </a:xfrm>
                        <a:prstGeom prst="rect">
                          <a:avLst/>
                        </a:prstGeom>
                        <a:solidFill>
                          <a:schemeClr val="lt1"/>
                        </a:solidFill>
                        <a:ln w="6350">
                          <a:noFill/>
                        </a:ln>
                      </wps:spPr>
                      <wps:txbx>
                        <w:txbxContent>
                          <w:p w14:paraId="53BFE343" w14:textId="02F55B8C" w:rsidR="0032461E" w:rsidRPr="00667391" w:rsidRDefault="0032461E" w:rsidP="0032461E">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775128">
                              <w:rPr>
                                <w:rFonts w:ascii="Times New Roman" w:hAnsi="Times New Roman" w:cs="Times New Roman"/>
                                <w:b/>
                                <w:color w:val="000000" w:themeColor="text1"/>
                                <w:sz w:val="20"/>
                                <w:szCs w:val="20"/>
                              </w:rPr>
                              <w:t>Figure 2.</w:t>
                            </w:r>
                            <w:r>
                              <w:rPr>
                                <w:rFonts w:ascii="Times New Roman" w:hAnsi="Times New Roman" w:cs="Times New Roman"/>
                                <w:b/>
                                <w:color w:val="000000" w:themeColor="text1"/>
                                <w:sz w:val="20"/>
                                <w:szCs w:val="20"/>
                              </w:rPr>
                              <w:t>1</w:t>
                            </w:r>
                            <w:r w:rsidRPr="00775128">
                              <w:rPr>
                                <w:rFonts w:ascii="Times New Roman" w:hAnsi="Times New Roman" w:cs="Times New Roman"/>
                                <w:b/>
                                <w:color w:val="000000" w:themeColor="text1"/>
                                <w:sz w:val="20"/>
                                <w:szCs w:val="20"/>
                              </w:rPr>
                              <w:t xml:space="preserve"> </w:t>
                            </w:r>
                            <w:r w:rsidRPr="0032461E">
                              <w:rPr>
                                <w:rFonts w:ascii="Times New Roman" w:hAnsi="Times New Roman" w:cs="Times New Roman"/>
                                <w:bCs/>
                                <w:color w:val="000000" w:themeColor="text1"/>
                                <w:sz w:val="20"/>
                                <w:szCs w:val="20"/>
                              </w:rPr>
                              <w:t xml:space="preserve">(a) Sampling localities of the </w:t>
                            </w:r>
                            <w:r w:rsidRPr="0032461E">
                              <w:rPr>
                                <w:rFonts w:ascii="Times New Roman" w:hAnsi="Times New Roman" w:cs="Times New Roman"/>
                                <w:bCs/>
                                <w:i/>
                                <w:iCs/>
                                <w:color w:val="000000" w:themeColor="text1"/>
                                <w:sz w:val="20"/>
                                <w:szCs w:val="20"/>
                              </w:rPr>
                              <w:t>humboldtianum</w:t>
                            </w:r>
                            <w:r w:rsidRPr="0032461E">
                              <w:rPr>
                                <w:rFonts w:ascii="Times New Roman" w:hAnsi="Times New Roman" w:cs="Times New Roman"/>
                                <w:bCs/>
                                <w:color w:val="000000" w:themeColor="text1"/>
                                <w:sz w:val="20"/>
                                <w:szCs w:val="20"/>
                              </w:rPr>
                              <w:t xml:space="preserve"> group across the central Mexico plateau: Lake Chapala, Lake Zacapu, Lake Zirahuén, Lake Pátzcuaro, Tepuxtepec Dam, Trinidad Fabela Dam Basins CHA, Chapala; ZIR, Zirahuén; PAT, Pátzcuaro; ZAC, Zacapu; ALE, Alto Lerma; BLE, Bajo Lerma; MLE, Medio Lerma </w:t>
                            </w:r>
                            <w:r w:rsidRPr="0032461E">
                              <w:rPr>
                                <w:rFonts w:ascii="Times New Roman" w:hAnsi="Times New Roman" w:cs="Times New Roman"/>
                                <w:bCs/>
                                <w:color w:val="000000" w:themeColor="text1"/>
                                <w:sz w:val="20"/>
                                <w:szCs w:val="20"/>
                              </w:rPr>
                              <w:fldChar w:fldCharType="begin" w:fldLock="1"/>
                            </w:r>
                            <w:r w:rsidRPr="0032461E">
                              <w:rPr>
                                <w:rFonts w:ascii="Times New Roman" w:hAnsi="Times New Roman" w:cs="Times New Roman"/>
                                <w:bCs/>
                                <w:color w:val="000000" w:themeColor="text1"/>
                                <w:sz w:val="20"/>
                                <w:szCs w:val="20"/>
                              </w:rPr>
                              <w:instrText>ADDIN CSL_CITATION {"citationItems":[{"id":"ITEM-1","itemData":{"author":[{"dropping-particle":"","family":"Pedraza-Marrón","given":"Carmen R.","non-dropping-particle":"Del","parse-names":false,"suffix":""}],"id":"ITEM-1","issued":{"date-parts":[["2012"]]},"publisher":"Universidad Michoacana de San Nicolás de Hidalgo","title":"Cambios en la distribución de los peces de agua dulce del Centro de México y sus posibles causas antropogénicas","type":"thesis"},"uris":["http://www.mendeley.com/documents/?uuid=97651f2e-5bd7-4cbd-a9aa-fd12a9c97521"]}],"mendeley":{"formattedCitation":"[126]","plainTextFormattedCitation":"[126]","previouslyFormattedCitation":"[125]"},"properties":{"noteIndex":0},"schema":"https://github.com/citation-style-language/schema/raw/master/csl-citation.json"}</w:instrText>
                            </w:r>
                            <w:r w:rsidRPr="0032461E">
                              <w:rPr>
                                <w:rFonts w:ascii="Times New Roman" w:hAnsi="Times New Roman" w:cs="Times New Roman"/>
                                <w:bCs/>
                                <w:color w:val="000000" w:themeColor="text1"/>
                                <w:sz w:val="20"/>
                                <w:szCs w:val="20"/>
                              </w:rPr>
                              <w:fldChar w:fldCharType="separate"/>
                            </w:r>
                            <w:r w:rsidRPr="0032461E">
                              <w:rPr>
                                <w:rFonts w:ascii="Times New Roman" w:hAnsi="Times New Roman" w:cs="Times New Roman"/>
                                <w:bCs/>
                                <w:color w:val="000000" w:themeColor="text1"/>
                                <w:sz w:val="20"/>
                                <w:szCs w:val="20"/>
                              </w:rPr>
                              <w:t>[126]</w:t>
                            </w:r>
                            <w:r w:rsidRPr="0032461E">
                              <w:rPr>
                                <w:rFonts w:ascii="Times New Roman" w:hAnsi="Times New Roman" w:cs="Times New Roman"/>
                                <w:bCs/>
                                <w:color w:val="000000" w:themeColor="text1"/>
                                <w:sz w:val="20"/>
                                <w:szCs w:val="20"/>
                              </w:rPr>
                              <w:fldChar w:fldCharType="end"/>
                            </w:r>
                            <w:r w:rsidRPr="0032461E">
                              <w:rPr>
                                <w:rFonts w:ascii="Times New Roman" w:hAnsi="Times New Roman" w:cs="Times New Roman"/>
                                <w:bCs/>
                                <w:color w:val="000000" w:themeColor="text1"/>
                                <w:sz w:val="20"/>
                                <w:szCs w:val="20"/>
                              </w:rPr>
                              <w:t>. (b) Location of central Mexico plateau in Mexico.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BCCA1" id="_x0000_s1029" type="#_x0000_t202" style="position:absolute;left:0;text-align:left;margin-left:-1.25pt;margin-top:4.55pt;width:468pt;height:6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" fillcolor="white [3201]" stroked="f" strokeweight=".5pt">
                <v:textbox>
                  <w:txbxContent>
                    <w:p w14:paraId="53BFE343" w14:textId="02F55B8C" w:rsidR="0032461E" w:rsidRPr="00667391" w:rsidRDefault="0032461E" w:rsidP="0032461E">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775128">
                        <w:rPr>
                          <w:rFonts w:ascii="Times New Roman" w:hAnsi="Times New Roman" w:cs="Times New Roman"/>
                          <w:b/>
                          <w:color w:val="000000" w:themeColor="text1"/>
                          <w:sz w:val="20"/>
                          <w:szCs w:val="20"/>
                        </w:rPr>
                        <w:t>Figure 2.</w:t>
                      </w:r>
                      <w:r>
                        <w:rPr>
                          <w:rFonts w:ascii="Times New Roman" w:hAnsi="Times New Roman" w:cs="Times New Roman"/>
                          <w:b/>
                          <w:color w:val="000000" w:themeColor="text1"/>
                          <w:sz w:val="20"/>
                          <w:szCs w:val="20"/>
                        </w:rPr>
                        <w:t>1</w:t>
                      </w:r>
                      <w:r w:rsidRPr="00775128">
                        <w:rPr>
                          <w:rFonts w:ascii="Times New Roman" w:hAnsi="Times New Roman" w:cs="Times New Roman"/>
                          <w:b/>
                          <w:color w:val="000000" w:themeColor="text1"/>
                          <w:sz w:val="20"/>
                          <w:szCs w:val="20"/>
                        </w:rPr>
                        <w:t xml:space="preserve"> </w:t>
                      </w:r>
                      <w:r w:rsidRPr="0032461E">
                        <w:rPr>
                          <w:rFonts w:ascii="Times New Roman" w:hAnsi="Times New Roman" w:cs="Times New Roman"/>
                          <w:bCs/>
                          <w:color w:val="000000" w:themeColor="text1"/>
                          <w:sz w:val="20"/>
                          <w:szCs w:val="20"/>
                        </w:rPr>
                        <w:t xml:space="preserve">(a) Sampling localities of the </w:t>
                      </w:r>
                      <w:r w:rsidRPr="0032461E">
                        <w:rPr>
                          <w:rFonts w:ascii="Times New Roman" w:hAnsi="Times New Roman" w:cs="Times New Roman"/>
                          <w:bCs/>
                          <w:i/>
                          <w:iCs/>
                          <w:color w:val="000000" w:themeColor="text1"/>
                          <w:sz w:val="20"/>
                          <w:szCs w:val="20"/>
                        </w:rPr>
                        <w:t>humboldtianum</w:t>
                      </w:r>
                      <w:r w:rsidRPr="0032461E">
                        <w:rPr>
                          <w:rFonts w:ascii="Times New Roman" w:hAnsi="Times New Roman" w:cs="Times New Roman"/>
                          <w:bCs/>
                          <w:color w:val="000000" w:themeColor="text1"/>
                          <w:sz w:val="20"/>
                          <w:szCs w:val="20"/>
                        </w:rPr>
                        <w:t xml:space="preserve"> group across the central Mexico plateau: Lake Chapala, Lake Zacapu, Lake Zirahuén, Lake Pátzcuaro, Tepuxtepec Dam, Trinidad Fabela Dam Basins CHA, Chapala; ZIR, Zirahuén; PAT, Pátzcuaro; ZAC, Zacapu; ALE, Alto Lerma; BLE, Bajo Lerma; MLE, Medio Lerma </w:t>
                      </w:r>
                      <w:r w:rsidRPr="0032461E">
                        <w:rPr>
                          <w:rFonts w:ascii="Times New Roman" w:hAnsi="Times New Roman" w:cs="Times New Roman"/>
                          <w:bCs/>
                          <w:color w:val="000000" w:themeColor="text1"/>
                          <w:sz w:val="20"/>
                          <w:szCs w:val="20"/>
                        </w:rPr>
                        <w:fldChar w:fldCharType="begin" w:fldLock="1"/>
                      </w:r>
                      <w:r w:rsidRPr="0032461E">
                        <w:rPr>
                          <w:rFonts w:ascii="Times New Roman" w:hAnsi="Times New Roman" w:cs="Times New Roman"/>
                          <w:bCs/>
                          <w:color w:val="000000" w:themeColor="text1"/>
                          <w:sz w:val="20"/>
                          <w:szCs w:val="20"/>
                        </w:rPr>
                        <w:instrText>ADDIN CSL_CITATION {"citationItems":[{"id":"ITEM-1","itemData":{"author":[{"dropping-particle":"","family":"Pedraza-Marrón","given":"Carmen R.","non-dropping-particle":"Del","parse-names":false,"suffix":""}],"id":"ITEM-1","issued":{"date-parts":[["2012"]]},"publisher":"Universidad Michoacana de San Nicolás de Hidalgo","title":"Cambios en la distribución de los peces de agua dulce del Centro de México y sus posibles causas antropogénicas","type":"thesis"},"uris":["http://www.mendeley.com/documents/?uuid=97651f2e-5bd7-4cbd-a9aa-fd12a9c97521"]}],"mendeley":{"formattedCitation":"[126]","plainTextFormattedCitation":"[126]","previouslyFormattedCitation":"[125]"},"properties":{"noteIndex":0},"schema":"https://github.com/citation-style-language/schema/raw/master/csl-citation.json"}</w:instrText>
                      </w:r>
                      <w:r w:rsidRPr="0032461E">
                        <w:rPr>
                          <w:rFonts w:ascii="Times New Roman" w:hAnsi="Times New Roman" w:cs="Times New Roman"/>
                          <w:bCs/>
                          <w:color w:val="000000" w:themeColor="text1"/>
                          <w:sz w:val="20"/>
                          <w:szCs w:val="20"/>
                        </w:rPr>
                        <w:fldChar w:fldCharType="separate"/>
                      </w:r>
                      <w:r w:rsidRPr="0032461E">
                        <w:rPr>
                          <w:rFonts w:ascii="Times New Roman" w:hAnsi="Times New Roman" w:cs="Times New Roman"/>
                          <w:bCs/>
                          <w:color w:val="000000" w:themeColor="text1"/>
                          <w:sz w:val="20"/>
                          <w:szCs w:val="20"/>
                        </w:rPr>
                        <w:t>[126]</w:t>
                      </w:r>
                      <w:r w:rsidRPr="0032461E">
                        <w:rPr>
                          <w:rFonts w:ascii="Times New Roman" w:hAnsi="Times New Roman" w:cs="Times New Roman"/>
                          <w:bCs/>
                          <w:color w:val="000000" w:themeColor="text1"/>
                          <w:sz w:val="20"/>
                          <w:szCs w:val="20"/>
                        </w:rPr>
                        <w:fldChar w:fldCharType="end"/>
                      </w:r>
                      <w:r w:rsidRPr="0032461E">
                        <w:rPr>
                          <w:rFonts w:ascii="Times New Roman" w:hAnsi="Times New Roman" w:cs="Times New Roman"/>
                          <w:bCs/>
                          <w:color w:val="000000" w:themeColor="text1"/>
                          <w:sz w:val="20"/>
                          <w:szCs w:val="20"/>
                        </w:rPr>
                        <w:t>. (b) Location of central Mexico plateau in Mexico.</w:t>
                      </w:r>
                    </w:p>
                  </w:txbxContent>
                </v:textbox>
              </v:shape>
            </w:pict>
          </mc:Fallback>
        </mc:AlternateContent>
      </w:r>
    </w:p>
    <w:p w14:paraId="53B94F52" w14:textId="166537C4" w:rsidR="0032461E" w:rsidRDefault="0032461E" w:rsidP="00382616">
      <w:pPr>
        <w:ind w:firstLine="720"/>
        <w:jc w:val="both"/>
        <w:rPr>
          <w:rFonts w:asciiTheme="majorBidi" w:hAnsiTheme="majorBidi" w:cstheme="majorBidi"/>
          <w:bCs/>
          <w:sz w:val="24"/>
          <w:szCs w:val="24"/>
        </w:rPr>
      </w:pPr>
    </w:p>
    <w:p w14:paraId="2CD75E51" w14:textId="747FD354" w:rsidR="0032461E" w:rsidRDefault="0032461E" w:rsidP="00382616">
      <w:pPr>
        <w:ind w:firstLine="720"/>
        <w:jc w:val="both"/>
        <w:rPr>
          <w:rFonts w:asciiTheme="majorBidi" w:hAnsiTheme="majorBidi" w:cstheme="majorBidi"/>
          <w:bCs/>
          <w:sz w:val="24"/>
          <w:szCs w:val="24"/>
        </w:rPr>
      </w:pPr>
    </w:p>
    <w:p w14:paraId="661521D5" w14:textId="77777777" w:rsidR="0032461E" w:rsidRPr="00382616" w:rsidRDefault="0032461E" w:rsidP="00413B93">
      <w:pPr>
        <w:jc w:val="both"/>
        <w:rPr>
          <w:rFonts w:asciiTheme="majorBidi" w:hAnsiTheme="majorBidi" w:cstheme="majorBidi"/>
          <w:bCs/>
          <w:sz w:val="24"/>
          <w:szCs w:val="24"/>
        </w:rPr>
      </w:pPr>
    </w:p>
    <w:p w14:paraId="233E1F64" w14:textId="23040769" w:rsidR="00382616" w:rsidRPr="00382616" w:rsidRDefault="00382616" w:rsidP="00382616">
      <w:pPr>
        <w:ind w:firstLine="720"/>
        <w:jc w:val="both"/>
        <w:rPr>
          <w:rFonts w:asciiTheme="majorBidi" w:hAnsiTheme="majorBidi" w:cstheme="majorBidi"/>
          <w:bCs/>
          <w:sz w:val="24"/>
          <w:szCs w:val="24"/>
        </w:rPr>
      </w:pPr>
      <w:r w:rsidRPr="00382616">
        <w:rPr>
          <w:rFonts w:asciiTheme="majorBidi" w:hAnsiTheme="majorBidi" w:cstheme="majorBidi"/>
          <w:bCs/>
          <w:sz w:val="24"/>
          <w:szCs w:val="24"/>
        </w:rPr>
        <w:t xml:space="preserve">Ecological divergence has also been suggested as a speciation driver in this group given the high morphological disparity across traits related to different habitat regimes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{"citationItems":[{"id":"ITEM-1","itemData":{"DOI":"10.1643/CI-07-151","ISSN":"00458511","abstract":"The silverside fish tribe Menidiini (Teleostei: Atherinopsidae) consists of four genera, Menldia, Labidesthes, Poblana, and Chirostoma, that are distributed along the Atlantic coast of North America, throughout the Gulf of Mexico, insular United States, and the Mesa Central of México. It has been suggested that Chirostoma, Poblana, and Menidia should be recognized as a single genus under the nominal Menidia. To test this hypothesis, phylogenetic relationships within the tribe Menidiini were assessed using the mitochondrially encoded ND2 gene. Monophyly of the Menidiini tribe was supported. Results also failed to support monophyly for the genera Menidia and Chirostoma as currently recognized. A central Mexican clade, inclusive of Chirostoma and Poblana, was recovered as monophyletic and strongly supported. Relationships within the Mesa Central clade support a previously recognized \"humboldtianum\" clade and the paraphyly of Chirostoma with respect to Poblana. © 2009 by the American Society of Ichthyologists and Herpetologists.","author":[{"dropping-particle":"","family":"Bloom","given":"Devin D.","non-dropping-particle":"","parse-names":false,"suffix":""},{"dropping-particle":"","family":"Piller","given":"Kyle R.","non-dropping-particle":"","parse-names":false,"suffix":""},{"dropping-particle":"","family":"Lyons","given":"John","non-dropping-particle":"","parse-names":false,"suffix":""},{"dropping-particle":"","family":"Mercado-Silva","given":"Norman","non-dropping-particle":"","parse-names":false,"suffix":""},{"dropping-particle":"","family":"Medina-Nava","given":"Martina","non-dropping-particle":"","parse-names":false,"suffix":""}],"container-title":"Copeia","id":"ITEM-1","issue":"2","issued":{"date-parts":[["2009"]]},"page":"408-417","title":"Systematics and biogeography of the silverside tribe menidiini (Teleostomi: Atherinopsidae) based on the mitochondrial ND2 gene","type":"article-journal"},"uris":["http://www.mendeley.com/documents/?uuid=59dc923f-802e-469c-a3de-db909e970a8e"]},{"id":"ITEM-2","itemData":{"DOI":"10.1111/bij.12413","ISSN":"10958312","abstract":"Freshwater fishes often show large amounts of body shape variation across divergent habitats and, in most cases, the observed differences have been attributed to the environmental pressures of living in lentic or lotic habitats. Previous studies have suggested a distinct set characters and morphological features for species occupying each habitat under the steady-unsteady swimming performance model. We tested this model and assessed body shape variation using geometric morphometrics for two widespread fishes, Goodea atripinnis (Goodeidae) and Chirostoma jordani (Atherinopsidae), inhabiting lentic and lotic habitats across the Mesa Central of Mexico. These species were previously shown to display little genetic variation across their respective ranges. Our body shape analyses reveal morphometric differentiation along the same axes for both species in each habitat. Both possess a deeper body shape in lentic habitats and a more streamlined body in lotic habitats, although the degree of divergence between habitats was less for C.jordani. Differences in the position of the mouth differed between habitats as well, with both species possessing a more superior mouth in lentic habitats. These recovered patterns are generally consistent with the steady-unsteady swimming model and highlight the significance of environmental forces in driving parallel body shape differences of organisms in divergent habitats.","author":[{"dropping-particle":"","family":"Foster","given":"Kimberly","non-dropping-particle":"","parse-names":false,"suffix":""},{"dropping-particle":"","family":"Bower","given":"Luke","non-dropping-particle":"","parse-names":false,"suffix":""},{"dropping-particle":"","family":"Piller","given":"Kyle","non-dropping-particle":"","parse-names":false,"suffix":""}],"container-title":"Biological Journal of the Linnean Society","id":"ITEM-2","issue":"1","issued":{"date-parts":[["2015"]]},"page":"152-162","title":"Getting in shape: Habitat-based morphological divergence for two sympatric fishes","type":"article-journal","volume":"114"},"uris":["http://www.mendeley.com/documents/?uuid=d49289b4-8185-4a95-ab00-878ed5f61af7"]}],"mendeley":{"formattedCitation":"[18, 19]","plainTextFormattedCitation":"[18, 19]","previouslyFormattedCitation":"[18, 19]"},"properties":{"noteIndex":0},"schema":"https://github.com/citation-style-language/schema/raw/master/csl-citation.json"}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[18, 19]</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For instance, ecotypes (‘peces blancos’ and ‘charales’; 117–300 mm and 70–142 mm standard length SL respectively) based on the size of the species could coexist by feeding on preys of different sizes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[10]","plainTextFormattedCitation":"[10]","previouslyFormattedCitation":"[10]"},"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[10]</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Betancourt-Resendes et al.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[11]</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observed intra-lacustrine patterns of evolution in Lakes Chapala and Pátzcuaro (two well-differentiated genetic groups within the Lake Chapala over five morphospecies, and two genetic groups in Lake Pátzcuaro over three morphospecies), suggesting </w:t>
      </w:r>
      <w:r w:rsidRPr="00382616">
        <w:rPr>
          <w:rFonts w:asciiTheme="majorBidi" w:hAnsiTheme="majorBidi" w:cstheme="majorBidi"/>
          <w:bCs/>
          <w:sz w:val="24"/>
          <w:szCs w:val="24"/>
        </w:rPr>
        <w:lastRenderedPageBreak/>
        <w:t xml:space="preserve">that these lineages probably evolved through ecological speciation. Although no strong evidence of segregation of the nominal species by trophic specialization has been reported, these patterns remain to be evaluated </w:t>
      </w:r>
      <w:r w:rsidRPr="00382616">
        <w:rPr>
          <w:rFonts w:asciiTheme="majorBidi" w:hAnsiTheme="majorBidi" w:cstheme="majorBidi"/>
          <w:bCs/>
          <w:sz w:val="24"/>
          <w:szCs w:val="24"/>
        </w:rPr>
        <w:fldChar w:fldCharType="begin" w:fldLock="1"/>
      </w:r>
      <w:r w:rsidRPr="00382616">
        <w:rPr>
          <w:rFonts w:asciiTheme="majorBidi" w:hAnsiTheme="majorBidi" w:cstheme="majorBidi"/>
          <w:bCs/>
          <w:sz w:val="24"/>
          <w:szCs w:val="24"/>
        </w:rPr>
        <w:instrText>ADDIN CSL_CITATION {"citationItems":[{"id":"ITEM-1","itemData":{"ISSN":"0716-078X","author":[{"dropping-particle":"","family":"Rodríguez Ruiz","given":"Amadora","non-dropping-particle":"","parse-names":false,"suffix":""},{"dropping-particle":"","family":"Granado Lorencio","given":"Carlos","non-dropping-particle":"","parse-names":false,"suffix":""}],"id":"ITEM-1","issued":{"date-parts":[["1988"]]},"page":"35-51","title":"Características del aparato bucal asociadas al régimen alimenticio en cinco especies coexistentes del género Chirostoma (lago de Chapala; México)","type":"article-journal"},"uris":["http://www.mendeley.com/documents/?uuid=13408761-0b6c-4a69-b0e1-7ee487611800"]},{"id":"ITEM-2","itemData":{"author":[{"dropping-particle":"","family":"Soria-Barreto","given":"Miriam","non-dropping-particle":"","parse-names":false,"suffix":""},{"dropping-particle":"","family":"Paulo-Maya","given":"Joel","non-dropping-particle":"","parse-names":false,"suffix":""}],"container-title":"Hidrobiológica","id":"ITEM-2","issued":{"date-parts":[["2005"]]},"page":"161-168","title":"Morfometría comparada del aparato mandibular en especies de Chirostoma ( Atheriniformes : Atherinopsidae ) del Lago de Pátzcuaro , Michoacán , México Morphometric comparison of the mandibular region in species of Chirostoma ( Atheriniformes : Atherinopsid","type":"article-journal","volume":"15"},"uris":["http://www.mendeley.com/documents/?uuid=e2bb58ac-4541-45e7-bb45-e26d837e4362"]},{"id":"ITEM-3","itemData":{"DOI":"10.1590/1982-0224-20140079","ISSN":"19820224","abstract":"We explore the trophic role that a diverse sympatric group of fishes in the genus Chirostoma play in a large, shallow lake in central Mexico, Lake Chapala. We use δ13C and δ15N stable isotope – based food web analyses to explore how they relate to other components of the Lake Chapala ecosystem. We find five Chirostoma species in top trophic levels of the Chapala food web compared to other fishes, relying on a combination of zooplankton, fish and benthic resources as energy sources. Food web metric analyses showed generally overlapping trophic niches for members of Chirostoma, especially in terms of δ13C. However, C. jordani had lower mean δ15N isotopic values than C. promelas. As a group, “pescados blancos” (C. sphyraena and C. promelas) also had higher δ15N signatures than “charales” (C. consocium, C. jordani and C. labarcae) reflecting greater piscivory, but these differences were not strong for all food web metrics used. Trophic overlap among species of Chirostoma in Lake Chapala raises questions about the forces that might have led to a morphologically diverse but functionally similar and monophyletic group of species.","author":[{"dropping-particle":"","family":"Mercado-Silva","given":"Norman","non-dropping-particle":"","parse-names":false,"suffix":""},{"dropping-particle":"","family":"Lyons","given":"John","non-dropping-particle":"","parse-names":false,"suffix":""},{"dropping-particle":"","family":"Moncayo-Estrada","given":"Rodrigo","non-dropping-particle":"","parse-names":false,"suffix":""},{"dropping-particle":"","family":"Gesundheit","given":"Pablo","non-dropping-particle":"","parse-names":false,"suffix":""},{"dropping-particle":"","family":"Krabbenhoft","given":"Trevor J.","non-dropping-particle":"","parse-names":false,"suffix":""},{"dropping-particle":"","family":"Powell","given":"Daniel L.","non-dropping-particle":"","parse-names":false,"suffix":""},{"dropping-particle":"","family":"Piller","given":"Kyle R.","non-dropping-particle":"","parse-names":false,"suffix":""}],"container-title":"Neotropical Ichthyology","id":"ITEM-3","issue":"2","issued":{"date-parts":[["2015"]]},"page":"389-400","title":"Stable isotope evidence for trophic overlap of sympatric Mexican Lake Chapala silversides (Teleostei: Atherinopsidae: Chirostoma spp.)","type":"article-journal","volume":"13"},"uris":["http://www.mendeley.com/documents/?uuid=7c3bab97-b0a3-43bd-85dd-2cbe54de8912"]}],"mendeley":{"formattedCitation":"[14, 20, 21]","plainTextFormattedCitation":"[14, 20, 21]","previouslyFormattedCitation":"[14, 20, 21]"},"properties":{"noteIndex":0},"schema":"https://github.com/citation-style-language/schema/raw/master/csl-citation.json"}</w:instrText>
      </w:r>
      <w:r w:rsidRPr="00382616">
        <w:rPr>
          <w:rFonts w:asciiTheme="majorBidi" w:hAnsiTheme="majorBidi" w:cstheme="majorBidi"/>
          <w:bCs/>
          <w:sz w:val="24"/>
          <w:szCs w:val="24"/>
        </w:rPr>
        <w:fldChar w:fldCharType="separate"/>
      </w:r>
      <w:r w:rsidRPr="00382616">
        <w:rPr>
          <w:rFonts w:asciiTheme="majorBidi" w:hAnsiTheme="majorBidi" w:cstheme="majorBidi"/>
          <w:bCs/>
          <w:sz w:val="24"/>
          <w:szCs w:val="24"/>
        </w:rPr>
        <w:t>[14, 20, 21]</w:t>
      </w:r>
      <w:r w:rsidRPr="00382616">
        <w:rPr>
          <w:rFonts w:asciiTheme="majorBidi" w:hAnsiTheme="majorBidi" w:cstheme="majorBidi"/>
          <w:bCs/>
          <w:sz w:val="24"/>
          <w:szCs w:val="24"/>
        </w:rPr>
        <w:fldChar w:fldCharType="end"/>
      </w:r>
      <w:r w:rsidRPr="00382616">
        <w:rPr>
          <w:rFonts w:asciiTheme="majorBidi" w:hAnsiTheme="majorBidi" w:cstheme="majorBidi"/>
          <w:bCs/>
          <w:sz w:val="24"/>
          <w:szCs w:val="24"/>
        </w:rPr>
        <w:t xml:space="preserve">. The discrepancy in the recognition of nine morphological </w:t>
      </w:r>
      <w:r w:rsidRPr="00382616">
        <w:rPr>
          <w:rFonts w:asciiTheme="majorBidi" w:hAnsiTheme="majorBidi" w:cstheme="majorBidi"/>
          <w:bCs/>
          <w:i/>
          <w:iCs/>
          <w:sz w:val="24"/>
          <w:szCs w:val="24"/>
        </w:rPr>
        <w:t>versus</w:t>
      </w:r>
      <w:r w:rsidRPr="00382616">
        <w:rPr>
          <w:rFonts w:asciiTheme="majorBidi" w:hAnsiTheme="majorBidi" w:cstheme="majorBidi"/>
          <w:bCs/>
          <w:sz w:val="24"/>
          <w:szCs w:val="24"/>
        </w:rPr>
        <w:t xml:space="preserve"> five mitochondrial species, together with the economic importance and critical conservation status of these species, highlight the necessity of an accurate estimation of species boundaries in this group.</w:t>
      </w:r>
    </w:p>
    <w:p w14:paraId="7E446304" w14:textId="214709CF" w:rsidR="00382616" w:rsidRDefault="00382616" w:rsidP="00382616">
      <w:pPr>
        <w:ind w:firstLine="720"/>
        <w:jc w:val="both"/>
        <w:rPr>
          <w:rFonts w:asciiTheme="majorBidi" w:hAnsiTheme="majorBidi" w:cstheme="majorBidi"/>
          <w:bCs/>
          <w:sz w:val="24"/>
          <w:szCs w:val="24"/>
        </w:rPr>
      </w:pPr>
      <w:r w:rsidRPr="00382616">
        <w:rPr>
          <w:rFonts w:asciiTheme="majorBidi" w:hAnsiTheme="majorBidi" w:cstheme="majorBidi"/>
          <w:bCs/>
          <w:sz w:val="24"/>
          <w:szCs w:val="24"/>
        </w:rPr>
        <w:t xml:space="preserve">Here, we used double-digest restriction site-associated DNA (ddRAD) sequencing to generate genome-wide single nucleotide polymorphism (SNP) data from all nine nominal species in the </w:t>
      </w:r>
      <w:r w:rsidRPr="00382616">
        <w:rPr>
          <w:rFonts w:asciiTheme="majorBidi" w:hAnsiTheme="majorBidi" w:cstheme="majorBidi"/>
          <w:bCs/>
          <w:i/>
          <w:iCs/>
          <w:sz w:val="24"/>
          <w:szCs w:val="24"/>
        </w:rPr>
        <w:t xml:space="preserve">humboldtianum </w:t>
      </w:r>
      <w:r w:rsidRPr="00382616">
        <w:rPr>
          <w:rFonts w:asciiTheme="majorBidi" w:hAnsiTheme="majorBidi" w:cstheme="majorBidi"/>
          <w:bCs/>
          <w:sz w:val="24"/>
          <w:szCs w:val="24"/>
        </w:rPr>
        <w:t xml:space="preserve">group, sampled throughout their distribution range. We also considered previous studies to interpret the observed genetic structure in the light of multiple lines of evidence. By generating the most comprehensive molecular dataset for this group, coupled with morphological and ecological lines of evidence, this study aims to: (i) test whether the morphospecies or ecotypes are concordant with the genomic groupings, (ii) investigate the number and boundaries of species in the </w:t>
      </w:r>
      <w:r w:rsidRPr="00382616">
        <w:rPr>
          <w:rFonts w:asciiTheme="majorBidi" w:hAnsiTheme="majorBidi" w:cstheme="majorBidi"/>
          <w:bCs/>
          <w:i/>
          <w:iCs/>
          <w:sz w:val="24"/>
          <w:szCs w:val="24"/>
        </w:rPr>
        <w:t>humboldtianum</w:t>
      </w:r>
      <w:r w:rsidRPr="00382616">
        <w:rPr>
          <w:rFonts w:asciiTheme="majorBidi" w:hAnsiTheme="majorBidi" w:cstheme="majorBidi"/>
          <w:bCs/>
          <w:sz w:val="24"/>
          <w:szCs w:val="24"/>
        </w:rPr>
        <w:t xml:space="preserve"> group, (iii) examine the evolutionary processes driving the divergence in this species complex, and (iv) discuss conservation implications in light of the proposed species boundaries and their observed genetic structure. Ultimately, our study adds to the growing body of work addressing complex species delimitation scenarios with genomic data, while providing critical information to guide conservation and management efforts in the </w:t>
      </w:r>
      <w:r w:rsidRPr="00382616">
        <w:rPr>
          <w:rFonts w:asciiTheme="majorBidi" w:hAnsiTheme="majorBidi" w:cstheme="majorBidi"/>
          <w:bCs/>
          <w:i/>
          <w:iCs/>
          <w:sz w:val="24"/>
          <w:szCs w:val="24"/>
        </w:rPr>
        <w:t>humboldtianum</w:t>
      </w:r>
      <w:r w:rsidRPr="00382616">
        <w:rPr>
          <w:rFonts w:asciiTheme="majorBidi" w:hAnsiTheme="majorBidi" w:cstheme="majorBidi"/>
          <w:bCs/>
          <w:sz w:val="24"/>
          <w:szCs w:val="24"/>
        </w:rPr>
        <w:t xml:space="preserve"> group.</w:t>
      </w:r>
    </w:p>
    <w:p w14:paraId="5B9FD772" w14:textId="77777777" w:rsidR="00382616" w:rsidRDefault="00382616" w:rsidP="00382616">
      <w:pPr>
        <w:ind w:firstLine="720"/>
        <w:jc w:val="both"/>
        <w:rPr>
          <w:rFonts w:asciiTheme="majorBidi" w:hAnsiTheme="majorBidi" w:cstheme="majorBidi"/>
          <w:bCs/>
          <w:sz w:val="24"/>
          <w:szCs w:val="24"/>
        </w:rPr>
      </w:pPr>
    </w:p>
    <w:p w14:paraId="33C991E8" w14:textId="08710819" w:rsidR="00382616" w:rsidRPr="00382616" w:rsidRDefault="00382616" w:rsidP="00382616">
      <w:pPr>
        <w:pStyle w:val="ListParagraph"/>
        <w:numPr>
          <w:ilvl w:val="1"/>
          <w:numId w:val="3"/>
        </w:numPr>
        <w:rPr>
          <w:rFonts w:asciiTheme="majorBidi" w:hAnsiTheme="majorBidi" w:cstheme="majorBidi"/>
          <w:b/>
          <w:bCs/>
          <w:sz w:val="32"/>
          <w:szCs w:val="32"/>
        </w:rPr>
      </w:pPr>
      <w:r>
        <w:rPr>
          <w:rFonts w:asciiTheme="majorBidi" w:hAnsiTheme="majorBidi" w:cstheme="majorBidi"/>
          <w:b/>
          <w:bCs/>
          <w:sz w:val="32"/>
          <w:szCs w:val="32"/>
        </w:rPr>
        <w:t>Materials and Methods</w:t>
      </w:r>
    </w:p>
    <w:p w14:paraId="5E85FC21" w14:textId="2A818E35" w:rsidR="00382616" w:rsidRPr="00382616" w:rsidRDefault="00382616" w:rsidP="00382616">
      <w:pPr>
        <w:jc w:val="both"/>
        <w:rPr>
          <w:rFonts w:asciiTheme="majorBidi" w:hAnsiTheme="majorBidi" w:cstheme="majorBidi"/>
          <w:b/>
          <w:bCs/>
          <w:sz w:val="28"/>
          <w:szCs w:val="28"/>
        </w:rPr>
      </w:pPr>
      <w:r>
        <w:rPr>
          <w:rFonts w:asciiTheme="majorBidi" w:hAnsiTheme="majorBidi" w:cstheme="majorBidi"/>
          <w:b/>
          <w:bCs/>
          <w:sz w:val="28"/>
          <w:szCs w:val="28"/>
        </w:rPr>
        <w:t>Sample collections</w:t>
      </w:r>
    </w:p>
    <w:p w14:paraId="05F8C5D1" w14:textId="3FD522A6" w:rsidR="00382616" w:rsidRDefault="00871183" w:rsidP="00871183">
      <w:pPr>
        <w:jc w:val="both"/>
        <w:rPr>
          <w:rFonts w:asciiTheme="majorBidi" w:hAnsiTheme="majorBidi" w:cstheme="majorBidi"/>
          <w:sz w:val="24"/>
          <w:szCs w:val="24"/>
        </w:rPr>
      </w:pPr>
      <w:r w:rsidRPr="00871183">
        <w:rPr>
          <w:rFonts w:asciiTheme="majorBidi" w:hAnsiTheme="majorBidi" w:cstheme="majorBidi"/>
          <w:sz w:val="24"/>
          <w:szCs w:val="24"/>
        </w:rPr>
        <w:t xml:space="preserve">Our research is a follow-up study of a recently published phylogeographic analysis of the </w:t>
      </w:r>
      <w:r w:rsidRPr="00871183">
        <w:rPr>
          <w:rFonts w:asciiTheme="majorBidi" w:hAnsiTheme="majorBidi" w:cstheme="majorBidi"/>
          <w:i/>
          <w:iCs/>
          <w:sz w:val="24"/>
          <w:szCs w:val="24"/>
        </w:rPr>
        <w:t>humboldtianum</w:t>
      </w:r>
      <w:r w:rsidRPr="00871183">
        <w:rPr>
          <w:rFonts w:asciiTheme="majorBidi" w:hAnsiTheme="majorBidi" w:cstheme="majorBidi"/>
          <w:sz w:val="24"/>
          <w:szCs w:val="24"/>
        </w:rPr>
        <w:t xml:space="preserve"> group based on two mitochondrial genes, cytochrome b (</w:t>
      </w:r>
      <w:r w:rsidRPr="00871183">
        <w:rPr>
          <w:rFonts w:asciiTheme="majorBidi" w:hAnsiTheme="majorBidi" w:cstheme="majorBidi"/>
          <w:i/>
          <w:iCs/>
          <w:sz w:val="24"/>
          <w:szCs w:val="24"/>
        </w:rPr>
        <w:t>Cytb</w:t>
      </w:r>
      <w:r w:rsidRPr="00871183">
        <w:rPr>
          <w:rFonts w:asciiTheme="majorBidi" w:hAnsiTheme="majorBidi" w:cstheme="majorBidi"/>
          <w:sz w:val="24"/>
          <w:szCs w:val="24"/>
        </w:rPr>
        <w:t>); and a fragment of the hypervariable control region (</w:t>
      </w:r>
      <w:r w:rsidRPr="00871183">
        <w:rPr>
          <w:rFonts w:asciiTheme="majorBidi" w:hAnsiTheme="majorBidi" w:cstheme="majorBidi"/>
          <w:i/>
          <w:iCs/>
          <w:sz w:val="24"/>
          <w:szCs w:val="24"/>
        </w:rPr>
        <w:t>D-loop</w:t>
      </w:r>
      <w:r w:rsidRPr="00871183">
        <w:rPr>
          <w:rFonts w:asciiTheme="majorBidi" w:hAnsiTheme="majorBidi" w:cstheme="majorBidi"/>
          <w:sz w:val="24"/>
          <w:szCs w:val="24"/>
        </w:rPr>
        <w:t>); and one nuclear locus, the first intron of the S7 ribosomal protein gene (</w:t>
      </w:r>
      <w:r w:rsidRPr="00871183">
        <w:rPr>
          <w:rFonts w:asciiTheme="majorBidi" w:hAnsiTheme="majorBidi" w:cstheme="majorBidi"/>
          <w:i/>
          <w:iCs/>
          <w:sz w:val="24"/>
          <w:szCs w:val="24"/>
        </w:rPr>
        <w:t>S7</w:t>
      </w:r>
      <w:r w:rsidRPr="00871183">
        <w:rPr>
          <w:rFonts w:asciiTheme="majorBidi" w:hAnsiTheme="majorBidi" w:cstheme="majorBidi"/>
          <w:sz w:val="24"/>
          <w:szCs w:val="24"/>
        </w:rPr>
        <w:t xml:space="preserve">) </w:t>
      </w:r>
      <w:r w:rsidRPr="00871183">
        <w:rPr>
          <w:rFonts w:asciiTheme="majorBidi" w:hAnsiTheme="majorBidi" w:cstheme="majorBidi"/>
          <w:sz w:val="24"/>
          <w:szCs w:val="24"/>
        </w:rPr>
        <w:fldChar w:fldCharType="begin" w:fldLock="1"/>
      </w:r>
      <w:r w:rsidRPr="00871183">
        <w:rPr>
          <w:rFonts w:asciiTheme="majorBidi" w:hAnsiTheme="majorBidi" w:cstheme="majorBidi"/>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871183">
        <w:rPr>
          <w:rFonts w:asciiTheme="majorBidi" w:hAnsiTheme="majorBidi" w:cstheme="majorBidi"/>
          <w:sz w:val="24"/>
          <w:szCs w:val="24"/>
        </w:rPr>
        <w:fldChar w:fldCharType="separate"/>
      </w:r>
      <w:r w:rsidRPr="00871183">
        <w:rPr>
          <w:rFonts w:asciiTheme="majorBidi" w:hAnsiTheme="majorBidi" w:cstheme="majorBidi"/>
          <w:sz w:val="24"/>
          <w:szCs w:val="24"/>
        </w:rPr>
        <w:t>[11]</w:t>
      </w:r>
      <w:r w:rsidRPr="00871183">
        <w:rPr>
          <w:rFonts w:asciiTheme="majorBidi" w:hAnsiTheme="majorBidi" w:cstheme="majorBidi"/>
          <w:sz w:val="24"/>
          <w:szCs w:val="24"/>
        </w:rPr>
        <w:fldChar w:fldCharType="end"/>
      </w:r>
      <w:r w:rsidRPr="00871183">
        <w:rPr>
          <w:rFonts w:asciiTheme="majorBidi" w:hAnsiTheme="majorBidi" w:cstheme="majorBidi"/>
          <w:sz w:val="24"/>
          <w:szCs w:val="24"/>
        </w:rPr>
        <w:t>. We carefully selected 77 individuals representing the nine nominal species of the</w:t>
      </w:r>
      <w:r w:rsidRPr="00871183">
        <w:rPr>
          <w:rFonts w:asciiTheme="majorBidi" w:hAnsiTheme="majorBidi" w:cstheme="majorBidi"/>
          <w:i/>
          <w:sz w:val="24"/>
          <w:szCs w:val="24"/>
        </w:rPr>
        <w:t xml:space="preserve"> humboldtianum</w:t>
      </w:r>
      <w:r w:rsidRPr="00871183">
        <w:rPr>
          <w:rFonts w:asciiTheme="majorBidi" w:hAnsiTheme="majorBidi" w:cstheme="majorBidi"/>
          <w:sz w:val="24"/>
          <w:szCs w:val="24"/>
        </w:rPr>
        <w:t xml:space="preserve"> group and the genetic diversity observed by Betancourt-Resendes et al. </w:t>
      </w:r>
      <w:r w:rsidRPr="00871183">
        <w:rPr>
          <w:rFonts w:asciiTheme="majorBidi" w:hAnsiTheme="majorBidi" w:cstheme="majorBidi"/>
          <w:sz w:val="24"/>
          <w:szCs w:val="24"/>
        </w:rPr>
        <w:fldChar w:fldCharType="begin" w:fldLock="1"/>
      </w:r>
      <w:r w:rsidRPr="00871183">
        <w:rPr>
          <w:rFonts w:asciiTheme="majorBidi" w:hAnsiTheme="majorBidi" w:cstheme="majorBidi"/>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871183">
        <w:rPr>
          <w:rFonts w:asciiTheme="majorBidi" w:hAnsiTheme="majorBidi" w:cstheme="majorBidi"/>
          <w:sz w:val="24"/>
          <w:szCs w:val="24"/>
        </w:rPr>
        <w:fldChar w:fldCharType="separate"/>
      </w:r>
      <w:r w:rsidRPr="00871183">
        <w:rPr>
          <w:rFonts w:asciiTheme="majorBidi" w:hAnsiTheme="majorBidi" w:cstheme="majorBidi"/>
          <w:sz w:val="24"/>
          <w:szCs w:val="24"/>
        </w:rPr>
        <w:t>[11]</w:t>
      </w:r>
      <w:r w:rsidRPr="00871183">
        <w:rPr>
          <w:rFonts w:asciiTheme="majorBidi" w:hAnsiTheme="majorBidi" w:cstheme="majorBidi"/>
          <w:sz w:val="24"/>
          <w:szCs w:val="24"/>
        </w:rPr>
        <w:fldChar w:fldCharType="end"/>
      </w:r>
      <w:r w:rsidRPr="00871183">
        <w:rPr>
          <w:rFonts w:asciiTheme="majorBidi" w:hAnsiTheme="majorBidi" w:cstheme="majorBidi"/>
          <w:sz w:val="24"/>
          <w:szCs w:val="24"/>
        </w:rPr>
        <w:t xml:space="preserve"> to build a genomic dataset. We added  two individuals of </w:t>
      </w:r>
      <w:r w:rsidRPr="00871183">
        <w:rPr>
          <w:rFonts w:asciiTheme="majorBidi" w:hAnsiTheme="majorBidi" w:cstheme="majorBidi"/>
          <w:i/>
          <w:iCs/>
          <w:sz w:val="24"/>
          <w:szCs w:val="24"/>
        </w:rPr>
        <w:t>Chirostoma jordani</w:t>
      </w:r>
      <w:r w:rsidRPr="00871183">
        <w:rPr>
          <w:rFonts w:asciiTheme="majorBidi" w:hAnsiTheme="majorBidi" w:cstheme="majorBidi"/>
          <w:sz w:val="24"/>
          <w:szCs w:val="24"/>
        </w:rPr>
        <w:t>,</w:t>
      </w:r>
      <w:r w:rsidRPr="00871183">
        <w:rPr>
          <w:rFonts w:asciiTheme="majorBidi" w:hAnsiTheme="majorBidi" w:cstheme="majorBidi"/>
          <w:i/>
          <w:iCs/>
          <w:sz w:val="24"/>
          <w:szCs w:val="24"/>
        </w:rPr>
        <w:t xml:space="preserve"> </w:t>
      </w:r>
      <w:r w:rsidRPr="00871183">
        <w:rPr>
          <w:rFonts w:asciiTheme="majorBidi" w:hAnsiTheme="majorBidi" w:cstheme="majorBidi"/>
          <w:sz w:val="24"/>
          <w:szCs w:val="24"/>
        </w:rPr>
        <w:t xml:space="preserve">and one of </w:t>
      </w:r>
      <w:r w:rsidRPr="00871183">
        <w:rPr>
          <w:rFonts w:asciiTheme="majorBidi" w:hAnsiTheme="majorBidi" w:cstheme="majorBidi"/>
          <w:i/>
          <w:iCs/>
          <w:sz w:val="24"/>
          <w:szCs w:val="24"/>
        </w:rPr>
        <w:t xml:space="preserve">Chirostoma attenuatum </w:t>
      </w:r>
      <w:r w:rsidRPr="00871183">
        <w:rPr>
          <w:rFonts w:asciiTheme="majorBidi" w:hAnsiTheme="majorBidi" w:cstheme="majorBidi"/>
          <w:sz w:val="24"/>
          <w:szCs w:val="24"/>
        </w:rPr>
        <w:t>as outgroups. We collected the samples in 2014–2018 with the help of local fishermen, followed the ethical capture methods and regulations approved by the Official Mexican Norm NOM-032-SAG/PESC-2015 and NOM-036-SAG/PESC-2015 for fishing in the lakes of central Mexico. Voucher specimens were preserved in 70% ethanol. Our sampling spans six localities, which together cover the range of distribution of the</w:t>
      </w:r>
      <w:r w:rsidRPr="00871183">
        <w:rPr>
          <w:rFonts w:asciiTheme="majorBidi" w:hAnsiTheme="majorBidi" w:cstheme="majorBidi"/>
          <w:i/>
          <w:sz w:val="24"/>
          <w:szCs w:val="24"/>
        </w:rPr>
        <w:t xml:space="preserve"> humboldtianum</w:t>
      </w:r>
      <w:r w:rsidRPr="00871183">
        <w:rPr>
          <w:rFonts w:asciiTheme="majorBidi" w:hAnsiTheme="majorBidi" w:cstheme="majorBidi"/>
          <w:sz w:val="24"/>
          <w:szCs w:val="24"/>
        </w:rPr>
        <w:t xml:space="preserve"> group in the central Mexico plateau (Table S1, Fig. </w:t>
      </w:r>
      <w:r w:rsidR="00811AEC">
        <w:rPr>
          <w:rFonts w:asciiTheme="majorBidi" w:hAnsiTheme="majorBidi" w:cstheme="majorBidi"/>
          <w:sz w:val="24"/>
          <w:szCs w:val="24"/>
        </w:rPr>
        <w:t>2.</w:t>
      </w:r>
      <w:r w:rsidRPr="00871183">
        <w:rPr>
          <w:rFonts w:asciiTheme="majorBidi" w:hAnsiTheme="majorBidi" w:cstheme="majorBidi"/>
          <w:sz w:val="24"/>
          <w:szCs w:val="24"/>
        </w:rPr>
        <w:t>1). We sampled fin clips, preserved them in 95% ethanol, and stored them at -76°C. We deposited tissue and voucher at the fish collection of the Universidad Michoacana de San Nicolás de Hidalgo (UMSNH), Mexico</w:t>
      </w:r>
      <w:r w:rsidR="00074382">
        <w:rPr>
          <w:rFonts w:asciiTheme="majorBidi" w:hAnsiTheme="majorBidi" w:cstheme="majorBidi"/>
          <w:sz w:val="24"/>
          <w:szCs w:val="24"/>
        </w:rPr>
        <w:t>.</w:t>
      </w:r>
    </w:p>
    <w:p w14:paraId="20EC1403" w14:textId="77777777" w:rsidR="00871183" w:rsidRPr="00871183" w:rsidRDefault="00871183" w:rsidP="00871183">
      <w:pPr>
        <w:jc w:val="both"/>
        <w:rPr>
          <w:rFonts w:asciiTheme="majorBidi" w:hAnsiTheme="majorBidi" w:cstheme="majorBidi"/>
          <w:b/>
          <w:bCs/>
          <w:sz w:val="28"/>
          <w:szCs w:val="28"/>
        </w:rPr>
      </w:pPr>
      <w:r w:rsidRPr="00871183">
        <w:rPr>
          <w:rFonts w:asciiTheme="majorBidi" w:hAnsiTheme="majorBidi" w:cstheme="majorBidi"/>
          <w:b/>
          <w:bCs/>
          <w:sz w:val="28"/>
          <w:szCs w:val="28"/>
        </w:rPr>
        <w:t xml:space="preserve">Molecular protocols, </w:t>
      </w:r>
      <w:r w:rsidRPr="00871183">
        <w:rPr>
          <w:rFonts w:asciiTheme="majorBidi" w:hAnsiTheme="majorBidi" w:cstheme="majorBidi"/>
          <w:b/>
          <w:bCs/>
          <w:i/>
          <w:iCs/>
          <w:sz w:val="28"/>
          <w:szCs w:val="28"/>
        </w:rPr>
        <w:t>de novo</w:t>
      </w:r>
      <w:r w:rsidRPr="00871183">
        <w:rPr>
          <w:rFonts w:asciiTheme="majorBidi" w:hAnsiTheme="majorBidi" w:cstheme="majorBidi"/>
          <w:b/>
          <w:bCs/>
          <w:sz w:val="28"/>
          <w:szCs w:val="28"/>
        </w:rPr>
        <w:t xml:space="preserve"> assembly, and SNP genotyping</w:t>
      </w:r>
    </w:p>
    <w:p w14:paraId="6A0E4CB1" w14:textId="77777777" w:rsidR="00871183" w:rsidRPr="00871183" w:rsidRDefault="00871183" w:rsidP="00871183">
      <w:pPr>
        <w:jc w:val="both"/>
        <w:rPr>
          <w:rFonts w:asciiTheme="majorBidi" w:hAnsiTheme="majorBidi" w:cstheme="majorBidi"/>
          <w:sz w:val="24"/>
          <w:szCs w:val="24"/>
        </w:rPr>
      </w:pPr>
      <w:r w:rsidRPr="00871183">
        <w:rPr>
          <w:rFonts w:asciiTheme="majorBidi" w:hAnsiTheme="majorBidi" w:cstheme="majorBidi"/>
          <w:sz w:val="24"/>
          <w:szCs w:val="24"/>
        </w:rPr>
        <w:t xml:space="preserve">We extracted high-molecular-weight DNA using the Qiagen DNeasy Blood and Tissue kit (Qiagen, Inc.) following the manufacturer’s protocol. We prepared the ddRAD sequencing </w:t>
      </w:r>
      <w:r w:rsidRPr="00871183">
        <w:rPr>
          <w:rFonts w:asciiTheme="majorBidi" w:hAnsiTheme="majorBidi" w:cstheme="majorBidi"/>
          <w:sz w:val="24"/>
          <w:szCs w:val="24"/>
        </w:rPr>
        <w:lastRenderedPageBreak/>
        <w:t xml:space="preserve">libraries at the Sequencing and Genotyping Facility (SGF) at the University of Puerto Rico-Río Piedras (UPR-RP), following the protocol of Peterson et al. </w:t>
      </w:r>
      <w:r w:rsidRPr="00871183">
        <w:rPr>
          <w:rFonts w:asciiTheme="majorBidi" w:hAnsiTheme="majorBidi" w:cstheme="majorBidi"/>
          <w:sz w:val="24"/>
          <w:szCs w:val="24"/>
        </w:rPr>
        <w:fldChar w:fldCharType="begin" w:fldLock="1"/>
      </w:r>
      <w:r w:rsidRPr="00871183">
        <w:rPr>
          <w:rFonts w:asciiTheme="majorBidi" w:hAnsiTheme="majorBidi" w:cstheme="majorBidi"/>
          <w:sz w:val="24"/>
          <w:szCs w:val="24"/>
        </w:rPr>
        <w:instrText>ADDIN CSL_CITATION {"citationItems":[{"id":"ITEM-1","itemData":{"DOI":"10.1371/journal.pone.0037135","ISBN":"10.1371/journal.pone.0037135","ISSN":"19326203","PMID":"22675423","abstract":"The ability to efficiently and accurately determine genotypes is a keystone technology in modern genetics, crucial to studies ranging from clinical diagnostics, to genotype-phenotype association, to reconstruction of ancestry and the detection of selection. To date, high capacity, low cost genotyping has been largely achieved via \"SNP chip\" microarray-based platforms which require substantial prior knowledge of both genome sequence and variability, and once designed are suitable only for those targeted variable nucleotide sites. This method introduces substantial ascertainment bias and inherently precludes detection of rare or population-specific variants, a major source of information for both population history and genotype-phenotype association. Recent developments in reduced-representation genome sequencing experiments on massively parallel sequencers (commonly referred to as RAD-tag or RADseq) have brought direct sequencing to the problem of population genotyping, but increased cost and procedural and analytical complexity have limited their widespread adoption. Here, we describe a complete laboratory protocol, including a custom combinatorial indexing method, and accompanying software tools to facilitate genotyping across large numbers (hundreds or more) of individuals for a range of markers (hundreds to hundreds of thousands). Our method requires no prior genomic knowledge and achieves per-site and per-individual costs below that of current SNP chip technology, while requiring similar hands-on time investment, comparable amounts of input DNA, and downstream analysis times on the order of hours. Finally, we provide empirical results from the application of this method to both genotyping in a laboratory cross and in wild populations. Because of its flexibility, this modified RADseq approach promises to be applicable to a diversity of biological questions in a wide range of organisms.","author":[{"dropping-particle":"","family":"Peterson","given":"Brant K.","non-dropping-particle":"","parse-names":false,"suffix":""},{"dropping-particle":"","family":"Weber","given":"Jesse N.","non-dropping-particle":"","parse-names":false,"suffix":""},{"dropping-particle":"","family":"Kay","given":"Emily H.","non-dropping-particle":"","parse-names":false,"suffix":""},{"dropping-particle":"","family":"Fisher","given":"Heidi S.","non-dropping-particle":"","parse-names":false,"suffix":""},{"dropping-particle":"","family":"Hoekstra","given":"Hopi E.","non-dropping-particle":"","parse-names":false,"suffix":""}],"container-title":"PLoS ONE","id":"ITEM-1","issue":"5","issued":{"date-parts":[["2012"]]},"title":"Double digest RADseq: An inexpensive method for de novo SNP discovery and genotyping in model and non-model species","type":"article-journal","volume":"7"},"uris":["http://www.mendeley.com/documents/?uuid=308140b9-40af-47c8-b039-3e9a06813643"]}],"mendeley":{"formattedCitation":"[91]","plainTextFormattedCitation":"[91]","previouslyFormattedCitation":"[90]"},"properties":{"noteIndex":0},"schema":"https://github.com/citation-style-language/schema/raw/master/csl-citation.json"}</w:instrText>
      </w:r>
      <w:r w:rsidRPr="00871183">
        <w:rPr>
          <w:rFonts w:asciiTheme="majorBidi" w:hAnsiTheme="majorBidi" w:cstheme="majorBidi"/>
          <w:sz w:val="24"/>
          <w:szCs w:val="24"/>
        </w:rPr>
        <w:fldChar w:fldCharType="separate"/>
      </w:r>
      <w:r w:rsidRPr="00871183">
        <w:rPr>
          <w:rFonts w:asciiTheme="majorBidi" w:hAnsiTheme="majorBidi" w:cstheme="majorBidi"/>
          <w:sz w:val="24"/>
          <w:szCs w:val="24"/>
        </w:rPr>
        <w:t>[91]</w:t>
      </w:r>
      <w:r w:rsidRPr="00871183">
        <w:rPr>
          <w:rFonts w:asciiTheme="majorBidi" w:hAnsiTheme="majorBidi" w:cstheme="majorBidi"/>
          <w:sz w:val="24"/>
          <w:szCs w:val="24"/>
        </w:rPr>
        <w:fldChar w:fldCharType="end"/>
      </w:r>
      <w:r w:rsidRPr="00871183">
        <w:rPr>
          <w:rFonts w:asciiTheme="majorBidi" w:hAnsiTheme="majorBidi" w:cstheme="majorBidi"/>
          <w:sz w:val="24"/>
          <w:szCs w:val="24"/>
        </w:rPr>
        <w:t xml:space="preserve">. We used the </w:t>
      </w:r>
      <w:r w:rsidRPr="00871183">
        <w:rPr>
          <w:rFonts w:asciiTheme="majorBidi" w:hAnsiTheme="majorBidi" w:cstheme="majorBidi"/>
          <w:i/>
          <w:iCs/>
          <w:sz w:val="24"/>
          <w:szCs w:val="24"/>
        </w:rPr>
        <w:t>PstI</w:t>
      </w:r>
      <w:r w:rsidRPr="00871183">
        <w:rPr>
          <w:rFonts w:asciiTheme="majorBidi" w:hAnsiTheme="majorBidi" w:cstheme="majorBidi"/>
          <w:sz w:val="24"/>
          <w:szCs w:val="24"/>
        </w:rPr>
        <w:t xml:space="preserve"> and </w:t>
      </w:r>
      <w:r w:rsidRPr="00871183">
        <w:rPr>
          <w:rFonts w:asciiTheme="majorBidi" w:hAnsiTheme="majorBidi" w:cstheme="majorBidi"/>
          <w:i/>
          <w:iCs/>
          <w:sz w:val="24"/>
          <w:szCs w:val="24"/>
        </w:rPr>
        <w:t>MseI</w:t>
      </w:r>
      <w:r w:rsidRPr="00871183">
        <w:rPr>
          <w:rFonts w:asciiTheme="majorBidi" w:hAnsiTheme="majorBidi" w:cstheme="majorBidi"/>
          <w:sz w:val="24"/>
          <w:szCs w:val="24"/>
        </w:rPr>
        <w:t xml:space="preserve"> restriction enzymes with a size selection window of 300–600 bp. We sequenced ddRADseq libraries in two lanes of Illumina HiSeq 4000 PE 100 bp at the Knapp Center of Biomedical Discovery (KCBD) Genomics Facility, University of Chicago.</w:t>
      </w:r>
    </w:p>
    <w:p w14:paraId="1C3FDD9D" w14:textId="77777777" w:rsidR="00871183" w:rsidRPr="00871183" w:rsidRDefault="00871183" w:rsidP="00871183">
      <w:pPr>
        <w:ind w:firstLine="720"/>
        <w:jc w:val="both"/>
        <w:rPr>
          <w:rFonts w:asciiTheme="majorBidi" w:hAnsiTheme="majorBidi" w:cstheme="majorBidi"/>
          <w:iCs/>
          <w:sz w:val="24"/>
          <w:szCs w:val="24"/>
        </w:rPr>
      </w:pPr>
      <w:r w:rsidRPr="00871183">
        <w:rPr>
          <w:rFonts w:asciiTheme="majorBidi" w:hAnsiTheme="majorBidi" w:cstheme="majorBidi"/>
          <w:iCs/>
          <w:sz w:val="24"/>
          <w:szCs w:val="24"/>
        </w:rPr>
        <w:t xml:space="preserve">We verified the quality of the raw reads using the software FastQC v0.11.5 (http://www.bioinformatics.babraham.ac.uk/projects/fastqc/). We demultiplexed the sequenced libraries and removed the restriction sites using the process_radtags.pl script implemented in Stacks v2.4 </w:t>
      </w:r>
      <w:r w:rsidRPr="00871183">
        <w:rPr>
          <w:rFonts w:asciiTheme="majorBidi" w:hAnsiTheme="majorBidi" w:cstheme="majorBidi"/>
          <w:iCs/>
          <w:sz w:val="24"/>
          <w:szCs w:val="24"/>
        </w:rPr>
        <w:fldChar w:fldCharType="begin" w:fldLock="1"/>
      </w:r>
      <w:r w:rsidRPr="00871183">
        <w:rPr>
          <w:rFonts w:asciiTheme="majorBidi" w:hAnsiTheme="majorBidi" w:cstheme="majorBidi"/>
          <w:iCs/>
          <w:sz w:val="24"/>
          <w:szCs w:val="24"/>
        </w:rPr>
        <w:instrText>ADDIN CSL_CITATION {"citationItems":[{"id":"ITEM-1","itemData":{"DOI":"10.1111/mec.12354.Stacks","author":[{"dropping-particle":"","family":"Catchen","given":"Julian M.","non-dropping-particle":"","parse-names":false,"suffix":""},{"dropping-particle":"","family":"Hohenlohe","given":"Paul A.","non-dropping-particle":"","parse-names":false,"suffix":""},{"dropping-particle":"","family":"Bassham","given":"Susan","non-dropping-particle":"","parse-names":false,"suffix":""},{"dropping-particle":"","family":"Amores","given":"Angel","non-dropping-particle":"","parse-names":false,"suffix":""},{"dropping-particle":"","family":"Cresko","given":"William A.","non-dropping-particle":"","parse-names":false,"suffix":""}],"container-title":"Molecular Ecology","id":"ITEM-1","issue":"11","issued":{"date-parts":[["2013"]]},"page":"3124-3140","title":"Stacks: an analysis tool set for population genomics","type":"article-journal","volume":"22"},"uris":["http://www.mendeley.com/documents/?uuid=508cf26b-45a4-4e03-91b5-8e4b0d1d311f"]},{"id":"ITEM-2","itemData":{"DOI":"10.1534/g3.111.000240","author":[{"dropping-particle":"","family":"Catchen","given":"Julian M","non-dropping-particle":"","parse-names":false,"suffix":""},{"dropping-particle":"","family":"Amores","given":"Angel","non-dropping-particle":"","parse-names":false,"suffix":""},{"dropping-particle":"","family":"Hohenlohe","given":"Paul","non-dropping-particle":"","parse-names":false,"suffix":""},{"dropping-particle":"","family":"Cresko","given":"William","non-dropping-particle":"","parse-names":false,"suffix":""},{"dropping-particle":"","family":"Postlethwait","given":"John H","non-dropping-particle":"","parse-names":false,"suffix":""}],"container-title":"Genes, Genomes","id":"ITEM-2","issue":"August","issued":{"date-parts":[["2011"]]},"page":"171-182","title":"Stacks : Building and Genotyping Loci De Novo From Short-Read Sequences","type":"article-journal","volume":"1"},"uris":["http://www.mendeley.com/documents/?uuid=194ede90-fde4-47aa-891c-e414bc7cff4d"]}],"mendeley":{"formattedCitation":"[92, 93]","plainTextFormattedCitation":"[92, 93]","previouslyFormattedCitation":"[91, 92]"},"properties":{"noteIndex":0},"schema":"https://github.com/citation-style-language/schema/raw/master/csl-citation.json"}</w:instrText>
      </w:r>
      <w:r w:rsidRPr="00871183">
        <w:rPr>
          <w:rFonts w:asciiTheme="majorBidi" w:hAnsiTheme="majorBidi" w:cstheme="majorBidi"/>
          <w:iCs/>
          <w:sz w:val="24"/>
          <w:szCs w:val="24"/>
        </w:rPr>
        <w:fldChar w:fldCharType="separate"/>
      </w:r>
      <w:r w:rsidRPr="00871183">
        <w:rPr>
          <w:rFonts w:asciiTheme="majorBidi" w:hAnsiTheme="majorBidi" w:cstheme="majorBidi"/>
          <w:iCs/>
          <w:sz w:val="24"/>
          <w:szCs w:val="24"/>
        </w:rPr>
        <w:t>[92, 93]</w:t>
      </w:r>
      <w:r w:rsidRPr="00871183">
        <w:rPr>
          <w:rFonts w:asciiTheme="majorBidi" w:hAnsiTheme="majorBidi" w:cstheme="majorBidi"/>
          <w:iCs/>
          <w:sz w:val="24"/>
          <w:szCs w:val="24"/>
        </w:rPr>
        <w:fldChar w:fldCharType="end"/>
      </w:r>
      <w:r w:rsidRPr="00871183">
        <w:rPr>
          <w:rFonts w:asciiTheme="majorBidi" w:hAnsiTheme="majorBidi" w:cstheme="majorBidi"/>
          <w:iCs/>
          <w:sz w:val="24"/>
          <w:szCs w:val="24"/>
        </w:rPr>
        <w:t>. We trimmed all demultiplexed reads to 86 bp after removal of the restriction site overhangs. We then applied a second quality filter using a Phred score of 33, producing a total of 3.5x10</w:t>
      </w:r>
      <w:r w:rsidRPr="00871183">
        <w:rPr>
          <w:rFonts w:asciiTheme="majorBidi" w:hAnsiTheme="majorBidi" w:cstheme="majorBidi"/>
          <w:iCs/>
          <w:sz w:val="24"/>
          <w:szCs w:val="24"/>
          <w:vertAlign w:val="superscript"/>
        </w:rPr>
        <w:t>8</w:t>
      </w:r>
      <w:r w:rsidRPr="00871183">
        <w:rPr>
          <w:rFonts w:asciiTheme="majorBidi" w:hAnsiTheme="majorBidi" w:cstheme="majorBidi"/>
          <w:iCs/>
          <w:sz w:val="24"/>
          <w:szCs w:val="24"/>
        </w:rPr>
        <w:t xml:space="preserve"> reads that we retained. We deposited all demultiplexed raw reads in GenBank (NCBI) (accession no. SAMN26725252–SAMN26725331, SRA BioProject PRJNA816865).</w:t>
      </w:r>
    </w:p>
    <w:p w14:paraId="59259950" w14:textId="3BC7F6BA" w:rsidR="00871183" w:rsidRPr="00871183" w:rsidRDefault="00871183" w:rsidP="00871183">
      <w:pPr>
        <w:jc w:val="both"/>
        <w:rPr>
          <w:rFonts w:asciiTheme="majorBidi" w:hAnsiTheme="majorBidi" w:cstheme="majorBidi"/>
          <w:iCs/>
          <w:sz w:val="24"/>
          <w:szCs w:val="24"/>
        </w:rPr>
      </w:pPr>
      <w:r w:rsidRPr="00871183">
        <w:rPr>
          <w:rFonts w:asciiTheme="majorBidi" w:hAnsiTheme="majorBidi" w:cstheme="majorBidi"/>
          <w:iCs/>
          <w:sz w:val="24"/>
          <w:szCs w:val="24"/>
        </w:rPr>
        <w:tab/>
        <w:t xml:space="preserve">As there is no </w:t>
      </w:r>
      <w:r w:rsidRPr="00871183">
        <w:rPr>
          <w:rFonts w:asciiTheme="majorBidi" w:hAnsiTheme="majorBidi" w:cstheme="majorBidi"/>
          <w:i/>
          <w:iCs/>
          <w:sz w:val="24"/>
          <w:szCs w:val="24"/>
        </w:rPr>
        <w:t>Chirostoma</w:t>
      </w:r>
      <w:r w:rsidRPr="00871183">
        <w:rPr>
          <w:rFonts w:asciiTheme="majorBidi" w:hAnsiTheme="majorBidi" w:cstheme="majorBidi"/>
          <w:iCs/>
          <w:sz w:val="24"/>
          <w:szCs w:val="24"/>
        </w:rPr>
        <w:t xml:space="preserve"> genome that we could use as a reference, we conducted a </w:t>
      </w:r>
      <w:r w:rsidRPr="00871183">
        <w:rPr>
          <w:rFonts w:asciiTheme="majorBidi" w:hAnsiTheme="majorBidi" w:cstheme="majorBidi"/>
          <w:i/>
          <w:iCs/>
          <w:sz w:val="24"/>
          <w:szCs w:val="24"/>
        </w:rPr>
        <w:t>de novo</w:t>
      </w:r>
      <w:r w:rsidRPr="00871183">
        <w:rPr>
          <w:rFonts w:asciiTheme="majorBidi" w:hAnsiTheme="majorBidi" w:cstheme="majorBidi"/>
          <w:iCs/>
          <w:sz w:val="24"/>
          <w:szCs w:val="24"/>
        </w:rPr>
        <w:t xml:space="preserve"> assembly of putative loci using Stacks. To select the assembly parameters that best-fit the data, we first performed an exploratory analysis using default parameters. We then used a subset of 15 samples, formed by the individuals of each nominal species with the highest coverage to conduct a second assembly by applying different combinations of parameters as reported by Mastretta-Yanes et al. </w:t>
      </w:r>
      <w:r w:rsidRPr="00871183">
        <w:rPr>
          <w:rFonts w:asciiTheme="majorBidi" w:hAnsiTheme="majorBidi" w:cstheme="majorBidi"/>
          <w:iCs/>
          <w:sz w:val="24"/>
          <w:szCs w:val="24"/>
        </w:rPr>
        <w:fldChar w:fldCharType="begin" w:fldLock="1"/>
      </w:r>
      <w:r w:rsidRPr="00871183">
        <w:rPr>
          <w:rFonts w:asciiTheme="majorBidi" w:hAnsiTheme="majorBidi" w:cstheme="majorBidi"/>
          <w:iCs/>
          <w:sz w:val="24"/>
          <w:szCs w:val="24"/>
        </w:rPr>
        <w:instrText>ADDIN CSL_CITATION {"citationItems":[{"id":"ITEM-1","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Ecology","id":"ITEM-1","issue":"15","issued":{"date-parts":[["2015"]]},"page":"28-41","title":"Restriction site-associated DNA sequencing, genotyping error estimation and de novo assembly optimization for population genetic inference","type":"article-journal"},"uris":["http://www.mendeley.com/documents/?uuid=7b2dfb57-5591-41a3-ad23-e056fe0822f1"]}],"mendeley":{"formattedCitation":"[94]","plainTextFormattedCitation":"[94]","previouslyFormattedCitation":"[93]"},"properties":{"noteIndex":0},"schema":"https://github.com/citation-style-language/schema/raw/master/csl-citation.json"}</w:instrText>
      </w:r>
      <w:r w:rsidRPr="00871183">
        <w:rPr>
          <w:rFonts w:asciiTheme="majorBidi" w:hAnsiTheme="majorBidi" w:cstheme="majorBidi"/>
          <w:iCs/>
          <w:sz w:val="24"/>
          <w:szCs w:val="24"/>
        </w:rPr>
        <w:fldChar w:fldCharType="separate"/>
      </w:r>
      <w:r w:rsidRPr="00871183">
        <w:rPr>
          <w:rFonts w:asciiTheme="majorBidi" w:hAnsiTheme="majorBidi" w:cstheme="majorBidi"/>
          <w:iCs/>
          <w:sz w:val="24"/>
          <w:szCs w:val="24"/>
        </w:rPr>
        <w:t>[94]</w:t>
      </w:r>
      <w:r w:rsidRPr="00871183">
        <w:rPr>
          <w:rFonts w:asciiTheme="majorBidi" w:hAnsiTheme="majorBidi" w:cstheme="majorBidi"/>
          <w:iCs/>
          <w:sz w:val="24"/>
          <w:szCs w:val="24"/>
        </w:rPr>
        <w:fldChar w:fldCharType="end"/>
      </w:r>
      <w:r w:rsidRPr="00871183">
        <w:rPr>
          <w:rFonts w:asciiTheme="majorBidi" w:hAnsiTheme="majorBidi" w:cstheme="majorBidi"/>
          <w:iCs/>
          <w:sz w:val="24"/>
          <w:szCs w:val="24"/>
        </w:rPr>
        <w:t xml:space="preserve">, Paris et al. </w:t>
      </w:r>
      <w:r w:rsidRPr="00871183">
        <w:rPr>
          <w:rFonts w:asciiTheme="majorBidi" w:hAnsiTheme="majorBidi" w:cstheme="majorBidi"/>
          <w:iCs/>
          <w:sz w:val="24"/>
          <w:szCs w:val="24"/>
        </w:rPr>
        <w:fldChar w:fldCharType="begin" w:fldLock="1"/>
      </w:r>
      <w:r w:rsidRPr="00871183">
        <w:rPr>
          <w:rFonts w:asciiTheme="majorBidi" w:hAnsiTheme="majorBidi" w:cstheme="majorBidi"/>
          <w:iCs/>
          <w:sz w:val="24"/>
          <w:szCs w:val="24"/>
        </w:rPr>
        <w:instrText>ADDIN CSL_CITATION {"citationItems":[{"id":"ITEM-1","itemData":{"DOI":"10.1111/ijlh.12426","ISBN":"0000000247986","author":[{"dropping-particle":"","family":"Paris","given":"J. R.","non-dropping-particle":"","parse-names":false,"suffix":""},{"dropping-particle":"","family":"Stevens","given":"J.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885d9eb1-2be2-4ebd-950d-a53682e469e4"]}],"mendeley":{"formattedCitation":"[95]","plainTextFormattedCitation":"[95]","previouslyFormattedCitation":"[94]"},"properties":{"noteIndex":0},"schema":"https://github.com/citation-style-language/schema/raw/master/csl-citation.json"}</w:instrText>
      </w:r>
      <w:r w:rsidRPr="00871183">
        <w:rPr>
          <w:rFonts w:asciiTheme="majorBidi" w:hAnsiTheme="majorBidi" w:cstheme="majorBidi"/>
          <w:iCs/>
          <w:sz w:val="24"/>
          <w:szCs w:val="24"/>
        </w:rPr>
        <w:fldChar w:fldCharType="separate"/>
      </w:r>
      <w:r w:rsidRPr="00871183">
        <w:rPr>
          <w:rFonts w:asciiTheme="majorBidi" w:hAnsiTheme="majorBidi" w:cstheme="majorBidi"/>
          <w:iCs/>
          <w:sz w:val="24"/>
          <w:szCs w:val="24"/>
        </w:rPr>
        <w:t>[95]</w:t>
      </w:r>
      <w:r w:rsidRPr="00871183">
        <w:rPr>
          <w:rFonts w:asciiTheme="majorBidi" w:hAnsiTheme="majorBidi" w:cstheme="majorBidi"/>
          <w:iCs/>
          <w:sz w:val="24"/>
          <w:szCs w:val="24"/>
        </w:rPr>
        <w:fldChar w:fldCharType="end"/>
      </w:r>
      <w:r w:rsidRPr="00871183">
        <w:rPr>
          <w:rFonts w:asciiTheme="majorBidi" w:hAnsiTheme="majorBidi" w:cstheme="majorBidi"/>
          <w:iCs/>
          <w:sz w:val="24"/>
          <w:szCs w:val="24"/>
        </w:rPr>
        <w:t xml:space="preserve">, and Pedraza-Marrón et al. </w:t>
      </w:r>
      <w:r w:rsidRPr="00871183">
        <w:rPr>
          <w:rFonts w:asciiTheme="majorBidi" w:hAnsiTheme="majorBidi" w:cstheme="majorBidi"/>
          <w:iCs/>
          <w:sz w:val="24"/>
          <w:szCs w:val="24"/>
        </w:rPr>
        <w:fldChar w:fldCharType="begin" w:fldLock="1"/>
      </w:r>
      <w:r w:rsidRPr="00871183">
        <w:rPr>
          <w:rFonts w:asciiTheme="majorBidi" w:hAnsiTheme="majorBidi" w:cstheme="majorBidi"/>
          <w:iCs/>
          <w:sz w:val="24"/>
          <w:szCs w:val="24"/>
        </w:rPr>
        <w:instrText>ADDIN CSL_CITATION {"citationItems":[{"id":"ITEM-1","itemData":{"DOI":"10.1098/rspb.2018.2924","ISSN":"14712954","abstract":"Species delimitation is a major quest in biology and is essential for adequate management of the organismal diversity. A challenging example comprises the fish species of red snappers in the Western Atlantic. Red snappers have been traditionally recognized as two separate species based on morphology: Lutjanus campechanus (northern red snapper) and L. purpureus (southern red snapper). Recent genetic studies using mitochondrial markers, however, failed to delineate these nominal species, leading to the current lumping of the northern and southern populations into a single species (L. campechanus). This decision carries broad implications for conservation and management as red snappers have been commercially over-exploited across the Western Atlantic and are currently listed as vulnerable. To address this conflict, we examine genome-wide data collected throughout the range of the two species. Population genomics, phylogenetic and coalescent analyses favour the existence of two independent evolutionary lineages, a result that confirms the morphology-based delimitation scenario in agreement with conventional taxonomy. Despite finding evidence of introgression in geographically neighbouring populations in northern South America, our genomic analyses strongly support isolation and differentiation of these species, suggesting that the northern and southern red snappers should be treated as distinct taxonomic entities.","author":[{"dropping-particle":"","family":"Pedraza-Marrón","given":"C. del R.","non-dropping-particle":"","parse-names":false,"suffix":""},{"dropping-particle":"","family":"Silva","given":"Raimundo","non-dropping-particle":"","parse-names":false,"suffix":""},{"dropping-particle":"","family":"Deeds","given":"Jonathan","non-dropping-particle":"","parse-names":false,"suffix":""},{"dropping-particle":"","family":"Belleghem","given":"Steven M.","non-dropping-particle":"Van","parse-names":false,"suffix":""},{"dropping-particle":"","family":"Mastretta-Yanes","given":"Alicia","non-dropping-particle":"","parse-names":false,"suffix":""},{"dropping-particle":"","family":"Domínguez-Domínguez","given":"Omar","non-dropping-particle":"","parse-names":false,"suffix":""},{"dropping-particle":"","family":"Rivero-Vega","given":"Rafael A.","non-dropping-particle":"","parse-names":false,"suffix":""},{"dropping-particle":"","family":"Lutackas","given":"Loretta","non-dropping-particle":"","parse-names":false,"suffix":""},{"dropping-particle":"","family":"Murie","given":"Debra","non-dropping-particle":"","parse-names":false,"suffix":""},{"dropping-particle":"","family":"Parkyn","given":"Daryl","non-dropping-particle":"","parse-names":false,"suffix":""},{"dropping-particle":"","family":"Bullock","given":"Lewis H.","non-dropping-particle":"","parse-names":false,"suffix":""},{"dropping-particle":"","family":"Foss","given":"Kristin","non-dropping-particle":"","parse-names":false,"suffix":""},{"dropping-particle":"","family":"Ortiz-Zuazaga","given":"Humberto","non-dropping-particle":"","parse-names":false,"suffix":""},{"dropping-particle":"","family":"Narváez-Barandica","given":"Juan","non-dropping-particle":"","parse-names":false,"suffix":""},{"dropping-particle":"","family":"Acero","given":"Arturo","non-dropping-particle":"","parse-names":false,"suffix":""},{"dropping-particle":"","family":"Gomes","given":"Grazielle","non-dropping-particle":"","parse-names":false,"suffix":""},{"dropping-particle":"","family":"Betancur-R","given":"Ricardo","non-dropping-particle":"","parse-names":false,"suffix":""}],"container-title":"Proceedings of the Royal Society B: Biological Sciences","id":"ITEM-1","issue":"1900","issued":{"date-parts":[["2019"]]},"title":"Genomics overrules mitochondrial DNA, siding with morphology on a controversial case of species delimitation","type":"article-journal","volume":"286"},"uris":["http://www.mendeley.com/documents/?uuid=6afe113b-b394-4e4e-9962-0ad944897b77"]}],"mendeley":{"formattedCitation":"[96]","plainTextFormattedCitation":"[96]","previouslyFormattedCitation":"[95]"},"properties":{"noteIndex":0},"schema":"https://github.com/citation-style-language/schema/raw/master/csl-citation.json"}</w:instrText>
      </w:r>
      <w:r w:rsidRPr="00871183">
        <w:rPr>
          <w:rFonts w:asciiTheme="majorBidi" w:hAnsiTheme="majorBidi" w:cstheme="majorBidi"/>
          <w:iCs/>
          <w:sz w:val="24"/>
          <w:szCs w:val="24"/>
        </w:rPr>
        <w:fldChar w:fldCharType="separate"/>
      </w:r>
      <w:r w:rsidRPr="00871183">
        <w:rPr>
          <w:rFonts w:asciiTheme="majorBidi" w:hAnsiTheme="majorBidi" w:cstheme="majorBidi"/>
          <w:iCs/>
          <w:sz w:val="24"/>
          <w:szCs w:val="24"/>
        </w:rPr>
        <w:t>[96]</w:t>
      </w:r>
      <w:r w:rsidRPr="00871183">
        <w:rPr>
          <w:rFonts w:asciiTheme="majorBidi" w:hAnsiTheme="majorBidi" w:cstheme="majorBidi"/>
          <w:iCs/>
          <w:sz w:val="24"/>
          <w:szCs w:val="24"/>
        </w:rPr>
        <w:fldChar w:fldCharType="end"/>
      </w:r>
      <w:r w:rsidRPr="00871183">
        <w:rPr>
          <w:rFonts w:asciiTheme="majorBidi" w:hAnsiTheme="majorBidi" w:cstheme="majorBidi"/>
          <w:iCs/>
          <w:sz w:val="24"/>
          <w:szCs w:val="24"/>
        </w:rPr>
        <w:t xml:space="preserve">. Details of the protocol for the </w:t>
      </w:r>
      <w:r w:rsidRPr="00871183">
        <w:rPr>
          <w:rFonts w:asciiTheme="majorBidi" w:hAnsiTheme="majorBidi" w:cstheme="majorBidi"/>
          <w:i/>
          <w:iCs/>
          <w:sz w:val="24"/>
          <w:szCs w:val="24"/>
        </w:rPr>
        <w:t>de novo</w:t>
      </w:r>
      <w:r w:rsidRPr="00871183">
        <w:rPr>
          <w:rFonts w:asciiTheme="majorBidi" w:hAnsiTheme="majorBidi" w:cstheme="majorBidi"/>
          <w:iCs/>
          <w:sz w:val="24"/>
          <w:szCs w:val="24"/>
        </w:rPr>
        <w:t xml:space="preserve"> assembly are given in the </w:t>
      </w:r>
      <w:r w:rsidR="0080123C">
        <w:rPr>
          <w:rFonts w:asciiTheme="majorBidi" w:hAnsiTheme="majorBidi" w:cstheme="majorBidi"/>
          <w:iCs/>
          <w:sz w:val="24"/>
          <w:szCs w:val="24"/>
        </w:rPr>
        <w:t>Appendix B</w:t>
      </w:r>
      <w:r w:rsidRPr="00871183">
        <w:rPr>
          <w:rFonts w:asciiTheme="majorBidi" w:hAnsiTheme="majorBidi" w:cstheme="majorBidi"/>
          <w:iCs/>
          <w:sz w:val="24"/>
          <w:szCs w:val="24"/>
        </w:rPr>
        <w:t xml:space="preserve"> (SM, Fig. S11-S13). We conducted the final locus assembly using a minimum of five raw reads required to form a stack (</w:t>
      </w:r>
      <w:r w:rsidRPr="00871183">
        <w:rPr>
          <w:rFonts w:asciiTheme="majorBidi" w:hAnsiTheme="majorBidi" w:cstheme="majorBidi"/>
          <w:i/>
          <w:iCs/>
          <w:sz w:val="24"/>
          <w:szCs w:val="24"/>
        </w:rPr>
        <w:t xml:space="preserve">m </w:t>
      </w:r>
      <w:r w:rsidRPr="00871183">
        <w:rPr>
          <w:rFonts w:asciiTheme="majorBidi" w:hAnsiTheme="majorBidi" w:cstheme="majorBidi"/>
          <w:iCs/>
          <w:sz w:val="24"/>
          <w:szCs w:val="24"/>
        </w:rPr>
        <w:t>= 5), with a maximum of four mismatches between stacks (</w:t>
      </w:r>
      <w:r w:rsidRPr="00871183">
        <w:rPr>
          <w:rFonts w:asciiTheme="majorBidi" w:hAnsiTheme="majorBidi" w:cstheme="majorBidi"/>
          <w:i/>
          <w:iCs/>
          <w:sz w:val="24"/>
          <w:szCs w:val="24"/>
        </w:rPr>
        <w:t>M</w:t>
      </w:r>
      <w:r w:rsidRPr="00871183">
        <w:rPr>
          <w:rFonts w:asciiTheme="majorBidi" w:hAnsiTheme="majorBidi" w:cstheme="majorBidi"/>
          <w:iCs/>
          <w:sz w:val="24"/>
          <w:szCs w:val="24"/>
        </w:rPr>
        <w:t xml:space="preserve"> = 4), and five mismatches between loci of different individuals (</w:t>
      </w:r>
      <w:r w:rsidRPr="00871183">
        <w:rPr>
          <w:rFonts w:asciiTheme="majorBidi" w:hAnsiTheme="majorBidi" w:cstheme="majorBidi"/>
          <w:i/>
          <w:iCs/>
          <w:sz w:val="24"/>
          <w:szCs w:val="24"/>
        </w:rPr>
        <w:t>n</w:t>
      </w:r>
      <w:r w:rsidRPr="00871183">
        <w:rPr>
          <w:rFonts w:asciiTheme="majorBidi" w:hAnsiTheme="majorBidi" w:cstheme="majorBidi"/>
          <w:iCs/>
          <w:sz w:val="24"/>
          <w:szCs w:val="24"/>
        </w:rPr>
        <w:t xml:space="preserve"> = 5).</w:t>
      </w:r>
    </w:p>
    <w:p w14:paraId="167C6376" w14:textId="77777777" w:rsidR="00EA75BB" w:rsidRPr="00EA75BB" w:rsidRDefault="00EA75BB" w:rsidP="00EA75BB">
      <w:pPr>
        <w:jc w:val="both"/>
        <w:rPr>
          <w:rFonts w:asciiTheme="majorBidi" w:hAnsiTheme="majorBidi" w:cstheme="majorBidi"/>
          <w:b/>
          <w:bCs/>
          <w:sz w:val="28"/>
          <w:szCs w:val="28"/>
        </w:rPr>
      </w:pPr>
      <w:r w:rsidRPr="00EA75BB">
        <w:rPr>
          <w:rFonts w:asciiTheme="majorBidi" w:hAnsiTheme="majorBidi" w:cstheme="majorBidi"/>
          <w:b/>
          <w:bCs/>
          <w:sz w:val="28"/>
          <w:szCs w:val="28"/>
        </w:rPr>
        <w:t>SNP filtering and database selection</w:t>
      </w:r>
    </w:p>
    <w:p w14:paraId="05A26857" w14:textId="77777777" w:rsidR="00EA75BB" w:rsidRPr="00EA75BB" w:rsidRDefault="00EA75BB" w:rsidP="00EA75BB">
      <w:pPr>
        <w:jc w:val="both"/>
        <w:rPr>
          <w:rFonts w:asciiTheme="majorBidi" w:hAnsiTheme="majorBidi" w:cstheme="majorBidi"/>
          <w:sz w:val="24"/>
          <w:szCs w:val="24"/>
        </w:rPr>
      </w:pPr>
      <w:r w:rsidRPr="00EA75BB">
        <w:rPr>
          <w:rFonts w:asciiTheme="majorBidi" w:hAnsiTheme="majorBidi" w:cstheme="majorBidi"/>
          <w:sz w:val="24"/>
          <w:szCs w:val="24"/>
        </w:rPr>
        <w:t xml:space="preserve">SNP filtering parameters play an important role in the number of recovered loci and the inferred degree of genetic differentiation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{"citationItems":[{"id":"ITEM-1","itemData":{"DOI":"10.3389/fgene.2019.00533","ISSN":"16648021","abstract":"Restriction site-associated DNA sequencing (RAD-seq) has become a powerful and widely used tool in molecular ecology studies as it allows to cost-effectively recover thousands of polymorphic sites across individuals of non-model organisms. However, its successful implementation in population genetics relies on correct data processing that would minimize potential loci-assembly biases and consequent genotyping error rates. RAD-seq data processing when no reference genome is available involves the assembly of hundreds of thousands high-throughput sequencing reads into orthologous loci, for which various key parameter values need to be selected by the researcher. Previous studies exploring the effect of these parameter values found or assumed that a larger number of recovered polymorphic loci is associated with a better assembly. Here, using three RAD-seq datasets from different species, we explore the effect of read filtering, loci assembly and polymorphic site selection on number of markers obtained and genetic differentiation inferred using the Stacks software. We find (i) that recovery of higher numbers of polymorphic loci is not necessarily associated with higher genetic differentiation, (ii) that the presence of PCR duplicates, selected loci assembly parameters and selected SNP filtering parameters affect the number of recovered polymorphic loci and degree of genetic differentiation, and (iii) that this effect is different in each dataset, meaning that defining a systematic universal protocol for RAD-seq data analysis may lead to missing relevant information about population differentiation.","author":[{"dropping-particle":"","family":"Díaz-Arce","given":"Natalia","non-dropping-particle":"","parse-names":false,"suffix":""},{"dropping-particle":"","family":"Rodríguez-Ezpeleta","given":"Naiara","non-dropping-particle":"","parse-names":false,"suffix":""}],"container-title":"Frontiers in Genetics","id":"ITEM-1","issue":"MAY","issued":{"date-parts":[["2019"]]},"page":"1-10","title":"Selecting RAD-Seq data analysis parameters for population genetics: The more the better?","type":"article-journal","volume":"10"},"uris":["http://www.mendeley.com/documents/?uuid=cff44141-7c45-46b2-ba89-53b8357e6d34"]},{"id":"ITEM-2","itemData":{"DOI":"10.1111/1755-0998.12995","ISSN":"17550998","PMID":"30659755","abstract":"A common method of minimizing errors in large DNA sequence data sets is to drop variable sites with a minor allele frequency (MAF) below some specified threshold. Although widespread, this procedure has the potential to alter downstream population genetic inferences and has received relatively little rigorous analysis. Here we use simulations and an empirical single nucleotide polymorphism data set to demonstrate the impacts of MAF thresholds on inference of population structure—often the first step in analysis of population genomic data. We find that model-based inference of population structure is confounded when singletons are included in the alignment, and that both model-based and multivariate analyses infer less distinct clusters when more stringent MAF cutoffs are applied. We propose that this behaviour is caused by the combination of a drop in the total size of the data matrix and by correlations between allele frequencies and mutational age. We recommend a set of best practices for applying MAF filters in studies seeking to describe population structure with genomic data.","author":[{"dropping-particle":"","family":"Linck","given":"Ethan","non-dropping-particle":"","parse-names":false,"suffix":""},{"dropping-particle":"","family":"Battey","given":"C. J.","non-dropping-particle":"","parse-names":false,"suffix":""}],"container-title":"Molecular Ecology Resources","id":"ITEM-2","issue":"3","issued":{"date-parts":[["2019"]]},"page":"639-647","title":"Minor allele frequency thresholds strongly affect population structure inference with genomic data sets","type":"article-journal","volume":"19"},"uris":["http://www.mendeley.com/documents/?uuid=45f180ea-711c-417e-91be-bd6cda9d2296"]}],"mendeley":{"formattedCitation":"[97, 98]","plainTextFormattedCitation":"[97, 98]","previouslyFormattedCitation":"[96, 97]"},"properties":{"noteIndex":0},"schema":"https://github.com/citation-style-language/schema/raw/master/csl-citation.json"}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[97, 98]</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We thus implemented a series of exhaustive steps to select the final SNP loci that were included in further analyses (Fig. S14). (</w:t>
      </w:r>
      <w:r w:rsidRPr="00EA75BB">
        <w:rPr>
          <w:rFonts w:asciiTheme="majorBidi" w:hAnsiTheme="majorBidi" w:cstheme="majorBidi"/>
          <w:i/>
          <w:iCs/>
          <w:sz w:val="24"/>
          <w:szCs w:val="24"/>
        </w:rPr>
        <w:t>Step 1</w:t>
      </w:r>
      <w:r w:rsidRPr="00EA75BB">
        <w:rPr>
          <w:rFonts w:asciiTheme="majorBidi" w:hAnsiTheme="majorBidi" w:cstheme="majorBidi"/>
          <w:sz w:val="24"/>
          <w:szCs w:val="24"/>
        </w:rPr>
        <w:t>) We filtered biallelic loci according to the number of individuals, populations, and nominal species (Table S2). We selected four databases that ranged between ~1000 and ~105000 SNPs to apply further filters. (</w:t>
      </w:r>
      <w:r w:rsidRPr="00EA75BB">
        <w:rPr>
          <w:rFonts w:asciiTheme="majorBidi" w:hAnsiTheme="majorBidi" w:cstheme="majorBidi"/>
          <w:i/>
          <w:iCs/>
          <w:sz w:val="24"/>
          <w:szCs w:val="24"/>
        </w:rPr>
        <w:t>Step 2</w:t>
      </w:r>
      <w:r w:rsidRPr="00EA75BB">
        <w:rPr>
          <w:rFonts w:asciiTheme="majorBidi" w:hAnsiTheme="majorBidi" w:cstheme="majorBidi"/>
          <w:sz w:val="24"/>
          <w:szCs w:val="24"/>
        </w:rPr>
        <w:t>) We removed low-frequency alleles and potential paralogous loci using a minor allele frequency (</w:t>
      </w:r>
      <w:r w:rsidRPr="00EA75BB">
        <w:rPr>
          <w:rFonts w:asciiTheme="majorBidi" w:hAnsiTheme="majorBidi" w:cstheme="majorBidi"/>
          <w:i/>
          <w:iCs/>
          <w:sz w:val="24"/>
          <w:szCs w:val="24"/>
        </w:rPr>
        <w:t>maf</w:t>
      </w:r>
      <w:r w:rsidRPr="00EA75BB">
        <w:rPr>
          <w:rFonts w:asciiTheme="majorBidi" w:hAnsiTheme="majorBidi" w:cstheme="majorBidi"/>
          <w:sz w:val="24"/>
          <w:szCs w:val="24"/>
        </w:rPr>
        <w:t>) of 0.01 and 0.05. (</w:t>
      </w:r>
      <w:r w:rsidRPr="00EA75BB">
        <w:rPr>
          <w:rFonts w:asciiTheme="majorBidi" w:hAnsiTheme="majorBidi" w:cstheme="majorBidi"/>
          <w:i/>
          <w:iCs/>
          <w:sz w:val="24"/>
          <w:szCs w:val="24"/>
        </w:rPr>
        <w:t>Step 3</w:t>
      </w:r>
      <w:r w:rsidRPr="00EA75BB">
        <w:rPr>
          <w:rFonts w:asciiTheme="majorBidi" w:hAnsiTheme="majorBidi" w:cstheme="majorBidi"/>
          <w:sz w:val="24"/>
          <w:szCs w:val="24"/>
        </w:rPr>
        <w:t>) We selected sites with different tolerance thresholds for missing data (0.05, 0.25, 0.50, and 0.75). (</w:t>
      </w:r>
      <w:r w:rsidRPr="00EA75BB">
        <w:rPr>
          <w:rFonts w:asciiTheme="majorBidi" w:hAnsiTheme="majorBidi" w:cstheme="majorBidi"/>
          <w:i/>
          <w:iCs/>
          <w:sz w:val="24"/>
          <w:szCs w:val="24"/>
        </w:rPr>
        <w:t>Step 4</w:t>
      </w:r>
      <w:r w:rsidRPr="00EA75BB">
        <w:rPr>
          <w:rFonts w:asciiTheme="majorBidi" w:hAnsiTheme="majorBidi" w:cstheme="majorBidi"/>
          <w:sz w:val="24"/>
          <w:szCs w:val="24"/>
        </w:rPr>
        <w:t>) We removed individuals with various cutoffs of missing data (0.05–0.99). Collectively, these filters produced 24 additional datasets, with 150–33800 SNP loci, 0.3–49% of missing data, and 37–80 individuals representing 4–9 morphospecies. (</w:t>
      </w:r>
      <w:r w:rsidRPr="00EA75BB">
        <w:rPr>
          <w:rFonts w:asciiTheme="majorBidi" w:hAnsiTheme="majorBidi" w:cstheme="majorBidi"/>
          <w:i/>
          <w:iCs/>
          <w:sz w:val="24"/>
          <w:szCs w:val="24"/>
        </w:rPr>
        <w:t>Step 5</w:t>
      </w:r>
      <w:r w:rsidRPr="00EA75BB">
        <w:rPr>
          <w:rFonts w:asciiTheme="majorBidi" w:hAnsiTheme="majorBidi" w:cstheme="majorBidi"/>
          <w:sz w:val="24"/>
          <w:szCs w:val="24"/>
        </w:rPr>
        <w:t xml:space="preserve">, Table S3). We then selected 19 (out of the 24) matrices to assess the robustness of our analyses to differences in numbers of individuals (37–72), nominal species (4–9), SNPs (~2k–~33k), and proportions of missing data (0.3–49%). The matrices generated during this step were further used to evaluate the sensitivity of the analyses to the exclusion of nominal species with high levels of missing data (see SM). For more exhaustive analyses, we also selected five (out of the 24) datasets with a final set of 72 individuals representing the nine morphospecies: A-33716snps (33716 SNPs, 15.7% missing data), B-10517snps (10517 SNPs, 7.7% missing data), C-4821snps (4821 SNPs, 12.3% missing data), D-3564snps (3564 SNPs, 10.4% missing data), and </w:t>
      </w:r>
      <w:r w:rsidRPr="00EA75BB">
        <w:rPr>
          <w:rFonts w:asciiTheme="majorBidi" w:hAnsiTheme="majorBidi" w:cstheme="majorBidi"/>
          <w:sz w:val="24"/>
          <w:szCs w:val="24"/>
        </w:rPr>
        <w:lastRenderedPageBreak/>
        <w:t>E-1887snps (1887 SNPs, 12.4% missing data). (</w:t>
      </w:r>
      <w:r w:rsidRPr="00EA75BB">
        <w:rPr>
          <w:rFonts w:asciiTheme="majorBidi" w:hAnsiTheme="majorBidi" w:cstheme="majorBidi"/>
          <w:i/>
          <w:iCs/>
          <w:sz w:val="24"/>
          <w:szCs w:val="24"/>
        </w:rPr>
        <w:t>Step 6</w:t>
      </w:r>
      <w:r w:rsidRPr="00EA75BB">
        <w:rPr>
          <w:rFonts w:asciiTheme="majorBidi" w:hAnsiTheme="majorBidi" w:cstheme="majorBidi"/>
          <w:sz w:val="24"/>
          <w:szCs w:val="24"/>
        </w:rPr>
        <w:t xml:space="preserve">) Finally, to conduct </w:t>
      </w:r>
      <w:r w:rsidRPr="00EA75BB">
        <w:rPr>
          <w:rFonts w:asciiTheme="majorBidi" w:hAnsiTheme="majorBidi" w:cstheme="majorBidi"/>
          <w:i/>
          <w:iCs/>
          <w:sz w:val="24"/>
          <w:szCs w:val="24"/>
        </w:rPr>
        <w:t>F</w:t>
      </w:r>
      <w:r w:rsidRPr="00EA75BB">
        <w:rPr>
          <w:rFonts w:asciiTheme="majorBidi" w:hAnsiTheme="majorBidi" w:cstheme="majorBidi"/>
          <w:sz w:val="24"/>
          <w:szCs w:val="24"/>
          <w:vertAlign w:val="subscript"/>
        </w:rPr>
        <w:t>ST</w:t>
      </w:r>
      <w:r w:rsidRPr="00EA75BB">
        <w:rPr>
          <w:rFonts w:asciiTheme="majorBidi" w:hAnsiTheme="majorBidi" w:cstheme="majorBidi"/>
          <w:sz w:val="24"/>
          <w:szCs w:val="24"/>
        </w:rPr>
        <w:t xml:space="preserve"> outlier analyses (see section 2.7), the five matrices (A–E) from previous step were partitioned into all, neutral, and outlier loci, for a total of 15 databases. For details refer to the SM (see also Fig. S14).</w:t>
      </w:r>
    </w:p>
    <w:p w14:paraId="6BFF830E" w14:textId="77777777" w:rsidR="00EA75BB" w:rsidRPr="00EA75BB" w:rsidRDefault="00EA75BB" w:rsidP="00EA75BB">
      <w:pPr>
        <w:jc w:val="both"/>
        <w:rPr>
          <w:rFonts w:asciiTheme="majorBidi" w:hAnsiTheme="majorBidi" w:cstheme="majorBidi"/>
          <w:b/>
          <w:bCs/>
          <w:sz w:val="28"/>
          <w:szCs w:val="28"/>
        </w:rPr>
      </w:pPr>
      <w:r w:rsidRPr="00EA75BB">
        <w:rPr>
          <w:rFonts w:asciiTheme="majorBidi" w:hAnsiTheme="majorBidi" w:cstheme="majorBidi"/>
          <w:b/>
          <w:bCs/>
          <w:sz w:val="28"/>
          <w:szCs w:val="28"/>
        </w:rPr>
        <w:t>Multivariate analyses</w:t>
      </w:r>
    </w:p>
    <w:p w14:paraId="1F07D1DB" w14:textId="2E83B4B6" w:rsidR="00871183" w:rsidRDefault="00EA75BB" w:rsidP="00EA75BB">
      <w:pPr>
        <w:jc w:val="both"/>
        <w:rPr>
          <w:rFonts w:asciiTheme="majorBidi" w:hAnsiTheme="majorBidi" w:cstheme="majorBidi"/>
          <w:sz w:val="24"/>
          <w:szCs w:val="24"/>
        </w:rPr>
      </w:pPr>
      <w:r w:rsidRPr="00EA75BB">
        <w:rPr>
          <w:rFonts w:asciiTheme="majorBidi" w:hAnsiTheme="majorBidi" w:cstheme="majorBidi"/>
          <w:sz w:val="24"/>
          <w:szCs w:val="24"/>
        </w:rPr>
        <w:t xml:space="preserve">To determine the number of genetic clusters within the </w:t>
      </w:r>
      <w:r w:rsidRPr="00EA75BB">
        <w:rPr>
          <w:rFonts w:asciiTheme="majorBidi" w:hAnsiTheme="majorBidi" w:cstheme="majorBidi"/>
          <w:i/>
          <w:iCs/>
          <w:sz w:val="24"/>
          <w:szCs w:val="24"/>
        </w:rPr>
        <w:t>humboldtianum</w:t>
      </w:r>
      <w:r w:rsidRPr="00EA75BB">
        <w:rPr>
          <w:rFonts w:asciiTheme="majorBidi" w:hAnsiTheme="majorBidi" w:cstheme="majorBidi"/>
          <w:sz w:val="24"/>
          <w:szCs w:val="24"/>
        </w:rPr>
        <w:t xml:space="preserve"> group, we conducted a principal component analysis (PCA)—designed to identify genetic groups through eigenvector decomposition of allele frequencies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{"citationItems":[{"id":"ITEM-1","itemData":{"DOI":"10.1371/journal.pgen.0020190","ISSN":"15537390","PMID":"17194218","abstract":"Current methods for inferring population structure from genetic data do not provide formal significance tests for population differentiation. We discuss an approach to studying population structure (principal components analysis) that was first applied to genetic data by Cavalli-Sforza and colleagues. We place the method on a solid statistical footing, using results from modern statistics to develop formal significance tests. We also uncover a general \"phase change\" phenomenon about the ability to detect structure in genetic data, which emerges from the statistical theory we use, and has an important implication for the ability to discover structure in genetic data: for a fixed but large dataset size, divergence between two populations (as measured, for example, by a statistic like FST) below a threshold is essentially undetectable, but a little above threshold, detection will be easy. This means that we can predict the dataset size needed to detect structure. © 2006 Patterson et al.","author":[{"dropping-particle":"","family":"Patterson","given":"Nick","non-dropping-particle":"","parse-names":false,"suffix":""},{"dropping-particle":"","family":"Price","given":"Alkes L.","non-dropping-particle":"","parse-names":false,"suffix":""},{"dropping-particle":"","family":"Reich","given":"David","non-dropping-particle":"","parse-names":false,"suffix":""}],"container-title":"PLoS Genetics","id":"ITEM-1","issue":"12","issued":{"date-parts":[["2006"]]},"page":"2074-2093","title":"Population structure and eigenanalysis","type":"article-journal","volume":"2"},"uris":["http://www.mendeley.com/documents/?uuid=18a10e3a-3093-4e43-adde-2cf94203a637"]}],"mendeley":{"formattedCitation":"[99]","plainTextFormattedCitation":"[99]","previouslyFormattedCitation":"[98]"},"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[99]</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—using matrices A–E with all, neutral, and outlier SNP loci. In addition, to identify </w:t>
      </w:r>
      <w:r w:rsidRPr="00EA75BB">
        <w:rPr>
          <w:rFonts w:asciiTheme="majorBidi" w:hAnsiTheme="majorBidi" w:cstheme="majorBidi"/>
          <w:i/>
          <w:iCs/>
          <w:sz w:val="24"/>
          <w:szCs w:val="24"/>
        </w:rPr>
        <w:t>de novo</w:t>
      </w:r>
      <w:r w:rsidRPr="00EA75BB">
        <w:rPr>
          <w:rFonts w:asciiTheme="majorBidi" w:hAnsiTheme="majorBidi" w:cstheme="majorBidi"/>
          <w:sz w:val="24"/>
          <w:szCs w:val="24"/>
        </w:rPr>
        <w:t xml:space="preserve"> structure, we conducted an assessment of </w:t>
      </w:r>
      <w:r w:rsidRPr="00EA75BB">
        <w:rPr>
          <w:rFonts w:asciiTheme="majorBidi" w:hAnsiTheme="majorBidi" w:cstheme="majorBidi"/>
          <w:i/>
          <w:iCs/>
          <w:sz w:val="24"/>
          <w:szCs w:val="24"/>
        </w:rPr>
        <w:t>a priori</w:t>
      </w:r>
      <w:r w:rsidRPr="00EA75BB">
        <w:rPr>
          <w:rFonts w:asciiTheme="majorBidi" w:hAnsiTheme="majorBidi" w:cstheme="majorBidi"/>
          <w:sz w:val="24"/>
          <w:szCs w:val="24"/>
        </w:rPr>
        <w:t xml:space="preserve"> designations using a discriminant analysis of principal components (DAPC). DAPC combines discriminant (DA) with principal component (PC) analyses to maximize genetic variance among groups while minimizing within-group variance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author":[{"dropping-particle":"","family":"Jombart","given":"T.","non-dropping-particle":"","parse-names":false,"suffix":""},{"dropping-particle":"","family":"Devillard","given":"S.","non-dropping-particle":"","parse-names":false,"suffix":""},{"dropping-particle":"","family":"Balloux","given":"F.","non-dropping-particle":"","parse-names":false,"suffix":""}],"container-title":"BMC Genetics","id":"ITEM-1","issue":"94","issued":{"date-parts":[["2010"]]},"page":"1-15","title":"Discriminant analysis of principal components: a new method for the analysis of genetically structured populations","type":"article-journal","volume":"11"},"uris":["http://www.mendeley.com/documents/?uuid=e5efb25e-4154-49c7-b169-83e4458f26b1"]},{"id":"ITEM-2","itemData":{"DOI":"10.1038/s41437-020-0348-2","ISSN":"13652540","PMID":"32753664","abstract":"Inference of genetic clusters is a key aim of population genetics, sparking development of numerous analytical methods. Within these, there is a conceptual divide between finding de novo structure versus assessment of a priori groups. Recently developed, Discriminant Analysis of Principal Components (DAPC), combines discriminant analysis (DA) with principal component (PC) analysis. When applying DAPC, the groups used in the DA (specified a priori or described de novo) need to be carefully assessed. While DAPC has rapidly become a core technique, the sensitivity of the method to misspecification of groups and how it is being empirically applied, are unknown. To address this, we conducted a simulation study examining the influence of a priori versus de novo group designations, and a literature review of how DAPC is being applied. We found that with a priori groupings, distance between genetic clusters reflected underlying FST. However, when migration rates were high and groups were described de novo there was considerable inaccuracy, both in terms of the number of genetic clusters suggested and placement of individuals into those clusters. Nearly all (90.1%) of 224 studies surveyed used DAPC to find de novo clusters, and for the majority (62.5%) the stated goal matched the results. However, most studies (52.3%) omit key run parameters, preventing repeatability and transparency. Therefore, we present recommendations for standard reporting of parameters used in DAPC analyses. The influence of groupings in genetic clustering is not unique to DAPC, and researchers need to consider their goal and which methods will be most appropriate.","author":[{"dropping-particle":"","family":"Miller","given":"Joshua M.","non-dropping-particle":"","parse-names":false,"suffix":""},{"dropping-particle":"","family":"Cullingham","given":"Catherine I.","non-dropping-particle":"","parse-names":false,"suffix":""},{"dropping-particle":"","family":"Peery","given":"Rhiannon M.","non-dropping-particle":"","parse-names":false,"suffix":""}],"container-title":"Heredity","id":"ITEM-2","issue":"5","issued":{"date-parts":[["2020"]]},"page":"269-280","publisher":"Springer US","title":"The influence of a priori grouping on inference of genetic clusters: simulation study and literature review of the DAPC method","type":"article-journal","volume":"125"},"uris":["http://www.mendeley.com/documents/?uuid=63a9e34f-f84d-474b-9d27-0fadcd25e203"]}],"mendeley":{"formattedCitation":"[100, 101]","plainTextFormattedCitation":"[100, 101]","previouslyFormattedCitation":"[99, 100]"},"properties":{"noteIndex":0},"schema":"https://github.com/citation-style-language/schema/raw/master/csl-citation.json"}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[100, 101]</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We selected the </w:t>
      </w:r>
      <w:r w:rsidRPr="00EA75BB">
        <w:rPr>
          <w:rFonts w:asciiTheme="majorBidi" w:hAnsiTheme="majorBidi" w:cstheme="majorBidi"/>
          <w:i/>
          <w:iCs/>
          <w:sz w:val="24"/>
          <w:szCs w:val="24"/>
        </w:rPr>
        <w:t>a priori</w:t>
      </w:r>
      <w:r w:rsidRPr="00EA75BB">
        <w:rPr>
          <w:rFonts w:asciiTheme="majorBidi" w:hAnsiTheme="majorBidi" w:cstheme="majorBidi"/>
          <w:sz w:val="24"/>
          <w:szCs w:val="24"/>
        </w:rPr>
        <w:t xml:space="preserve"> groups by configuring the nine nominal </w:t>
      </w:r>
      <w:r w:rsidRPr="00EA75BB">
        <w:rPr>
          <w:rFonts w:asciiTheme="majorBidi" w:hAnsiTheme="majorBidi" w:cstheme="majorBidi"/>
          <w:i/>
          <w:sz w:val="24"/>
          <w:szCs w:val="24"/>
        </w:rPr>
        <w:t>Chirostoma</w:t>
      </w:r>
      <w:r w:rsidRPr="00EA75BB">
        <w:rPr>
          <w:rFonts w:asciiTheme="majorBidi" w:hAnsiTheme="majorBidi" w:cstheme="majorBidi"/>
          <w:sz w:val="24"/>
          <w:szCs w:val="24"/>
        </w:rPr>
        <w:t xml:space="preserve"> morphospecies. We assessed the most likely number of clusters (</w:t>
      </w:r>
      <w:r w:rsidRPr="00EA75BB">
        <w:rPr>
          <w:rFonts w:asciiTheme="majorBidi" w:hAnsiTheme="majorBidi" w:cstheme="majorBidi"/>
          <w:i/>
          <w:iCs/>
          <w:sz w:val="24"/>
          <w:szCs w:val="24"/>
        </w:rPr>
        <w:t>k</w:t>
      </w:r>
      <w:r w:rsidRPr="00EA75BB">
        <w:rPr>
          <w:rFonts w:asciiTheme="majorBidi" w:hAnsiTheme="majorBidi" w:cstheme="majorBidi"/>
          <w:sz w:val="24"/>
          <w:szCs w:val="24"/>
        </w:rPr>
        <w:t xml:space="preserve"> = 1–9) using the </w:t>
      </w:r>
      <w:r w:rsidRPr="00EA75BB">
        <w:rPr>
          <w:rFonts w:asciiTheme="majorBidi" w:hAnsiTheme="majorBidi" w:cstheme="majorBidi"/>
          <w:i/>
          <w:iCs/>
          <w:sz w:val="24"/>
          <w:szCs w:val="24"/>
        </w:rPr>
        <w:t>find.clusters</w:t>
      </w:r>
      <w:r w:rsidRPr="00EA75BB">
        <w:rPr>
          <w:rFonts w:asciiTheme="majorBidi" w:hAnsiTheme="majorBidi" w:cstheme="majorBidi"/>
          <w:sz w:val="24"/>
          <w:szCs w:val="24"/>
        </w:rPr>
        <w:t xml:space="preserve"> function within the </w:t>
      </w:r>
      <w:r w:rsidRPr="00EA75BB">
        <w:rPr>
          <w:rFonts w:asciiTheme="majorBidi" w:hAnsiTheme="majorBidi" w:cstheme="majorBidi"/>
          <w:i/>
          <w:iCs/>
          <w:sz w:val="24"/>
          <w:szCs w:val="24"/>
        </w:rPr>
        <w:t>adegenet</w:t>
      </w:r>
      <w:r w:rsidRPr="00EA75BB">
        <w:rPr>
          <w:rFonts w:asciiTheme="majorBidi" w:hAnsiTheme="majorBidi" w:cstheme="majorBidi"/>
          <w:sz w:val="24"/>
          <w:szCs w:val="24"/>
        </w:rPr>
        <w:t xml:space="preserve"> v2.1.1. package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{"citationItems":[{"id":"ITEM-1","itemData":{"DOI":"10.1093/bioinformatics/btn129","ISBN":"1367-4803","ISSN":"13674803","PMID":"18397895","abstract":"UNLABELLED: The package adegenet for the R software is dedicated to the multivariate analysis of genetic markers. It extends the ade4 package of multivariate methods by implementing formal classes and functions to manipulate and analyse genetic markers. Data can be imported from common population genetics software and exported to other software and R packages. adegenet also implements standard population genetics tools along with more original approaches for spatial genetics and hybridization. AVAILABILITY: Stable version is available from CRAN: http://cran.r-project.org/mirrors.html. Development version is available from adegenet website: http://adegenet.r-forge.r-project.org/. Both versions can be installed directly from R. adegenet is distributed under the GNU General Public Licence (v.2).","author":[{"dropping-particle":"","family":"Jombart","given":"Thibaut","non-dropping-particle":"","parse-names":false,"suffix":""}],"container-title":"Bioinformatics","id":"ITEM-1","issue":"11","issued":{"date-parts":[["2008"]]},"page":"1403-1405","title":"Adegenet: A R package for the multivariate analysis of genetic markers","type":"article-journal","volume":"24"},"uris":["http://www.mendeley.com/documents/?uuid=714f2077-30b7-47bd-ac5c-89490ac70b5f"]}],"mendeley":{"formattedCitation":"[102]","plainTextFormattedCitation":"[102]","previouslyFormattedCitation":"[101]"},"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[102]</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by selecting the </w:t>
      </w:r>
      <w:r w:rsidRPr="00EA75BB">
        <w:rPr>
          <w:rFonts w:asciiTheme="majorBidi" w:hAnsiTheme="majorBidi" w:cstheme="majorBidi"/>
          <w:i/>
          <w:iCs/>
          <w:sz w:val="24"/>
          <w:szCs w:val="24"/>
        </w:rPr>
        <w:t>k</w:t>
      </w:r>
      <w:r w:rsidRPr="00EA75BB">
        <w:rPr>
          <w:rFonts w:asciiTheme="majorBidi" w:hAnsiTheme="majorBidi" w:cstheme="majorBidi"/>
          <w:sz w:val="24"/>
          <w:szCs w:val="24"/>
        </w:rPr>
        <w:t xml:space="preserve"> model with the lowest Bayesian Information Criterion (BIC) score. We calculated the number of PCs to be retained using the </w:t>
      </w:r>
      <w:r w:rsidRPr="00EA75BB">
        <w:rPr>
          <w:rFonts w:asciiTheme="majorBidi" w:hAnsiTheme="majorBidi" w:cstheme="majorBidi"/>
          <w:i/>
          <w:iCs/>
          <w:sz w:val="24"/>
          <w:szCs w:val="24"/>
        </w:rPr>
        <w:t>dapcCross</w:t>
      </w:r>
      <w:r w:rsidRPr="00EA75BB">
        <w:rPr>
          <w:rFonts w:asciiTheme="majorBidi" w:hAnsiTheme="majorBidi" w:cstheme="majorBidi"/>
          <w:sz w:val="24"/>
          <w:szCs w:val="24"/>
        </w:rPr>
        <w:t xml:space="preserve"> validation function, which is based on the highest successful assignment that presented the lowest mean squared error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author":[{"dropping-particle":"","family":"Jombart","given":"T.","non-dropping-particle":"","parse-names":false,"suffix":""},{"dropping-particle":"","family":"Devillard","given":"S.","non-dropping-particle":"","parse-names":false,"suffix":""},{"dropping-particle":"","family":"Balloux","given":"F.","non-dropping-particle":"","parse-names":false,"suffix":""}],"container-title":"BMC Genetics","id":"ITEM-1","issue":"94","issued":{"date-parts":[["2010"]]},"page":"1-15","title":"Discriminant analysis of principal components: a new method for the analysis of genetically structured populations","type":"article-journal","volume":"11"},"uris":["http://www.mendeley.com/documents/?uuid=e5efb25e-4154-49c7-b169-83e4458f26b1"]}],"mendeley":{"formattedCitation":"[100]","plainTextFormattedCitation":"[100]","previouslyFormattedCitation":"[99]"},"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[100]</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w:t>
      </w:r>
    </w:p>
    <w:p w14:paraId="44511E40" w14:textId="3001DCF6" w:rsidR="00EA75BB" w:rsidRDefault="00EA75BB" w:rsidP="00EA75BB">
      <w:pPr>
        <w:jc w:val="both"/>
        <w:rPr>
          <w:rFonts w:asciiTheme="majorBidi" w:hAnsiTheme="majorBidi" w:cstheme="majorBidi"/>
          <w:b/>
          <w:bCs/>
          <w:sz w:val="28"/>
          <w:szCs w:val="28"/>
        </w:rPr>
      </w:pPr>
      <w:r w:rsidRPr="00EA75BB">
        <w:rPr>
          <w:rFonts w:asciiTheme="majorBidi" w:hAnsiTheme="majorBidi" w:cstheme="majorBidi"/>
          <w:b/>
          <w:bCs/>
          <w:sz w:val="28"/>
          <w:szCs w:val="28"/>
        </w:rPr>
        <w:t>Genomic structure and genomic differentiation analyses</w:t>
      </w:r>
    </w:p>
    <w:p w14:paraId="63D28584" w14:textId="77777777" w:rsidR="00EA75BB" w:rsidRPr="00EA75BB" w:rsidRDefault="00EA75BB" w:rsidP="00EA75BB">
      <w:pPr>
        <w:jc w:val="both"/>
        <w:rPr>
          <w:rFonts w:asciiTheme="majorBidi" w:hAnsiTheme="majorBidi" w:cstheme="majorBidi"/>
          <w:sz w:val="24"/>
          <w:szCs w:val="24"/>
        </w:rPr>
      </w:pPr>
      <w:r w:rsidRPr="00EA75BB">
        <w:rPr>
          <w:rFonts w:asciiTheme="majorBidi" w:hAnsiTheme="majorBidi" w:cstheme="majorBidi"/>
          <w:sz w:val="24"/>
          <w:szCs w:val="24"/>
        </w:rPr>
        <w:t xml:space="preserve">To evaluate the number of genetic clusters within the </w:t>
      </w:r>
      <w:r w:rsidRPr="00EA75BB">
        <w:rPr>
          <w:rFonts w:asciiTheme="majorBidi" w:hAnsiTheme="majorBidi" w:cstheme="majorBidi"/>
          <w:i/>
          <w:iCs/>
          <w:sz w:val="24"/>
          <w:szCs w:val="24"/>
        </w:rPr>
        <w:t>humboldtianum</w:t>
      </w:r>
      <w:r w:rsidRPr="00EA75BB">
        <w:rPr>
          <w:rFonts w:asciiTheme="majorBidi" w:hAnsiTheme="majorBidi" w:cstheme="majorBidi"/>
          <w:sz w:val="24"/>
          <w:szCs w:val="24"/>
        </w:rPr>
        <w:t xml:space="preserve"> group, we analyzed the final matrices (A–E) with all, neutral, and outlier loci under a maximum-likelihood framework using the software ADMIXTURE v1.3.0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{"citationItems":[{"id":"ITEM-1","itemData":{"DOI":"10.1101/gr.094052.109","ISSN":"10889051","PMID":"19648217","abstract":"Population stratification has long been recognized as a confounding factor in genetic association studies. Estimated ancestries, derived from multi-locus genotype data, can be used to perform a statistical correction for population stratification. One popular technique for estimation of ancestry is the model-based approach embodied by the widely applied program structure. Another approach, implemented in the program EIGENSTRAT, relies on Principal Component Analysis rather than model-based estimation and does not directly deliver admixture fractions. EIGENSTRAT has gained in popularity in part owing to its remarkable speed in comparison to structure. We present a new algorithm and a program, ADMIXTURE, for model-based estimation of ancestry in unrelated individuals. ADMIXTURE adopts the likelihood model embedded in structure. However, ADMIXTURE runs considerably faster, solving problems in minutes that take structure hours. In many of our experiments, we have found that ADMIXTURE is almost as fast as EIGENSTRAT. The runtime improvements of ADMIXTURE rely on a fast block relaxation scheme using sequential quadratic programming for block updates, coupled with a novel quasi-Newton acceleration of convergence. Our algorithm also runs faster and with greater accuracy than the implementation of an Expectation-Maximization (EM) algorithm incorporated in the program FRAPPE. Our simulations show that ADMIXTURE's maximum likelihood estimates of the underlying admixture coefficients and ancestral allele frequencies are as accurate as structure's Bayesian estimates. On real-world data sets, ADMIXTURE's estimates are directly comparable to those from structure and EIGENSTRAT. Taken together, our results show that ADMIXTURE's computational speed opens up the possibility of using a much larger set of markers in model-based ancestry estimation and that its estimates are suitable for use in correcting for population stratification in association studies. © 2009 by Cold Spring Harbor Laboratory Press.","author":[{"dropping-particle":"","family":"Alexander","given":"David H.","non-dropping-particle":"","parse-names":false,"suffix":""},{"dropping-particle":"","family":"Novembre","given":"John","non-dropping-particle":"","parse-names":false,"suffix":""},{"dropping-particle":"","family":"Lange","given":"Kenneth","non-dropping-particle":"","parse-names":false,"suffix":""}],"container-title":"Genome Research","id":"ITEM-1","issue":"9","issued":{"date-parts":[["2009"]]},"page":"1655-1664","title":"Fast model-based estimation of ancestry in unrelated individuals","type":"article-journal","volume":"19"},"uris":["http://www.mendeley.com/documents/?uuid=747849da-419c-495b-a3d6-217f2af2eca5"]}],"mendeley":{"formattedCitation":"[103]","plainTextFormattedCitation":"[103]","previouslyFormattedCitation":"[102]"},"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[103]</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This program estimates the proportion of the ancestral population (</w:t>
      </w:r>
      <w:r w:rsidRPr="00EA75BB">
        <w:rPr>
          <w:rFonts w:asciiTheme="majorBidi" w:hAnsiTheme="majorBidi" w:cstheme="majorBidi"/>
          <w:i/>
          <w:iCs/>
          <w:sz w:val="24"/>
          <w:szCs w:val="24"/>
        </w:rPr>
        <w:t>Q</w:t>
      </w:r>
      <w:r w:rsidRPr="00EA75BB">
        <w:rPr>
          <w:rFonts w:asciiTheme="majorBidi" w:hAnsiTheme="majorBidi" w:cstheme="majorBidi"/>
          <w:sz w:val="24"/>
          <w:szCs w:val="24"/>
        </w:rPr>
        <w:t xml:space="preserve"> estimates) for each individual to calculate the number of genetic clusters (</w:t>
      </w:r>
      <w:r w:rsidRPr="00EA75BB">
        <w:rPr>
          <w:rFonts w:asciiTheme="majorBidi" w:hAnsiTheme="majorBidi" w:cstheme="majorBidi"/>
          <w:i/>
          <w:iCs/>
          <w:sz w:val="24"/>
          <w:szCs w:val="24"/>
        </w:rPr>
        <w:t>k</w:t>
      </w:r>
      <w:r w:rsidRPr="00EA75BB">
        <w:rPr>
          <w:rFonts w:asciiTheme="majorBidi" w:hAnsiTheme="majorBidi" w:cstheme="majorBidi"/>
          <w:sz w:val="24"/>
          <w:szCs w:val="24"/>
        </w:rPr>
        <w:t xml:space="preserve">) under a cross-validation procedure, where lower values represent the optimal number of populations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{"citationItems":[{"id":"ITEM-1","itemData":{"DOI":"10.1186/1471-2105-12-246","ISSN":"14712105","PMID":"21682921","abstract":"Background: The estimation of individual ancestry from genetic data has become essential to applied population genetics and genetic epidemiology. Software programs for calculating ancestry estimates have become essential tools in the geneticist's analytic arsenal.Results: Here we describe four enhancements to ADMIXTURE, a high-performance tool for estimating individual ancestries and population allele frequencies from SNP (single nucleotide polymorphism) data. First, ADMIXTURE can be used to estimate the number of underlying populations through cross-validation. Second, individuals of known ancestry can be exploited in supervised learning to yield more precise ancestry estimates. Third, by penalizing small admixture coefficients for each individual, one can encourage model parsimony, often yielding more interpretable results for small datasets or datasets with large numbers of ancestral populations. Finally, by exploiting multiple processors, large datasets can be analyzed even more rapidly.Conclusions: The enhancements we have described make ADMIXTURE a more accurate, efficient, and versatile tool for ancestry estimation. © 2011 Alexander and Lange; licensee BioMed Central Ltd.","author":[{"dropping-particle":"","family":"Alexander","given":"David H.","non-dropping-particle":"","parse-names":false,"suffix":""},{"dropping-particle":"","family":"Lange","given":"Kenneth","non-dropping-particle":"","parse-names":false,"suffix":""}],"container-title":"BMC Bioinformatics","id":"ITEM-1","issued":{"date-parts":[["2011"]]},"title":"Enhancements to the ADMIXTURE algorithm for individual ancestry estimation","type":"article-journal","volume":"12"},"uris":["http://www.mendeley.com/documents/?uuid=20853ae9-f784-42f3-bbad-6c0cdbc02bea"]}],"mendeley":{"formattedCitation":"[104]","plainTextFormattedCitation":"[104]","previouslyFormattedCitation":"[103]"},"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[104]</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All analyses were run with </w:t>
      </w:r>
      <w:r w:rsidRPr="00EA75BB">
        <w:rPr>
          <w:rFonts w:asciiTheme="majorBidi" w:hAnsiTheme="majorBidi" w:cstheme="majorBidi"/>
          <w:i/>
          <w:iCs/>
          <w:sz w:val="24"/>
          <w:szCs w:val="24"/>
        </w:rPr>
        <w:t xml:space="preserve">k </w:t>
      </w:r>
      <w:r w:rsidRPr="00EA75BB">
        <w:rPr>
          <w:rFonts w:asciiTheme="majorBidi" w:hAnsiTheme="majorBidi" w:cstheme="majorBidi"/>
          <w:sz w:val="24"/>
          <w:szCs w:val="24"/>
        </w:rPr>
        <w:t xml:space="preserve">values ranging from 1 to 12, which represent the nine nominal morphospecies described for the group, the sub-species from </w:t>
      </w:r>
      <w:proofErr w:type="spellStart"/>
      <w:r w:rsidRPr="00EA75BB">
        <w:rPr>
          <w:rFonts w:asciiTheme="majorBidi" w:hAnsiTheme="majorBidi" w:cstheme="majorBidi"/>
          <w:sz w:val="24"/>
          <w:szCs w:val="24"/>
        </w:rPr>
        <w:t>Zirahuen</w:t>
      </w:r>
      <w:proofErr w:type="spellEnd"/>
      <w:r w:rsidRPr="00EA75BB">
        <w:rPr>
          <w:rFonts w:asciiTheme="majorBidi" w:hAnsiTheme="majorBidi" w:cstheme="majorBidi"/>
          <w:sz w:val="24"/>
          <w:szCs w:val="24"/>
        </w:rPr>
        <w:t xml:space="preserve"> Lake, </w:t>
      </w:r>
      <w:r w:rsidRPr="00EA75BB">
        <w:rPr>
          <w:rFonts w:asciiTheme="majorBidi" w:hAnsiTheme="majorBidi" w:cstheme="majorBidi"/>
          <w:i/>
          <w:iCs/>
          <w:sz w:val="24"/>
          <w:szCs w:val="24"/>
        </w:rPr>
        <w:t>C. e. copandaro</w:t>
      </w:r>
      <w:r w:rsidRPr="00EA75BB">
        <w:rPr>
          <w:rFonts w:asciiTheme="majorBidi" w:hAnsiTheme="majorBidi" w:cstheme="majorBidi"/>
          <w:sz w:val="24"/>
          <w:szCs w:val="24"/>
        </w:rPr>
        <w:t>, and two additional genomic groups that could be possible detected in the hypothetical case of have a higher number of population clusters. To further assess population clustering,</w:t>
      </w:r>
      <w:r w:rsidRPr="00EA75BB" w:rsidDel="00B13897">
        <w:rPr>
          <w:rFonts w:asciiTheme="majorBidi" w:hAnsiTheme="majorBidi" w:cstheme="majorBidi"/>
          <w:sz w:val="24"/>
          <w:szCs w:val="24"/>
        </w:rPr>
        <w:t xml:space="preserve"> </w:t>
      </w:r>
      <w:r w:rsidRPr="00EA75BB">
        <w:rPr>
          <w:rFonts w:asciiTheme="majorBidi" w:hAnsiTheme="majorBidi" w:cstheme="majorBidi"/>
          <w:sz w:val="24"/>
          <w:szCs w:val="24"/>
        </w:rPr>
        <w:t xml:space="preserve">we conducted admixture analyses within Chapala and Pátzcuaro-Zirahuén lakes, corresponding to clade I and clade III, respectively (see Results). The analysis for Chapala lake sample (n=41) was run with of  </w:t>
      </w:r>
      <w:r w:rsidRPr="00EA75BB">
        <w:rPr>
          <w:rFonts w:asciiTheme="majorBidi" w:hAnsiTheme="majorBidi" w:cstheme="majorBidi"/>
          <w:i/>
          <w:iCs/>
          <w:sz w:val="24"/>
          <w:szCs w:val="24"/>
        </w:rPr>
        <w:t>k</w:t>
      </w:r>
      <w:r w:rsidRPr="00EA75BB">
        <w:rPr>
          <w:rFonts w:asciiTheme="majorBidi" w:hAnsiTheme="majorBidi" w:cstheme="majorBidi"/>
          <w:sz w:val="24"/>
          <w:szCs w:val="24"/>
        </w:rPr>
        <w:t xml:space="preserve"> values ranging from 1 to 5, which represent the five morphospecies of </w:t>
      </w:r>
      <w:r w:rsidRPr="00EA75BB">
        <w:rPr>
          <w:rFonts w:asciiTheme="majorBidi" w:hAnsiTheme="majorBidi" w:cstheme="majorBidi"/>
          <w:i/>
          <w:iCs/>
          <w:sz w:val="24"/>
          <w:szCs w:val="24"/>
        </w:rPr>
        <w:t>humboltianum</w:t>
      </w:r>
      <w:r w:rsidRPr="00EA75BB">
        <w:rPr>
          <w:rFonts w:asciiTheme="majorBidi" w:hAnsiTheme="majorBidi" w:cstheme="majorBidi"/>
          <w:sz w:val="24"/>
          <w:szCs w:val="24"/>
        </w:rPr>
        <w:t xml:space="preserve"> group described in this lake. The analysis for Pátzcuaro-Zirahuén lakes sample (n=24) was run with </w:t>
      </w:r>
      <w:r w:rsidRPr="00EA75BB">
        <w:rPr>
          <w:rFonts w:asciiTheme="majorBidi" w:hAnsiTheme="majorBidi" w:cstheme="majorBidi"/>
          <w:i/>
          <w:iCs/>
          <w:sz w:val="24"/>
          <w:szCs w:val="24"/>
        </w:rPr>
        <w:t>k</w:t>
      </w:r>
      <w:r w:rsidRPr="00EA75BB">
        <w:rPr>
          <w:rFonts w:asciiTheme="majorBidi" w:hAnsiTheme="majorBidi" w:cstheme="majorBidi"/>
          <w:sz w:val="24"/>
          <w:szCs w:val="24"/>
        </w:rPr>
        <w:t xml:space="preserve"> values ranging from 1 to 4, which represent the three morphospecies of </w:t>
      </w:r>
      <w:r w:rsidRPr="00EA75BB">
        <w:rPr>
          <w:rFonts w:asciiTheme="majorBidi" w:hAnsiTheme="majorBidi" w:cstheme="majorBidi"/>
          <w:i/>
          <w:iCs/>
          <w:sz w:val="24"/>
          <w:szCs w:val="24"/>
        </w:rPr>
        <w:t>humboltianum</w:t>
      </w:r>
      <w:r w:rsidRPr="00EA75BB">
        <w:rPr>
          <w:rFonts w:asciiTheme="majorBidi" w:hAnsiTheme="majorBidi" w:cstheme="majorBidi"/>
          <w:sz w:val="24"/>
          <w:szCs w:val="24"/>
        </w:rPr>
        <w:t xml:space="preserve"> group present described in Pátzcuaro lake, plus the subspecies from </w:t>
      </w:r>
      <w:proofErr w:type="spellStart"/>
      <w:r w:rsidRPr="00EA75BB">
        <w:rPr>
          <w:rFonts w:asciiTheme="majorBidi" w:hAnsiTheme="majorBidi" w:cstheme="majorBidi"/>
          <w:sz w:val="24"/>
          <w:szCs w:val="24"/>
        </w:rPr>
        <w:t>Zirahuen</w:t>
      </w:r>
      <w:proofErr w:type="spellEnd"/>
      <w:r w:rsidRPr="00EA75BB">
        <w:rPr>
          <w:rFonts w:asciiTheme="majorBidi" w:hAnsiTheme="majorBidi" w:cstheme="majorBidi"/>
          <w:sz w:val="24"/>
          <w:szCs w:val="24"/>
        </w:rPr>
        <w:t xml:space="preserve"> lake </w:t>
      </w:r>
      <w:r w:rsidRPr="00EA75BB">
        <w:rPr>
          <w:rFonts w:asciiTheme="majorBidi" w:hAnsiTheme="majorBidi" w:cstheme="majorBidi"/>
          <w:i/>
          <w:iCs/>
          <w:sz w:val="24"/>
          <w:szCs w:val="24"/>
        </w:rPr>
        <w:t>C. e. copandaro</w:t>
      </w:r>
      <w:r w:rsidRPr="00EA75BB">
        <w:rPr>
          <w:rFonts w:asciiTheme="majorBidi" w:hAnsiTheme="majorBidi" w:cstheme="majorBidi"/>
          <w:sz w:val="24"/>
          <w:szCs w:val="24"/>
        </w:rPr>
        <w:t xml:space="preserve">. We plotted all cross-validation and </w:t>
      </w:r>
      <w:r w:rsidRPr="00EA75BB">
        <w:rPr>
          <w:rFonts w:asciiTheme="majorBidi" w:hAnsiTheme="majorBidi" w:cstheme="majorBidi"/>
          <w:i/>
          <w:iCs/>
          <w:sz w:val="24"/>
          <w:szCs w:val="24"/>
        </w:rPr>
        <w:t>Q</w:t>
      </w:r>
      <w:r w:rsidRPr="00EA75BB">
        <w:rPr>
          <w:rFonts w:asciiTheme="majorBidi" w:hAnsiTheme="majorBidi" w:cstheme="majorBidi"/>
          <w:sz w:val="24"/>
          <w:szCs w:val="24"/>
        </w:rPr>
        <w:t xml:space="preserve"> estimates using the </w:t>
      </w:r>
      <w:r w:rsidRPr="00EA75BB">
        <w:rPr>
          <w:rFonts w:asciiTheme="majorBidi" w:hAnsiTheme="majorBidi" w:cstheme="majorBidi"/>
          <w:i/>
          <w:iCs/>
          <w:sz w:val="24"/>
          <w:szCs w:val="24"/>
        </w:rPr>
        <w:t>ggplot2</w:t>
      </w:r>
      <w:r w:rsidRPr="00EA75BB">
        <w:rPr>
          <w:rFonts w:asciiTheme="majorBidi" w:hAnsiTheme="majorBidi" w:cstheme="majorBidi"/>
          <w:sz w:val="24"/>
          <w:szCs w:val="24"/>
        </w:rPr>
        <w:t xml:space="preserve">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ISBN":"978-3-319-24277-4","author":[{"dropping-particle":"","family":"Wickham","given":"Hadley","non-dropping-particle":"","parse-names":false,"suffix":""}],"id":"ITEM-1","issued":{"date-parts":[["2016"]]},"publisher":"Springer-Verlag New York","title":"ggplot2: Elegant Graphics for Data Analysis","type":"book"},"uris":["http://www.mendeley.com/documents/?uuid=951ef0b5-2a11-4cf4-8826-0e1ddd479e54"]}],"mendeley":{"formattedCitation":"[105]","plainTextFormattedCitation":"[105]","previouslyFormattedCitation":"[104]"},"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[105]</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and </w:t>
      </w:r>
      <w:r w:rsidRPr="00EA75BB">
        <w:rPr>
          <w:rFonts w:asciiTheme="majorBidi" w:hAnsiTheme="majorBidi" w:cstheme="majorBidi"/>
          <w:i/>
          <w:iCs/>
          <w:sz w:val="24"/>
          <w:szCs w:val="24"/>
        </w:rPr>
        <w:t>pophelper</w:t>
      </w:r>
      <w:r w:rsidRPr="00EA75BB">
        <w:rPr>
          <w:rFonts w:asciiTheme="majorBidi" w:hAnsiTheme="majorBidi" w:cstheme="majorBidi"/>
          <w:sz w:val="24"/>
          <w:szCs w:val="24"/>
        </w:rPr>
        <w:t xml:space="preserve">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{"citationItems":[{"id":"ITEM-1","itemData":{"DOI":"10.1111/1755-0998.12509","ISSN":"17550998","PMID":"26850166","abstract":"The pophelper r package and web app are software tools to aid in population structure analyses. They can be used for the analyses and visualization of output generated from population assignment programs such as admixture, structure and tess. Some of the functions include parsing output run files to tabulate data, estimating K using the Evanno method, generating files for clumpp and functionality to create barplots. These functions can be streamlined into standard r analysis workflows. The latest version of the package is available on github (https://github.com/royfrancis/pophelper). An interactive web version of the pophelper package is available which covers the same functionalities as the r package version with features such as interactive plots, cluster alignment during plotting, sorting individuals and ordering of population groups. The interactive version is available at http://pophelper.com/.","author":[{"dropping-particle":"","family":"Francis","given":"R. M.","non-dropping-particle":"","parse-names":false,"suffix":""}],"container-title":"Molecular Ecology Resources","id":"ITEM-1","issue":"1","issued":{"date-parts":[["2017"]]},"page":"27-32","title":"pophelper: an R package and web app to analyse and visualize population structure","type":"article-journal","volume":"17"},"uris":["http://www.mendeley.com/documents/?uuid=128d23e0-5ed7-4521-a154-dd1b0c07353f"]}],"mendeley":{"formattedCitation":"[106]","plainTextFormattedCitation":"[106]","previouslyFormattedCitation":"[105]"},"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[106]</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packages in R studio.</w:t>
      </w:r>
    </w:p>
    <w:p w14:paraId="3BCB8D3B" w14:textId="1E58F26B" w:rsidR="00EA75BB" w:rsidRDefault="00EA75BB" w:rsidP="00EA75BB">
      <w:pPr>
        <w:jc w:val="both"/>
        <w:rPr>
          <w:rFonts w:asciiTheme="majorBidi" w:hAnsiTheme="majorBidi" w:cstheme="majorBidi"/>
          <w:sz w:val="24"/>
          <w:szCs w:val="24"/>
        </w:rPr>
      </w:pPr>
      <w:r w:rsidRPr="00EA75BB">
        <w:rPr>
          <w:rFonts w:asciiTheme="majorBidi" w:hAnsiTheme="majorBidi" w:cstheme="majorBidi"/>
          <w:sz w:val="24"/>
          <w:szCs w:val="24"/>
        </w:rPr>
        <w:tab/>
        <w:t xml:space="preserve">We computed analyses of pairwise </w:t>
      </w:r>
      <w:r w:rsidRPr="00EA75BB">
        <w:rPr>
          <w:rFonts w:asciiTheme="majorBidi" w:hAnsiTheme="majorBidi" w:cstheme="majorBidi"/>
          <w:i/>
          <w:iCs/>
          <w:sz w:val="24"/>
          <w:szCs w:val="24"/>
        </w:rPr>
        <w:t>F</w:t>
      </w:r>
      <w:r w:rsidRPr="00EA75BB">
        <w:rPr>
          <w:rFonts w:asciiTheme="majorBidi" w:hAnsiTheme="majorBidi" w:cstheme="majorBidi"/>
          <w:sz w:val="24"/>
          <w:szCs w:val="24"/>
          <w:vertAlign w:val="subscript"/>
        </w:rPr>
        <w:t>ST</w:t>
      </w:r>
      <w:r w:rsidRPr="00EA75BB">
        <w:rPr>
          <w:rFonts w:asciiTheme="majorBidi" w:hAnsiTheme="majorBidi" w:cstheme="majorBidi"/>
          <w:sz w:val="24"/>
          <w:szCs w:val="24"/>
        </w:rPr>
        <w:t xml:space="preserve"> comparisons to test the genetic differentiation among groups using the D-3564snps-all_loci matrix. We selected this matrix as it showed the general patterns observed with other matrices, but also as it had the highest percentage of variation explained in the multivariate analyses (see Results). We examined four alternative species delimitation schemes: i) nine morphospecies (morphological-based hypothesis; </w:t>
      </w:r>
      <w:r w:rsidRPr="00EA75BB">
        <w:rPr>
          <w:rFonts w:asciiTheme="majorBidi" w:hAnsiTheme="majorBidi" w:cstheme="majorBidi"/>
          <w:i/>
          <w:iCs/>
          <w:sz w:val="24"/>
          <w:szCs w:val="24"/>
        </w:rPr>
        <w:t>sensu</w:t>
      </w:r>
      <w:r w:rsidRPr="00EA75BB">
        <w:rPr>
          <w:rFonts w:asciiTheme="majorBidi" w:hAnsiTheme="majorBidi" w:cstheme="majorBidi"/>
          <w:sz w:val="24"/>
          <w:szCs w:val="24"/>
        </w:rPr>
        <w:t xml:space="preserve"> Barbour,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[10]","plainTextFormattedCitation":"[10]","previouslyFormattedCitation":"[10]"},"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ii) five </w:t>
      </w:r>
      <w:r w:rsidRPr="00EA75BB">
        <w:rPr>
          <w:rFonts w:asciiTheme="majorBidi" w:hAnsiTheme="majorBidi" w:cstheme="majorBidi"/>
          <w:i/>
          <w:iCs/>
          <w:sz w:val="24"/>
          <w:szCs w:val="24"/>
        </w:rPr>
        <w:t>mt</w:t>
      </w:r>
      <w:r w:rsidRPr="00EA75BB">
        <w:rPr>
          <w:rFonts w:asciiTheme="majorBidi" w:hAnsiTheme="majorBidi" w:cstheme="majorBidi"/>
          <w:sz w:val="24"/>
          <w:szCs w:val="24"/>
        </w:rPr>
        <w:t>DNA haplogroups (</w:t>
      </w:r>
      <w:r w:rsidRPr="00EA75BB">
        <w:rPr>
          <w:rFonts w:asciiTheme="majorBidi" w:hAnsiTheme="majorBidi" w:cstheme="majorBidi"/>
          <w:i/>
          <w:iCs/>
          <w:sz w:val="24"/>
          <w:szCs w:val="24"/>
        </w:rPr>
        <w:t>mt</w:t>
      </w:r>
      <w:r w:rsidRPr="00EA75BB">
        <w:rPr>
          <w:rFonts w:asciiTheme="majorBidi" w:hAnsiTheme="majorBidi" w:cstheme="majorBidi"/>
          <w:sz w:val="24"/>
          <w:szCs w:val="24"/>
        </w:rPr>
        <w:t xml:space="preserve">DNA-based hypothesis; </w:t>
      </w:r>
      <w:r w:rsidRPr="00EA75BB">
        <w:rPr>
          <w:rFonts w:asciiTheme="majorBidi" w:hAnsiTheme="majorBidi" w:cstheme="majorBidi"/>
          <w:i/>
          <w:sz w:val="24"/>
          <w:szCs w:val="24"/>
        </w:rPr>
        <w:t xml:space="preserve">sensu </w:t>
      </w:r>
      <w:r w:rsidRPr="00EA75BB">
        <w:rPr>
          <w:rFonts w:asciiTheme="majorBidi" w:hAnsiTheme="majorBidi" w:cstheme="majorBidi"/>
          <w:sz w:val="24"/>
          <w:szCs w:val="24"/>
        </w:rPr>
        <w:t xml:space="preserve">Betancourt-Resendes et al. </w:t>
      </w:r>
      <w:r w:rsidRPr="00EA75BB">
        <w:rPr>
          <w:rFonts w:asciiTheme="majorBidi" w:hAnsiTheme="majorBidi" w:cstheme="majorBidi"/>
          <w:sz w:val="24"/>
          <w:szCs w:val="24"/>
        </w:rPr>
        <w:lastRenderedPageBreak/>
        <w:fldChar w:fldCharType="begin" w:fldLock="1"/>
      </w:r>
      <w:r w:rsidRPr="00EA75BB">
        <w:rPr>
          <w:rFonts w:asciiTheme="majorBidi" w:hAnsiTheme="majorBidi" w:cstheme="majorBidi"/>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[11]</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iii) four genomic clusters (</w:t>
      </w:r>
      <w:r w:rsidRPr="00EA75BB">
        <w:rPr>
          <w:rFonts w:asciiTheme="majorBidi" w:hAnsiTheme="majorBidi" w:cstheme="majorBidi"/>
          <w:i/>
          <w:iCs/>
          <w:sz w:val="24"/>
          <w:szCs w:val="24"/>
        </w:rPr>
        <w:t>k</w:t>
      </w:r>
      <w:r w:rsidRPr="00EA75BB">
        <w:rPr>
          <w:rFonts w:asciiTheme="majorBidi" w:hAnsiTheme="majorBidi" w:cstheme="majorBidi"/>
          <w:sz w:val="24"/>
          <w:szCs w:val="24"/>
        </w:rPr>
        <w:t xml:space="preserve"> = 4) observed with the DAPC analyses (see Results), and iv) three clusters detected by the admixture analyses (</w:t>
      </w:r>
      <w:r w:rsidRPr="00EA75BB">
        <w:rPr>
          <w:rFonts w:asciiTheme="majorBidi" w:hAnsiTheme="majorBidi" w:cstheme="majorBidi"/>
          <w:i/>
          <w:iCs/>
          <w:sz w:val="24"/>
          <w:szCs w:val="24"/>
        </w:rPr>
        <w:t>k</w:t>
      </w:r>
      <w:r w:rsidRPr="00EA75BB">
        <w:rPr>
          <w:rFonts w:asciiTheme="majorBidi" w:hAnsiTheme="majorBidi" w:cstheme="majorBidi"/>
          <w:sz w:val="24"/>
          <w:szCs w:val="24"/>
        </w:rPr>
        <w:t xml:space="preserve"> = 3) (see Results). To further test whether an agreement between species’ body size and trophic speciation exists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[10]","plainTextFormattedCitation":"[10]","previouslyFormattedCitation":"[10]"},"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we calculated pairwise </w:t>
      </w:r>
      <w:r w:rsidRPr="00EA75BB">
        <w:rPr>
          <w:rFonts w:asciiTheme="majorBidi" w:hAnsiTheme="majorBidi" w:cstheme="majorBidi"/>
          <w:i/>
          <w:iCs/>
          <w:sz w:val="24"/>
          <w:szCs w:val="24"/>
        </w:rPr>
        <w:t>F</w:t>
      </w:r>
      <w:r w:rsidRPr="00EA75BB">
        <w:rPr>
          <w:rFonts w:asciiTheme="majorBidi" w:hAnsiTheme="majorBidi" w:cstheme="majorBidi"/>
          <w:sz w:val="24"/>
          <w:szCs w:val="24"/>
          <w:vertAlign w:val="subscript"/>
        </w:rPr>
        <w:t>ST</w:t>
      </w:r>
      <w:r w:rsidRPr="00EA75BB">
        <w:rPr>
          <w:rFonts w:asciiTheme="majorBidi" w:hAnsiTheme="majorBidi" w:cstheme="majorBidi"/>
          <w:sz w:val="24"/>
          <w:szCs w:val="24"/>
        </w:rPr>
        <w:t xml:space="preserve"> comparisons among ecotypes by lake (‘peces blancos’ </w:t>
      </w:r>
      <w:r w:rsidRPr="00EA75BB">
        <w:rPr>
          <w:rFonts w:asciiTheme="majorBidi" w:hAnsiTheme="majorBidi" w:cstheme="majorBidi"/>
          <w:i/>
          <w:iCs/>
          <w:sz w:val="24"/>
          <w:szCs w:val="24"/>
        </w:rPr>
        <w:t>vs.</w:t>
      </w:r>
      <w:r w:rsidRPr="00EA75BB">
        <w:rPr>
          <w:rFonts w:asciiTheme="majorBidi" w:hAnsiTheme="majorBidi" w:cstheme="majorBidi"/>
          <w:sz w:val="24"/>
          <w:szCs w:val="24"/>
        </w:rPr>
        <w:t xml:space="preserve"> ‘charales’). Details on ecotype discrimination are provided in the SM. We calculated these analyses in ARLEQUIN v3.5.1.2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{"citationItems":[{"id":"ITEM-1","itemData":{"DOI":"10.1177/117693430500100003","ISSN":"1176-9343","PMID":"19325852","abstract":"Arlequin ver 3.0 is a software package integrating several basic and advanced methods for population genetics data analysis, like the computation of standard genetic diversity indices, the estimation of allele and haplotype frequencies, tests of departure from linkage equilibrium, departure from selective neutrality and demographic equilibrium, estimation or parameters from past population expansions, and thorough analyses of population subdivision under the AMOVA framework. Arlequin 3 introduces a completely new graphical interface written in C++, a more robust semantic analysis of input files, and two new methods: a Bayesian estimation of gametic phase from multi-locus genotypes, and an estimation of the parameters of an instantaneous spatial expansion from DNA sequence polymorphism. Arlequin can handle several data types like DNA sequences, microsatellite data, or standard multi-locus genotypes. A Windows version of the software is freely available on http://cmpg.unibe.ch/software/arlequin3 .","author":[{"dropping-particle":"","family":"Excoffier","given":"Laurent","non-dropping-particle":"","parse-names":false,"suffix":""},{"dropping-particle":"","family":"Laval","given":"Guillaume","non-dropping-particle":"","parse-names":false,"suffix":""},{"dropping-particle":"","family":"Schneider","given":"Stefan","non-dropping-particle":"","parse-names":false,"suffix":""}],"container-title":"Evolutionary Bioinformatics","id":"ITEM-1","issue":"May 2016","issued":{"date-parts":[["2005"]]},"page":"117693430500100","title":"Arlequin (version 3.0): An integrated software package for population genetics data analysis","type":"article-journal","volume":"1"},"uris":["http://www.mendeley.com/documents/?uuid=d27b2f62-0434-421f-ac2e-8588edc1ac64"]}],"mendeley":{"formattedCitation":"[107]","plainTextFormattedCitation":"[107]","previouslyFormattedCitation":"[106]"},"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[107]</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and significance was determined using 10000 permutations and a Bonferroni correction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{"citationItems":[{"id":"ITEM-1","itemData":{"author":[{"dropping-particle":"","family":"Rice","given":"William R.","non-dropping-particle":"","parse-names":false,"suffix":""}],"container-title":"Evolution","id":"ITEM-1","issue":"1","issued":{"date-parts":[["1989"]]},"page":"223-225","title":"Analyzing Tables of Statistical Tests","type":"article-journal","volume":"43"},"uris":["http://www.mendeley.com/documents/?uuid=d5a1731b-27d5-47ef-b330-7bfe8e7c9dd2"]}],"mendeley":{"formattedCitation":"[108]","plainTextFormattedCitation":"[108]","previouslyFormattedCitation":"[107]"},"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[108]</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to adjust </w:t>
      </w:r>
      <w:r w:rsidRPr="00EA75BB">
        <w:rPr>
          <w:rFonts w:asciiTheme="majorBidi" w:hAnsiTheme="majorBidi" w:cstheme="majorBidi"/>
          <w:i/>
          <w:iCs/>
          <w:sz w:val="24"/>
          <w:szCs w:val="24"/>
        </w:rPr>
        <w:t>p</w:t>
      </w:r>
      <w:r w:rsidRPr="00EA75BB">
        <w:rPr>
          <w:rFonts w:asciiTheme="majorBidi" w:hAnsiTheme="majorBidi" w:cstheme="majorBidi"/>
          <w:sz w:val="24"/>
          <w:szCs w:val="24"/>
        </w:rPr>
        <w:t xml:space="preserve"> values for these calculations (significant levels of α are provided in Tables S4–S8).</w:t>
      </w:r>
    </w:p>
    <w:p w14:paraId="29FC75FE" w14:textId="7E8A26D9" w:rsidR="00EA75BB" w:rsidRDefault="00EA75BB" w:rsidP="00EA75BB">
      <w:pPr>
        <w:jc w:val="both"/>
        <w:rPr>
          <w:rFonts w:asciiTheme="majorBidi" w:hAnsiTheme="majorBidi" w:cstheme="majorBidi"/>
          <w:b/>
          <w:bCs/>
          <w:sz w:val="28"/>
          <w:szCs w:val="28"/>
        </w:rPr>
      </w:pPr>
      <w:r w:rsidRPr="00EA75BB">
        <w:rPr>
          <w:rFonts w:asciiTheme="majorBidi" w:hAnsiTheme="majorBidi" w:cstheme="majorBidi"/>
          <w:b/>
          <w:bCs/>
          <w:sz w:val="28"/>
          <w:szCs w:val="28"/>
        </w:rPr>
        <w:t>Phylogenetic analyses</w:t>
      </w:r>
    </w:p>
    <w:p w14:paraId="6E1ABA9B" w14:textId="77777777" w:rsidR="00EA75BB" w:rsidRPr="00EA75BB" w:rsidRDefault="00EA75BB" w:rsidP="00EA75BB">
      <w:pPr>
        <w:jc w:val="both"/>
        <w:rPr>
          <w:rFonts w:asciiTheme="majorBidi" w:hAnsiTheme="majorBidi" w:cstheme="majorBidi"/>
          <w:sz w:val="24"/>
          <w:szCs w:val="24"/>
        </w:rPr>
      </w:pPr>
      <w:r w:rsidRPr="00EA75BB">
        <w:rPr>
          <w:rFonts w:asciiTheme="majorBidi" w:hAnsiTheme="majorBidi" w:cstheme="majorBidi"/>
          <w:sz w:val="24"/>
          <w:szCs w:val="24"/>
        </w:rPr>
        <w:t xml:space="preserve">We estimated phylogenetic trees under a maximum likelihood (ML) framework using the software IQ-TREE v2.0.6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{"citationItems":[{"id":"ITEM-1","itemData":{"DOI":"10.1093/molbev/msu300","ISSN":"15371719","PMID":"25371430","abstract":"Large phylogenomics data sets require fast tree inference methods, especially for maximum-likelihood (ML) phylogenies. Fast programs exist, but due to inherent heuristics to find optimal trees, it is not clear whether the best tree is found. Thus, there is need for additional approaches that employ different search strategies to find ML trees and that are at the same time as fast as currently available ML programs. We show that a combination of hill-climbing approaches and a stochastic perturbation method can be time-efficiently implemented. If we allow the same CPU time as RAxML and PhyML, then our software IQ-TREE found higher likelihoods between 62.2% and 87.1% of the studied alignments, thus efficiently exploring the tree-space. If we use the IQ-TREE stopping rule, RAxML and PhyML are faster in 75.7% and 47.1% of the DNA alignments and 42.2% and 100% of the protein alignments, respectively. However, the range of obtaining higher likelihoods with IQ-TREE improves to 73.3-97.1%. IQ-TREE is freely available at http://www.cibiv.at/software/iqtree.","author":[{"dropping-particle":"","family":"Nguyen","given":"Lam Tung","non-dropping-particle":"","parse-names":false,"suffix":""},{"dropping-particle":"","family":"Schmidt","given":"Heiko A.","non-dropping-particle":"","parse-names":false,"suffix":""},{"dropping-particle":"","family":"Haeseler","given":"Arndt","non-dropping-particle":"Von","parse-names":false,"suffix":""},{"dropping-particle":"","family":"Minh","given":"Bui Quang","non-dropping-particle":"","parse-names":false,"suffix":""}],"container-title":"Molecular Biology and Evolution","id":"ITEM-1","issue":"1","issued":{"date-parts":[["2015"]]},"page":"268-274","title":"IQ-TREE: A fast and effective stochastic algorithm for estimating maximum-likelihood phylogenies","type":"article-journal","volume":"32"},"uris":["http://www.mendeley.com/documents/?uuid=eda0db3a-ec45-4865-a70f-8c22c8c4870e"]}],"mendeley":{"formattedCitation":"[109]","plainTextFormattedCitation":"[109]","previouslyFormattedCitation":"[108]"},"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[109]</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We conducted phylogenetic inference for the five matrices (A–E) including all, neutral, and outlier SNP loci, and using </w:t>
      </w:r>
      <w:r w:rsidRPr="00EA75BB">
        <w:rPr>
          <w:rFonts w:asciiTheme="majorBidi" w:hAnsiTheme="majorBidi" w:cstheme="majorBidi"/>
          <w:i/>
          <w:iCs/>
          <w:sz w:val="24"/>
          <w:szCs w:val="24"/>
        </w:rPr>
        <w:t>C. jordani</w:t>
      </w:r>
      <w:r w:rsidRPr="00EA75BB">
        <w:rPr>
          <w:rFonts w:asciiTheme="majorBidi" w:hAnsiTheme="majorBidi" w:cstheme="majorBidi"/>
          <w:sz w:val="24"/>
          <w:szCs w:val="24"/>
        </w:rPr>
        <w:t xml:space="preserve"> as the outgroup. All analyses used the GTR model with gamma distribution and the ascertainment bias correction (ASC) to account for acquisition discrepancies related to SNP datasets. We estimated branch support using IQ-TREE’s ultrafast bootstrap algorithm (UFBoot) with 500 replicates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{"citationItems":[{"id":"ITEM-1","itemData":{"DOI":"10.1093/molbev/msx281","ISSN":"15371719","PMID":"29077904","abstract":"The standard bootstrap (SBS), despite being computationally intensive, is widely used in maximum likelihood phylogenetic analyses. We recently proposed the ultrafast bootstrap approximation (UFBoot) to reduce computing time while achievingmore unbiased branch supports than SBS undermildmodel violations. UFBoot has been steadily adopted as an efficient alternative to SBS and other bootstrap approaches. Here, we present UFBoot2, which substantially accelerates UFBoot and reduces the risk of overestimating branch supports due to polytomies or severe model violations. Additionally, UFBoot2 provides suitable bootstrap resampling strategies for phylogenomic data. UFBoot2 is 778 times (median) faster than SBS and 8.4 times (median) faster than RAxML rapid bootstrap on tested data sets. UFBoot2 is implemented in the IQ-TREE software package version 1.6 and freely.","author":[{"dropping-particle":"","family":"Hoang","given":"Diep Thi","non-dropping-particle":"","parse-names":false,"suffix":""},{"dropping-particle":"","family":"Chernomor","given":"Olga","non-dropping-particle":"","parse-names":false,"suffix":""},{"dropping-particle":"","family":"Haeseler","given":"Arndt","non-dropping-particle":"Von","parse-names":false,"suffix":""},{"dropping-particle":"","family":"Minh","given":"Bui Quang","non-dropping-particle":"","parse-names":false,"suffix":""},{"dropping-particle":"","family":"Vinh","given":"Le Sy","non-dropping-particle":"","parse-names":false,"suffix":""}],"container-title":"Molecular Biology and Evolution","id":"ITEM-1","issue":"2","issued":{"date-parts":[["2018"]]},"page":"518-522","title":"UFBoot2: Improving the ultrafast bootstrap approximation","type":"article-journal","volume":"35"},"uris":["http://www.mendeley.com/documents/?uuid=29966038-fc62-4c6c-bb71-93aa121dbf77"]}],"mendeley":{"formattedCitation":"[110]","plainTextFormattedCitation":"[110]","previouslyFormattedCitation":"[109]"},"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[110]</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w:t>
      </w:r>
    </w:p>
    <w:p w14:paraId="1275AD45" w14:textId="77777777" w:rsidR="00EA75BB" w:rsidRPr="00EA75BB" w:rsidRDefault="00EA75BB" w:rsidP="00EA75BB">
      <w:pPr>
        <w:ind w:firstLine="720"/>
        <w:jc w:val="both"/>
        <w:rPr>
          <w:rFonts w:asciiTheme="majorBidi" w:hAnsiTheme="majorBidi" w:cstheme="majorBidi"/>
          <w:sz w:val="24"/>
          <w:szCs w:val="24"/>
        </w:rPr>
      </w:pPr>
      <w:r w:rsidRPr="00EA75BB">
        <w:rPr>
          <w:rFonts w:asciiTheme="majorBidi" w:hAnsiTheme="majorBidi" w:cstheme="majorBidi"/>
          <w:sz w:val="24"/>
          <w:szCs w:val="24"/>
        </w:rPr>
        <w:t xml:space="preserve">To evaluate patterns of </w:t>
      </w:r>
      <w:r w:rsidRPr="00EA75BB">
        <w:rPr>
          <w:rFonts w:asciiTheme="majorBidi" w:hAnsiTheme="majorBidi" w:cstheme="majorBidi"/>
          <w:bCs/>
          <w:sz w:val="24"/>
          <w:szCs w:val="24"/>
        </w:rPr>
        <w:t>incongruent evolutionary histories between mitochondrial and nuclear loci—mitonuclear discordance</w:t>
      </w:r>
      <w:r w:rsidRPr="00EA75BB">
        <w:rPr>
          <w:rFonts w:asciiTheme="majorBidi" w:hAnsiTheme="majorBidi" w:cstheme="majorBidi"/>
          <w:sz w:val="24"/>
          <w:szCs w:val="24"/>
        </w:rPr>
        <w:t xml:space="preserve">—we used the sequence data of two mitochondrial genes (cytochrome b or </w:t>
      </w:r>
      <w:r w:rsidRPr="00EA75BB">
        <w:rPr>
          <w:rFonts w:asciiTheme="majorBidi" w:hAnsiTheme="majorBidi" w:cstheme="majorBidi"/>
          <w:i/>
          <w:iCs/>
          <w:sz w:val="24"/>
          <w:szCs w:val="24"/>
        </w:rPr>
        <w:t>Cytb</w:t>
      </w:r>
      <w:r w:rsidRPr="00EA75BB">
        <w:rPr>
          <w:rFonts w:asciiTheme="majorBidi" w:hAnsiTheme="majorBidi" w:cstheme="majorBidi"/>
          <w:sz w:val="24"/>
          <w:szCs w:val="24"/>
        </w:rPr>
        <w:t xml:space="preserve">, and a fragment of the hypervariable control region, </w:t>
      </w:r>
      <w:r w:rsidRPr="00EA75BB">
        <w:rPr>
          <w:rFonts w:asciiTheme="majorBidi" w:hAnsiTheme="majorBidi" w:cstheme="majorBidi"/>
          <w:i/>
          <w:iCs/>
          <w:sz w:val="24"/>
          <w:szCs w:val="24"/>
        </w:rPr>
        <w:t>D-loop</w:t>
      </w:r>
      <w:r w:rsidRPr="00EA75BB">
        <w:rPr>
          <w:rFonts w:asciiTheme="majorBidi" w:hAnsiTheme="majorBidi" w:cstheme="majorBidi"/>
          <w:sz w:val="24"/>
          <w:szCs w:val="24"/>
        </w:rPr>
        <w:t xml:space="preserve">) from Betancourt-Resendes et al. </w:t>
      </w:r>
      <w:r w:rsidRPr="00EA75BB">
        <w:rPr>
          <w:rFonts w:asciiTheme="majorBidi" w:hAnsiTheme="majorBidi" w:cstheme="majorBidi"/>
          <w:sz w:val="24"/>
          <w:szCs w:val="24"/>
        </w:rPr>
        <w:fldChar w:fldCharType="begin" w:fldLock="1"/>
      </w:r>
      <w:r w:rsidRPr="00EA75BB">
        <w:rPr>
          <w:rFonts w:asciiTheme="majorBidi" w:hAnsiTheme="majorBidi" w:cstheme="majorBidi"/>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EA75BB">
        <w:rPr>
          <w:rFonts w:asciiTheme="majorBidi" w:hAnsiTheme="majorBidi" w:cstheme="majorBidi"/>
          <w:sz w:val="24"/>
          <w:szCs w:val="24"/>
        </w:rPr>
        <w:fldChar w:fldCharType="separate"/>
      </w:r>
      <w:r w:rsidRPr="00EA75BB">
        <w:rPr>
          <w:rFonts w:asciiTheme="majorBidi" w:hAnsiTheme="majorBidi" w:cstheme="majorBidi"/>
          <w:sz w:val="24"/>
          <w:szCs w:val="24"/>
        </w:rPr>
        <w:t>[11]</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 xml:space="preserve">. Using the GTR model in IQtree as explained above, we estimated ML </w:t>
      </w:r>
      <w:r w:rsidRPr="00EA75BB">
        <w:rPr>
          <w:rFonts w:asciiTheme="majorBidi" w:hAnsiTheme="majorBidi" w:cstheme="majorBidi"/>
          <w:i/>
          <w:iCs/>
          <w:sz w:val="24"/>
          <w:szCs w:val="24"/>
        </w:rPr>
        <w:t>mt</w:t>
      </w:r>
      <w:r w:rsidRPr="00EA75BB">
        <w:rPr>
          <w:rFonts w:asciiTheme="majorBidi" w:hAnsiTheme="majorBidi" w:cstheme="majorBidi"/>
          <w:sz w:val="24"/>
          <w:szCs w:val="24"/>
        </w:rPr>
        <w:t xml:space="preserve">DNA trees for each gene separately and also for the concatenated </w:t>
      </w:r>
      <w:r w:rsidRPr="00EA75BB">
        <w:rPr>
          <w:rFonts w:asciiTheme="majorBidi" w:hAnsiTheme="majorBidi" w:cstheme="majorBidi"/>
          <w:i/>
          <w:iCs/>
          <w:sz w:val="24"/>
          <w:szCs w:val="24"/>
        </w:rPr>
        <w:t>mt</w:t>
      </w:r>
      <w:r w:rsidRPr="00EA75BB">
        <w:rPr>
          <w:rFonts w:asciiTheme="majorBidi" w:hAnsiTheme="majorBidi" w:cstheme="majorBidi"/>
          <w:sz w:val="24"/>
          <w:szCs w:val="24"/>
        </w:rPr>
        <w:t xml:space="preserve">DNA matrix. We extracted tips shared between the </w:t>
      </w:r>
      <w:r w:rsidRPr="00EA75BB">
        <w:rPr>
          <w:rFonts w:asciiTheme="majorBidi" w:hAnsiTheme="majorBidi" w:cstheme="majorBidi"/>
          <w:i/>
          <w:iCs/>
          <w:sz w:val="24"/>
          <w:szCs w:val="24"/>
        </w:rPr>
        <w:t>mt</w:t>
      </w:r>
      <w:r w:rsidRPr="00EA75BB">
        <w:rPr>
          <w:rFonts w:asciiTheme="majorBidi" w:hAnsiTheme="majorBidi" w:cstheme="majorBidi"/>
          <w:sz w:val="24"/>
          <w:szCs w:val="24"/>
        </w:rPr>
        <w:t xml:space="preserve">DNA trees and our ddRADseq (D-3482snps-neutral_loci matrix) using the </w:t>
      </w:r>
      <w:r w:rsidRPr="00EA75BB">
        <w:rPr>
          <w:rFonts w:asciiTheme="majorBidi" w:hAnsiTheme="majorBidi" w:cstheme="majorBidi"/>
          <w:i/>
          <w:iCs/>
          <w:sz w:val="24"/>
          <w:szCs w:val="24"/>
        </w:rPr>
        <w:t>keep.tip</w:t>
      </w:r>
      <w:r w:rsidRPr="00EA75BB">
        <w:rPr>
          <w:rFonts w:asciiTheme="majorBidi" w:hAnsiTheme="majorBidi" w:cstheme="majorBidi"/>
          <w:sz w:val="24"/>
          <w:szCs w:val="24"/>
        </w:rPr>
        <w:t xml:space="preserve"> function implemented in the R package </w:t>
      </w:r>
      <w:r w:rsidRPr="00EA75BB">
        <w:rPr>
          <w:rFonts w:asciiTheme="majorBidi" w:hAnsiTheme="majorBidi" w:cstheme="majorBidi"/>
          <w:i/>
          <w:iCs/>
          <w:sz w:val="24"/>
          <w:szCs w:val="24"/>
        </w:rPr>
        <w:t xml:space="preserve">phytools </w:t>
      </w:r>
      <w:r w:rsidRPr="00EA75BB">
        <w:rPr>
          <w:rFonts w:asciiTheme="majorBidi" w:hAnsiTheme="majorBidi" w:cstheme="majorBidi"/>
          <w:i/>
          <w:iCs/>
          <w:sz w:val="24"/>
          <w:szCs w:val="24"/>
        </w:rPr>
        <w:fldChar w:fldCharType="begin" w:fldLock="1"/>
      </w:r>
      <w:r w:rsidRPr="00EA75BB">
        <w:rPr>
          <w:rFonts w:asciiTheme="majorBidi" w:hAnsiTheme="majorBidi" w:cstheme="majorBidi"/>
          <w:i/>
          <w:iCs/>
          <w:sz w:val="24"/>
          <w:szCs w:val="24"/>
        </w:rPr>
        <w:instrText>ADDIN CSL_CITATION {"citationItems":[{"id":"ITEM-1","itemData":{"author":[{"dropping-particle":"","family":"Revell","given":"Liam J","non-dropping-particle":"","parse-names":false,"suffix":""}],"container-title":"Methods in Ecology and Evolution","id":"ITEM-1","issued":{"date-parts":[["2012"]]},"page":"217-223","title":"phytools: An R package for phylogenetic comparative biology (and other things).","type":"article-journal","volume":"3"},"uris":["http://www.mendeley.com/documents/?uuid=22e2da27-904e-4ec2-af5b-0ec814c42f3e"]}],"mendeley":{"formattedCitation":"[111]","plainTextFormattedCitation":"[111]","previouslyFormattedCitation":"[110]"},"properties":{"noteIndex":0},"schema":"https://github.com/citation-style-language/schema/raw/master/csl-citation.json"}</w:instrText>
      </w:r>
      <w:r w:rsidRPr="00EA75BB">
        <w:rPr>
          <w:rFonts w:asciiTheme="majorBidi" w:hAnsiTheme="majorBidi" w:cstheme="majorBidi"/>
          <w:i/>
          <w:iCs/>
          <w:sz w:val="24"/>
          <w:szCs w:val="24"/>
        </w:rPr>
        <w:fldChar w:fldCharType="separate"/>
      </w:r>
      <w:r w:rsidRPr="00EA75BB">
        <w:rPr>
          <w:rFonts w:asciiTheme="majorBidi" w:hAnsiTheme="majorBidi" w:cstheme="majorBidi"/>
          <w:iCs/>
          <w:sz w:val="24"/>
          <w:szCs w:val="24"/>
        </w:rPr>
        <w:t>[111]</w:t>
      </w:r>
      <w:r w:rsidRPr="00EA75BB">
        <w:rPr>
          <w:rFonts w:asciiTheme="majorBidi" w:hAnsiTheme="majorBidi" w:cstheme="majorBidi"/>
          <w:sz w:val="24"/>
          <w:szCs w:val="24"/>
        </w:rPr>
        <w:fldChar w:fldCharType="end"/>
      </w:r>
      <w:r w:rsidRPr="00EA75BB">
        <w:rPr>
          <w:rFonts w:asciiTheme="majorBidi" w:hAnsiTheme="majorBidi" w:cstheme="majorBidi"/>
          <w:sz w:val="24"/>
          <w:szCs w:val="24"/>
        </w:rPr>
        <w:t>.</w:t>
      </w:r>
    </w:p>
    <w:p w14:paraId="3F0D5020" w14:textId="77777777" w:rsidR="00EA75BB" w:rsidRPr="00EA75BB" w:rsidRDefault="00EA75BB" w:rsidP="00EA75BB">
      <w:pPr>
        <w:jc w:val="both"/>
        <w:rPr>
          <w:rFonts w:asciiTheme="majorBidi" w:hAnsiTheme="majorBidi" w:cstheme="majorBidi"/>
          <w:b/>
          <w:bCs/>
          <w:sz w:val="28"/>
          <w:szCs w:val="28"/>
        </w:rPr>
      </w:pPr>
      <w:r w:rsidRPr="00EA75BB">
        <w:rPr>
          <w:rFonts w:asciiTheme="majorBidi" w:hAnsiTheme="majorBidi" w:cstheme="majorBidi"/>
          <w:b/>
          <w:bCs/>
          <w:sz w:val="28"/>
          <w:szCs w:val="28"/>
        </w:rPr>
        <w:t>Multispecies coalescent analyses</w:t>
      </w:r>
    </w:p>
    <w:p w14:paraId="723ABBC5" w14:textId="77777777" w:rsidR="0077074B" w:rsidRPr="0077074B" w:rsidRDefault="0077074B" w:rsidP="0077074B">
      <w:pPr>
        <w:jc w:val="both"/>
        <w:rPr>
          <w:rFonts w:asciiTheme="majorBidi" w:hAnsiTheme="majorBidi" w:cstheme="majorBidi"/>
          <w:sz w:val="24"/>
          <w:szCs w:val="24"/>
        </w:rPr>
      </w:pPr>
      <w:r w:rsidRPr="0077074B">
        <w:rPr>
          <w:rFonts w:asciiTheme="majorBidi" w:hAnsiTheme="majorBidi" w:cstheme="majorBidi"/>
          <w:sz w:val="24"/>
          <w:szCs w:val="24"/>
        </w:rPr>
        <w:t xml:space="preserve">We inferred a multi-coalescent species tree for the D-3482snps-neutral_loci matrix using the SNAPP v1.3.0 plug-in </w:t>
      </w:r>
      <w:r w:rsidRPr="0077074B">
        <w:rPr>
          <w:rFonts w:asciiTheme="majorBidi" w:hAnsiTheme="majorBidi" w:cstheme="majorBidi"/>
          <w:sz w:val="24"/>
          <w:szCs w:val="24"/>
        </w:rPr>
        <w:fldChar w:fldCharType="begin" w:fldLock="1"/>
      </w:r>
      <w:r w:rsidRPr="0077074B">
        <w:rPr>
          <w:rFonts w:asciiTheme="majorBidi" w:hAnsiTheme="majorBidi" w:cstheme="majorBidi"/>
          <w:sz w:val="24"/>
          <w:szCs w:val="24"/>
        </w:rPr>
        <w:instrText>ADDIN CSL_CITATION {"citationItems":[{"id":"ITEM-1","itemData":{"DOI":"10.1093/molbev/mss086","author":[{"dropping-particle":"","family":"Bryant","given":"David","non-dropping-particle":"","parse-names":false,"suffix":""},{"dropping-particle":"","family":"Bouckaert","given":"Remco","non-dropping-particle":"","parse-names":false,"suffix":""},{"dropping-particle":"","family":"Felsenstein","given":"Joseph","non-dropping-particle":"","parse-names":false,"suffix":""},{"dropping-particle":"","family":"Rosenberg","given":"Noah A","non-dropping-particle":"","parse-names":false,"suffix":""},{"dropping-particle":"","family":"RoyChoudhury","given":"Arindam","non-dropping-particle":"","parse-names":false,"suffix":""}],"container-title":"Molecular Biology and Evolution","id":"ITEM-1","issue":"8","issued":{"date-parts":[["2012"]]},"page":"1917-1932","title":"Inferring Species Trees Directly from Biallelic Genetic Markers : Bypassing Gene Trees in a Full Coalescent Analysis","type":"article-journal","volume":"29"},"uris":["http://www.mendeley.com/documents/?uuid=05390765-04cd-4b31-8569-ed2a7aac5522"]}],"mendeley":{"formattedCitation":"[112]","plainTextFormattedCitation":"[112]","previouslyFormattedCitation":"[111]"},"properties":{"noteIndex":0},"schema":"https://github.com/citation-style-language/schema/raw/master/csl-citation.json"}</w:instrText>
      </w:r>
      <w:r w:rsidRPr="0077074B">
        <w:rPr>
          <w:rFonts w:asciiTheme="majorBidi" w:hAnsiTheme="majorBidi" w:cstheme="majorBidi"/>
          <w:sz w:val="24"/>
          <w:szCs w:val="24"/>
        </w:rPr>
        <w:fldChar w:fldCharType="separate"/>
      </w:r>
      <w:r w:rsidRPr="0077074B">
        <w:rPr>
          <w:rFonts w:asciiTheme="majorBidi" w:hAnsiTheme="majorBidi" w:cstheme="majorBidi"/>
          <w:sz w:val="24"/>
          <w:szCs w:val="24"/>
        </w:rPr>
        <w:t>[112]</w:t>
      </w:r>
      <w:r w:rsidRPr="0077074B">
        <w:rPr>
          <w:rFonts w:asciiTheme="majorBidi" w:hAnsiTheme="majorBidi" w:cstheme="majorBidi"/>
          <w:sz w:val="24"/>
          <w:szCs w:val="24"/>
        </w:rPr>
        <w:fldChar w:fldCharType="end"/>
      </w:r>
      <w:r w:rsidRPr="0077074B">
        <w:rPr>
          <w:rFonts w:asciiTheme="majorBidi" w:hAnsiTheme="majorBidi" w:cstheme="majorBidi"/>
          <w:sz w:val="24"/>
          <w:szCs w:val="24"/>
        </w:rPr>
        <w:t xml:space="preserve"> implemented in BEAST2 v2.6.3 </w:t>
      </w:r>
      <w:r w:rsidRPr="0077074B">
        <w:rPr>
          <w:rFonts w:asciiTheme="majorBidi" w:hAnsiTheme="majorBidi" w:cstheme="majorBidi"/>
          <w:sz w:val="24"/>
          <w:szCs w:val="24"/>
        </w:rPr>
        <w:fldChar w:fldCharType="begin" w:fldLock="1"/>
      </w:r>
      <w:r w:rsidRPr="0077074B">
        <w:rPr>
          <w:rFonts w:asciiTheme="majorBidi" w:hAnsiTheme="majorBidi" w:cstheme="majorBidi"/>
          <w:sz w:val="24"/>
          <w:szCs w:val="24"/>
        </w:rPr>
        <w:instrText>ADDIN CSL_CITATION {"citationItems":[{"id":"ITEM-1","itemData":{"DOI":"10.1371/journal.pcbi.1003537","ISBN":"1553-734X","ISSN":"15537358","PMID":"24722319","abstract":"We present a new open source, extensible and flexible software platform for Bayesian evolutionary analysis called BEAST 2. This software platform is a re-design of the popular BEAST 1 platform to correct structural deficiencies that became evident as the BEAST 1 software evolved. Key among those deficiencies was the lack of post-deployment extensibility. BEAST 2 now has a fully developed package management system that allows third party developers to write additional functionality that can be directly installed to the BEAST 2 analysis platform via a package manager without requiring a new software release of the platform. This package architecture is showcased with a number of recently published new models encompassing birth-death-sampling tree priors, phylodynamics and model averaging for substitution models and site partitioning. A second major improvement is the ability to read/write the entire state of the MCMC chain to/from disk allowing it to be easily shared between multiple instances of the BEAST software. This facilitates checkpointing and better support for multi-processor and high-end computing extensions. Finally, the functionality in new packages can be easily added to the user interface (BEAUti 2) by a simple XML template-based mechanism because BEAST 2 has been re-designed to provide greater integration between the analysis engine and the user interface so that, for example BEAST and BEAUti use exactly the same XML file format.","author":[{"dropping-particle":"","family":"Bouckaert","given":"Remco","non-dropping-particle":"","parse-names":false,"suffix":""},{"dropping-particle":"","family":"Heled","given":"Joseph","non-dropping-particle":"","parse-names":false,"suffix":""},{"dropping-particle":"","family":"Kühnert","given":"Denise","non-dropping-particle":"","parse-names":false,"suffix":""},{"dropping-particle":"","family":"Vaughan","given":"Tim","non-dropping-particle":"","parse-names":false,"suffix":""},{"dropping-particle":"","family":"Wu","given":"Chieh Hsi","non-dropping-particle":"","parse-names":false,"suffix":""},{"dropping-particle":"","family":"Xie","given":"Dong","non-dropping-particle":"","parse-names":false,"suffix":""},{"dropping-particle":"","family":"Suchard","given":"Marc A.","non-dropping-particle":"","parse-names":false,"suffix":""},{"dropping-particle":"","family":"Rambaut","given":"Andrew","non-dropping-particle":"","parse-names":false,"suffix":""},{"dropping-particle":"","family":"Drummond","given":"Alexei J.","non-dropping-particle":"","parse-names":false,"suffix":""}],"container-title":"PLoS Computational Biology","id":"ITEM-1","issue":"4","issued":{"date-parts":[["2014"]]},"page":"1-6","title":"BEAST 2: A Software Platform for Bayesian Evolutionary Analysis","type":"article-journal","volume":"10"},"uris":["http://www.mendeley.com/documents/?uuid=6680191a-23fe-482f-9104-ee8a93d2b984"]}],"mendeley":{"formattedCitation":"[113]","plainTextFormattedCitation":"[113]","previouslyFormattedCitation":"[112]"},"properties":{"noteIndex":0},"schema":"https://github.com/citation-style-language/schema/raw/master/csl-citation.json"}</w:instrText>
      </w:r>
      <w:r w:rsidRPr="0077074B">
        <w:rPr>
          <w:rFonts w:asciiTheme="majorBidi" w:hAnsiTheme="majorBidi" w:cstheme="majorBidi"/>
          <w:sz w:val="24"/>
          <w:szCs w:val="24"/>
        </w:rPr>
        <w:fldChar w:fldCharType="separate"/>
      </w:r>
      <w:r w:rsidRPr="0077074B">
        <w:rPr>
          <w:rFonts w:asciiTheme="majorBidi" w:hAnsiTheme="majorBidi" w:cstheme="majorBidi"/>
          <w:sz w:val="24"/>
          <w:szCs w:val="24"/>
        </w:rPr>
        <w:t>[113]</w:t>
      </w:r>
      <w:r w:rsidRPr="0077074B">
        <w:rPr>
          <w:rFonts w:asciiTheme="majorBidi" w:hAnsiTheme="majorBidi" w:cstheme="majorBidi"/>
          <w:sz w:val="24"/>
          <w:szCs w:val="24"/>
        </w:rPr>
        <w:fldChar w:fldCharType="end"/>
      </w:r>
      <w:r w:rsidRPr="0077074B">
        <w:rPr>
          <w:rFonts w:asciiTheme="majorBidi" w:hAnsiTheme="majorBidi" w:cstheme="majorBidi"/>
          <w:sz w:val="24"/>
          <w:szCs w:val="24"/>
        </w:rPr>
        <w:t xml:space="preserve">. SNAPP allows the inference of a species tree from unlinked SNP data while bypassing gene tree inference </w:t>
      </w:r>
      <w:r w:rsidRPr="0077074B">
        <w:rPr>
          <w:rFonts w:asciiTheme="majorBidi" w:hAnsiTheme="majorBidi" w:cstheme="majorBidi"/>
          <w:sz w:val="24"/>
          <w:szCs w:val="24"/>
        </w:rPr>
        <w:fldChar w:fldCharType="begin" w:fldLock="1"/>
      </w:r>
      <w:r w:rsidRPr="0077074B">
        <w:rPr>
          <w:rFonts w:asciiTheme="majorBidi" w:hAnsiTheme="majorBidi" w:cstheme="majorBidi"/>
          <w:sz w:val="24"/>
          <w:szCs w:val="24"/>
        </w:rPr>
        <w:instrText>ADDIN CSL_CITATION {"citationItems":[{"id":"ITEM-1","itemData":{"DOI":"10.1093/molbev/mss086","author":[{"dropping-particle":"","family":"Bryant","given":"David","non-dropping-particle":"","parse-names":false,"suffix":""},{"dropping-particle":"","family":"Bouckaert","given":"Remco","non-dropping-particle":"","parse-names":false,"suffix":""},{"dropping-particle":"","family":"Felsenstein","given":"Joseph","non-dropping-particle":"","parse-names":false,"suffix":""},{"dropping-particle":"","family":"Rosenberg","given":"Noah A","non-dropping-particle":"","parse-names":false,"suffix":""},{"dropping-particle":"","family":"RoyChoudhury","given":"Arindam","non-dropping-particle":"","parse-names":false,"suffix":""}],"container-title":"Molecular Biology and Evolution","id":"ITEM-1","issue":"8","issued":{"date-parts":[["2012"]]},"page":"1917-1932","title":"Inferring Species Trees Directly from Biallelic Genetic Markers : Bypassing Gene Trees in a Full Coalescent Analysis","type":"article-journal","volume":"29"},"uris":["http://www.mendeley.com/documents/?uuid=05390765-04cd-4b31-8569-ed2a7aac5522"]}],"mendeley":{"formattedCitation":"[112]","plainTextFormattedCitation":"[112]","previouslyFormattedCitation":"[111]"},"properties":{"noteIndex":0},"schema":"https://github.com/citation-style-language/schema/raw/master/csl-citation.json"}</w:instrText>
      </w:r>
      <w:r w:rsidRPr="0077074B">
        <w:rPr>
          <w:rFonts w:asciiTheme="majorBidi" w:hAnsiTheme="majorBidi" w:cstheme="majorBidi"/>
          <w:sz w:val="24"/>
          <w:szCs w:val="24"/>
        </w:rPr>
        <w:fldChar w:fldCharType="separate"/>
      </w:r>
      <w:r w:rsidRPr="0077074B">
        <w:rPr>
          <w:rFonts w:asciiTheme="majorBidi" w:hAnsiTheme="majorBidi" w:cstheme="majorBidi"/>
          <w:sz w:val="24"/>
          <w:szCs w:val="24"/>
        </w:rPr>
        <w:t>[112]</w:t>
      </w:r>
      <w:r w:rsidRPr="0077074B">
        <w:rPr>
          <w:rFonts w:asciiTheme="majorBidi" w:hAnsiTheme="majorBidi" w:cstheme="majorBidi"/>
          <w:sz w:val="24"/>
          <w:szCs w:val="24"/>
        </w:rPr>
        <w:fldChar w:fldCharType="end"/>
      </w:r>
      <w:r w:rsidRPr="0077074B">
        <w:rPr>
          <w:rFonts w:asciiTheme="majorBidi" w:hAnsiTheme="majorBidi" w:cstheme="majorBidi"/>
          <w:sz w:val="24"/>
          <w:szCs w:val="24"/>
        </w:rPr>
        <w:t xml:space="preserve">. For this analysis we used two chains of 30 million steps, sampling every 500 trees, with a burn-in of 10%. We set default priors for coalescent and mutation rates, as well as ancestral population size parameters. We visualized all results in the software Tracer v1.7 </w:t>
      </w:r>
      <w:r w:rsidRPr="0077074B">
        <w:rPr>
          <w:rFonts w:asciiTheme="majorBidi" w:hAnsiTheme="majorBidi" w:cstheme="majorBidi"/>
          <w:sz w:val="24"/>
          <w:szCs w:val="24"/>
        </w:rPr>
        <w:fldChar w:fldCharType="begin" w:fldLock="1"/>
      </w:r>
      <w:r w:rsidRPr="0077074B">
        <w:rPr>
          <w:rFonts w:asciiTheme="majorBidi" w:hAnsiTheme="majorBidi" w:cstheme="majorBidi"/>
          <w:sz w:val="24"/>
          <w:szCs w:val="24"/>
        </w:rPr>
        <w:instrText>ADDIN CSL_CITATION {"citationItems":[{"id":"ITEM-1","itemData":{"DOI":"10.1093/sysbio/syy032","ISSN":"1076836X","PMID":"29718447","abstract":"Bayesian inference of phylogeny using Markov chain Monte Carlo (MCMC) plays a central role in understanding evolutionary history from molecular sequence data. Visualizing and analyzing the MCMC-generated samples from the posterior distribution is a key step in any non-trivial Bayesian inference. We present the software package Tracer (version 1.7) for visualizing and analyzing the MCMC trace files generated through Bayesian phylogenetic inference. Tracer provides kernel density estimation, multivariate visualization, demographic trajectory reconstruction, conditional posterior distribution summary, and more.","author":[{"dropping-particle":"","family":"Rambaut","given":"Andrew","non-dropping-particle":"","parse-names":false,"suffix":""},{"dropping-particle":"","family":"Drummond","given":"Alexei J.","non-dropping-particle":"","parse-names":false,"suffix":""},{"dropping-particle":"","family":"Xie","given":"Dong","non-dropping-particle":"","parse-names":false,"suffix":""},{"dropping-particle":"","family":"Baele","given":"Guy","non-dropping-particle":"","parse-names":false,"suffix":""},{"dropping-particle":"","family":"Suchard","given":"Marc A.","non-dropping-particle":"","parse-names":false,"suffix":""}],"container-title":"Systematic Biology","id":"ITEM-1","issue":"5","issued":{"date-parts":[["2018"]]},"page":"901-904","title":"Posterior summarization in Bayesian phylogenetics using Tracer 1.7","type":"article-journal","volume":"67"},"uris":["http://www.mendeley.com/documents/?uuid=c276dfbd-2958-48d9-88d9-b545729a41fb"]}],"mendeley":{"formattedCitation":"[114]","plainTextFormattedCitation":"[114]","previouslyFormattedCitation":"[113]"},"properties":{"noteIndex":0},"schema":"https://github.com/citation-style-language/schema/raw/master/csl-citation.json"}</w:instrText>
      </w:r>
      <w:r w:rsidRPr="0077074B">
        <w:rPr>
          <w:rFonts w:asciiTheme="majorBidi" w:hAnsiTheme="majorBidi" w:cstheme="majorBidi"/>
          <w:sz w:val="24"/>
          <w:szCs w:val="24"/>
        </w:rPr>
        <w:fldChar w:fldCharType="separate"/>
      </w:r>
      <w:r w:rsidRPr="0077074B">
        <w:rPr>
          <w:rFonts w:asciiTheme="majorBidi" w:hAnsiTheme="majorBidi" w:cstheme="majorBidi"/>
          <w:sz w:val="24"/>
          <w:szCs w:val="24"/>
        </w:rPr>
        <w:t>[114]</w:t>
      </w:r>
      <w:r w:rsidRPr="0077074B">
        <w:rPr>
          <w:rFonts w:asciiTheme="majorBidi" w:hAnsiTheme="majorBidi" w:cstheme="majorBidi"/>
          <w:sz w:val="24"/>
          <w:szCs w:val="24"/>
        </w:rPr>
        <w:fldChar w:fldCharType="end"/>
      </w:r>
      <w:r w:rsidRPr="0077074B">
        <w:rPr>
          <w:rFonts w:asciiTheme="majorBidi" w:hAnsiTheme="majorBidi" w:cstheme="majorBidi"/>
          <w:sz w:val="24"/>
          <w:szCs w:val="24"/>
        </w:rPr>
        <w:t xml:space="preserve"> to confirm that the analyses had converged, reached stationary, and that all effective sample sizes (ESS) were higher than 200. Lastly, we summarized the conflict of posterior distribution trees into the species tree using DENSITREE v2.01 </w:t>
      </w:r>
      <w:r w:rsidRPr="0077074B">
        <w:rPr>
          <w:rFonts w:asciiTheme="majorBidi" w:hAnsiTheme="majorBidi" w:cstheme="majorBidi"/>
          <w:sz w:val="24"/>
          <w:szCs w:val="24"/>
        </w:rPr>
        <w:fldChar w:fldCharType="begin" w:fldLock="1"/>
      </w:r>
      <w:r w:rsidRPr="0077074B">
        <w:rPr>
          <w:rFonts w:asciiTheme="majorBidi" w:hAnsiTheme="majorBidi" w:cstheme="majorBidi"/>
          <w:sz w:val="24"/>
          <w:szCs w:val="24"/>
        </w:rPr>
        <w:instrText>ADDIN CSL_CITATION {"citationItems":[{"id":"ITEM-1","itemData":{"DOI":"10.1093/bioinformatics/btq110","ISSN":"13674803","PMID":"20228129","abstract":"Motivation: Bayesian analysis through programs like BEAST (Drummond and Rumbaut, 2007) and MrBayes (Huelsenbeck et al., 2001) provides a powerful method for reconstruction of evolutionary relationships. One of the benefits of Bayesian methods is that wellfounded estimates of uncertainty in models can be made available. So, for example, not only the mean time of a most recent common ancestor (tMRCA) is estimated, but also the spread. This distribution over model space is represented by a set of trees, which can be rather large and difficult to interpret. DensiTree is a tool that helps navigating these sets of trees. Results: The main idea behind DensiTree is to draw all trees in the set transparently. As a result, areas where a lot of the trees agree in topology and branch lengths show up as highly colored areas, while areas with little agreement show up as webs. This makes it possible to quickly get an impression of properties of the tree set such as well-supported clades, distribution of tMRCA and areas of topological uncertainty. Thus, DensiTree provides a quick method for qualitative analysis of tree sets. Availability: DensiTree is freely available from http://compevol.auckland.ac.nz/software/DensiTree/. The program is licensed under GPL and source code is available. Contact: remco@cs.auckland.ac.nz. © The Author 2010. Published by Oxford University Press. All rights reserved. For Permissions, please email: journals.permissions@oxfordjournals.org.","author":[{"dropping-particle":"","family":"Bouckaert","given":"Remco R.","non-dropping-particle":"","parse-names":false,"suffix":""}],"container-title":"Bioinformatics","id":"ITEM-1","issue":"10","issued":{"date-parts":[["2010"]]},"page":"1372-1373","title":"DensiTree: Making sense of sets of phylogenetic trees","type":"article-journal","volume":"26"},"uris":["http://www.mendeley.com/documents/?uuid=63df48c9-4c5d-4ee2-9b1d-e204c4d0e7eb"]}],"mendeley":{"formattedCitation":"[115]","plainTextFormattedCitation":"[115]","previouslyFormattedCitation":"[114]"},"properties":{"noteIndex":0},"schema":"https://github.com/citation-style-language/schema/raw/master/csl-citation.json"}</w:instrText>
      </w:r>
      <w:r w:rsidRPr="0077074B">
        <w:rPr>
          <w:rFonts w:asciiTheme="majorBidi" w:hAnsiTheme="majorBidi" w:cstheme="majorBidi"/>
          <w:sz w:val="24"/>
          <w:szCs w:val="24"/>
        </w:rPr>
        <w:fldChar w:fldCharType="separate"/>
      </w:r>
      <w:r w:rsidRPr="0077074B">
        <w:rPr>
          <w:rFonts w:asciiTheme="majorBidi" w:hAnsiTheme="majorBidi" w:cstheme="majorBidi"/>
          <w:sz w:val="24"/>
          <w:szCs w:val="24"/>
        </w:rPr>
        <w:t>[115]</w:t>
      </w:r>
      <w:r w:rsidRPr="0077074B">
        <w:rPr>
          <w:rFonts w:asciiTheme="majorBidi" w:hAnsiTheme="majorBidi" w:cstheme="majorBidi"/>
          <w:sz w:val="24"/>
          <w:szCs w:val="24"/>
        </w:rPr>
        <w:fldChar w:fldCharType="end"/>
      </w:r>
      <w:r w:rsidRPr="0077074B">
        <w:rPr>
          <w:rFonts w:asciiTheme="majorBidi" w:hAnsiTheme="majorBidi" w:cstheme="majorBidi"/>
          <w:sz w:val="24"/>
          <w:szCs w:val="24"/>
        </w:rPr>
        <w:t>.</w:t>
      </w:r>
    </w:p>
    <w:p w14:paraId="52427930" w14:textId="77777777" w:rsidR="0077074B" w:rsidRPr="0077074B" w:rsidRDefault="0077074B" w:rsidP="0077074B">
      <w:pPr>
        <w:ind w:firstLine="720"/>
        <w:jc w:val="both"/>
        <w:rPr>
          <w:rFonts w:asciiTheme="majorBidi" w:hAnsiTheme="majorBidi" w:cstheme="majorBidi"/>
          <w:sz w:val="24"/>
          <w:szCs w:val="24"/>
        </w:rPr>
      </w:pPr>
      <w:r w:rsidRPr="0077074B">
        <w:rPr>
          <w:rFonts w:asciiTheme="majorBidi" w:hAnsiTheme="majorBidi" w:cstheme="majorBidi"/>
          <w:sz w:val="24"/>
          <w:szCs w:val="24"/>
        </w:rPr>
        <w:t xml:space="preserve">To test the previously outlined species delimitation scenarios (i–iv) in a coalescent framework, we applied the Bayes Factor Delimitation (BFD*) approach </w:t>
      </w:r>
      <w:r w:rsidRPr="0077074B">
        <w:rPr>
          <w:rFonts w:asciiTheme="majorBidi" w:hAnsiTheme="majorBidi" w:cstheme="majorBidi"/>
          <w:sz w:val="24"/>
          <w:szCs w:val="24"/>
        </w:rPr>
        <w:fldChar w:fldCharType="begin" w:fldLock="1"/>
      </w:r>
      <w:r w:rsidRPr="0077074B">
        <w:rPr>
          <w:rFonts w:asciiTheme="majorBidi" w:hAnsiTheme="majorBidi" w:cstheme="majorBidi"/>
          <w:sz w:val="24"/>
          <w:szCs w:val="24"/>
        </w:rPr>
        <w:instrText>ADDIN CSL_CITATION {"citationItems":[{"id":"ITEM-1","itemData":{"DOI":"10.1101/001172","abstract":"The multi-species coalescent has provided important progress for evolutionary inferences, including increasing the statistical rigor and objectivity of comparisons among competing species delimitation models. However, Bayesian species delimitation methods typically require brute force integration over gene trees via Markov chain Monte Carlo (MCMC), which introduces a large computation burden and precludes their application to genomic-scale data. Here we combine a recently introduced dynamic programming algorithm for estimating species trees that bypasses MCMC integration over gene trees with sophisticated methods for estimating marginal likelihoods, needed for Bayesian model selection, to provide a rigorous and computationally tractable technique for genome-wide species delimitation. We provide a critical yet simple correction that brings the likelihoods of different species trees, and more importantly their corresponding marginal likelihoods, to the same common denominator, which enables direct and accurate comparisons of competing species delimitation models using Bayes factors. We test this approach, which we call Bayes factor delimitation (*with genomic data; BFD*), using common species delimitation scenarios with computer simulations. Varying the numbers of loci and the number of samples suggest that the approach can distinguish the true model even with few loci and limited samples per species. Misspecification of the prior for population size θ has little impact on support for the true model. We apply the approach to West African forest geckos (Hemidactylus fasciatus complex) using genome-wide SNP data data. This new Bayesian method for species delimitation builds on a growing trend for objective species delimitation methods with explicit model assumptions that are easily tested.","author":[{"dropping-particle":"","family":"Leaché","given":"Adam","non-dropping-particle":"","parse-names":false,"suffix":""},{"dropping-particle":"","family":"Fujita","given":"Matthew","non-dropping-particle":"","parse-names":false,"suffix":""},{"dropping-particle":"","family":"Minin","given":"Vladimir","non-dropping-particle":"","parse-names":false,"suffix":""},{"dropping-particle":"","family":"Bouckaert","given":"Remco","non-dropping-particle":"","parse-names":false,"suffix":""}],"container-title":"Systematic Biology","id":"ITEM-1","issued":{"date-parts":[["2014"]]},"title":"Species Delimitation using Genome-Wide SNP Data","type":"article-journal"},"uris":["http://www.mendeley.com/documents/?uuid=603c3f19-d84c-4c2a-af1a-596d5ff4c251"]}],"mendeley":{"formattedCitation":"[116]","plainTextFormattedCitation":"[116]","previouslyFormattedCitation":"[115]"},"properties":{"noteIndex":0},"schema":"https://github.com/citation-style-language/schema/raw/master/csl-citation.json"}</w:instrText>
      </w:r>
      <w:r w:rsidRPr="0077074B">
        <w:rPr>
          <w:rFonts w:asciiTheme="majorBidi" w:hAnsiTheme="majorBidi" w:cstheme="majorBidi"/>
          <w:sz w:val="24"/>
          <w:szCs w:val="24"/>
        </w:rPr>
        <w:fldChar w:fldCharType="separate"/>
      </w:r>
      <w:r w:rsidRPr="0077074B">
        <w:rPr>
          <w:rFonts w:asciiTheme="majorBidi" w:hAnsiTheme="majorBidi" w:cstheme="majorBidi"/>
          <w:sz w:val="24"/>
          <w:szCs w:val="24"/>
        </w:rPr>
        <w:t>[116]</w:t>
      </w:r>
      <w:r w:rsidRPr="0077074B">
        <w:rPr>
          <w:rFonts w:asciiTheme="majorBidi" w:hAnsiTheme="majorBidi" w:cstheme="majorBidi"/>
          <w:sz w:val="24"/>
          <w:szCs w:val="24"/>
        </w:rPr>
        <w:fldChar w:fldCharType="end"/>
      </w:r>
      <w:r w:rsidRPr="0077074B">
        <w:rPr>
          <w:rFonts w:asciiTheme="majorBidi" w:hAnsiTheme="majorBidi" w:cstheme="majorBidi"/>
          <w:sz w:val="24"/>
          <w:szCs w:val="24"/>
        </w:rPr>
        <w:t xml:space="preserve"> using SNAPP and BEAST2. To overcome computational burden, we generated three subsets encompassing the nine morphospecies with 39–59 individuals and 411–1102 SNP loci that were generated from the D-3482snps-neutral_loci matrix (see SM). With BFD* candidate species delimitation scenarios are evaluated according to the marginal likelihood estimates (MLE). The different scenarios are then compared using Bayes Factors (BF) </w:t>
      </w:r>
      <w:r w:rsidRPr="0077074B">
        <w:rPr>
          <w:rFonts w:asciiTheme="majorBidi" w:hAnsiTheme="majorBidi" w:cstheme="majorBidi"/>
          <w:sz w:val="24"/>
          <w:szCs w:val="24"/>
        </w:rPr>
        <w:fldChar w:fldCharType="begin" w:fldLock="1"/>
      </w:r>
      <w:r w:rsidRPr="0077074B">
        <w:rPr>
          <w:rFonts w:asciiTheme="majorBidi" w:hAnsiTheme="majorBidi" w:cstheme="majorBidi"/>
          <w:sz w:val="24"/>
          <w:szCs w:val="24"/>
        </w:rPr>
        <w:instrText>ADDIN CSL_CITATION {"citationItems":[{"id":"ITEM-1","itemData":{"author":[{"dropping-particle":"","family":"Kass","given":"Robert E","non-dropping-particle":"","parse-names":false,"suffix":""},{"dropping-particle":"","family":"Raftery","given":"Adrian E","non-dropping-particle":"","parse-names":false,"suffix":""}],"container-title":"Journal of the American Statistical Association","id":"ITEM-1","issue":"340","issued":{"date-parts":[["1995"]]},"page":"773-795","title":"Bayes Factors","type":"article-journal","volume":"90"},"uris":["http://www.mendeley.com/documents/?uuid=98ac8fbb-8432-4591-aebc-ad7c9b2adc35"]}],"mendeley":{"formattedCitation":"[117]","plainTextFormattedCitation":"[117]","previouslyFormattedCitation":"[116]"},"properties":{"noteIndex":0},"schema":"https://github.com/citation-style-language/schema/raw/master/csl-citation.json"}</w:instrText>
      </w:r>
      <w:r w:rsidRPr="0077074B">
        <w:rPr>
          <w:rFonts w:asciiTheme="majorBidi" w:hAnsiTheme="majorBidi" w:cstheme="majorBidi"/>
          <w:sz w:val="24"/>
          <w:szCs w:val="24"/>
        </w:rPr>
        <w:fldChar w:fldCharType="separate"/>
      </w:r>
      <w:r w:rsidRPr="0077074B">
        <w:rPr>
          <w:rFonts w:asciiTheme="majorBidi" w:hAnsiTheme="majorBidi" w:cstheme="majorBidi"/>
          <w:sz w:val="24"/>
          <w:szCs w:val="24"/>
        </w:rPr>
        <w:t>[117]</w:t>
      </w:r>
      <w:r w:rsidRPr="0077074B">
        <w:rPr>
          <w:rFonts w:asciiTheme="majorBidi" w:hAnsiTheme="majorBidi" w:cstheme="majorBidi"/>
          <w:sz w:val="24"/>
          <w:szCs w:val="24"/>
        </w:rPr>
        <w:fldChar w:fldCharType="end"/>
      </w:r>
      <w:r w:rsidRPr="0077074B">
        <w:rPr>
          <w:rFonts w:asciiTheme="majorBidi" w:hAnsiTheme="majorBidi" w:cstheme="majorBidi"/>
          <w:sz w:val="24"/>
          <w:szCs w:val="24"/>
        </w:rPr>
        <w:t>, estimated by subtracting MLE values for two models and multiplying the difference by two (BF=2*(MLE</w:t>
      </w:r>
      <w:r w:rsidRPr="0077074B">
        <w:rPr>
          <w:rFonts w:asciiTheme="majorBidi" w:hAnsiTheme="majorBidi" w:cstheme="majorBidi"/>
          <w:sz w:val="24"/>
          <w:szCs w:val="24"/>
          <w:vertAlign w:val="subscript"/>
        </w:rPr>
        <w:t>1</w:t>
      </w:r>
      <w:r w:rsidRPr="0077074B">
        <w:rPr>
          <w:rFonts w:asciiTheme="majorBidi" w:hAnsiTheme="majorBidi" w:cstheme="majorBidi"/>
          <w:sz w:val="24"/>
          <w:szCs w:val="24"/>
        </w:rPr>
        <w:t>-MLE</w:t>
      </w:r>
      <w:r w:rsidRPr="0077074B">
        <w:rPr>
          <w:rFonts w:asciiTheme="majorBidi" w:hAnsiTheme="majorBidi" w:cstheme="majorBidi"/>
          <w:sz w:val="24"/>
          <w:szCs w:val="24"/>
          <w:vertAlign w:val="subscript"/>
        </w:rPr>
        <w:t>2</w:t>
      </w:r>
      <w:r w:rsidRPr="0077074B">
        <w:rPr>
          <w:rFonts w:asciiTheme="majorBidi" w:hAnsiTheme="majorBidi" w:cstheme="majorBidi"/>
          <w:sz w:val="24"/>
          <w:szCs w:val="24"/>
        </w:rPr>
        <w:t xml:space="preserve">)). As only two models are compared </w:t>
      </w:r>
      <w:r w:rsidRPr="0077074B">
        <w:rPr>
          <w:rFonts w:asciiTheme="majorBidi" w:hAnsiTheme="majorBidi" w:cstheme="majorBidi"/>
          <w:sz w:val="24"/>
          <w:szCs w:val="24"/>
        </w:rPr>
        <w:lastRenderedPageBreak/>
        <w:t xml:space="preserve">at the time, we evaluated all possible combinations among the species delimitation scenarios (see Table 1 and SM). To set up the priors and MCMC runs, we followed the recommendations provided in the BFD* manual </w:t>
      </w:r>
      <w:r w:rsidRPr="0077074B">
        <w:rPr>
          <w:rFonts w:asciiTheme="majorBidi" w:hAnsiTheme="majorBidi" w:cstheme="majorBidi"/>
          <w:sz w:val="24"/>
          <w:szCs w:val="24"/>
        </w:rPr>
        <w:fldChar w:fldCharType="begin" w:fldLock="1"/>
      </w:r>
      <w:r w:rsidRPr="0077074B">
        <w:rPr>
          <w:rFonts w:asciiTheme="majorBidi" w:hAnsiTheme="majorBidi" w:cstheme="majorBidi"/>
          <w:sz w:val="24"/>
          <w:szCs w:val="24"/>
        </w:rPr>
        <w:instrText>ADDIN CSL_CITATION {"citationItems":[{"id":"ITEM-1","itemData":{"author":[{"dropping-particle":"","family":"Leaché","given":"Adam D.","non-dropping-particle":"","parse-names":false,"suffix":""},{"dropping-particle":"","family":"Bouckaert","given":"Remco R.","non-dropping-particle":"","parse-names":false,"suffix":""}],"id":"ITEM-1","issued":{"date-parts":[["2018"]]},"publisher-place":"Český Krumlov","title":"Species trees and species delimitation with SNAPP: a tutorial and worked example","type":"article"},"uris":["http://www.mendeley.com/documents/?uuid=4c4ad7b0-efcd-4fb2-b9b0-cc0b0d5c1327"]}],"mendeley":{"formattedCitation":"[118]","plainTextFormattedCitation":"[118]","previouslyFormattedCitation":"[117]"},"properties":{"noteIndex":0},"schema":"https://github.com/citation-style-language/schema/raw/master/csl-citation.json"}</w:instrText>
      </w:r>
      <w:r w:rsidRPr="0077074B">
        <w:rPr>
          <w:rFonts w:asciiTheme="majorBidi" w:hAnsiTheme="majorBidi" w:cstheme="majorBidi"/>
          <w:sz w:val="24"/>
          <w:szCs w:val="24"/>
        </w:rPr>
        <w:fldChar w:fldCharType="separate"/>
      </w:r>
      <w:r w:rsidRPr="0077074B">
        <w:rPr>
          <w:rFonts w:asciiTheme="majorBidi" w:hAnsiTheme="majorBidi" w:cstheme="majorBidi"/>
          <w:sz w:val="24"/>
          <w:szCs w:val="24"/>
        </w:rPr>
        <w:t>[118]</w:t>
      </w:r>
      <w:r w:rsidRPr="0077074B">
        <w:rPr>
          <w:rFonts w:asciiTheme="majorBidi" w:hAnsiTheme="majorBidi" w:cstheme="majorBidi"/>
          <w:sz w:val="24"/>
          <w:szCs w:val="24"/>
        </w:rPr>
        <w:fldChar w:fldCharType="end"/>
      </w:r>
      <w:r w:rsidRPr="0077074B">
        <w:rPr>
          <w:rFonts w:asciiTheme="majorBidi" w:hAnsiTheme="majorBidi" w:cstheme="majorBidi"/>
          <w:sz w:val="24"/>
          <w:szCs w:val="24"/>
        </w:rPr>
        <w:t xml:space="preserve">. </w:t>
      </w:r>
      <w:r w:rsidRPr="0077074B">
        <w:rPr>
          <w:rFonts w:asciiTheme="majorBidi" w:hAnsiTheme="majorBidi" w:cstheme="majorBidi"/>
          <w:bCs/>
          <w:sz w:val="24"/>
          <w:szCs w:val="24"/>
        </w:rPr>
        <w:t xml:space="preserve">The speciation rate (λ), which represents the birth-rate on the Yule tree prior, was set to follow a gamma distribution with </w:t>
      </w:r>
      <w:r w:rsidRPr="0077074B">
        <w:rPr>
          <w:rFonts w:asciiTheme="majorBidi" w:hAnsiTheme="majorBidi" w:cstheme="majorBidi"/>
          <w:sz w:val="24"/>
          <w:szCs w:val="24"/>
        </w:rPr>
        <w:t>α = 2 and β = 200.</w:t>
      </w:r>
    </w:p>
    <w:p w14:paraId="62B107C2" w14:textId="77777777" w:rsidR="000F740F" w:rsidRPr="000F740F" w:rsidRDefault="000F740F" w:rsidP="000F740F">
      <w:pPr>
        <w:jc w:val="both"/>
        <w:rPr>
          <w:rFonts w:asciiTheme="majorBidi" w:hAnsiTheme="majorBidi" w:cstheme="majorBidi"/>
          <w:b/>
          <w:bCs/>
          <w:sz w:val="28"/>
          <w:szCs w:val="28"/>
        </w:rPr>
      </w:pPr>
      <w:r w:rsidRPr="000F740F">
        <w:rPr>
          <w:rFonts w:asciiTheme="majorBidi" w:hAnsiTheme="majorBidi" w:cstheme="majorBidi"/>
          <w:b/>
          <w:bCs/>
          <w:sz w:val="28"/>
          <w:szCs w:val="28"/>
        </w:rPr>
        <w:t>Genetic diversity, effective population size (</w:t>
      </w:r>
      <w:r w:rsidRPr="000F740F">
        <w:rPr>
          <w:rFonts w:asciiTheme="majorBidi" w:hAnsiTheme="majorBidi" w:cstheme="majorBidi"/>
          <w:b/>
          <w:bCs/>
          <w:i/>
          <w:iCs/>
          <w:sz w:val="28"/>
          <w:szCs w:val="28"/>
        </w:rPr>
        <w:t>Ne</w:t>
      </w:r>
      <w:r w:rsidRPr="000F740F">
        <w:rPr>
          <w:rFonts w:asciiTheme="majorBidi" w:hAnsiTheme="majorBidi" w:cstheme="majorBidi"/>
          <w:b/>
          <w:bCs/>
          <w:sz w:val="28"/>
          <w:szCs w:val="28"/>
        </w:rPr>
        <w:t xml:space="preserve">), and </w:t>
      </w:r>
      <w:r w:rsidRPr="000F740F">
        <w:rPr>
          <w:rFonts w:asciiTheme="majorBidi" w:hAnsiTheme="majorBidi" w:cstheme="majorBidi"/>
          <w:b/>
          <w:bCs/>
          <w:i/>
          <w:iCs/>
          <w:sz w:val="28"/>
          <w:szCs w:val="28"/>
        </w:rPr>
        <w:t>F</w:t>
      </w:r>
      <w:r w:rsidRPr="000F740F">
        <w:rPr>
          <w:rFonts w:asciiTheme="majorBidi" w:hAnsiTheme="majorBidi" w:cstheme="majorBidi"/>
          <w:b/>
          <w:bCs/>
          <w:sz w:val="28"/>
          <w:szCs w:val="28"/>
          <w:vertAlign w:val="subscript"/>
        </w:rPr>
        <w:t xml:space="preserve">ST </w:t>
      </w:r>
      <w:r w:rsidRPr="000F740F">
        <w:rPr>
          <w:rFonts w:asciiTheme="majorBidi" w:hAnsiTheme="majorBidi" w:cstheme="majorBidi"/>
          <w:b/>
          <w:bCs/>
          <w:sz w:val="28"/>
          <w:szCs w:val="28"/>
        </w:rPr>
        <w:t>outlier analyses</w:t>
      </w:r>
    </w:p>
    <w:p w14:paraId="7A11169C" w14:textId="77777777" w:rsidR="000F740F" w:rsidRPr="000F740F" w:rsidRDefault="000F740F" w:rsidP="000F740F">
      <w:pPr>
        <w:jc w:val="both"/>
        <w:rPr>
          <w:rFonts w:asciiTheme="majorBidi" w:hAnsiTheme="majorBidi" w:cstheme="majorBidi"/>
          <w:sz w:val="24"/>
          <w:szCs w:val="24"/>
        </w:rPr>
      </w:pPr>
      <w:r w:rsidRPr="000F740F">
        <w:rPr>
          <w:rFonts w:asciiTheme="majorBidi" w:hAnsiTheme="majorBidi" w:cstheme="majorBidi"/>
          <w:bCs/>
          <w:sz w:val="24"/>
          <w:szCs w:val="24"/>
        </w:rPr>
        <w:t>We estimated the genomic diversity of</w:t>
      </w:r>
      <w:r w:rsidRPr="000F740F">
        <w:rPr>
          <w:rFonts w:asciiTheme="majorBidi" w:hAnsiTheme="majorBidi" w:cstheme="majorBidi"/>
          <w:bCs/>
          <w:i/>
          <w:iCs/>
          <w:sz w:val="24"/>
          <w:szCs w:val="24"/>
        </w:rPr>
        <w:t xml:space="preserve"> </w:t>
      </w:r>
      <w:r w:rsidRPr="000F740F">
        <w:rPr>
          <w:rFonts w:asciiTheme="majorBidi" w:hAnsiTheme="majorBidi" w:cstheme="majorBidi"/>
          <w:bCs/>
          <w:sz w:val="24"/>
          <w:szCs w:val="24"/>
        </w:rPr>
        <w:t xml:space="preserve">the </w:t>
      </w:r>
      <w:r w:rsidRPr="000F740F">
        <w:rPr>
          <w:rFonts w:asciiTheme="majorBidi" w:hAnsiTheme="majorBidi" w:cstheme="majorBidi"/>
          <w:bCs/>
          <w:i/>
          <w:iCs/>
          <w:sz w:val="24"/>
          <w:szCs w:val="24"/>
        </w:rPr>
        <w:t xml:space="preserve">humboldtianum </w:t>
      </w:r>
      <w:r w:rsidRPr="000F740F">
        <w:rPr>
          <w:rFonts w:asciiTheme="majorBidi" w:hAnsiTheme="majorBidi" w:cstheme="majorBidi"/>
          <w:bCs/>
          <w:sz w:val="24"/>
          <w:szCs w:val="24"/>
        </w:rPr>
        <w:t xml:space="preserve">group considering the four species delimitation scenarios outlined above. We did not test a scheme that included ecotypes as we did not find any support for this hypothesis (see Results). </w:t>
      </w:r>
      <w:r w:rsidRPr="000F740F">
        <w:rPr>
          <w:rFonts w:asciiTheme="majorBidi" w:hAnsiTheme="majorBidi" w:cstheme="majorBidi"/>
          <w:sz w:val="24"/>
          <w:szCs w:val="24"/>
        </w:rPr>
        <w:t xml:space="preserve">We used GenAlEx v6.5 software </w:t>
      </w:r>
      <w:r w:rsidRPr="000F740F">
        <w:rPr>
          <w:rFonts w:asciiTheme="majorBidi" w:hAnsiTheme="majorBidi" w:cstheme="majorBidi"/>
          <w:sz w:val="24"/>
          <w:szCs w:val="24"/>
        </w:rPr>
        <w:fldChar w:fldCharType="begin" w:fldLock="1"/>
      </w:r>
      <w:r w:rsidRPr="000F740F">
        <w:rPr>
          <w:rFonts w:asciiTheme="majorBidi" w:hAnsiTheme="majorBidi" w:cstheme="majorBidi"/>
          <w:sz w:val="24"/>
          <w:szCs w:val="24"/>
        </w:rPr>
        <w:instrText>ADDIN CSL_CITATION {"citationItems":[{"id":"ITEM-1","itemData":{"DOI":"10.1111/j.1471-8286.2005.01155.x","ISSN":"14718278","abstract":"GENALEX is a user-friendly cross-platform package that runs within Microsoft Excel, enabling population genetic analyses of codominant, haploid and binary data. Allele frequency-based analyses include heterozygosity, F statistics, Nei's genetic distance, population assignment, probabilities of identity and pairwise relatedness. Distance-based calculations include amova, principal coordinates analysis (PCA), Mantel tests, multivariate and 2D spatial autocorrelation and twogener. More than 20 different graphs summarize data and aid exploration. Sequence and genotype data can be imported from automated sequencers, and exported to other software. Initially designed as tool for teaching, genalex 6 now offers features for researchers as well. Documentation and the program are available at http://www.anu.edu.au/BoZo/GenAlEx/. © 2006 Blackwell Publishing Ltd.","author":[{"dropping-particle":"","family":"Peakall","given":"Rod","non-dropping-particle":"","parse-names":false,"suffix":""},{"dropping-particle":"","family":"Smouse","given":"Peter E.","non-dropping-particle":"","parse-names":false,"suffix":""}],"container-title":"Molecular Ecology Notes","id":"ITEM-1","issue":"1","issued":{"date-parts":[["2006"]]},"page":"288-295","title":"GENALEX 6: Genetic analysis in Excel. Population genetic software for teaching and research","type":"article-journal","volume":"6"},"uris":["http://www.mendeley.com/documents/?uuid=fe4a5512-54a6-415b-bba6-cf4185999f67"]}],"mendeley":{"formattedCitation":"[119]","plainTextFormattedCitation":"[119]","previouslyFormattedCitation":"[118]"},"properties":{"noteIndex":0},"schema":"https://github.com/citation-style-language/schema/raw/master/csl-citation.json"}</w:instrText>
      </w:r>
      <w:r w:rsidRPr="000F740F">
        <w:rPr>
          <w:rFonts w:asciiTheme="majorBidi" w:hAnsiTheme="majorBidi" w:cstheme="majorBidi"/>
          <w:sz w:val="24"/>
          <w:szCs w:val="24"/>
        </w:rPr>
        <w:fldChar w:fldCharType="separate"/>
      </w:r>
      <w:r w:rsidRPr="000F740F">
        <w:rPr>
          <w:rFonts w:asciiTheme="majorBidi" w:hAnsiTheme="majorBidi" w:cstheme="majorBidi"/>
          <w:sz w:val="24"/>
          <w:szCs w:val="24"/>
        </w:rPr>
        <w:t>[119]</w:t>
      </w:r>
      <w:r w:rsidRPr="000F740F">
        <w:rPr>
          <w:rFonts w:asciiTheme="majorBidi" w:hAnsiTheme="majorBidi" w:cstheme="majorBidi"/>
          <w:sz w:val="24"/>
          <w:szCs w:val="24"/>
        </w:rPr>
        <w:fldChar w:fldCharType="end"/>
      </w:r>
      <w:r w:rsidRPr="000F740F">
        <w:rPr>
          <w:rFonts w:asciiTheme="majorBidi" w:hAnsiTheme="majorBidi" w:cstheme="majorBidi"/>
          <w:sz w:val="24"/>
          <w:szCs w:val="24"/>
        </w:rPr>
        <w:t xml:space="preserve"> to calculate the observed (</w:t>
      </w:r>
      <w:r w:rsidRPr="000F740F">
        <w:rPr>
          <w:rFonts w:asciiTheme="majorBidi" w:hAnsiTheme="majorBidi" w:cstheme="majorBidi"/>
          <w:i/>
          <w:sz w:val="24"/>
          <w:szCs w:val="24"/>
        </w:rPr>
        <w:t>Ho</w:t>
      </w:r>
      <w:r w:rsidRPr="000F740F">
        <w:rPr>
          <w:rFonts w:asciiTheme="majorBidi" w:hAnsiTheme="majorBidi" w:cstheme="majorBidi"/>
          <w:sz w:val="24"/>
          <w:szCs w:val="24"/>
        </w:rPr>
        <w:t>) and expected (</w:t>
      </w:r>
      <w:r w:rsidRPr="000F740F">
        <w:rPr>
          <w:rFonts w:asciiTheme="majorBidi" w:hAnsiTheme="majorBidi" w:cstheme="majorBidi"/>
          <w:i/>
          <w:sz w:val="24"/>
          <w:szCs w:val="24"/>
        </w:rPr>
        <w:t>He</w:t>
      </w:r>
      <w:r w:rsidRPr="000F740F">
        <w:rPr>
          <w:rFonts w:asciiTheme="majorBidi" w:hAnsiTheme="majorBidi" w:cstheme="majorBidi"/>
          <w:sz w:val="24"/>
          <w:szCs w:val="24"/>
        </w:rPr>
        <w:t>) heterozygosity for each cluster using D-3482snps-neutral_loci matrix. Additionally, we evaluated the effective population size (</w:t>
      </w:r>
      <w:r w:rsidRPr="000F740F">
        <w:rPr>
          <w:rFonts w:asciiTheme="majorBidi" w:hAnsiTheme="majorBidi" w:cstheme="majorBidi"/>
          <w:i/>
          <w:iCs/>
          <w:sz w:val="24"/>
          <w:szCs w:val="24"/>
        </w:rPr>
        <w:t>Ne</w:t>
      </w:r>
      <w:r w:rsidRPr="000F740F">
        <w:rPr>
          <w:rFonts w:asciiTheme="majorBidi" w:hAnsiTheme="majorBidi" w:cstheme="majorBidi"/>
          <w:sz w:val="24"/>
          <w:szCs w:val="24"/>
        </w:rPr>
        <w:t xml:space="preserve">) of each species delimitation scenario by estimating the linkage disequilibrium </w:t>
      </w:r>
      <w:r w:rsidRPr="000F740F">
        <w:rPr>
          <w:rFonts w:asciiTheme="majorBidi" w:hAnsiTheme="majorBidi" w:cstheme="majorBidi"/>
          <w:sz w:val="24"/>
          <w:szCs w:val="24"/>
        </w:rPr>
        <w:fldChar w:fldCharType="begin" w:fldLock="1"/>
      </w:r>
      <w:r w:rsidRPr="000F740F">
        <w:rPr>
          <w:rFonts w:asciiTheme="majorBidi" w:hAnsiTheme="majorBidi" w:cstheme="majorBidi"/>
          <w:sz w:val="24"/>
          <w:szCs w:val="24"/>
        </w:rPr>
        <w:instrText>ADDIN CSL_CITATION {"citationItems":[{"id":"ITEM-1","itemData":{"DOI":"10.1111/j.1752-4571.2009.00104.x","ISSN":"17524563","abstract":"Genetic methods are routinely used to estimate contemporary effective population size (Ne) in natural populations, but the vast majority of applications have used only the temporal (two-sample) method. We use simulated data to evaluate how highly polymorphic molecular markers affect precision and bias in the single-sample method based on linkage disequilibrium (LD). Results of this study are as follows: (1) Low-frequency alleles upwardly bias, but a simple rule can reduce bias to &lt;about 10% without sacrificing much precision. (2) With datasets routinely available today (10-20 loci with 10 alleles; 50 individuals), precise estimates can be obtained for relatively small populations (Ne &lt; 200), and small populations are not likely to be mistaken for large ones. However, it is very difficult to obtain reliable estimates for large populations. (3) With 'microsatellite' data, the LD method has greater precision than the temporal method, unless the latter is based on samples taken many generations apart. Our results indicate the LD method has widespread applicability to conservation (which typically focuses on small populations) and the study of evolutionary processes in local populations. Considerable opportunity exists to extract more information about Ne in nature by wider use of single-sample estimators and by combining estimates from different methods. © 2009 Blackwell Publishing Ltd.","author":[{"dropping-particle":"","family":"Waples","given":"Robin S.","non-dropping-particle":"","parse-names":false,"suffix":""},{"dropping-particle":"","family":"Do","given":"Chi","non-dropping-particle":"","parse-names":false,"suffix":""}],"container-title":"Evolutionary Applications","id":"ITEM-1","issue":"3","issued":{"date-parts":[["2010"]]},"page":"244-262","title":"Linkage disequilibrium estimates of contemporary Ne using highly variable genetic markers: A largely untapped resource for applied conservation and evolution","type":"article-journal","volume":"3"},"uris":["http://www.mendeley.com/documents/?uuid=0ca57889-3415-4f72-90e5-552526768f4e"]}],"mendeley":{"formattedCitation":"[83]","plainTextFormattedCitation":"[83]","previouslyFormattedCitation":"[82]"},"properties":{"noteIndex":0},"schema":"https://github.com/citation-style-language/schema/raw/master/csl-citation.json"}</w:instrText>
      </w:r>
      <w:r w:rsidRPr="000F740F">
        <w:rPr>
          <w:rFonts w:asciiTheme="majorBidi" w:hAnsiTheme="majorBidi" w:cstheme="majorBidi"/>
          <w:sz w:val="24"/>
          <w:szCs w:val="24"/>
        </w:rPr>
        <w:fldChar w:fldCharType="separate"/>
      </w:r>
      <w:r w:rsidRPr="000F740F">
        <w:rPr>
          <w:rFonts w:asciiTheme="majorBidi" w:hAnsiTheme="majorBidi" w:cstheme="majorBidi"/>
          <w:sz w:val="24"/>
          <w:szCs w:val="24"/>
        </w:rPr>
        <w:t>[83]</w:t>
      </w:r>
      <w:r w:rsidRPr="000F740F">
        <w:rPr>
          <w:rFonts w:asciiTheme="majorBidi" w:hAnsiTheme="majorBidi" w:cstheme="majorBidi"/>
          <w:sz w:val="24"/>
          <w:szCs w:val="24"/>
        </w:rPr>
        <w:fldChar w:fldCharType="end"/>
      </w:r>
      <w:r w:rsidRPr="000F740F">
        <w:rPr>
          <w:rFonts w:asciiTheme="majorBidi" w:hAnsiTheme="majorBidi" w:cstheme="majorBidi"/>
          <w:sz w:val="24"/>
          <w:szCs w:val="24"/>
        </w:rPr>
        <w:t xml:space="preserve">, heterozygote-excess </w:t>
      </w:r>
      <w:r w:rsidRPr="000F740F">
        <w:rPr>
          <w:rFonts w:asciiTheme="majorBidi" w:hAnsiTheme="majorBidi" w:cstheme="majorBidi"/>
          <w:sz w:val="24"/>
          <w:szCs w:val="24"/>
        </w:rPr>
        <w:fldChar w:fldCharType="begin" w:fldLock="1"/>
      </w:r>
      <w:r w:rsidRPr="000F740F">
        <w:rPr>
          <w:rFonts w:asciiTheme="majorBidi" w:hAnsiTheme="majorBidi" w:cstheme="majorBidi"/>
          <w:sz w:val="24"/>
          <w:szCs w:val="24"/>
        </w:rPr>
        <w:instrText>ADDIN CSL_CITATION {"citationItems":[{"id":"ITEM-1","itemData":{"DOI":"10.1093/jhered/esn061","ISSN":"00221503","PMID":"18703539","abstract":"The program \"Nb_HetEx\" estimates the effective number of breeders (Nb) that produced the sampled progeny based on genotype counts contained in that sample. When the number of breeders is very small, there is an excess of heterozygotes in their progeny: the smaller the number of breeders, the larger the heterozygote excess. The Nb_HetEx program also estimates N e through the temporal method. © The American Genetic Association. 2008. All rights reserved.","author":[{"dropping-particle":"","family":"Zhdanova","given":"Oxana L.","non-dropping-particle":"","parse-names":false,"suffix":""},{"dropping-particle":"","family":"Pudovkin","given":"Alexander I.","non-dropping-particle":"","parse-names":false,"suffix":""}],"container-title":"Journal of Heredity","id":"ITEM-1","issue":"6","issued":{"date-parts":[["2008"]]},"page":"694-695","title":"Nb_HetEx: A program to estimate the effective number of breeders","type":"article-journal","volume":"99"},"uris":["http://www.mendeley.com/documents/?uuid=e3217c74-7415-4804-b7d3-9a8f01771ae8"]}],"mendeley":{"formattedCitation":"[120]","plainTextFormattedCitation":"[120]","previouslyFormattedCitation":"[119]"},"properties":{"noteIndex":0},"schema":"https://github.com/citation-style-language/schema/raw/master/csl-citation.json"}</w:instrText>
      </w:r>
      <w:r w:rsidRPr="000F740F">
        <w:rPr>
          <w:rFonts w:asciiTheme="majorBidi" w:hAnsiTheme="majorBidi" w:cstheme="majorBidi"/>
          <w:sz w:val="24"/>
          <w:szCs w:val="24"/>
        </w:rPr>
        <w:fldChar w:fldCharType="separate"/>
      </w:r>
      <w:r w:rsidRPr="000F740F">
        <w:rPr>
          <w:rFonts w:asciiTheme="majorBidi" w:hAnsiTheme="majorBidi" w:cstheme="majorBidi"/>
          <w:sz w:val="24"/>
          <w:szCs w:val="24"/>
        </w:rPr>
        <w:t>[120]</w:t>
      </w:r>
      <w:r w:rsidRPr="000F740F">
        <w:rPr>
          <w:rFonts w:asciiTheme="majorBidi" w:hAnsiTheme="majorBidi" w:cstheme="majorBidi"/>
          <w:sz w:val="24"/>
          <w:szCs w:val="24"/>
        </w:rPr>
        <w:fldChar w:fldCharType="end"/>
      </w:r>
      <w:r w:rsidRPr="000F740F">
        <w:rPr>
          <w:rFonts w:asciiTheme="majorBidi" w:hAnsiTheme="majorBidi" w:cstheme="majorBidi"/>
          <w:sz w:val="24"/>
          <w:szCs w:val="24"/>
        </w:rPr>
        <w:t xml:space="preserve">, and molecular co-ancestry values </w:t>
      </w:r>
      <w:r w:rsidRPr="000F740F">
        <w:rPr>
          <w:rFonts w:asciiTheme="majorBidi" w:hAnsiTheme="majorBidi" w:cstheme="majorBidi"/>
          <w:sz w:val="24"/>
          <w:szCs w:val="24"/>
        </w:rPr>
        <w:fldChar w:fldCharType="begin" w:fldLock="1"/>
      </w:r>
      <w:r w:rsidRPr="000F740F">
        <w:rPr>
          <w:rFonts w:asciiTheme="majorBidi" w:hAnsiTheme="majorBidi" w:cstheme="majorBidi"/>
          <w:sz w:val="24"/>
          <w:szCs w:val="24"/>
        </w:rPr>
        <w:instrText>ADDIN CSL_CITATION {"citationItems":[{"id":"ITEM-1","itemData":{"DOI":"10.1111/j.1752-4571.2008.00015.x","abstract":"The effective population size, N(e), is an important parameter in population genetics and conservation biology. It is, however, difficult to directly estimate N(e) from demographic data in many wild species. Alternatively, the use of genetic data has received much attention in recent years. In the present study, I propose a new method for estimating the effective number of breeders N(eb) from a parameter of allele sharing (molecular coancestry) among sampled progeny. The bias and confidence interval of the new estimator are compared with those from a published method, i.e. the heterozygote-excess method, using computer simulation. Two population models are simulated; the noninbred population that consists of noninbred and nonrelated parents and the inbred population that is composed of inbred and related parents. Both methods give essentially unbiased estimates of N(eb) when applied to the noninbred population. In the inbred population, the proposed method gives a downward biased estimate, but the confidence interval is remarkably narrowed compared with that in the noninbred population. Estimate from the heterozygote-excess method is nearly unbiased in the inbred population, but suffers from a larger confidence interval. By combining the estimates from the two methods as a harmonic mean, the reliability is remarkably improved.","author":[{"dropping-particle":"","family":"Nomura","given":"Tetsuro","non-dropping-particle":"","parse-names":false,"suffix":""}],"container-title":"Evolutionary Applications","id":"ITEM-1","issue":"3","issued":{"date-parts":[["2008"]]},"page":"462-474","title":"Estimation of effective number of breeders from molecular coancestry of single cohort sample","type":"article-journal","volume":"1"},"uris":["http://www.mendeley.com/documents/?uuid=23ff76df-7255-4d09-bf9e-50fe3f1f96ac"]}],"mendeley":{"formattedCitation":"[121]","plainTextFormattedCitation":"[121]","previouslyFormattedCitation":"[120]"},"properties":{"noteIndex":0},"schema":"https://github.com/citation-style-language/schema/raw/master/csl-citation.json"}</w:instrText>
      </w:r>
      <w:r w:rsidRPr="000F740F">
        <w:rPr>
          <w:rFonts w:asciiTheme="majorBidi" w:hAnsiTheme="majorBidi" w:cstheme="majorBidi"/>
          <w:sz w:val="24"/>
          <w:szCs w:val="24"/>
        </w:rPr>
        <w:fldChar w:fldCharType="separate"/>
      </w:r>
      <w:r w:rsidRPr="000F740F">
        <w:rPr>
          <w:rFonts w:asciiTheme="majorBidi" w:hAnsiTheme="majorBidi" w:cstheme="majorBidi"/>
          <w:sz w:val="24"/>
          <w:szCs w:val="24"/>
        </w:rPr>
        <w:t>[121]</w:t>
      </w:r>
      <w:r w:rsidRPr="000F740F">
        <w:rPr>
          <w:rFonts w:asciiTheme="majorBidi" w:hAnsiTheme="majorBidi" w:cstheme="majorBidi"/>
          <w:sz w:val="24"/>
          <w:szCs w:val="24"/>
        </w:rPr>
        <w:fldChar w:fldCharType="end"/>
      </w:r>
      <w:r w:rsidRPr="000F740F">
        <w:rPr>
          <w:rFonts w:asciiTheme="majorBidi" w:hAnsiTheme="majorBidi" w:cstheme="majorBidi"/>
          <w:sz w:val="24"/>
          <w:szCs w:val="24"/>
        </w:rPr>
        <w:t xml:space="preserve"> with the software NeEstimator v2 </w:t>
      </w:r>
      <w:r w:rsidRPr="000F740F">
        <w:rPr>
          <w:rFonts w:asciiTheme="majorBidi" w:hAnsiTheme="majorBidi" w:cstheme="majorBidi"/>
          <w:sz w:val="24"/>
          <w:szCs w:val="24"/>
        </w:rPr>
        <w:fldChar w:fldCharType="begin" w:fldLock="1"/>
      </w:r>
      <w:r w:rsidRPr="000F740F">
        <w:rPr>
          <w:rFonts w:asciiTheme="majorBidi" w:hAnsiTheme="majorBidi" w:cstheme="majorBidi"/>
          <w:sz w:val="24"/>
          <w:szCs w:val="24"/>
        </w:rPr>
        <w:instrText>ADDIN CSL_CITATION {"citationItems":[{"id":"ITEM-1","itemData":{"DOI":"10.1111/1755-0998.12157","ISSN":"1755098X","PMID":"23992227","abstract":"NeEstimator v2 is a completely revised and updated implementation of software that produces estimates of contemporary effective population size, using several different methods and a single input file. NeEstimator v2 includes three single-sample estimators (updated versions of the linkage disequilibrium and heterozygote-excess methods, and a new method based on molecular coancestry), as well as the two-sample (moment-based temporal) method. New features include the following: (i) an improved method for accounting for missing data; (ii) options for screening out rare alleles; (iii) confidence intervals for all methods; (iv) the ability to analyse data sets with large numbers of genetic markers (10 000 or more); (v) options for batch processing large numbers of different data sets, which will facilitate cross-method comparisons using simulated data; and (vi) correction for temporal estimates when individuals sampled are not removed from the population (Plan I sampling). The user is given considerable control over input data and composition, and format of output files. The freely available software has a new JAVA interface and runs under MacOS, Linux and Windows. © 2014 John Wiley &amp; Sons Ltd 141 January 2014 10.1111/1755-0998.12157 Resource Article RESOURCE ARTICLES Computer Programs Published 2013. This article is a U.S. Government work and is in the public domain in the USA.","author":[{"dropping-particle":"","family":"Do","given":"C.","non-dropping-particle":"","parse-names":false,"suffix":""},{"dropping-particle":"","family":"Waples","given":"R. S.","non-dropping-particle":"","parse-names":false,"suffix":""},{"dropping-particle":"","family":"Peel","given":"D.","non-dropping-particle":"","parse-names":false,"suffix":""},{"dropping-particle":"","family":"Macbeth","given":"G. M.","non-dropping-particle":"","parse-names":false,"suffix":""},{"dropping-particle":"","family":"Tillett","given":"B. J.","non-dropping-particle":"","parse-names":false,"suffix":""},{"dropping-particle":"","family":"Ovenden","given":"J. R.","non-dropping-particle":"","parse-names":false,"suffix":""}],"container-title":"Molecular Ecology Resources","id":"ITEM-1","issue":"1","issued":{"date-parts":[["2014"]]},"page":"209-214","title":"NeEstimator v2: Re-implementation of software for the estimation of contemporary effective population size (Ne) from genetic data","type":"article-journal","volume":"14"},"uris":["http://www.mendeley.com/documents/?uuid=fbbc5ee4-7ef3-40eb-b9a0-6eeaf2136457"]}],"mendeley":{"formattedCitation":"[122]","plainTextFormattedCitation":"[122]","previouslyFormattedCitation":"[121]"},"properties":{"noteIndex":0},"schema":"https://github.com/citation-style-language/schema/raw/master/csl-citation.json"}</w:instrText>
      </w:r>
      <w:r w:rsidRPr="000F740F">
        <w:rPr>
          <w:rFonts w:asciiTheme="majorBidi" w:hAnsiTheme="majorBidi" w:cstheme="majorBidi"/>
          <w:sz w:val="24"/>
          <w:szCs w:val="24"/>
        </w:rPr>
        <w:fldChar w:fldCharType="separate"/>
      </w:r>
      <w:r w:rsidRPr="000F740F">
        <w:rPr>
          <w:rFonts w:asciiTheme="majorBidi" w:hAnsiTheme="majorBidi" w:cstheme="majorBidi"/>
          <w:sz w:val="24"/>
          <w:szCs w:val="24"/>
        </w:rPr>
        <w:t>[122]</w:t>
      </w:r>
      <w:r w:rsidRPr="000F740F">
        <w:rPr>
          <w:rFonts w:asciiTheme="majorBidi" w:hAnsiTheme="majorBidi" w:cstheme="majorBidi"/>
          <w:sz w:val="24"/>
          <w:szCs w:val="24"/>
        </w:rPr>
        <w:fldChar w:fldCharType="end"/>
      </w:r>
      <w:r w:rsidRPr="000F740F">
        <w:rPr>
          <w:rFonts w:asciiTheme="majorBidi" w:hAnsiTheme="majorBidi" w:cstheme="majorBidi"/>
          <w:sz w:val="24"/>
          <w:szCs w:val="24"/>
        </w:rPr>
        <w:t xml:space="preserve">. </w:t>
      </w:r>
    </w:p>
    <w:p w14:paraId="7C9D5415" w14:textId="77777777" w:rsidR="000F740F" w:rsidRPr="000F740F" w:rsidRDefault="000F740F" w:rsidP="000F740F">
      <w:pPr>
        <w:ind w:firstLine="720"/>
        <w:jc w:val="both"/>
        <w:rPr>
          <w:rFonts w:asciiTheme="majorBidi" w:hAnsiTheme="majorBidi" w:cstheme="majorBidi"/>
          <w:sz w:val="24"/>
          <w:szCs w:val="24"/>
        </w:rPr>
      </w:pPr>
      <w:r w:rsidRPr="000F740F">
        <w:rPr>
          <w:rFonts w:asciiTheme="majorBidi" w:hAnsiTheme="majorBidi" w:cstheme="majorBidi"/>
          <w:sz w:val="24"/>
          <w:szCs w:val="24"/>
        </w:rPr>
        <w:t xml:space="preserve">To detect loci with high levels of genetic differentiation, we examined the A–E matrices formed by all SNP loci under a Bayesian framework using the program BayeScan </w:t>
      </w:r>
      <w:r w:rsidRPr="000F740F">
        <w:rPr>
          <w:rFonts w:asciiTheme="majorBidi" w:hAnsiTheme="majorBidi" w:cstheme="majorBidi"/>
          <w:sz w:val="24"/>
          <w:szCs w:val="24"/>
          <w:lang w:val="es-MX"/>
        </w:rPr>
        <w:fldChar w:fldCharType="begin" w:fldLock="1"/>
      </w:r>
      <w:r w:rsidRPr="000F740F">
        <w:rPr>
          <w:rFonts w:asciiTheme="majorBidi" w:hAnsiTheme="majorBidi" w:cstheme="majorBidi"/>
          <w:sz w:val="24"/>
          <w:szCs w:val="24"/>
        </w:rPr>
        <w:instrText>ADDIN CSL_CITATION {"citationItems":[{"id":"ITEM-1","itemData":{"DOI":"10.1534/genetics.108.092221","ISSN":"00166731","PMID":"18780740","abstract":"Identifying loci under natural selection from genomic surveys is of great interest in different research areas. Commonly used methods to separate neutral effects from adaptive effects are based on locus-specific population differentiation coefficients to identify outliers. Here we extend such an approach to estimate directly the probability that each locus is subject to selection using a Bayesian method. We also extend it to allow the use of dominant markers like AFLPs. It has been shown that this model is robust to complex demographic scenarios for neutral genetic differentiation. Here we show that the inclusion of isolated populations that underwent a strong bottleneck can lead to a high rate of false positives. Nevertheless, we demonstrate that it is possible to avoid them by carefully choosing the populations that should be included in the analysis. We analyze two previously published data sets: a human data set of codominant markers and a Littorina saxatilis data set of dominant markers. We also perform a detailed sensitivity study to compare the power of the method using amplified fragment length polymorphism (AFLP), SNP, and microsatellite markers. The method has been implemented in a new software available at our website (http://www-leca.ujf-grenoble.fr/logiciels.htm). Copyright © 2008 by the Genetics Society of America.","author":[{"dropping-particle":"","family":"Foll","given":"Matthieu","non-dropping-particle":"","parse-names":false,"suffix":""},{"dropping-particle":"","family":"Gaggiotti","given":"Oscar","non-dropping-particle":"","parse-names":false,"suffix":""}],"container-title":"Genetics","id":"ITEM-1","issue":"2","issued":{"date-parts":[["2008"]]},"page":"977-993","title":"A genome-scan method to identify selected loci appropriate for both dominant and codominant markers: A Bayesian perspective","type":"article-journal","volume":"180"},"uris":["http://www.mendeley.com/documents/?uuid=38174940-ccc6-4067-afb3-11312571b99f"]}],"mendeley":{"formattedCitation":"[123]","plainTextFormattedCitation":"[123]","previouslyFormattedCitation":"[122]"},"properties":{"noteIndex":0},"schema":"https://github.com/citation-style-language/schema/raw/master/csl-citation.json"}</w:instrText>
      </w:r>
      <w:r w:rsidRPr="000F740F">
        <w:rPr>
          <w:rFonts w:asciiTheme="majorBidi" w:hAnsiTheme="majorBidi" w:cstheme="majorBidi"/>
          <w:sz w:val="24"/>
          <w:szCs w:val="24"/>
          <w:lang w:val="es-MX"/>
        </w:rPr>
        <w:fldChar w:fldCharType="separate"/>
      </w:r>
      <w:r w:rsidRPr="000F740F">
        <w:rPr>
          <w:rFonts w:asciiTheme="majorBidi" w:hAnsiTheme="majorBidi" w:cstheme="majorBidi"/>
          <w:sz w:val="24"/>
          <w:szCs w:val="24"/>
        </w:rPr>
        <w:t>[123]</w:t>
      </w:r>
      <w:r w:rsidRPr="000F740F">
        <w:rPr>
          <w:rFonts w:asciiTheme="majorBidi" w:hAnsiTheme="majorBidi" w:cstheme="majorBidi"/>
          <w:sz w:val="24"/>
          <w:szCs w:val="24"/>
        </w:rPr>
        <w:fldChar w:fldCharType="end"/>
      </w:r>
      <w:r w:rsidRPr="000F740F">
        <w:rPr>
          <w:rFonts w:asciiTheme="majorBidi" w:hAnsiTheme="majorBidi" w:cstheme="majorBidi"/>
          <w:sz w:val="24"/>
          <w:szCs w:val="24"/>
        </w:rPr>
        <w:t xml:space="preserve">. In this analysis, </w:t>
      </w:r>
      <w:r w:rsidRPr="000F740F">
        <w:rPr>
          <w:rFonts w:asciiTheme="majorBidi" w:hAnsiTheme="majorBidi" w:cstheme="majorBidi"/>
          <w:i/>
          <w:iCs/>
          <w:sz w:val="24"/>
          <w:szCs w:val="24"/>
        </w:rPr>
        <w:t>F</w:t>
      </w:r>
      <w:r w:rsidRPr="000F740F">
        <w:rPr>
          <w:rFonts w:asciiTheme="majorBidi" w:hAnsiTheme="majorBidi" w:cstheme="majorBidi"/>
          <w:sz w:val="24"/>
          <w:szCs w:val="24"/>
          <w:vertAlign w:val="subscript"/>
        </w:rPr>
        <w:t>ST</w:t>
      </w:r>
      <w:r w:rsidRPr="000F740F">
        <w:rPr>
          <w:rFonts w:asciiTheme="majorBidi" w:hAnsiTheme="majorBidi" w:cstheme="majorBidi"/>
          <w:sz w:val="24"/>
          <w:szCs w:val="24"/>
        </w:rPr>
        <w:t xml:space="preserve"> coefficients are decomposed into a population-specific component (β) shared by all loci, and a locus-specific component (α) shared by all populations. When a locus-specific component is necessary to explain the data, selection is assumed to play a role at that locus </w:t>
      </w:r>
      <w:r w:rsidRPr="000F740F">
        <w:rPr>
          <w:rFonts w:asciiTheme="majorBidi" w:hAnsiTheme="majorBidi" w:cstheme="majorBidi"/>
          <w:sz w:val="24"/>
          <w:szCs w:val="24"/>
          <w:lang w:val="es-MX"/>
        </w:rPr>
        <w:fldChar w:fldCharType="begin" w:fldLock="1"/>
      </w:r>
      <w:r w:rsidRPr="000F740F">
        <w:rPr>
          <w:rFonts w:asciiTheme="majorBidi" w:hAnsiTheme="majorBidi" w:cstheme="majorBidi"/>
          <w:sz w:val="24"/>
          <w:szCs w:val="24"/>
        </w:rPr>
        <w:instrText>ADDIN CSL_CITATION {"citationItems":[{"id":"ITEM-1","itemData":{"DOI":"10.1534/genetics.108.092221","ISSN":"00166731","PMID":"18780740","abstract":"Identifying loci under natural selection from genomic surveys is of great interest in different research areas. Commonly used methods to separate neutral effects from adaptive effects are based on locus-specific population differentiation coefficients to identify outliers. Here we extend such an approach to estimate directly the probability that each locus is subject to selection using a Bayesian method. We also extend it to allow the use of dominant markers like AFLPs. It has been shown that this model is robust to complex demographic scenarios for neutral genetic differentiation. Here we show that the inclusion of isolated populations that underwent a strong bottleneck can lead to a high rate of false positives. Nevertheless, we demonstrate that it is possible to avoid them by carefully choosing the populations that should be included in the analysis. We analyze two previously published data sets: a human data set of codominant markers and a Littorina saxatilis data set of dominant markers. We also perform a detailed sensitivity study to compare the power of the method using amplified fragment length polymorphism (AFLP), SNP, and microsatellite markers. The method has been implemented in a new software available at our website (http://www-leca.ujf-grenoble.fr/logiciels.htm). Copyright © 2008 by the Genetics Society of America.","author":[{"dropping-particle":"","family":"Foll","given":"Matthieu","non-dropping-particle":"","parse-names":false,"suffix":""},{"dropping-particle":"","family":"Gaggiotti","given":"Oscar","non-dropping-particle":"","parse-names":false,"suffix":""}],"container-title":"Genetics","id":"ITEM-1","issue":"2","issued":{"date-parts":[["2008"]]},"page":"977-993","title":"A genome-scan method to identify selected loci appropriate for both dominant and codominant markers: A Bayesian perspective","type":"article-journal","volume":"180"},"uris":["http://www.mendeley.com/documents/?uuid=38174940-ccc6-4067-afb3-11312571b99f"]}],"mendeley":{"formattedCitation":"[123]","plainTextFormattedCitation":"[123]","previouslyFormattedCitation":"[122]"},"properties":{"noteIndex":0},"schema":"https://github.com/citation-style-language/schema/raw/master/csl-citation.json"}</w:instrText>
      </w:r>
      <w:r w:rsidRPr="000F740F">
        <w:rPr>
          <w:rFonts w:asciiTheme="majorBidi" w:hAnsiTheme="majorBidi" w:cstheme="majorBidi"/>
          <w:sz w:val="24"/>
          <w:szCs w:val="24"/>
          <w:lang w:val="es-MX"/>
        </w:rPr>
        <w:fldChar w:fldCharType="separate"/>
      </w:r>
      <w:r w:rsidRPr="000F740F">
        <w:rPr>
          <w:rFonts w:asciiTheme="majorBidi" w:hAnsiTheme="majorBidi" w:cstheme="majorBidi"/>
          <w:sz w:val="24"/>
          <w:szCs w:val="24"/>
        </w:rPr>
        <w:t>[123]</w:t>
      </w:r>
      <w:r w:rsidRPr="000F740F">
        <w:rPr>
          <w:rFonts w:asciiTheme="majorBidi" w:hAnsiTheme="majorBidi" w:cstheme="majorBidi"/>
          <w:sz w:val="24"/>
          <w:szCs w:val="24"/>
        </w:rPr>
        <w:fldChar w:fldCharType="end"/>
      </w:r>
      <w:r w:rsidRPr="000F740F">
        <w:rPr>
          <w:rFonts w:asciiTheme="majorBidi" w:hAnsiTheme="majorBidi" w:cstheme="majorBidi"/>
          <w:sz w:val="24"/>
          <w:szCs w:val="24"/>
        </w:rPr>
        <w:t xml:space="preserve">. To reduce the risk of false positives without reducing the power to detect loci evolving under selection, we set the default parameters and priors for a neutral model according to the total number of SNP loci in each matrix (100 for matrices with &gt; 1000 loci, and 1000 for matrices with &gt; 10000 loci) </w:t>
      </w:r>
      <w:r w:rsidRPr="000F740F">
        <w:rPr>
          <w:rFonts w:asciiTheme="majorBidi" w:hAnsiTheme="majorBidi" w:cstheme="majorBidi"/>
          <w:sz w:val="24"/>
          <w:szCs w:val="24"/>
          <w:lang w:val="es-MX"/>
        </w:rPr>
        <w:fldChar w:fldCharType="begin" w:fldLock="1"/>
      </w:r>
      <w:r w:rsidRPr="000F740F">
        <w:rPr>
          <w:rFonts w:asciiTheme="majorBidi" w:hAnsiTheme="majorBidi" w:cstheme="majorBidi"/>
          <w:sz w:val="24"/>
          <w:szCs w:val="24"/>
        </w:rPr>
        <w:instrText>ADDIN CSL_CITATION {"citationItems":[{"id":"ITEM-1","itemData":{"author":[{"dropping-particle":"","family":"Foll","given":"Matthieu","non-dropping-particle":"","parse-names":false,"suffix":""}],"id":"ITEM-1","issued":{"date-parts":[["2010"]]},"page":"1-9","title":"BayeScan v2.0 User Manual","type":"article-journal"},"uris":["http://www.mendeley.com/documents/?uuid=e9ed0bcc-63ab-401e-9952-b8fe699be6ec"]}],"mendeley":{"formattedCitation":"[124]","plainTextFormattedCitation":"[124]","previouslyFormattedCitation":"[123]"},"properties":{"noteIndex":0},"schema":"https://github.com/citation-style-language/schema/raw/master/csl-citation.json"}</w:instrText>
      </w:r>
      <w:r w:rsidRPr="000F740F">
        <w:rPr>
          <w:rFonts w:asciiTheme="majorBidi" w:hAnsiTheme="majorBidi" w:cstheme="majorBidi"/>
          <w:sz w:val="24"/>
          <w:szCs w:val="24"/>
          <w:lang w:val="es-MX"/>
        </w:rPr>
        <w:fldChar w:fldCharType="separate"/>
      </w:r>
      <w:r w:rsidRPr="000F740F">
        <w:rPr>
          <w:rFonts w:asciiTheme="majorBidi" w:hAnsiTheme="majorBidi" w:cstheme="majorBidi"/>
          <w:sz w:val="24"/>
          <w:szCs w:val="24"/>
        </w:rPr>
        <w:t>[124]</w:t>
      </w:r>
      <w:r w:rsidRPr="000F740F">
        <w:rPr>
          <w:rFonts w:asciiTheme="majorBidi" w:hAnsiTheme="majorBidi" w:cstheme="majorBidi"/>
          <w:sz w:val="24"/>
          <w:szCs w:val="24"/>
        </w:rPr>
        <w:fldChar w:fldCharType="end"/>
      </w:r>
      <w:r w:rsidRPr="000F740F">
        <w:rPr>
          <w:rFonts w:asciiTheme="majorBidi" w:hAnsiTheme="majorBidi" w:cstheme="majorBidi"/>
          <w:sz w:val="24"/>
          <w:szCs w:val="24"/>
        </w:rPr>
        <w:t xml:space="preserve">. Statistical significance for outlier loci was assumed if </w:t>
      </w:r>
      <w:r w:rsidRPr="000F740F">
        <w:rPr>
          <w:rFonts w:asciiTheme="majorBidi" w:hAnsiTheme="majorBidi" w:cstheme="majorBidi"/>
          <w:i/>
          <w:iCs/>
          <w:sz w:val="24"/>
          <w:szCs w:val="24"/>
        </w:rPr>
        <w:t>q</w:t>
      </w:r>
      <w:r w:rsidRPr="000F740F">
        <w:rPr>
          <w:rFonts w:asciiTheme="majorBidi" w:hAnsiTheme="majorBidi" w:cstheme="majorBidi"/>
          <w:sz w:val="24"/>
          <w:szCs w:val="24"/>
        </w:rPr>
        <w:t xml:space="preserve"> values £ 0.05. To determine the strength and direction of selection, we estimated the a parameter, where a positive value suggests diversifying selection and a negative value indicates balancing or purifying selection </w:t>
      </w:r>
      <w:r w:rsidRPr="000F740F">
        <w:rPr>
          <w:rFonts w:asciiTheme="majorBidi" w:hAnsiTheme="majorBidi" w:cstheme="majorBidi"/>
          <w:sz w:val="24"/>
          <w:szCs w:val="24"/>
          <w:lang w:val="es-MX"/>
        </w:rPr>
        <w:fldChar w:fldCharType="begin" w:fldLock="1"/>
      </w:r>
      <w:r w:rsidRPr="000F740F">
        <w:rPr>
          <w:rFonts w:asciiTheme="majorBidi" w:hAnsiTheme="majorBidi" w:cstheme="majorBidi"/>
          <w:sz w:val="24"/>
          <w:szCs w:val="24"/>
        </w:rPr>
        <w:instrText>ADDIN CSL_CITATION {"citationItems":[{"id":"ITEM-1","itemData":{"author":[{"dropping-particle":"","family":"Foll","given":"Matthieu","non-dropping-particle":"","parse-names":false,"suffix":""}],"id":"ITEM-1","issued":{"date-parts":[["2010"]]},"page":"1-9","title":"BayeScan v2.0 User Manual","type":"article-journal"},"uris":["http://www.mendeley.com/documents/?uuid=e9ed0bcc-63ab-401e-9952-b8fe699be6ec"]}],"mendeley":{"formattedCitation":"[124]","plainTextFormattedCitation":"[124]","previouslyFormattedCitation":"[123]"},"properties":{"noteIndex":0},"schema":"https://github.com/citation-style-language/schema/raw/master/csl-citation.json"}</w:instrText>
      </w:r>
      <w:r w:rsidRPr="000F740F">
        <w:rPr>
          <w:rFonts w:asciiTheme="majorBidi" w:hAnsiTheme="majorBidi" w:cstheme="majorBidi"/>
          <w:sz w:val="24"/>
          <w:szCs w:val="24"/>
          <w:lang w:val="es-MX"/>
        </w:rPr>
        <w:fldChar w:fldCharType="separate"/>
      </w:r>
      <w:r w:rsidRPr="000F740F">
        <w:rPr>
          <w:rFonts w:asciiTheme="majorBidi" w:hAnsiTheme="majorBidi" w:cstheme="majorBidi"/>
          <w:sz w:val="24"/>
          <w:szCs w:val="24"/>
        </w:rPr>
        <w:t>[124]</w:t>
      </w:r>
      <w:r w:rsidRPr="000F740F">
        <w:rPr>
          <w:rFonts w:asciiTheme="majorBidi" w:hAnsiTheme="majorBidi" w:cstheme="majorBidi"/>
          <w:sz w:val="24"/>
          <w:szCs w:val="24"/>
        </w:rPr>
        <w:fldChar w:fldCharType="end"/>
      </w:r>
      <w:r w:rsidRPr="000F740F">
        <w:rPr>
          <w:rFonts w:asciiTheme="majorBidi" w:hAnsiTheme="majorBidi" w:cstheme="majorBidi"/>
          <w:sz w:val="24"/>
          <w:szCs w:val="24"/>
        </w:rPr>
        <w:t xml:space="preserve">. Lastly, to identify the approximate genomic region within which the outlier loci occur, we searched the consensus stack sequences on the NCBI server (https://blast.ncbi.nlm.nih.gov/Blast.cgi) using the Blastn algorithm. To choose the most similar candidate sequence, we used an e-value threshold lower than 0.05, a maximum target sequence of 5000 to retain all the hits possible, and a sequence similarity above 75% to filter among the retained sequences. We ran all R analyses using R studio v1.2.1335 and R v4.1.1 </w:t>
      </w:r>
      <w:r w:rsidRPr="000F740F">
        <w:rPr>
          <w:rFonts w:asciiTheme="majorBidi" w:hAnsiTheme="majorBidi" w:cstheme="majorBidi"/>
          <w:sz w:val="24"/>
          <w:szCs w:val="24"/>
          <w:lang w:val="es-MX"/>
        </w:rPr>
        <w:fldChar w:fldCharType="begin" w:fldLock="1"/>
      </w:r>
      <w:r w:rsidRPr="000F740F">
        <w:rPr>
          <w:rFonts w:asciiTheme="majorBidi" w:hAnsiTheme="majorBidi" w:cstheme="majorBidi"/>
          <w:sz w:val="24"/>
          <w:szCs w:val="24"/>
        </w:rPr>
        <w:instrText>ADDIN CSL_CITATION {"citationItems":[{"id":"ITEM-1","itemData":{"author":[{"dropping-particle":"","family":"R Core Team","given":"","non-dropping-particle":"","parse-names":false,"suffix":""}],"id":"ITEM-1","issued":{"date-parts":[["2020"]]},"publisher-place":"Vienna, Austria","title":"R: A Language and Environment for Statistical Computing","type":"article"},"uris":["http://www.mendeley.com/documents/?uuid=7c25822b-8b4f-4e33-8899-f9602961e525"]}],"mendeley":{"formattedCitation":"[125]","plainTextFormattedCitation":"[125]","previouslyFormattedCitation":"[124]"},"properties":{"noteIndex":0},"schema":"https://github.com/citation-style-language/schema/raw/master/csl-citation.json"}</w:instrText>
      </w:r>
      <w:r w:rsidRPr="000F740F">
        <w:rPr>
          <w:rFonts w:asciiTheme="majorBidi" w:hAnsiTheme="majorBidi" w:cstheme="majorBidi"/>
          <w:sz w:val="24"/>
          <w:szCs w:val="24"/>
          <w:lang w:val="es-MX"/>
        </w:rPr>
        <w:fldChar w:fldCharType="separate"/>
      </w:r>
      <w:r w:rsidRPr="000F740F">
        <w:rPr>
          <w:rFonts w:asciiTheme="majorBidi" w:hAnsiTheme="majorBidi" w:cstheme="majorBidi"/>
          <w:sz w:val="24"/>
          <w:szCs w:val="24"/>
        </w:rPr>
        <w:t>[125]</w:t>
      </w:r>
      <w:r w:rsidRPr="000F740F">
        <w:rPr>
          <w:rFonts w:asciiTheme="majorBidi" w:hAnsiTheme="majorBidi" w:cstheme="majorBidi"/>
          <w:sz w:val="24"/>
          <w:szCs w:val="24"/>
        </w:rPr>
        <w:fldChar w:fldCharType="end"/>
      </w:r>
      <w:r w:rsidRPr="000F740F">
        <w:rPr>
          <w:rFonts w:asciiTheme="majorBidi" w:hAnsiTheme="majorBidi" w:cstheme="majorBidi"/>
          <w:sz w:val="24"/>
          <w:szCs w:val="24"/>
        </w:rPr>
        <w:t>.</w:t>
      </w:r>
    </w:p>
    <w:p w14:paraId="75E0E186" w14:textId="64CF26D1" w:rsidR="00EA75BB" w:rsidRDefault="00EA75BB" w:rsidP="000F740F">
      <w:pPr>
        <w:jc w:val="both"/>
        <w:rPr>
          <w:rFonts w:asciiTheme="majorBidi" w:hAnsiTheme="majorBidi" w:cstheme="majorBidi"/>
          <w:iCs/>
          <w:sz w:val="24"/>
          <w:szCs w:val="24"/>
        </w:rPr>
      </w:pPr>
    </w:p>
    <w:p w14:paraId="36495949" w14:textId="587F5FDC" w:rsidR="007911AC" w:rsidRPr="007911AC" w:rsidRDefault="007911AC" w:rsidP="007911AC">
      <w:pPr>
        <w:pStyle w:val="ListParagraph"/>
        <w:numPr>
          <w:ilvl w:val="1"/>
          <w:numId w:val="3"/>
        </w:numPr>
        <w:rPr>
          <w:rFonts w:asciiTheme="majorBidi" w:hAnsiTheme="majorBidi" w:cstheme="majorBidi"/>
          <w:b/>
          <w:bCs/>
          <w:sz w:val="32"/>
          <w:szCs w:val="32"/>
        </w:rPr>
      </w:pPr>
      <w:r>
        <w:rPr>
          <w:rFonts w:asciiTheme="majorBidi" w:hAnsiTheme="majorBidi" w:cstheme="majorBidi"/>
          <w:b/>
          <w:bCs/>
          <w:sz w:val="32"/>
          <w:szCs w:val="32"/>
        </w:rPr>
        <w:t>Results</w:t>
      </w:r>
    </w:p>
    <w:p w14:paraId="7D78BF40" w14:textId="77777777" w:rsidR="00BD2DBB" w:rsidRPr="00BD2DBB" w:rsidRDefault="00BD2DBB" w:rsidP="00BD2DBB">
      <w:pPr>
        <w:jc w:val="both"/>
        <w:rPr>
          <w:rFonts w:asciiTheme="majorBidi" w:hAnsiTheme="majorBidi" w:cstheme="majorBidi"/>
          <w:b/>
          <w:bCs/>
          <w:sz w:val="28"/>
          <w:szCs w:val="28"/>
        </w:rPr>
      </w:pPr>
      <w:r w:rsidRPr="00BD2DBB">
        <w:rPr>
          <w:rFonts w:asciiTheme="majorBidi" w:hAnsiTheme="majorBidi" w:cstheme="majorBidi"/>
          <w:b/>
          <w:bCs/>
          <w:sz w:val="28"/>
          <w:szCs w:val="28"/>
        </w:rPr>
        <w:t>ddRADseq assembly and datasets</w:t>
      </w:r>
    </w:p>
    <w:p w14:paraId="598FD54D" w14:textId="750132D5" w:rsidR="00BD2DBB" w:rsidRPr="00BD2DBB" w:rsidRDefault="00BD2DBB" w:rsidP="00BD2DBB">
      <w:pPr>
        <w:jc w:val="both"/>
        <w:rPr>
          <w:rFonts w:asciiTheme="majorBidi" w:hAnsiTheme="majorBidi" w:cstheme="majorBidi"/>
          <w:bCs/>
          <w:sz w:val="24"/>
          <w:szCs w:val="24"/>
        </w:rPr>
      </w:pPr>
      <w:r w:rsidRPr="00BD2DBB">
        <w:rPr>
          <w:rFonts w:asciiTheme="majorBidi" w:hAnsiTheme="majorBidi" w:cstheme="majorBidi"/>
          <w:bCs/>
          <w:sz w:val="24"/>
          <w:szCs w:val="24"/>
        </w:rPr>
        <w:t>We obtained ~3.6X10</w:t>
      </w:r>
      <w:r w:rsidRPr="00BD2DBB">
        <w:rPr>
          <w:rFonts w:asciiTheme="majorBidi" w:hAnsiTheme="majorBidi" w:cstheme="majorBidi"/>
          <w:bCs/>
          <w:sz w:val="24"/>
          <w:szCs w:val="24"/>
          <w:vertAlign w:val="superscript"/>
        </w:rPr>
        <w:t>8</w:t>
      </w:r>
      <w:r w:rsidRPr="00BD2DBB">
        <w:rPr>
          <w:rFonts w:asciiTheme="majorBidi" w:hAnsiTheme="majorBidi" w:cstheme="majorBidi"/>
          <w:bCs/>
          <w:sz w:val="24"/>
          <w:szCs w:val="24"/>
        </w:rPr>
        <w:t xml:space="preserve"> sequence raw reads, of which ~3.5X10</w:t>
      </w:r>
      <w:r w:rsidRPr="00BD2DBB">
        <w:rPr>
          <w:rFonts w:asciiTheme="majorBidi" w:hAnsiTheme="majorBidi" w:cstheme="majorBidi"/>
          <w:bCs/>
          <w:sz w:val="24"/>
          <w:szCs w:val="24"/>
          <w:vertAlign w:val="superscript"/>
        </w:rPr>
        <w:t>8</w:t>
      </w:r>
      <w:r w:rsidRPr="00BD2DBB">
        <w:rPr>
          <w:rFonts w:asciiTheme="majorBidi" w:hAnsiTheme="majorBidi" w:cstheme="majorBidi"/>
          <w:bCs/>
          <w:sz w:val="24"/>
          <w:szCs w:val="24"/>
        </w:rPr>
        <w:t xml:space="preserve"> (97.6%) passed quality filters. On average, there were </w:t>
      </w:r>
      <w:r w:rsidRPr="00BD2DBB">
        <w:rPr>
          <w:rFonts w:asciiTheme="majorBidi" w:hAnsiTheme="majorBidi" w:cstheme="majorBidi"/>
          <w:bCs/>
          <w:i/>
          <w:iCs/>
          <w:sz w:val="24"/>
          <w:szCs w:val="24"/>
        </w:rPr>
        <w:t>ca</w:t>
      </w:r>
      <w:r w:rsidRPr="00BD2DBB">
        <w:rPr>
          <w:rFonts w:asciiTheme="majorBidi" w:hAnsiTheme="majorBidi" w:cstheme="majorBidi"/>
          <w:bCs/>
          <w:sz w:val="24"/>
          <w:szCs w:val="24"/>
        </w:rPr>
        <w:t xml:space="preserve">. 2 million reads per sample. The </w:t>
      </w:r>
      <w:r w:rsidRPr="00BD2DBB">
        <w:rPr>
          <w:rFonts w:asciiTheme="majorBidi" w:hAnsiTheme="majorBidi" w:cstheme="majorBidi"/>
          <w:bCs/>
          <w:i/>
          <w:iCs/>
          <w:sz w:val="24"/>
          <w:szCs w:val="24"/>
        </w:rPr>
        <w:t>de novo</w:t>
      </w:r>
      <w:r w:rsidRPr="00BD2DBB">
        <w:rPr>
          <w:rFonts w:asciiTheme="majorBidi" w:hAnsiTheme="majorBidi" w:cstheme="majorBidi"/>
          <w:bCs/>
          <w:sz w:val="24"/>
          <w:szCs w:val="24"/>
        </w:rPr>
        <w:t xml:space="preserve"> assembly using a combination of </w:t>
      </w:r>
      <w:r w:rsidRPr="00BD2DBB">
        <w:rPr>
          <w:rFonts w:asciiTheme="majorBidi" w:hAnsiTheme="majorBidi" w:cstheme="majorBidi"/>
          <w:bCs/>
          <w:i/>
          <w:iCs/>
          <w:sz w:val="24"/>
          <w:szCs w:val="24"/>
        </w:rPr>
        <w:t>m</w:t>
      </w:r>
      <w:r w:rsidRPr="00BD2DBB">
        <w:rPr>
          <w:rFonts w:asciiTheme="majorBidi" w:hAnsiTheme="majorBidi" w:cstheme="majorBidi"/>
          <w:bCs/>
          <w:sz w:val="24"/>
          <w:szCs w:val="24"/>
        </w:rPr>
        <w:t>5</w:t>
      </w:r>
      <w:r w:rsidRPr="00BD2DBB">
        <w:rPr>
          <w:rFonts w:asciiTheme="majorBidi" w:hAnsiTheme="majorBidi" w:cstheme="majorBidi"/>
          <w:bCs/>
          <w:i/>
          <w:iCs/>
          <w:sz w:val="24"/>
          <w:szCs w:val="24"/>
        </w:rPr>
        <w:t>M</w:t>
      </w:r>
      <w:r w:rsidRPr="00BD2DBB">
        <w:rPr>
          <w:rFonts w:asciiTheme="majorBidi" w:hAnsiTheme="majorBidi" w:cstheme="majorBidi"/>
          <w:bCs/>
          <w:sz w:val="24"/>
          <w:szCs w:val="24"/>
        </w:rPr>
        <w:t>4</w:t>
      </w:r>
      <w:r w:rsidRPr="00BD2DBB">
        <w:rPr>
          <w:rFonts w:asciiTheme="majorBidi" w:hAnsiTheme="majorBidi" w:cstheme="majorBidi"/>
          <w:bCs/>
          <w:i/>
          <w:iCs/>
          <w:sz w:val="24"/>
          <w:szCs w:val="24"/>
        </w:rPr>
        <w:t>n</w:t>
      </w:r>
      <w:r w:rsidRPr="00BD2DBB">
        <w:rPr>
          <w:rFonts w:asciiTheme="majorBidi" w:hAnsiTheme="majorBidi" w:cstheme="majorBidi"/>
          <w:bCs/>
          <w:sz w:val="24"/>
          <w:szCs w:val="24"/>
        </w:rPr>
        <w:t xml:space="preserve">5 parameters generated 275533 putative loci with an average coverage of 16.1 per sample. After filtering for missing data and different </w:t>
      </w:r>
      <w:r w:rsidRPr="00BD2DBB">
        <w:rPr>
          <w:rFonts w:asciiTheme="majorBidi" w:hAnsiTheme="majorBidi" w:cstheme="majorBidi"/>
          <w:bCs/>
          <w:i/>
          <w:iCs/>
          <w:sz w:val="24"/>
          <w:szCs w:val="24"/>
        </w:rPr>
        <w:t>maf</w:t>
      </w:r>
      <w:r w:rsidRPr="00BD2DBB">
        <w:rPr>
          <w:rFonts w:asciiTheme="majorBidi" w:hAnsiTheme="majorBidi" w:cstheme="majorBidi"/>
          <w:bCs/>
          <w:sz w:val="24"/>
          <w:szCs w:val="24"/>
        </w:rPr>
        <w:t xml:space="preserve"> thresholds, we generated five final matrices (A</w:t>
      </w:r>
      <w:r w:rsidRPr="00BD2DBB">
        <w:rPr>
          <w:rFonts w:asciiTheme="majorBidi" w:hAnsiTheme="majorBidi" w:cstheme="majorBidi"/>
          <w:sz w:val="24"/>
          <w:szCs w:val="24"/>
        </w:rPr>
        <w:t>–</w:t>
      </w:r>
      <w:r w:rsidRPr="00BD2DBB">
        <w:rPr>
          <w:rFonts w:asciiTheme="majorBidi" w:hAnsiTheme="majorBidi" w:cstheme="majorBidi"/>
          <w:bCs/>
          <w:sz w:val="24"/>
          <w:szCs w:val="24"/>
        </w:rPr>
        <w:t>E), which varied from 1887-33716 SNPs and 7.7</w:t>
      </w:r>
      <w:r w:rsidRPr="00BD2DBB">
        <w:rPr>
          <w:rFonts w:asciiTheme="majorBidi" w:hAnsiTheme="majorBidi" w:cstheme="majorBidi"/>
          <w:sz w:val="24"/>
          <w:szCs w:val="24"/>
        </w:rPr>
        <w:t>–</w:t>
      </w:r>
      <w:r w:rsidRPr="00BD2DBB">
        <w:rPr>
          <w:rFonts w:asciiTheme="majorBidi" w:hAnsiTheme="majorBidi" w:cstheme="majorBidi"/>
          <w:bCs/>
          <w:sz w:val="24"/>
          <w:szCs w:val="24"/>
        </w:rPr>
        <w:t xml:space="preserve">15.77% of missing data. These final matrices were also filtered to contain neutral-only and outlier loci, ranging from </w:t>
      </w:r>
      <w:r w:rsidRPr="00BD2DBB">
        <w:rPr>
          <w:rFonts w:asciiTheme="majorBidi" w:hAnsiTheme="majorBidi" w:cstheme="majorBidi"/>
          <w:sz w:val="24"/>
          <w:szCs w:val="24"/>
        </w:rPr>
        <w:t>1795–33346 and 82–370 SNP loci respectively.</w:t>
      </w:r>
      <w:r w:rsidRPr="00BD2DBB">
        <w:rPr>
          <w:rFonts w:asciiTheme="majorBidi" w:hAnsiTheme="majorBidi" w:cstheme="majorBidi"/>
          <w:bCs/>
          <w:sz w:val="24"/>
          <w:szCs w:val="24"/>
        </w:rPr>
        <w:t xml:space="preserve"> For more information, refer to the Methods section and the </w:t>
      </w:r>
      <w:r w:rsidR="0080123C">
        <w:rPr>
          <w:rFonts w:asciiTheme="majorBidi" w:hAnsiTheme="majorBidi" w:cstheme="majorBidi"/>
          <w:bCs/>
          <w:sz w:val="24"/>
          <w:szCs w:val="24"/>
        </w:rPr>
        <w:t>Appendix B</w:t>
      </w:r>
      <w:r w:rsidRPr="00BD2DBB">
        <w:rPr>
          <w:rFonts w:asciiTheme="majorBidi" w:hAnsiTheme="majorBidi" w:cstheme="majorBidi"/>
          <w:bCs/>
          <w:sz w:val="24"/>
          <w:szCs w:val="24"/>
        </w:rPr>
        <w:t>.</w:t>
      </w:r>
    </w:p>
    <w:p w14:paraId="0783C717" w14:textId="77777777" w:rsidR="00BD2DBB" w:rsidRDefault="00BD2DBB" w:rsidP="00BD2DBB">
      <w:pPr>
        <w:jc w:val="both"/>
        <w:rPr>
          <w:rFonts w:asciiTheme="majorBidi" w:hAnsiTheme="majorBidi" w:cstheme="majorBidi"/>
          <w:b/>
          <w:bCs/>
          <w:sz w:val="28"/>
          <w:szCs w:val="28"/>
        </w:rPr>
      </w:pPr>
      <w:r w:rsidRPr="00BD2DBB">
        <w:rPr>
          <w:rFonts w:asciiTheme="majorBidi" w:hAnsiTheme="majorBidi" w:cstheme="majorBidi"/>
          <w:b/>
          <w:bCs/>
          <w:sz w:val="28"/>
          <w:szCs w:val="28"/>
        </w:rPr>
        <w:lastRenderedPageBreak/>
        <w:t>Multivariate analyses</w:t>
      </w:r>
    </w:p>
    <w:p w14:paraId="17F257A7" w14:textId="56FD6E4A" w:rsidR="00BD2DBB" w:rsidRPr="00BD2DBB" w:rsidRDefault="00BD2DBB" w:rsidP="00BD2DBB">
      <w:pPr>
        <w:jc w:val="both"/>
        <w:rPr>
          <w:rFonts w:asciiTheme="majorBidi" w:hAnsiTheme="majorBidi" w:cstheme="majorBidi"/>
          <w:bCs/>
          <w:sz w:val="24"/>
          <w:szCs w:val="24"/>
        </w:rPr>
      </w:pPr>
      <w:r w:rsidRPr="00BD2DBB">
        <w:rPr>
          <w:rFonts w:asciiTheme="majorBidi" w:hAnsiTheme="majorBidi" w:cstheme="majorBidi"/>
          <w:bCs/>
          <w:sz w:val="24"/>
          <w:szCs w:val="24"/>
        </w:rPr>
        <w:t>The PCAs performed to evaluate the robustness of the genomic results consistently identified four genomic groups regardless of the number of SNPs (1887–33716), individuals (37–72), morphospecies (4–9), or missing data (0.3–52.1%) included in each of the matrices (Fig. S1). The PCAs including either all or neutral-only SNP loci (matrices A–E) also recovered four genomic groups, which align with the geography of the central Mexico plateau, but not with a delineation according to the previously recognized morphospecies. The first group (</w:t>
      </w:r>
      <w:r w:rsidRPr="00BD2DBB">
        <w:rPr>
          <w:rFonts w:asciiTheme="majorBidi" w:hAnsiTheme="majorBidi" w:cstheme="majorBidi"/>
          <w:bCs/>
          <w:i/>
          <w:iCs/>
          <w:sz w:val="24"/>
          <w:szCs w:val="24"/>
        </w:rPr>
        <w:t>humboldtianum sensu stricto</w:t>
      </w:r>
      <w:r w:rsidRPr="00BD2DBB">
        <w:rPr>
          <w:rFonts w:asciiTheme="majorBidi" w:hAnsiTheme="majorBidi" w:cstheme="majorBidi"/>
          <w:bCs/>
          <w:sz w:val="24"/>
          <w:szCs w:val="24"/>
        </w:rPr>
        <w:t xml:space="preserve"> group hereafter) clustered samples from Lake Zacapu, Tepuxtepec, and Trinidad Fabela dams. The second group (</w:t>
      </w:r>
      <w:r w:rsidRPr="00BD2DBB">
        <w:rPr>
          <w:rFonts w:asciiTheme="majorBidi" w:hAnsiTheme="majorBidi" w:cstheme="majorBidi"/>
          <w:bCs/>
          <w:i/>
          <w:sz w:val="24"/>
          <w:szCs w:val="24"/>
        </w:rPr>
        <w:t xml:space="preserve">estor </w:t>
      </w:r>
      <w:r w:rsidRPr="00BD2DBB">
        <w:rPr>
          <w:rFonts w:asciiTheme="majorBidi" w:hAnsiTheme="majorBidi" w:cstheme="majorBidi"/>
          <w:bCs/>
          <w:sz w:val="24"/>
          <w:szCs w:val="24"/>
        </w:rPr>
        <w:t xml:space="preserve">group hereafter) included individuals of </w:t>
      </w:r>
      <w:r w:rsidRPr="00BD2DBB">
        <w:rPr>
          <w:rFonts w:asciiTheme="majorBidi" w:hAnsiTheme="majorBidi" w:cstheme="majorBidi"/>
          <w:bCs/>
          <w:i/>
          <w:iCs/>
          <w:sz w:val="24"/>
          <w:szCs w:val="24"/>
        </w:rPr>
        <w:t>C. e. estor,</w:t>
      </w:r>
      <w:r w:rsidRPr="00BD2DBB">
        <w:rPr>
          <w:rFonts w:asciiTheme="majorBidi" w:hAnsiTheme="majorBidi" w:cstheme="majorBidi"/>
          <w:bCs/>
          <w:sz w:val="24"/>
          <w:szCs w:val="24"/>
        </w:rPr>
        <w:t xml:space="preserve"> </w:t>
      </w:r>
      <w:r w:rsidRPr="00BD2DBB">
        <w:rPr>
          <w:rFonts w:asciiTheme="majorBidi" w:hAnsiTheme="majorBidi" w:cstheme="majorBidi"/>
          <w:bCs/>
          <w:i/>
          <w:iCs/>
          <w:sz w:val="24"/>
          <w:szCs w:val="24"/>
        </w:rPr>
        <w:t>C. e. copandaro</w:t>
      </w:r>
      <w:r w:rsidRPr="00BD2DBB">
        <w:rPr>
          <w:rFonts w:asciiTheme="majorBidi" w:hAnsiTheme="majorBidi" w:cstheme="majorBidi"/>
          <w:bCs/>
          <w:sz w:val="24"/>
          <w:szCs w:val="24"/>
        </w:rPr>
        <w:t xml:space="preserve">, </w:t>
      </w:r>
      <w:r w:rsidRPr="00BD2DBB">
        <w:rPr>
          <w:rFonts w:asciiTheme="majorBidi" w:hAnsiTheme="majorBidi" w:cstheme="majorBidi"/>
          <w:bCs/>
          <w:i/>
          <w:iCs/>
          <w:sz w:val="24"/>
          <w:szCs w:val="24"/>
        </w:rPr>
        <w:t>C. grandocule</w:t>
      </w:r>
      <w:r w:rsidRPr="00BD2DBB">
        <w:rPr>
          <w:rFonts w:asciiTheme="majorBidi" w:hAnsiTheme="majorBidi" w:cstheme="majorBidi"/>
          <w:bCs/>
          <w:sz w:val="24"/>
          <w:szCs w:val="24"/>
        </w:rPr>
        <w:t>,</w:t>
      </w:r>
      <w:r w:rsidRPr="00BD2DBB">
        <w:rPr>
          <w:rFonts w:asciiTheme="majorBidi" w:hAnsiTheme="majorBidi" w:cstheme="majorBidi"/>
          <w:bCs/>
          <w:i/>
          <w:iCs/>
          <w:sz w:val="24"/>
          <w:szCs w:val="24"/>
        </w:rPr>
        <w:t xml:space="preserve"> </w:t>
      </w:r>
      <w:r w:rsidRPr="00BD2DBB">
        <w:rPr>
          <w:rFonts w:asciiTheme="majorBidi" w:hAnsiTheme="majorBidi" w:cstheme="majorBidi"/>
          <w:bCs/>
          <w:sz w:val="24"/>
          <w:szCs w:val="24"/>
        </w:rPr>
        <w:t xml:space="preserve">and </w:t>
      </w:r>
      <w:r w:rsidRPr="00BD2DBB">
        <w:rPr>
          <w:rFonts w:asciiTheme="majorBidi" w:hAnsiTheme="majorBidi" w:cstheme="majorBidi"/>
          <w:bCs/>
          <w:i/>
          <w:iCs/>
          <w:sz w:val="24"/>
          <w:szCs w:val="24"/>
        </w:rPr>
        <w:t>C. patzcuaro</w:t>
      </w:r>
      <w:r w:rsidRPr="00BD2DBB">
        <w:rPr>
          <w:rFonts w:asciiTheme="majorBidi" w:hAnsiTheme="majorBidi" w:cstheme="majorBidi"/>
          <w:bCs/>
          <w:sz w:val="24"/>
          <w:szCs w:val="24"/>
        </w:rPr>
        <w:t xml:space="preserve"> from Lakes Pátzcuaro and Zirahuén. The third group (</w:t>
      </w:r>
      <w:r w:rsidRPr="00BD2DBB">
        <w:rPr>
          <w:rFonts w:asciiTheme="majorBidi" w:hAnsiTheme="majorBidi" w:cstheme="majorBidi"/>
          <w:bCs/>
          <w:i/>
          <w:sz w:val="24"/>
          <w:szCs w:val="24"/>
        </w:rPr>
        <w:t xml:space="preserve">chapalae </w:t>
      </w:r>
      <w:r w:rsidRPr="00BD2DBB">
        <w:rPr>
          <w:rFonts w:asciiTheme="majorBidi" w:hAnsiTheme="majorBidi" w:cstheme="majorBidi"/>
          <w:bCs/>
          <w:sz w:val="24"/>
          <w:szCs w:val="24"/>
        </w:rPr>
        <w:t xml:space="preserve">group hereafter) is composed of samples of </w:t>
      </w:r>
      <w:r w:rsidRPr="00BD2DBB">
        <w:rPr>
          <w:rFonts w:asciiTheme="majorBidi" w:hAnsiTheme="majorBidi" w:cstheme="majorBidi"/>
          <w:bCs/>
          <w:i/>
          <w:iCs/>
          <w:sz w:val="24"/>
          <w:szCs w:val="24"/>
        </w:rPr>
        <w:t>C. chapalae</w:t>
      </w:r>
      <w:r w:rsidRPr="00BD2DBB">
        <w:rPr>
          <w:rFonts w:asciiTheme="majorBidi" w:hAnsiTheme="majorBidi" w:cstheme="majorBidi"/>
          <w:bCs/>
          <w:sz w:val="24"/>
          <w:szCs w:val="24"/>
        </w:rPr>
        <w:t xml:space="preserve">, </w:t>
      </w:r>
      <w:r w:rsidRPr="00BD2DBB">
        <w:rPr>
          <w:rFonts w:asciiTheme="majorBidi" w:hAnsiTheme="majorBidi" w:cstheme="majorBidi"/>
          <w:bCs/>
          <w:i/>
          <w:iCs/>
          <w:sz w:val="24"/>
          <w:szCs w:val="24"/>
        </w:rPr>
        <w:t>C. consocium</w:t>
      </w:r>
      <w:r w:rsidRPr="00BD2DBB">
        <w:rPr>
          <w:rFonts w:asciiTheme="majorBidi" w:hAnsiTheme="majorBidi" w:cstheme="majorBidi"/>
          <w:bCs/>
          <w:sz w:val="24"/>
          <w:szCs w:val="24"/>
        </w:rPr>
        <w:t>,</w:t>
      </w:r>
      <w:r w:rsidRPr="00BD2DBB">
        <w:rPr>
          <w:rFonts w:asciiTheme="majorBidi" w:hAnsiTheme="majorBidi" w:cstheme="majorBidi"/>
          <w:bCs/>
          <w:i/>
          <w:iCs/>
          <w:sz w:val="24"/>
          <w:szCs w:val="24"/>
        </w:rPr>
        <w:t xml:space="preserve"> C. lucius,</w:t>
      </w:r>
      <w:r w:rsidRPr="00BD2DBB">
        <w:rPr>
          <w:rFonts w:asciiTheme="majorBidi" w:hAnsiTheme="majorBidi" w:cstheme="majorBidi"/>
          <w:bCs/>
          <w:sz w:val="24"/>
          <w:szCs w:val="24"/>
        </w:rPr>
        <w:t xml:space="preserve"> and</w:t>
      </w:r>
      <w:r w:rsidRPr="00BD2DBB">
        <w:rPr>
          <w:rFonts w:asciiTheme="majorBidi" w:hAnsiTheme="majorBidi" w:cstheme="majorBidi"/>
          <w:bCs/>
          <w:i/>
          <w:iCs/>
          <w:sz w:val="24"/>
          <w:szCs w:val="24"/>
        </w:rPr>
        <w:t xml:space="preserve"> C. promelas</w:t>
      </w:r>
      <w:r w:rsidRPr="00BD2DBB">
        <w:rPr>
          <w:rFonts w:asciiTheme="majorBidi" w:hAnsiTheme="majorBidi" w:cstheme="majorBidi"/>
          <w:bCs/>
          <w:sz w:val="24"/>
          <w:szCs w:val="24"/>
        </w:rPr>
        <w:t>, from Lake Chapala. Finally, the fourth group (</w:t>
      </w:r>
      <w:r w:rsidRPr="00BD2DBB">
        <w:rPr>
          <w:rFonts w:asciiTheme="majorBidi" w:hAnsiTheme="majorBidi" w:cstheme="majorBidi"/>
          <w:bCs/>
          <w:i/>
          <w:sz w:val="24"/>
          <w:szCs w:val="24"/>
        </w:rPr>
        <w:t xml:space="preserve">sphyraena </w:t>
      </w:r>
      <w:r w:rsidRPr="00BD2DBB">
        <w:rPr>
          <w:rFonts w:asciiTheme="majorBidi" w:hAnsiTheme="majorBidi" w:cstheme="majorBidi"/>
          <w:bCs/>
          <w:sz w:val="24"/>
          <w:szCs w:val="24"/>
        </w:rPr>
        <w:t xml:space="preserve">group hereafter) is formed by </w:t>
      </w:r>
      <w:r w:rsidRPr="00BD2DBB">
        <w:rPr>
          <w:rFonts w:asciiTheme="majorBidi" w:hAnsiTheme="majorBidi" w:cstheme="majorBidi"/>
          <w:bCs/>
          <w:i/>
          <w:iCs/>
          <w:sz w:val="24"/>
          <w:szCs w:val="24"/>
        </w:rPr>
        <w:t>C. sphyraena</w:t>
      </w:r>
      <w:r w:rsidRPr="00BD2DBB">
        <w:rPr>
          <w:rFonts w:asciiTheme="majorBidi" w:hAnsiTheme="majorBidi" w:cstheme="majorBidi"/>
          <w:bCs/>
          <w:sz w:val="24"/>
          <w:szCs w:val="24"/>
        </w:rPr>
        <w:t xml:space="preserve">, also from Lake Chapala. The first principal component accounted for 24.76–33.51% of the genetic variation and is congruent with the separation of </w:t>
      </w:r>
      <w:r w:rsidRPr="00BD2DBB">
        <w:rPr>
          <w:rFonts w:asciiTheme="majorBidi" w:hAnsiTheme="majorBidi" w:cstheme="majorBidi"/>
          <w:bCs/>
          <w:i/>
          <w:iCs/>
          <w:sz w:val="24"/>
          <w:szCs w:val="24"/>
        </w:rPr>
        <w:t>estor</w:t>
      </w:r>
      <w:r w:rsidRPr="00BD2DBB">
        <w:rPr>
          <w:rFonts w:asciiTheme="majorBidi" w:hAnsiTheme="majorBidi" w:cstheme="majorBidi"/>
          <w:bCs/>
          <w:sz w:val="24"/>
          <w:szCs w:val="24"/>
        </w:rPr>
        <w:t xml:space="preserve"> and </w:t>
      </w:r>
      <w:r w:rsidRPr="00BD2DBB">
        <w:rPr>
          <w:rFonts w:asciiTheme="majorBidi" w:hAnsiTheme="majorBidi" w:cstheme="majorBidi"/>
          <w:bCs/>
          <w:i/>
          <w:iCs/>
          <w:sz w:val="24"/>
          <w:szCs w:val="24"/>
        </w:rPr>
        <w:t>humboldtianum sensu stricto</w:t>
      </w:r>
      <w:r w:rsidRPr="00BD2DBB">
        <w:rPr>
          <w:rFonts w:asciiTheme="majorBidi" w:hAnsiTheme="majorBidi" w:cstheme="majorBidi"/>
          <w:bCs/>
          <w:sz w:val="24"/>
          <w:szCs w:val="24"/>
        </w:rPr>
        <w:t xml:space="preserve"> from </w:t>
      </w:r>
      <w:r w:rsidRPr="00BD2DBB">
        <w:rPr>
          <w:rFonts w:asciiTheme="majorBidi" w:hAnsiTheme="majorBidi" w:cstheme="majorBidi"/>
          <w:bCs/>
          <w:i/>
          <w:iCs/>
          <w:sz w:val="24"/>
          <w:szCs w:val="24"/>
        </w:rPr>
        <w:t>chapalae</w:t>
      </w:r>
      <w:r w:rsidRPr="00BD2DBB">
        <w:rPr>
          <w:rFonts w:asciiTheme="majorBidi" w:hAnsiTheme="majorBidi" w:cstheme="majorBidi"/>
          <w:bCs/>
          <w:sz w:val="24"/>
          <w:szCs w:val="24"/>
        </w:rPr>
        <w:t xml:space="preserve"> and </w:t>
      </w:r>
      <w:r w:rsidRPr="00BD2DBB">
        <w:rPr>
          <w:rFonts w:asciiTheme="majorBidi" w:hAnsiTheme="majorBidi" w:cstheme="majorBidi"/>
          <w:bCs/>
          <w:i/>
          <w:iCs/>
          <w:sz w:val="24"/>
          <w:szCs w:val="24"/>
        </w:rPr>
        <w:t>sphyraena</w:t>
      </w:r>
      <w:r w:rsidRPr="00BD2DBB">
        <w:rPr>
          <w:rFonts w:asciiTheme="majorBidi" w:hAnsiTheme="majorBidi" w:cstheme="majorBidi"/>
          <w:bCs/>
          <w:sz w:val="24"/>
          <w:szCs w:val="24"/>
        </w:rPr>
        <w:t xml:space="preserve"> groups. The second principal component represented 6.37–7.47% of the genetic variation, resulting in the clear segregation of the </w:t>
      </w:r>
      <w:r w:rsidRPr="00BD2DBB">
        <w:rPr>
          <w:rFonts w:asciiTheme="majorBidi" w:hAnsiTheme="majorBidi" w:cstheme="majorBidi"/>
          <w:bCs/>
          <w:i/>
          <w:iCs/>
          <w:sz w:val="24"/>
          <w:szCs w:val="24"/>
        </w:rPr>
        <w:t>humboldtianum sensu stricto</w:t>
      </w:r>
      <w:r w:rsidRPr="00BD2DBB">
        <w:rPr>
          <w:rFonts w:asciiTheme="majorBidi" w:hAnsiTheme="majorBidi" w:cstheme="majorBidi"/>
          <w:bCs/>
          <w:sz w:val="24"/>
          <w:szCs w:val="24"/>
        </w:rPr>
        <w:t xml:space="preserve"> group (Fig. </w:t>
      </w:r>
      <w:r w:rsidR="005C4C7F">
        <w:rPr>
          <w:rFonts w:asciiTheme="majorBidi" w:hAnsiTheme="majorBidi" w:cstheme="majorBidi"/>
          <w:bCs/>
          <w:sz w:val="24"/>
          <w:szCs w:val="24"/>
        </w:rPr>
        <w:t>2.</w:t>
      </w:r>
      <w:r w:rsidRPr="00BD2DBB">
        <w:rPr>
          <w:rFonts w:asciiTheme="majorBidi" w:hAnsiTheme="majorBidi" w:cstheme="majorBidi"/>
          <w:bCs/>
          <w:sz w:val="24"/>
          <w:szCs w:val="24"/>
        </w:rPr>
        <w:t>2a and S2).</w:t>
      </w:r>
    </w:p>
    <w:p w14:paraId="47195478" w14:textId="7B8F0326" w:rsidR="00BD2DBB" w:rsidRPr="00BD2DBB" w:rsidRDefault="00BD2DBB" w:rsidP="00BD2DBB">
      <w:pPr>
        <w:ind w:firstLine="720"/>
        <w:jc w:val="both"/>
        <w:rPr>
          <w:rFonts w:asciiTheme="majorBidi" w:hAnsiTheme="majorBidi" w:cstheme="majorBidi"/>
          <w:bCs/>
          <w:sz w:val="24"/>
          <w:szCs w:val="24"/>
        </w:rPr>
      </w:pPr>
      <w:r w:rsidRPr="00BD2DBB">
        <w:rPr>
          <w:rFonts w:asciiTheme="majorBidi" w:hAnsiTheme="majorBidi" w:cstheme="majorBidi"/>
          <w:bCs/>
          <w:sz w:val="24"/>
          <w:szCs w:val="24"/>
        </w:rPr>
        <w:t xml:space="preserve">While the results of the PCAs estimated using outlier SNP loci did not produce a clear demarcation relative to matrices considering all and neutral-only SNPs, these analyses mostly resulted in the same clustering patterns except in two instances (matrices D and E) where the </w:t>
      </w:r>
      <w:r w:rsidRPr="00BD2DBB">
        <w:rPr>
          <w:rFonts w:asciiTheme="majorBidi" w:hAnsiTheme="majorBidi" w:cstheme="majorBidi"/>
          <w:bCs/>
          <w:i/>
          <w:iCs/>
          <w:sz w:val="24"/>
          <w:szCs w:val="24"/>
        </w:rPr>
        <w:t>chapalae</w:t>
      </w:r>
      <w:r w:rsidRPr="00BD2DBB">
        <w:rPr>
          <w:rFonts w:asciiTheme="majorBidi" w:hAnsiTheme="majorBidi" w:cstheme="majorBidi"/>
          <w:bCs/>
          <w:sz w:val="24"/>
          <w:szCs w:val="24"/>
        </w:rPr>
        <w:t xml:space="preserve"> and </w:t>
      </w:r>
      <w:r w:rsidRPr="00BD2DBB">
        <w:rPr>
          <w:rFonts w:asciiTheme="majorBidi" w:hAnsiTheme="majorBidi" w:cstheme="majorBidi"/>
          <w:bCs/>
          <w:i/>
          <w:iCs/>
          <w:sz w:val="24"/>
          <w:szCs w:val="24"/>
        </w:rPr>
        <w:t>sphyraena</w:t>
      </w:r>
      <w:r w:rsidRPr="00BD2DBB">
        <w:rPr>
          <w:rFonts w:asciiTheme="majorBidi" w:hAnsiTheme="majorBidi" w:cstheme="majorBidi"/>
          <w:bCs/>
          <w:sz w:val="24"/>
          <w:szCs w:val="24"/>
        </w:rPr>
        <w:t xml:space="preserve"> groups clustered together. The first two principal components of the PCAs calculated with outlier SNPs accounted for 20.32–86.58% of the genomic variation explained. Overall, PCAs generated with just outlier (82–370) SNP loci delineated between three and four genomic clusters, superimposing populations from </w:t>
      </w:r>
      <w:r w:rsidRPr="00BD2DBB">
        <w:rPr>
          <w:rFonts w:asciiTheme="majorBidi" w:hAnsiTheme="majorBidi" w:cstheme="majorBidi"/>
          <w:bCs/>
          <w:i/>
          <w:iCs/>
          <w:sz w:val="24"/>
          <w:szCs w:val="24"/>
        </w:rPr>
        <w:t>chapalae</w:t>
      </w:r>
      <w:r w:rsidRPr="00BD2DBB">
        <w:rPr>
          <w:rFonts w:asciiTheme="majorBidi" w:hAnsiTheme="majorBidi" w:cstheme="majorBidi"/>
          <w:bCs/>
          <w:sz w:val="24"/>
          <w:szCs w:val="24"/>
        </w:rPr>
        <w:t xml:space="preserve"> with </w:t>
      </w:r>
      <w:r w:rsidRPr="00BD2DBB">
        <w:rPr>
          <w:rFonts w:asciiTheme="majorBidi" w:hAnsiTheme="majorBidi" w:cstheme="majorBidi"/>
          <w:bCs/>
          <w:i/>
          <w:iCs/>
          <w:sz w:val="24"/>
          <w:szCs w:val="24"/>
        </w:rPr>
        <w:t>sphyraena</w:t>
      </w:r>
      <w:r w:rsidRPr="00BD2DBB">
        <w:rPr>
          <w:rFonts w:asciiTheme="majorBidi" w:hAnsiTheme="majorBidi" w:cstheme="majorBidi"/>
          <w:bCs/>
          <w:sz w:val="24"/>
          <w:szCs w:val="24"/>
        </w:rPr>
        <w:t xml:space="preserve"> groups (Fig. </w:t>
      </w:r>
      <w:r w:rsidR="005C4C7F">
        <w:rPr>
          <w:rFonts w:asciiTheme="majorBidi" w:hAnsiTheme="majorBidi" w:cstheme="majorBidi"/>
          <w:bCs/>
          <w:sz w:val="24"/>
          <w:szCs w:val="24"/>
        </w:rPr>
        <w:t>2.</w:t>
      </w:r>
      <w:r w:rsidRPr="00BD2DBB">
        <w:rPr>
          <w:rFonts w:asciiTheme="majorBidi" w:hAnsiTheme="majorBidi" w:cstheme="majorBidi"/>
          <w:bCs/>
          <w:sz w:val="24"/>
          <w:szCs w:val="24"/>
        </w:rPr>
        <w:t>2a and S2).</w:t>
      </w:r>
    </w:p>
    <w:p w14:paraId="31CA5F47" w14:textId="1D8DBC73" w:rsidR="00BD2DBB" w:rsidRPr="00BD2DBB" w:rsidRDefault="00BD2DBB" w:rsidP="00BD2DBB">
      <w:pPr>
        <w:jc w:val="both"/>
        <w:rPr>
          <w:rFonts w:asciiTheme="majorBidi" w:hAnsiTheme="majorBidi" w:cstheme="majorBidi"/>
          <w:bCs/>
          <w:sz w:val="24"/>
          <w:szCs w:val="24"/>
        </w:rPr>
      </w:pPr>
      <w:r w:rsidRPr="00BD2DBB">
        <w:rPr>
          <w:rFonts w:asciiTheme="majorBidi" w:hAnsiTheme="majorBidi" w:cstheme="majorBidi"/>
          <w:bCs/>
          <w:sz w:val="24"/>
          <w:szCs w:val="24"/>
        </w:rPr>
        <w:tab/>
        <w:t xml:space="preserve">Scatter plots of the DAPC analyses produced results similar those based on PCA. In general, the first two discriminant axes identified the same four genomic clusters (BIC: </w:t>
      </w:r>
      <w:r w:rsidRPr="00BD2DBB">
        <w:rPr>
          <w:rFonts w:asciiTheme="majorBidi" w:hAnsiTheme="majorBidi" w:cstheme="majorBidi"/>
          <w:bCs/>
          <w:i/>
          <w:iCs/>
          <w:sz w:val="24"/>
          <w:szCs w:val="24"/>
        </w:rPr>
        <w:t>k</w:t>
      </w:r>
      <w:r w:rsidRPr="00BD2DBB">
        <w:rPr>
          <w:rFonts w:asciiTheme="majorBidi" w:hAnsiTheme="majorBidi" w:cstheme="majorBidi"/>
          <w:bCs/>
          <w:sz w:val="24"/>
          <w:szCs w:val="24"/>
        </w:rPr>
        <w:t xml:space="preserve">=4) (Fig. </w:t>
      </w:r>
      <w:r w:rsidR="005C4C7F">
        <w:rPr>
          <w:rFonts w:asciiTheme="majorBidi" w:hAnsiTheme="majorBidi" w:cstheme="majorBidi"/>
          <w:bCs/>
          <w:sz w:val="24"/>
          <w:szCs w:val="24"/>
        </w:rPr>
        <w:t>2.</w:t>
      </w:r>
      <w:r w:rsidRPr="00BD2DBB">
        <w:rPr>
          <w:rFonts w:asciiTheme="majorBidi" w:hAnsiTheme="majorBidi" w:cstheme="majorBidi"/>
          <w:bCs/>
          <w:sz w:val="24"/>
          <w:szCs w:val="24"/>
        </w:rPr>
        <w:t xml:space="preserve">2b, S3 and S4), retaining 9–12 PCs that represent 48.5–57.7% of the cumulative variance. The DAPC analyses estimated using the outlier loci (matrices C, D and E) also identified three genomic clusters (BIC: </w:t>
      </w:r>
      <w:r w:rsidRPr="00BD2DBB">
        <w:rPr>
          <w:rFonts w:asciiTheme="majorBidi" w:hAnsiTheme="majorBidi" w:cstheme="majorBidi"/>
          <w:bCs/>
          <w:i/>
          <w:iCs/>
          <w:sz w:val="24"/>
          <w:szCs w:val="24"/>
        </w:rPr>
        <w:t>k</w:t>
      </w:r>
      <w:r w:rsidRPr="00BD2DBB">
        <w:rPr>
          <w:rFonts w:asciiTheme="majorBidi" w:hAnsiTheme="majorBidi" w:cstheme="majorBidi"/>
          <w:bCs/>
          <w:sz w:val="24"/>
          <w:szCs w:val="24"/>
        </w:rPr>
        <w:t xml:space="preserve">=3) where </w:t>
      </w:r>
      <w:r w:rsidRPr="00BD2DBB">
        <w:rPr>
          <w:rFonts w:asciiTheme="majorBidi" w:hAnsiTheme="majorBidi" w:cstheme="majorBidi"/>
          <w:bCs/>
          <w:i/>
          <w:iCs/>
          <w:sz w:val="24"/>
          <w:szCs w:val="24"/>
        </w:rPr>
        <w:t>chapalae</w:t>
      </w:r>
      <w:r w:rsidRPr="00BD2DBB">
        <w:rPr>
          <w:rFonts w:asciiTheme="majorBidi" w:hAnsiTheme="majorBidi" w:cstheme="majorBidi"/>
          <w:bCs/>
          <w:sz w:val="24"/>
          <w:szCs w:val="24"/>
        </w:rPr>
        <w:t xml:space="preserve"> and </w:t>
      </w:r>
      <w:r w:rsidRPr="00BD2DBB">
        <w:rPr>
          <w:rFonts w:asciiTheme="majorBidi" w:hAnsiTheme="majorBidi" w:cstheme="majorBidi"/>
          <w:bCs/>
          <w:i/>
          <w:iCs/>
          <w:sz w:val="24"/>
          <w:szCs w:val="24"/>
        </w:rPr>
        <w:t>sphyraena</w:t>
      </w:r>
      <w:r w:rsidRPr="00BD2DBB">
        <w:rPr>
          <w:rFonts w:asciiTheme="majorBidi" w:hAnsiTheme="majorBidi" w:cstheme="majorBidi"/>
          <w:bCs/>
          <w:sz w:val="24"/>
          <w:szCs w:val="24"/>
        </w:rPr>
        <w:t xml:space="preserve"> form a single group (Fig. </w:t>
      </w:r>
      <w:r w:rsidR="005C4C7F">
        <w:rPr>
          <w:rFonts w:asciiTheme="majorBidi" w:hAnsiTheme="majorBidi" w:cstheme="majorBidi"/>
          <w:bCs/>
          <w:sz w:val="24"/>
          <w:szCs w:val="24"/>
        </w:rPr>
        <w:t>2.</w:t>
      </w:r>
      <w:r w:rsidRPr="00BD2DBB">
        <w:rPr>
          <w:rFonts w:asciiTheme="majorBidi" w:hAnsiTheme="majorBidi" w:cstheme="majorBidi"/>
          <w:bCs/>
          <w:sz w:val="24"/>
          <w:szCs w:val="24"/>
        </w:rPr>
        <w:t>2b, S3 and S4).</w:t>
      </w:r>
    </w:p>
    <w:p w14:paraId="12EDC57A" w14:textId="71399AFE" w:rsidR="00BD2DBB" w:rsidRDefault="00BD2DBB" w:rsidP="00BD2DBB">
      <w:pPr>
        <w:jc w:val="both"/>
        <w:rPr>
          <w:rFonts w:asciiTheme="majorBidi" w:hAnsiTheme="majorBidi" w:cstheme="majorBidi"/>
          <w:b/>
          <w:bCs/>
          <w:sz w:val="28"/>
          <w:szCs w:val="28"/>
        </w:rPr>
      </w:pPr>
      <w:r w:rsidRPr="00BD2DBB">
        <w:rPr>
          <w:rFonts w:asciiTheme="majorBidi" w:hAnsiTheme="majorBidi" w:cstheme="majorBidi"/>
          <w:b/>
          <w:bCs/>
          <w:sz w:val="28"/>
          <w:szCs w:val="28"/>
        </w:rPr>
        <w:t>Genomic structure and genomic differentiation analyses</w:t>
      </w:r>
    </w:p>
    <w:p w14:paraId="3E21CF31" w14:textId="04CF63E8" w:rsidR="00BD2DBB" w:rsidRPr="00BD2DBB" w:rsidRDefault="00BD2DBB" w:rsidP="00BD2DBB">
      <w:pPr>
        <w:jc w:val="both"/>
        <w:rPr>
          <w:rFonts w:asciiTheme="majorBidi" w:hAnsiTheme="majorBidi" w:cstheme="majorBidi"/>
          <w:bCs/>
          <w:sz w:val="24"/>
          <w:szCs w:val="24"/>
        </w:rPr>
      </w:pPr>
      <w:r w:rsidRPr="00BD2DBB">
        <w:rPr>
          <w:rFonts w:asciiTheme="majorBidi" w:hAnsiTheme="majorBidi" w:cstheme="majorBidi"/>
          <w:bCs/>
          <w:sz w:val="24"/>
          <w:szCs w:val="24"/>
        </w:rPr>
        <w:t>Admixture assignment results of the SNP loci (matrices A–E) considering all, neutral-only, and outlier loci identified three genomic clusters (</w:t>
      </w:r>
      <w:r w:rsidRPr="00BD2DBB">
        <w:rPr>
          <w:rFonts w:asciiTheme="majorBidi" w:hAnsiTheme="majorBidi" w:cstheme="majorBidi"/>
          <w:bCs/>
          <w:i/>
          <w:iCs/>
          <w:sz w:val="24"/>
          <w:szCs w:val="24"/>
        </w:rPr>
        <w:t xml:space="preserve">k </w:t>
      </w:r>
      <w:r w:rsidRPr="00BD2DBB">
        <w:rPr>
          <w:rFonts w:asciiTheme="majorBidi" w:hAnsiTheme="majorBidi" w:cstheme="majorBidi"/>
          <w:bCs/>
          <w:sz w:val="24"/>
          <w:szCs w:val="24"/>
        </w:rPr>
        <w:t>= 3) as the best-fit model (Fig. S5), each corresponding to the major groups (</w:t>
      </w:r>
      <w:r w:rsidRPr="00BD2DBB">
        <w:rPr>
          <w:rFonts w:asciiTheme="majorBidi" w:hAnsiTheme="majorBidi" w:cstheme="majorBidi"/>
          <w:bCs/>
          <w:i/>
          <w:iCs/>
          <w:sz w:val="24"/>
          <w:szCs w:val="24"/>
        </w:rPr>
        <w:t>humboldtianum sensu stricto</w:t>
      </w:r>
      <w:r w:rsidRPr="00BD2DBB">
        <w:rPr>
          <w:rFonts w:asciiTheme="majorBidi" w:hAnsiTheme="majorBidi" w:cstheme="majorBidi"/>
          <w:bCs/>
          <w:sz w:val="24"/>
          <w:szCs w:val="24"/>
        </w:rPr>
        <w:t xml:space="preserve">, </w:t>
      </w:r>
      <w:r w:rsidRPr="00BD2DBB">
        <w:rPr>
          <w:rFonts w:asciiTheme="majorBidi" w:hAnsiTheme="majorBidi" w:cstheme="majorBidi"/>
          <w:bCs/>
          <w:i/>
          <w:iCs/>
          <w:sz w:val="24"/>
          <w:szCs w:val="24"/>
        </w:rPr>
        <w:t>estor</w:t>
      </w:r>
      <w:r w:rsidRPr="00BD2DBB">
        <w:rPr>
          <w:rFonts w:asciiTheme="majorBidi" w:hAnsiTheme="majorBidi" w:cstheme="majorBidi"/>
          <w:bCs/>
          <w:sz w:val="24"/>
          <w:szCs w:val="24"/>
        </w:rPr>
        <w:t xml:space="preserve">, and </w:t>
      </w:r>
      <w:r w:rsidRPr="00BD2DBB">
        <w:rPr>
          <w:rFonts w:asciiTheme="majorBidi" w:hAnsiTheme="majorBidi" w:cstheme="majorBidi"/>
          <w:bCs/>
          <w:i/>
          <w:iCs/>
          <w:sz w:val="24"/>
          <w:szCs w:val="24"/>
        </w:rPr>
        <w:t>chapalae</w:t>
      </w:r>
      <w:r w:rsidRPr="00BD2DBB">
        <w:rPr>
          <w:rFonts w:asciiTheme="majorBidi" w:hAnsiTheme="majorBidi" w:cstheme="majorBidi"/>
          <w:bCs/>
          <w:sz w:val="24"/>
          <w:szCs w:val="24"/>
        </w:rPr>
        <w:t>-</w:t>
      </w:r>
      <w:r w:rsidRPr="00BD2DBB">
        <w:rPr>
          <w:rFonts w:asciiTheme="majorBidi" w:hAnsiTheme="majorBidi" w:cstheme="majorBidi"/>
          <w:bCs/>
          <w:i/>
          <w:iCs/>
          <w:sz w:val="24"/>
          <w:szCs w:val="24"/>
        </w:rPr>
        <w:t>sphyraena</w:t>
      </w:r>
      <w:r w:rsidRPr="00BD2DBB">
        <w:rPr>
          <w:rFonts w:asciiTheme="majorBidi" w:hAnsiTheme="majorBidi" w:cstheme="majorBidi"/>
          <w:bCs/>
          <w:sz w:val="24"/>
          <w:szCs w:val="24"/>
        </w:rPr>
        <w:t xml:space="preserve">) obtained with PCA and DAPC analyses using the outlier SNP loci (Fig. </w:t>
      </w:r>
      <w:r w:rsidR="005C4C7F">
        <w:rPr>
          <w:rFonts w:asciiTheme="majorBidi" w:hAnsiTheme="majorBidi" w:cstheme="majorBidi"/>
          <w:bCs/>
          <w:sz w:val="24"/>
          <w:szCs w:val="24"/>
        </w:rPr>
        <w:t>2.</w:t>
      </w:r>
      <w:r w:rsidRPr="00BD2DBB">
        <w:rPr>
          <w:rFonts w:asciiTheme="majorBidi" w:hAnsiTheme="majorBidi" w:cstheme="majorBidi"/>
          <w:bCs/>
          <w:sz w:val="24"/>
          <w:szCs w:val="24"/>
        </w:rPr>
        <w:t>2c and S6). As in previous analyses, the admixture results did not delineate morphospecies boundaries.</w:t>
      </w:r>
    </w:p>
    <w:p w14:paraId="32166072" w14:textId="476B153C" w:rsidR="00BD2DBB" w:rsidRPr="00BD2DBB" w:rsidRDefault="00BD2DBB" w:rsidP="00BD2DBB">
      <w:pPr>
        <w:ind w:firstLine="720"/>
        <w:jc w:val="both"/>
        <w:rPr>
          <w:rFonts w:asciiTheme="majorBidi" w:hAnsiTheme="majorBidi" w:cstheme="majorBidi"/>
          <w:bCs/>
          <w:sz w:val="24"/>
          <w:szCs w:val="24"/>
        </w:rPr>
      </w:pPr>
      <w:r w:rsidRPr="00BD2DBB">
        <w:rPr>
          <w:rFonts w:asciiTheme="majorBidi" w:hAnsiTheme="majorBidi" w:cstheme="majorBidi"/>
          <w:bCs/>
          <w:sz w:val="24"/>
          <w:szCs w:val="24"/>
        </w:rPr>
        <w:t>All individuals of the</w:t>
      </w:r>
      <w:r w:rsidRPr="00BD2DBB">
        <w:rPr>
          <w:rFonts w:asciiTheme="majorBidi" w:hAnsiTheme="majorBidi" w:cstheme="majorBidi"/>
          <w:bCs/>
          <w:i/>
          <w:iCs/>
          <w:sz w:val="24"/>
          <w:szCs w:val="24"/>
        </w:rPr>
        <w:t xml:space="preserve"> humboldtianum</w:t>
      </w:r>
      <w:r w:rsidRPr="00BD2DBB">
        <w:rPr>
          <w:rFonts w:asciiTheme="majorBidi" w:hAnsiTheme="majorBidi" w:cstheme="majorBidi"/>
          <w:bCs/>
          <w:sz w:val="24"/>
          <w:szCs w:val="24"/>
        </w:rPr>
        <w:t xml:space="preserve"> </w:t>
      </w:r>
      <w:r w:rsidRPr="00BD2DBB">
        <w:rPr>
          <w:rFonts w:asciiTheme="majorBidi" w:hAnsiTheme="majorBidi" w:cstheme="majorBidi"/>
          <w:bCs/>
          <w:i/>
          <w:iCs/>
          <w:sz w:val="24"/>
          <w:szCs w:val="24"/>
        </w:rPr>
        <w:t>sensu stricto</w:t>
      </w:r>
      <w:r w:rsidRPr="00BD2DBB">
        <w:rPr>
          <w:rFonts w:asciiTheme="majorBidi" w:hAnsiTheme="majorBidi" w:cstheme="majorBidi"/>
          <w:bCs/>
          <w:sz w:val="24"/>
          <w:szCs w:val="24"/>
        </w:rPr>
        <w:t xml:space="preserve"> group collected from artificial dams (three from Tepuxtepec and one from Trinidad Fabela) had strong admixture with the</w:t>
      </w:r>
      <w:r w:rsidRPr="00BD2DBB">
        <w:rPr>
          <w:rFonts w:asciiTheme="majorBidi" w:hAnsiTheme="majorBidi" w:cstheme="majorBidi"/>
          <w:bCs/>
          <w:i/>
          <w:iCs/>
          <w:sz w:val="24"/>
          <w:szCs w:val="24"/>
        </w:rPr>
        <w:t xml:space="preserve"> chapalae </w:t>
      </w:r>
      <w:r w:rsidRPr="00BD2DBB">
        <w:rPr>
          <w:rFonts w:asciiTheme="majorBidi" w:hAnsiTheme="majorBidi" w:cstheme="majorBidi"/>
          <w:bCs/>
          <w:sz w:val="24"/>
          <w:szCs w:val="24"/>
        </w:rPr>
        <w:t xml:space="preserve">group (0.11–0.45), whereas </w:t>
      </w:r>
      <w:r w:rsidRPr="00BD2DBB">
        <w:rPr>
          <w:rFonts w:asciiTheme="majorBidi" w:hAnsiTheme="majorBidi" w:cstheme="majorBidi"/>
          <w:bCs/>
          <w:i/>
          <w:iCs/>
          <w:sz w:val="24"/>
          <w:szCs w:val="24"/>
        </w:rPr>
        <w:t>chapalae</w:t>
      </w:r>
      <w:r w:rsidRPr="00BD2DBB">
        <w:rPr>
          <w:rFonts w:asciiTheme="majorBidi" w:hAnsiTheme="majorBidi" w:cstheme="majorBidi"/>
          <w:bCs/>
          <w:sz w:val="24"/>
          <w:szCs w:val="24"/>
        </w:rPr>
        <w:t xml:space="preserve"> and </w:t>
      </w:r>
      <w:r w:rsidRPr="00BD2DBB">
        <w:rPr>
          <w:rFonts w:asciiTheme="majorBidi" w:hAnsiTheme="majorBidi" w:cstheme="majorBidi"/>
          <w:bCs/>
          <w:i/>
          <w:iCs/>
          <w:sz w:val="24"/>
          <w:szCs w:val="24"/>
        </w:rPr>
        <w:t>estor</w:t>
      </w:r>
      <w:r w:rsidRPr="00BD2DBB">
        <w:rPr>
          <w:rFonts w:asciiTheme="majorBidi" w:hAnsiTheme="majorBidi" w:cstheme="majorBidi"/>
          <w:bCs/>
          <w:sz w:val="24"/>
          <w:szCs w:val="24"/>
        </w:rPr>
        <w:t xml:space="preserve"> groups produced rather low values of shared genetic information (&lt;0.10). While there were higher levels of individual admixture between </w:t>
      </w:r>
      <w:r w:rsidRPr="00BD2DBB">
        <w:rPr>
          <w:rFonts w:asciiTheme="majorBidi" w:hAnsiTheme="majorBidi" w:cstheme="majorBidi"/>
          <w:bCs/>
          <w:i/>
          <w:iCs/>
          <w:sz w:val="24"/>
          <w:szCs w:val="24"/>
        </w:rPr>
        <w:lastRenderedPageBreak/>
        <w:t>humboldtianum sensu</w:t>
      </w:r>
      <w:r w:rsidRPr="00BD2DBB">
        <w:rPr>
          <w:rFonts w:asciiTheme="majorBidi" w:hAnsiTheme="majorBidi" w:cstheme="majorBidi"/>
          <w:bCs/>
          <w:sz w:val="24"/>
          <w:szCs w:val="24"/>
        </w:rPr>
        <w:t xml:space="preserve"> </w:t>
      </w:r>
      <w:r w:rsidRPr="00BD2DBB">
        <w:rPr>
          <w:rFonts w:asciiTheme="majorBidi" w:hAnsiTheme="majorBidi" w:cstheme="majorBidi"/>
          <w:bCs/>
          <w:i/>
          <w:iCs/>
          <w:sz w:val="24"/>
          <w:szCs w:val="24"/>
        </w:rPr>
        <w:t>stricto</w:t>
      </w:r>
      <w:r w:rsidRPr="00BD2DBB">
        <w:rPr>
          <w:rFonts w:asciiTheme="majorBidi" w:hAnsiTheme="majorBidi" w:cstheme="majorBidi"/>
          <w:bCs/>
          <w:sz w:val="24"/>
          <w:szCs w:val="24"/>
        </w:rPr>
        <w:t xml:space="preserve"> and </w:t>
      </w:r>
      <w:r w:rsidRPr="00BD2DBB">
        <w:rPr>
          <w:rFonts w:asciiTheme="majorBidi" w:hAnsiTheme="majorBidi" w:cstheme="majorBidi"/>
          <w:bCs/>
          <w:i/>
          <w:iCs/>
          <w:sz w:val="24"/>
          <w:szCs w:val="24"/>
        </w:rPr>
        <w:t>chapalae</w:t>
      </w:r>
      <w:r w:rsidRPr="00BD2DBB">
        <w:rPr>
          <w:rFonts w:asciiTheme="majorBidi" w:hAnsiTheme="majorBidi" w:cstheme="majorBidi"/>
          <w:bCs/>
          <w:sz w:val="24"/>
          <w:szCs w:val="24"/>
        </w:rPr>
        <w:t xml:space="preserve"> groups when fewer SNP loci were analyzed, a higher number of outlier SNP loci (99–370) identified more admixture between the three groups than those considering fewer outlier SNPs (82–92) (Fig. </w:t>
      </w:r>
      <w:r w:rsidR="005C4C7F">
        <w:rPr>
          <w:rFonts w:asciiTheme="majorBidi" w:hAnsiTheme="majorBidi" w:cstheme="majorBidi"/>
          <w:bCs/>
          <w:sz w:val="24"/>
          <w:szCs w:val="24"/>
        </w:rPr>
        <w:t>2.</w:t>
      </w:r>
      <w:r w:rsidRPr="00BD2DBB">
        <w:rPr>
          <w:rFonts w:asciiTheme="majorBidi" w:hAnsiTheme="majorBidi" w:cstheme="majorBidi"/>
          <w:bCs/>
          <w:sz w:val="24"/>
          <w:szCs w:val="24"/>
        </w:rPr>
        <w:t>2c and S6).</w:t>
      </w:r>
    </w:p>
    <w:p w14:paraId="1F7EC07F" w14:textId="77777777" w:rsidR="00BD2DBB" w:rsidRDefault="00BD2DBB" w:rsidP="00BD2DBB">
      <w:pPr>
        <w:jc w:val="both"/>
        <w:rPr>
          <w:rFonts w:asciiTheme="majorBidi" w:hAnsiTheme="majorBidi" w:cstheme="majorBidi"/>
          <w:bCs/>
          <w:sz w:val="24"/>
          <w:szCs w:val="24"/>
        </w:rPr>
      </w:pPr>
      <w:r w:rsidRPr="00BD2DBB">
        <w:rPr>
          <w:rFonts w:asciiTheme="majorBidi" w:hAnsiTheme="majorBidi" w:cstheme="majorBidi"/>
          <w:bCs/>
          <w:sz w:val="24"/>
          <w:szCs w:val="24"/>
        </w:rPr>
        <w:tab/>
        <w:t xml:space="preserve">Intralake admixture analyses within Lake Chapala found no evidence of finer genetic structure, as the best-fit model supported a scenario represented by a single metapopulation (k = 1, Fig. S7), clustering all individuals of the </w:t>
      </w:r>
      <w:r w:rsidRPr="00BD2DBB">
        <w:rPr>
          <w:rFonts w:asciiTheme="majorBidi" w:hAnsiTheme="majorBidi" w:cstheme="majorBidi"/>
          <w:bCs/>
          <w:i/>
          <w:iCs/>
          <w:sz w:val="24"/>
          <w:szCs w:val="24"/>
        </w:rPr>
        <w:t>sphyraena</w:t>
      </w:r>
      <w:r w:rsidRPr="00BD2DBB">
        <w:rPr>
          <w:rFonts w:asciiTheme="majorBidi" w:hAnsiTheme="majorBidi" w:cstheme="majorBidi"/>
          <w:bCs/>
          <w:sz w:val="24"/>
          <w:szCs w:val="24"/>
        </w:rPr>
        <w:t xml:space="preserve"> and </w:t>
      </w:r>
      <w:r w:rsidRPr="00BD2DBB">
        <w:rPr>
          <w:rFonts w:asciiTheme="majorBidi" w:hAnsiTheme="majorBidi" w:cstheme="majorBidi"/>
          <w:bCs/>
          <w:i/>
          <w:iCs/>
          <w:sz w:val="24"/>
          <w:szCs w:val="24"/>
        </w:rPr>
        <w:t>chapalae</w:t>
      </w:r>
      <w:r w:rsidRPr="00BD2DBB">
        <w:rPr>
          <w:rFonts w:asciiTheme="majorBidi" w:hAnsiTheme="majorBidi" w:cstheme="majorBidi"/>
          <w:bCs/>
          <w:sz w:val="24"/>
          <w:szCs w:val="24"/>
        </w:rPr>
        <w:t xml:space="preserve"> groups. Genetic structure was not observed within the Pátzcuaro-Zirahuén lakes either (k=1). In general, the observed genetic structure based on intra-lake admixture analyses disagreed with both morphospecies and ecotypes (“peces blancos” vs. “charales”) (Fig. S7).</w:t>
      </w:r>
    </w:p>
    <w:p w14:paraId="2FDDED28" w14:textId="199E3E53" w:rsidR="0080123C" w:rsidRDefault="002E3B5E" w:rsidP="00BD2DBB">
      <w:pPr>
        <w:jc w:val="both"/>
        <w:rPr>
          <w:rFonts w:asciiTheme="majorBidi" w:hAnsiTheme="majorBidi" w:cstheme="majorBidi"/>
          <w:bCs/>
          <w:sz w:val="24"/>
          <w:szCs w:val="24"/>
        </w:rPr>
      </w:pPr>
      <w:r>
        <w:rPr>
          <w:rFonts w:asciiTheme="majorBidi" w:hAnsiTheme="majorBidi" w:cstheme="majorBidi"/>
          <w:bCs/>
          <w:noProof/>
          <w:sz w:val="24"/>
          <w:szCs w:val="24"/>
        </w:rPr>
        <w:drawing>
          <wp:anchor distT="0" distB="0" distL="114300" distR="114300" simplePos="0" relativeHeight="251677696" behindDoc="0" locked="0" layoutInCell="1" allowOverlap="1" wp14:anchorId="6E4C40A6" wp14:editId="23EB6852">
            <wp:simplePos x="0" y="0"/>
            <wp:positionH relativeFrom="column">
              <wp:posOffset>73660</wp:posOffset>
            </wp:positionH>
            <wp:positionV relativeFrom="paragraph">
              <wp:posOffset>163178</wp:posOffset>
            </wp:positionV>
            <wp:extent cx="5766486" cy="3149389"/>
            <wp:effectExtent l="0" t="0" r="0" b="635"/>
            <wp:wrapNone/>
            <wp:docPr id="1611144239"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44239" name="Picture 6" descr="A screenshot of a computer scree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6486" cy="3149389"/>
                    </a:xfrm>
                    <a:prstGeom prst="rect">
                      <a:avLst/>
                    </a:prstGeom>
                  </pic:spPr>
                </pic:pic>
              </a:graphicData>
            </a:graphic>
            <wp14:sizeRelH relativeFrom="page">
              <wp14:pctWidth>0</wp14:pctWidth>
            </wp14:sizeRelH>
            <wp14:sizeRelV relativeFrom="page">
              <wp14:pctHeight>0</wp14:pctHeight>
            </wp14:sizeRelV>
          </wp:anchor>
        </w:drawing>
      </w:r>
    </w:p>
    <w:p w14:paraId="60CFF615" w14:textId="661AB084" w:rsidR="0080123C" w:rsidRDefault="0080123C" w:rsidP="00BD2DBB">
      <w:pPr>
        <w:jc w:val="both"/>
        <w:rPr>
          <w:rFonts w:asciiTheme="majorBidi" w:hAnsiTheme="majorBidi" w:cstheme="majorBidi"/>
          <w:bCs/>
          <w:sz w:val="24"/>
          <w:szCs w:val="24"/>
        </w:rPr>
      </w:pPr>
    </w:p>
    <w:p w14:paraId="7D0ABD61" w14:textId="1488EA93" w:rsidR="0080123C" w:rsidRDefault="0080123C" w:rsidP="00BD2DBB">
      <w:pPr>
        <w:jc w:val="both"/>
        <w:rPr>
          <w:rFonts w:asciiTheme="majorBidi" w:hAnsiTheme="majorBidi" w:cstheme="majorBidi"/>
          <w:bCs/>
          <w:sz w:val="24"/>
          <w:szCs w:val="24"/>
        </w:rPr>
      </w:pPr>
    </w:p>
    <w:p w14:paraId="275DB6F5" w14:textId="6E08463C" w:rsidR="0080123C" w:rsidRDefault="0080123C" w:rsidP="00BD2DBB">
      <w:pPr>
        <w:jc w:val="both"/>
        <w:rPr>
          <w:rFonts w:asciiTheme="majorBidi" w:hAnsiTheme="majorBidi" w:cstheme="majorBidi"/>
          <w:bCs/>
          <w:sz w:val="24"/>
          <w:szCs w:val="24"/>
        </w:rPr>
      </w:pPr>
    </w:p>
    <w:p w14:paraId="354A76A4" w14:textId="0D07A7CD" w:rsidR="0080123C" w:rsidRDefault="0080123C" w:rsidP="00BD2DBB">
      <w:pPr>
        <w:jc w:val="both"/>
        <w:rPr>
          <w:rFonts w:asciiTheme="majorBidi" w:hAnsiTheme="majorBidi" w:cstheme="majorBidi"/>
          <w:bCs/>
          <w:sz w:val="24"/>
          <w:szCs w:val="24"/>
        </w:rPr>
      </w:pPr>
    </w:p>
    <w:p w14:paraId="5C47E9C8" w14:textId="26B62691" w:rsidR="0080123C" w:rsidRDefault="0080123C" w:rsidP="00BD2DBB">
      <w:pPr>
        <w:jc w:val="both"/>
        <w:rPr>
          <w:rFonts w:asciiTheme="majorBidi" w:hAnsiTheme="majorBidi" w:cstheme="majorBidi"/>
          <w:bCs/>
          <w:sz w:val="24"/>
          <w:szCs w:val="24"/>
        </w:rPr>
      </w:pPr>
    </w:p>
    <w:p w14:paraId="37A8710F" w14:textId="089D67A8" w:rsidR="0080123C" w:rsidRDefault="0080123C" w:rsidP="00BD2DBB">
      <w:pPr>
        <w:jc w:val="both"/>
        <w:rPr>
          <w:rFonts w:asciiTheme="majorBidi" w:hAnsiTheme="majorBidi" w:cstheme="majorBidi"/>
          <w:bCs/>
          <w:sz w:val="24"/>
          <w:szCs w:val="24"/>
        </w:rPr>
      </w:pPr>
    </w:p>
    <w:p w14:paraId="0A3CDEF7" w14:textId="7A90F7CE" w:rsidR="0080123C" w:rsidRDefault="0080123C" w:rsidP="00BD2DBB">
      <w:pPr>
        <w:jc w:val="both"/>
        <w:rPr>
          <w:rFonts w:asciiTheme="majorBidi" w:hAnsiTheme="majorBidi" w:cstheme="majorBidi"/>
          <w:bCs/>
          <w:sz w:val="24"/>
          <w:szCs w:val="24"/>
        </w:rPr>
      </w:pPr>
    </w:p>
    <w:p w14:paraId="78D36DDD" w14:textId="4377C4AC" w:rsidR="0080123C" w:rsidRDefault="0080123C" w:rsidP="00BD2DBB">
      <w:pPr>
        <w:jc w:val="both"/>
        <w:rPr>
          <w:rFonts w:asciiTheme="majorBidi" w:hAnsiTheme="majorBidi" w:cstheme="majorBidi"/>
          <w:bCs/>
          <w:sz w:val="24"/>
          <w:szCs w:val="24"/>
        </w:rPr>
      </w:pPr>
    </w:p>
    <w:p w14:paraId="1980C2BF" w14:textId="729DB344" w:rsidR="0080123C" w:rsidRDefault="0080123C" w:rsidP="00BD2DBB">
      <w:pPr>
        <w:jc w:val="both"/>
        <w:rPr>
          <w:rFonts w:asciiTheme="majorBidi" w:hAnsiTheme="majorBidi" w:cstheme="majorBidi"/>
          <w:bCs/>
          <w:sz w:val="24"/>
          <w:szCs w:val="24"/>
        </w:rPr>
      </w:pPr>
    </w:p>
    <w:p w14:paraId="70D41341" w14:textId="003D8E0A" w:rsidR="0080123C" w:rsidRDefault="0080123C" w:rsidP="00BD2DBB">
      <w:pPr>
        <w:jc w:val="both"/>
        <w:rPr>
          <w:rFonts w:asciiTheme="majorBidi" w:hAnsiTheme="majorBidi" w:cstheme="majorBidi"/>
          <w:bCs/>
          <w:sz w:val="24"/>
          <w:szCs w:val="24"/>
        </w:rPr>
      </w:pPr>
    </w:p>
    <w:p w14:paraId="24FE9A98" w14:textId="6BA3B4C7" w:rsidR="0080123C" w:rsidRDefault="00DC7047" w:rsidP="00BD2DBB">
      <w:pPr>
        <w:jc w:val="both"/>
        <w:rPr>
          <w:rFonts w:asciiTheme="majorBidi" w:hAnsiTheme="majorBidi" w:cstheme="majorBidi"/>
          <w:bCs/>
          <w:sz w:val="24"/>
          <w:szCs w:val="24"/>
        </w:rPr>
      </w:pPr>
      <w:r>
        <w:rPr>
          <w:rFonts w:asciiTheme="majorBidi" w:hAnsiTheme="majorBidi" w:cstheme="majorBidi"/>
          <w:noProof/>
          <w:sz w:val="24"/>
          <w:szCs w:val="24"/>
        </w:rPr>
        <mc:AlternateContent>
          <mc:Choice Requires="wps">
            <w:drawing>
              <wp:anchor distT="0" distB="0" distL="114300" distR="114300" simplePos="0" relativeHeight="251671552" behindDoc="0" locked="0" layoutInCell="1" allowOverlap="1" wp14:anchorId="08B53772" wp14:editId="36E6A31C">
                <wp:simplePos x="0" y="0"/>
                <wp:positionH relativeFrom="column">
                  <wp:posOffset>91440</wp:posOffset>
                </wp:positionH>
                <wp:positionV relativeFrom="paragraph">
                  <wp:posOffset>99631</wp:posOffset>
                </wp:positionV>
                <wp:extent cx="5805170" cy="2665730"/>
                <wp:effectExtent l="0" t="0" r="0" b="1270"/>
                <wp:wrapNone/>
                <wp:docPr id="1248300455" name="Text Box 1"/>
                <wp:cNvGraphicFramePr/>
                <a:graphic xmlns:a="http://schemas.openxmlformats.org/drawingml/2006/main">
                  <a:graphicData uri="http://schemas.microsoft.com/office/word/2010/wordprocessingShape">
                    <wps:wsp>
                      <wps:cNvSpPr txBox="1"/>
                      <wps:spPr>
                        <a:xfrm>
                          <a:off x="0" y="0"/>
                          <a:ext cx="5805170" cy="2665730"/>
                        </a:xfrm>
                        <a:prstGeom prst="rect">
                          <a:avLst/>
                        </a:prstGeom>
                        <a:solidFill>
                          <a:schemeClr val="lt1"/>
                        </a:solidFill>
                        <a:ln w="6350">
                          <a:noFill/>
                        </a:ln>
                      </wps:spPr>
                      <wps:txbx>
                        <w:txbxContent>
                          <w:p w14:paraId="25205AB3" w14:textId="7AC71BEF" w:rsidR="0080123C" w:rsidRPr="0080123C" w:rsidRDefault="0080123C" w:rsidP="0080123C">
                            <w:pPr>
                              <w:widowControl w:val="0"/>
                              <w:autoSpaceDE w:val="0"/>
                              <w:autoSpaceDN w:val="0"/>
                              <w:adjustRightInd w:val="0"/>
                              <w:spacing w:before="120" w:after="120"/>
                              <w:jc w:val="both"/>
                              <w:rPr>
                                <w:rFonts w:ascii="Times New Roman" w:hAnsi="Times New Roman" w:cs="Times New Roman"/>
                                <w:bCs/>
                                <w:color w:val="000000" w:themeColor="text1"/>
                                <w:sz w:val="20"/>
                                <w:szCs w:val="20"/>
                              </w:rPr>
                            </w:pPr>
                            <w:r w:rsidRPr="00775128">
                              <w:rPr>
                                <w:rFonts w:ascii="Times New Roman" w:hAnsi="Times New Roman" w:cs="Times New Roman"/>
                                <w:b/>
                                <w:color w:val="000000" w:themeColor="text1"/>
                                <w:sz w:val="20"/>
                                <w:szCs w:val="20"/>
                              </w:rPr>
                              <w:t>Figure 2.</w:t>
                            </w:r>
                            <w:r w:rsidR="00067C76">
                              <w:rPr>
                                <w:rFonts w:ascii="Times New Roman" w:hAnsi="Times New Roman" w:cs="Times New Roman"/>
                                <w:b/>
                                <w:color w:val="000000" w:themeColor="text1"/>
                                <w:sz w:val="20"/>
                                <w:szCs w:val="20"/>
                              </w:rPr>
                              <w:t>2</w:t>
                            </w:r>
                            <w:r w:rsidRPr="0080123C">
                              <w:rPr>
                                <w:rFonts w:ascii="Times New Roman" w:hAnsi="Times New Roman" w:cs="Times New Roman"/>
                                <w:b/>
                                <w:bCs/>
                                <w:color w:val="000000" w:themeColor="text1"/>
                                <w:sz w:val="20"/>
                                <w:szCs w:val="20"/>
                              </w:rPr>
                              <w:t xml:space="preserve"> </w:t>
                            </w:r>
                            <w:r w:rsidRPr="0080123C">
                              <w:rPr>
                                <w:rFonts w:ascii="Times New Roman" w:hAnsi="Times New Roman" w:cs="Times New Roman"/>
                                <w:bCs/>
                                <w:color w:val="000000" w:themeColor="text1"/>
                                <w:sz w:val="20"/>
                                <w:szCs w:val="20"/>
                              </w:rPr>
                              <w:t>Multivariate and admixture results</w:t>
                            </w:r>
                            <w:r w:rsidRPr="0080123C">
                              <w:rPr>
                                <w:rFonts w:ascii="Times New Roman" w:hAnsi="Times New Roman" w:cs="Times New Roman"/>
                                <w:b/>
                                <w:bCs/>
                                <w:color w:val="000000" w:themeColor="text1"/>
                                <w:sz w:val="20"/>
                                <w:szCs w:val="20"/>
                              </w:rPr>
                              <w:t xml:space="preserve"> </w:t>
                            </w:r>
                            <w:r w:rsidRPr="0080123C">
                              <w:rPr>
                                <w:rFonts w:ascii="Times New Roman" w:hAnsi="Times New Roman" w:cs="Times New Roman"/>
                                <w:bCs/>
                                <w:color w:val="000000" w:themeColor="text1"/>
                                <w:sz w:val="20"/>
                                <w:szCs w:val="20"/>
                              </w:rPr>
                              <w:t>based on all, neutral, and outlier SNP loci from the matrix D (3564-snps loci),</w:t>
                            </w:r>
                            <w:r w:rsidRPr="0080123C">
                              <w:rPr>
                                <w:rFonts w:ascii="Times New Roman" w:hAnsi="Times New Roman" w:cs="Times New Roman"/>
                                <w:b/>
                                <w:bCs/>
                                <w:color w:val="000000" w:themeColor="text1"/>
                                <w:sz w:val="20"/>
                                <w:szCs w:val="20"/>
                              </w:rPr>
                              <w:t xml:space="preserve"> </w:t>
                            </w:r>
                            <w:r w:rsidRPr="0080123C">
                              <w:rPr>
                                <w:rFonts w:ascii="Times New Roman" w:hAnsi="Times New Roman" w:cs="Times New Roman"/>
                                <w:bCs/>
                                <w:color w:val="000000" w:themeColor="text1"/>
                                <w:sz w:val="20"/>
                                <w:szCs w:val="20"/>
                              </w:rPr>
                              <w:t>which explain the highest percentage of explained variation in the analyzes. (a)</w:t>
                            </w:r>
                            <w:r w:rsidRPr="0080123C">
                              <w:rPr>
                                <w:rFonts w:ascii="Times New Roman" w:hAnsi="Times New Roman" w:cs="Times New Roman"/>
                                <w:b/>
                                <w:bCs/>
                                <w:color w:val="000000" w:themeColor="text1"/>
                                <w:sz w:val="20"/>
                                <w:szCs w:val="20"/>
                              </w:rPr>
                              <w:t xml:space="preserve"> </w:t>
                            </w:r>
                            <w:r w:rsidRPr="0080123C">
                              <w:rPr>
                                <w:rFonts w:ascii="Times New Roman" w:hAnsi="Times New Roman" w:cs="Times New Roman"/>
                                <w:bCs/>
                                <w:color w:val="000000" w:themeColor="text1"/>
                                <w:sz w:val="20"/>
                                <w:szCs w:val="20"/>
                              </w:rPr>
                              <w:t xml:space="preserve">Principal component analyses (PCAs), and (b) Discriminant analyses of principal components (DAPCs) consistently recovered four genomic groups (k=4) with all and neutral loci that are in agreement with geographic patterns but not with the previously recognized morphospecies: </w:t>
                            </w:r>
                            <w:r w:rsidRPr="0080123C">
                              <w:rPr>
                                <w:rFonts w:ascii="Times New Roman" w:hAnsi="Times New Roman" w:cs="Times New Roman"/>
                                <w:bCs/>
                                <w:i/>
                                <w:iCs/>
                                <w:color w:val="000000" w:themeColor="text1"/>
                                <w:sz w:val="20"/>
                                <w:szCs w:val="20"/>
                              </w:rPr>
                              <w:t>humboldtianum sensu stricto</w:t>
                            </w:r>
                            <w:r w:rsidRPr="0080123C">
                              <w:rPr>
                                <w:rFonts w:ascii="Times New Roman" w:hAnsi="Times New Roman" w:cs="Times New Roman"/>
                                <w:bCs/>
                                <w:color w:val="000000" w:themeColor="text1"/>
                                <w:sz w:val="20"/>
                                <w:szCs w:val="20"/>
                              </w:rPr>
                              <w:t xml:space="preserve"> group (blue), from Lake Zacapu; </w:t>
                            </w:r>
                            <w:r w:rsidRPr="0080123C">
                              <w:rPr>
                                <w:rFonts w:ascii="Times New Roman" w:hAnsi="Times New Roman" w:cs="Times New Roman"/>
                                <w:bCs/>
                                <w:i/>
                                <w:iCs/>
                                <w:color w:val="000000" w:themeColor="text1"/>
                                <w:sz w:val="20"/>
                                <w:szCs w:val="20"/>
                              </w:rPr>
                              <w:t>estor</w:t>
                            </w:r>
                            <w:r w:rsidRPr="0080123C">
                              <w:rPr>
                                <w:rFonts w:ascii="Times New Roman" w:hAnsi="Times New Roman" w:cs="Times New Roman"/>
                                <w:bCs/>
                                <w:color w:val="000000" w:themeColor="text1"/>
                                <w:sz w:val="20"/>
                                <w:szCs w:val="20"/>
                              </w:rPr>
                              <w:t xml:space="preserve"> group (green) from Lakes Patzcuaro and Zirahuén;</w:t>
                            </w:r>
                            <w:r w:rsidRPr="0080123C">
                              <w:rPr>
                                <w:rFonts w:ascii="Times New Roman" w:hAnsi="Times New Roman" w:cs="Times New Roman"/>
                                <w:bCs/>
                                <w:i/>
                                <w:iCs/>
                                <w:color w:val="000000" w:themeColor="text1"/>
                                <w:sz w:val="20"/>
                                <w:szCs w:val="20"/>
                              </w:rPr>
                              <w:t xml:space="preserve"> chapalae</w:t>
                            </w:r>
                            <w:r w:rsidRPr="0080123C">
                              <w:rPr>
                                <w:rFonts w:ascii="Times New Roman" w:hAnsi="Times New Roman" w:cs="Times New Roman"/>
                                <w:bCs/>
                                <w:color w:val="000000" w:themeColor="text1"/>
                                <w:sz w:val="20"/>
                                <w:szCs w:val="20"/>
                              </w:rPr>
                              <w:t xml:space="preserve"> group (red), from Lake Chapala; and </w:t>
                            </w:r>
                            <w:r w:rsidRPr="0080123C">
                              <w:rPr>
                                <w:rFonts w:ascii="Times New Roman" w:hAnsi="Times New Roman" w:cs="Times New Roman"/>
                                <w:bCs/>
                                <w:i/>
                                <w:iCs/>
                                <w:color w:val="000000" w:themeColor="text1"/>
                                <w:sz w:val="20"/>
                                <w:szCs w:val="20"/>
                              </w:rPr>
                              <w:t>C.</w:t>
                            </w:r>
                            <w:r w:rsidRPr="0080123C">
                              <w:rPr>
                                <w:rFonts w:ascii="Times New Roman" w:hAnsi="Times New Roman" w:cs="Times New Roman"/>
                                <w:bCs/>
                                <w:color w:val="000000" w:themeColor="text1"/>
                                <w:sz w:val="20"/>
                                <w:szCs w:val="20"/>
                              </w:rPr>
                              <w:t xml:space="preserve"> </w:t>
                            </w:r>
                            <w:r w:rsidRPr="0080123C">
                              <w:rPr>
                                <w:rFonts w:ascii="Times New Roman" w:hAnsi="Times New Roman" w:cs="Times New Roman"/>
                                <w:bCs/>
                                <w:i/>
                                <w:iCs/>
                                <w:color w:val="000000" w:themeColor="text1"/>
                                <w:sz w:val="20"/>
                                <w:szCs w:val="20"/>
                              </w:rPr>
                              <w:t>sphyraena</w:t>
                            </w:r>
                            <w:r w:rsidRPr="0080123C">
                              <w:rPr>
                                <w:rFonts w:ascii="Times New Roman" w:hAnsi="Times New Roman" w:cs="Times New Roman"/>
                                <w:bCs/>
                                <w:color w:val="000000" w:themeColor="text1"/>
                                <w:sz w:val="20"/>
                                <w:szCs w:val="20"/>
                              </w:rPr>
                              <w:t xml:space="preserve"> group (yellow), also from Lake Chapala. Outlier loci resolved three groups (k=3) where </w:t>
                            </w:r>
                            <w:r w:rsidRPr="0080123C">
                              <w:rPr>
                                <w:rFonts w:ascii="Times New Roman" w:hAnsi="Times New Roman" w:cs="Times New Roman"/>
                                <w:bCs/>
                                <w:i/>
                                <w:iCs/>
                                <w:color w:val="000000" w:themeColor="text1"/>
                                <w:sz w:val="20"/>
                                <w:szCs w:val="20"/>
                              </w:rPr>
                              <w:t>chapalae</w:t>
                            </w:r>
                            <w:r w:rsidRPr="0080123C">
                              <w:rPr>
                                <w:rFonts w:ascii="Times New Roman" w:hAnsi="Times New Roman" w:cs="Times New Roman"/>
                                <w:bCs/>
                                <w:color w:val="000000" w:themeColor="text1"/>
                                <w:sz w:val="20"/>
                                <w:szCs w:val="20"/>
                              </w:rPr>
                              <w:t xml:space="preserve"> and </w:t>
                            </w:r>
                            <w:r w:rsidRPr="0080123C">
                              <w:rPr>
                                <w:rFonts w:ascii="Times New Roman" w:hAnsi="Times New Roman" w:cs="Times New Roman"/>
                                <w:bCs/>
                                <w:i/>
                                <w:iCs/>
                                <w:color w:val="000000" w:themeColor="text1"/>
                                <w:sz w:val="20"/>
                                <w:szCs w:val="20"/>
                              </w:rPr>
                              <w:t>sphyraena</w:t>
                            </w:r>
                            <w:r w:rsidRPr="0080123C">
                              <w:rPr>
                                <w:rFonts w:ascii="Times New Roman" w:hAnsi="Times New Roman" w:cs="Times New Roman"/>
                                <w:bCs/>
                                <w:color w:val="000000" w:themeColor="text1"/>
                                <w:sz w:val="20"/>
                                <w:szCs w:val="20"/>
                              </w:rPr>
                              <w:t xml:space="preserve"> groups clustered together. Morphospecies are color-coded according to the genomic groups observed. In PCAs scatterplots the point clustering groups are delimited by convex hulls. In DAPC scatterplots, the point clustering groups are inside their 95% inertia ellipses, and the lines connect points to the mean value for each group. The eigenvalue bar plots are showing in the upper right of each figure. (c) Admixture assignment analyses estimated using all, neutral, and outlier SNPs consistently identified three well-differentiated clusters (k = 3). Each bar represents the probability of assignment to each cluster. Genomic clusters are color-coded as blue, </w:t>
                            </w:r>
                            <w:r w:rsidRPr="0080123C">
                              <w:rPr>
                                <w:rFonts w:ascii="Times New Roman" w:hAnsi="Times New Roman" w:cs="Times New Roman"/>
                                <w:bCs/>
                                <w:i/>
                                <w:iCs/>
                                <w:color w:val="000000" w:themeColor="text1"/>
                                <w:sz w:val="20"/>
                                <w:szCs w:val="20"/>
                              </w:rPr>
                              <w:t>humboldtianum sensu stricto</w:t>
                            </w:r>
                            <w:r w:rsidRPr="0080123C">
                              <w:rPr>
                                <w:rFonts w:ascii="Times New Roman" w:hAnsi="Times New Roman" w:cs="Times New Roman"/>
                                <w:bCs/>
                                <w:color w:val="000000" w:themeColor="text1"/>
                                <w:sz w:val="20"/>
                                <w:szCs w:val="20"/>
                              </w:rPr>
                              <w:t xml:space="preserve">, green, </w:t>
                            </w:r>
                            <w:r w:rsidRPr="0080123C">
                              <w:rPr>
                                <w:rFonts w:ascii="Times New Roman" w:hAnsi="Times New Roman" w:cs="Times New Roman"/>
                                <w:bCs/>
                                <w:i/>
                                <w:iCs/>
                                <w:color w:val="000000" w:themeColor="text1"/>
                                <w:sz w:val="20"/>
                                <w:szCs w:val="20"/>
                              </w:rPr>
                              <w:t>estor</w:t>
                            </w:r>
                            <w:r w:rsidRPr="0080123C">
                              <w:rPr>
                                <w:rFonts w:ascii="Times New Roman" w:hAnsi="Times New Roman" w:cs="Times New Roman"/>
                                <w:bCs/>
                                <w:color w:val="000000" w:themeColor="text1"/>
                                <w:sz w:val="20"/>
                                <w:szCs w:val="20"/>
                              </w:rPr>
                              <w:t xml:space="preserve"> group; orange, </w:t>
                            </w:r>
                            <w:r w:rsidRPr="0080123C">
                              <w:rPr>
                                <w:rFonts w:ascii="Times New Roman" w:hAnsi="Times New Roman" w:cs="Times New Roman"/>
                                <w:bCs/>
                                <w:i/>
                                <w:iCs/>
                                <w:color w:val="000000" w:themeColor="text1"/>
                                <w:sz w:val="20"/>
                                <w:szCs w:val="20"/>
                              </w:rPr>
                              <w:t>chapalae-sphyraena</w:t>
                            </w:r>
                            <w:r w:rsidRPr="0080123C">
                              <w:rPr>
                                <w:rFonts w:ascii="Times New Roman" w:hAnsi="Times New Roman" w:cs="Times New Roman"/>
                                <w:bCs/>
                                <w:color w:val="000000" w:themeColor="text1"/>
                                <w:sz w:val="20"/>
                                <w:szCs w:val="20"/>
                              </w:rPr>
                              <w:t xml:space="preserve"> group. CHA, Lake Chapala; TEP, Tepuxtepec Dam; TRI, Trinidad Fabela Dam; PAT, Lake Pátzcuaro; ZIR, Lake Zirahuén.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B53772" id="_x0000_t202" coordsize="21600,21600" o:spt="202" path="m,l,21600r21600,l21600,xe">
                <v:stroke joinstyle="miter"/>
                <v:path gradientshapeok="t" o:connecttype="rect"/>
              </v:shapetype>
              <v:shape id="_x0000_s1030" type="#_x0000_t202" style="position:absolute;left:0;text-align:left;margin-left:7.2pt;margin-top:7.85pt;width:457.1pt;height:20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" fillcolor="white [3201]" stroked="f" strokeweight=".5pt">
                <v:textbox>
                  <w:txbxContent>
                    <w:p w14:paraId="25205AB3" w14:textId="7AC71BEF" w:rsidR="0080123C" w:rsidRPr="0080123C" w:rsidRDefault="0080123C" w:rsidP="0080123C">
                      <w:pPr>
                        <w:widowControl w:val="0"/>
                        <w:autoSpaceDE w:val="0"/>
                        <w:autoSpaceDN w:val="0"/>
                        <w:adjustRightInd w:val="0"/>
                        <w:spacing w:before="120" w:after="120"/>
                        <w:jc w:val="both"/>
                        <w:rPr>
                          <w:rFonts w:ascii="Times New Roman" w:hAnsi="Times New Roman" w:cs="Times New Roman"/>
                          <w:bCs/>
                          <w:color w:val="000000" w:themeColor="text1"/>
                          <w:sz w:val="20"/>
                          <w:szCs w:val="20"/>
                        </w:rPr>
                      </w:pPr>
                      <w:r w:rsidRPr="00775128">
                        <w:rPr>
                          <w:rFonts w:ascii="Times New Roman" w:hAnsi="Times New Roman" w:cs="Times New Roman"/>
                          <w:b/>
                          <w:color w:val="000000" w:themeColor="text1"/>
                          <w:sz w:val="20"/>
                          <w:szCs w:val="20"/>
                        </w:rPr>
                        <w:t>Figure 2.</w:t>
                      </w:r>
                      <w:r w:rsidR="00067C76">
                        <w:rPr>
                          <w:rFonts w:ascii="Times New Roman" w:hAnsi="Times New Roman" w:cs="Times New Roman"/>
                          <w:b/>
                          <w:color w:val="000000" w:themeColor="text1"/>
                          <w:sz w:val="20"/>
                          <w:szCs w:val="20"/>
                        </w:rPr>
                        <w:t>2</w:t>
                      </w:r>
                      <w:r w:rsidRPr="0080123C">
                        <w:rPr>
                          <w:rFonts w:ascii="Times New Roman" w:hAnsi="Times New Roman" w:cs="Times New Roman"/>
                          <w:b/>
                          <w:bCs/>
                          <w:color w:val="000000" w:themeColor="text1"/>
                          <w:sz w:val="20"/>
                          <w:szCs w:val="20"/>
                        </w:rPr>
                        <w:t xml:space="preserve"> </w:t>
                      </w:r>
                      <w:r w:rsidRPr="0080123C">
                        <w:rPr>
                          <w:rFonts w:ascii="Times New Roman" w:hAnsi="Times New Roman" w:cs="Times New Roman"/>
                          <w:bCs/>
                          <w:color w:val="000000" w:themeColor="text1"/>
                          <w:sz w:val="20"/>
                          <w:szCs w:val="20"/>
                        </w:rPr>
                        <w:t>Multivariate and admixture results</w:t>
                      </w:r>
                      <w:r w:rsidRPr="0080123C">
                        <w:rPr>
                          <w:rFonts w:ascii="Times New Roman" w:hAnsi="Times New Roman" w:cs="Times New Roman"/>
                          <w:b/>
                          <w:bCs/>
                          <w:color w:val="000000" w:themeColor="text1"/>
                          <w:sz w:val="20"/>
                          <w:szCs w:val="20"/>
                        </w:rPr>
                        <w:t xml:space="preserve"> </w:t>
                      </w:r>
                      <w:r w:rsidRPr="0080123C">
                        <w:rPr>
                          <w:rFonts w:ascii="Times New Roman" w:hAnsi="Times New Roman" w:cs="Times New Roman"/>
                          <w:bCs/>
                          <w:color w:val="000000" w:themeColor="text1"/>
                          <w:sz w:val="20"/>
                          <w:szCs w:val="20"/>
                        </w:rPr>
                        <w:t>based on all, neutral, and outlier SNP loci from the matrix D (3564-snps loci),</w:t>
                      </w:r>
                      <w:r w:rsidRPr="0080123C">
                        <w:rPr>
                          <w:rFonts w:ascii="Times New Roman" w:hAnsi="Times New Roman" w:cs="Times New Roman"/>
                          <w:b/>
                          <w:bCs/>
                          <w:color w:val="000000" w:themeColor="text1"/>
                          <w:sz w:val="20"/>
                          <w:szCs w:val="20"/>
                        </w:rPr>
                        <w:t xml:space="preserve"> </w:t>
                      </w:r>
                      <w:r w:rsidRPr="0080123C">
                        <w:rPr>
                          <w:rFonts w:ascii="Times New Roman" w:hAnsi="Times New Roman" w:cs="Times New Roman"/>
                          <w:bCs/>
                          <w:color w:val="000000" w:themeColor="text1"/>
                          <w:sz w:val="20"/>
                          <w:szCs w:val="20"/>
                        </w:rPr>
                        <w:t>which explain the highest percentage of explained variation in the analyzes. (a)</w:t>
                      </w:r>
                      <w:r w:rsidRPr="0080123C">
                        <w:rPr>
                          <w:rFonts w:ascii="Times New Roman" w:hAnsi="Times New Roman" w:cs="Times New Roman"/>
                          <w:b/>
                          <w:bCs/>
                          <w:color w:val="000000" w:themeColor="text1"/>
                          <w:sz w:val="20"/>
                          <w:szCs w:val="20"/>
                        </w:rPr>
                        <w:t xml:space="preserve"> </w:t>
                      </w:r>
                      <w:r w:rsidRPr="0080123C">
                        <w:rPr>
                          <w:rFonts w:ascii="Times New Roman" w:hAnsi="Times New Roman" w:cs="Times New Roman"/>
                          <w:bCs/>
                          <w:color w:val="000000" w:themeColor="text1"/>
                          <w:sz w:val="20"/>
                          <w:szCs w:val="20"/>
                        </w:rPr>
                        <w:t xml:space="preserve">Principal component analyses (PCAs), and (b) Discriminant analyses of principal components (DAPCs) consistently recovered four genomic groups (k=4) with all and neutral loci that are in agreement with geographic patterns but not with the previously recognized morphospecies: </w:t>
                      </w:r>
                      <w:r w:rsidRPr="0080123C">
                        <w:rPr>
                          <w:rFonts w:ascii="Times New Roman" w:hAnsi="Times New Roman" w:cs="Times New Roman"/>
                          <w:bCs/>
                          <w:i/>
                          <w:iCs/>
                          <w:color w:val="000000" w:themeColor="text1"/>
                          <w:sz w:val="20"/>
                          <w:szCs w:val="20"/>
                        </w:rPr>
                        <w:t>humboldtianum sensu stricto</w:t>
                      </w:r>
                      <w:r w:rsidRPr="0080123C">
                        <w:rPr>
                          <w:rFonts w:ascii="Times New Roman" w:hAnsi="Times New Roman" w:cs="Times New Roman"/>
                          <w:bCs/>
                          <w:color w:val="000000" w:themeColor="text1"/>
                          <w:sz w:val="20"/>
                          <w:szCs w:val="20"/>
                        </w:rPr>
                        <w:t xml:space="preserve"> group (blue), from Lake Zacapu; </w:t>
                      </w:r>
                      <w:r w:rsidRPr="0080123C">
                        <w:rPr>
                          <w:rFonts w:ascii="Times New Roman" w:hAnsi="Times New Roman" w:cs="Times New Roman"/>
                          <w:bCs/>
                          <w:i/>
                          <w:iCs/>
                          <w:color w:val="000000" w:themeColor="text1"/>
                          <w:sz w:val="20"/>
                          <w:szCs w:val="20"/>
                        </w:rPr>
                        <w:t>estor</w:t>
                      </w:r>
                      <w:r w:rsidRPr="0080123C">
                        <w:rPr>
                          <w:rFonts w:ascii="Times New Roman" w:hAnsi="Times New Roman" w:cs="Times New Roman"/>
                          <w:bCs/>
                          <w:color w:val="000000" w:themeColor="text1"/>
                          <w:sz w:val="20"/>
                          <w:szCs w:val="20"/>
                        </w:rPr>
                        <w:t xml:space="preserve"> group (green) from Lakes Patzcuaro and Zirahuén;</w:t>
                      </w:r>
                      <w:r w:rsidRPr="0080123C">
                        <w:rPr>
                          <w:rFonts w:ascii="Times New Roman" w:hAnsi="Times New Roman" w:cs="Times New Roman"/>
                          <w:bCs/>
                          <w:i/>
                          <w:iCs/>
                          <w:color w:val="000000" w:themeColor="text1"/>
                          <w:sz w:val="20"/>
                          <w:szCs w:val="20"/>
                        </w:rPr>
                        <w:t xml:space="preserve"> chapalae</w:t>
                      </w:r>
                      <w:r w:rsidRPr="0080123C">
                        <w:rPr>
                          <w:rFonts w:ascii="Times New Roman" w:hAnsi="Times New Roman" w:cs="Times New Roman"/>
                          <w:bCs/>
                          <w:color w:val="000000" w:themeColor="text1"/>
                          <w:sz w:val="20"/>
                          <w:szCs w:val="20"/>
                        </w:rPr>
                        <w:t xml:space="preserve"> group (red), from Lake Chapala; and </w:t>
                      </w:r>
                      <w:r w:rsidRPr="0080123C">
                        <w:rPr>
                          <w:rFonts w:ascii="Times New Roman" w:hAnsi="Times New Roman" w:cs="Times New Roman"/>
                          <w:bCs/>
                          <w:i/>
                          <w:iCs/>
                          <w:color w:val="000000" w:themeColor="text1"/>
                          <w:sz w:val="20"/>
                          <w:szCs w:val="20"/>
                        </w:rPr>
                        <w:t>C.</w:t>
                      </w:r>
                      <w:r w:rsidRPr="0080123C">
                        <w:rPr>
                          <w:rFonts w:ascii="Times New Roman" w:hAnsi="Times New Roman" w:cs="Times New Roman"/>
                          <w:bCs/>
                          <w:color w:val="000000" w:themeColor="text1"/>
                          <w:sz w:val="20"/>
                          <w:szCs w:val="20"/>
                        </w:rPr>
                        <w:t xml:space="preserve"> </w:t>
                      </w:r>
                      <w:r w:rsidRPr="0080123C">
                        <w:rPr>
                          <w:rFonts w:ascii="Times New Roman" w:hAnsi="Times New Roman" w:cs="Times New Roman"/>
                          <w:bCs/>
                          <w:i/>
                          <w:iCs/>
                          <w:color w:val="000000" w:themeColor="text1"/>
                          <w:sz w:val="20"/>
                          <w:szCs w:val="20"/>
                        </w:rPr>
                        <w:t>sphyraena</w:t>
                      </w:r>
                      <w:r w:rsidRPr="0080123C">
                        <w:rPr>
                          <w:rFonts w:ascii="Times New Roman" w:hAnsi="Times New Roman" w:cs="Times New Roman"/>
                          <w:bCs/>
                          <w:color w:val="000000" w:themeColor="text1"/>
                          <w:sz w:val="20"/>
                          <w:szCs w:val="20"/>
                        </w:rPr>
                        <w:t xml:space="preserve"> group (yellow), also from Lake Chapala. Outlier loci resolved three groups (k=3) where </w:t>
                      </w:r>
                      <w:r w:rsidRPr="0080123C">
                        <w:rPr>
                          <w:rFonts w:ascii="Times New Roman" w:hAnsi="Times New Roman" w:cs="Times New Roman"/>
                          <w:bCs/>
                          <w:i/>
                          <w:iCs/>
                          <w:color w:val="000000" w:themeColor="text1"/>
                          <w:sz w:val="20"/>
                          <w:szCs w:val="20"/>
                        </w:rPr>
                        <w:t>chapalae</w:t>
                      </w:r>
                      <w:r w:rsidRPr="0080123C">
                        <w:rPr>
                          <w:rFonts w:ascii="Times New Roman" w:hAnsi="Times New Roman" w:cs="Times New Roman"/>
                          <w:bCs/>
                          <w:color w:val="000000" w:themeColor="text1"/>
                          <w:sz w:val="20"/>
                          <w:szCs w:val="20"/>
                        </w:rPr>
                        <w:t xml:space="preserve"> and </w:t>
                      </w:r>
                      <w:r w:rsidRPr="0080123C">
                        <w:rPr>
                          <w:rFonts w:ascii="Times New Roman" w:hAnsi="Times New Roman" w:cs="Times New Roman"/>
                          <w:bCs/>
                          <w:i/>
                          <w:iCs/>
                          <w:color w:val="000000" w:themeColor="text1"/>
                          <w:sz w:val="20"/>
                          <w:szCs w:val="20"/>
                        </w:rPr>
                        <w:t>sphyraena</w:t>
                      </w:r>
                      <w:r w:rsidRPr="0080123C">
                        <w:rPr>
                          <w:rFonts w:ascii="Times New Roman" w:hAnsi="Times New Roman" w:cs="Times New Roman"/>
                          <w:bCs/>
                          <w:color w:val="000000" w:themeColor="text1"/>
                          <w:sz w:val="20"/>
                          <w:szCs w:val="20"/>
                        </w:rPr>
                        <w:t xml:space="preserve"> groups clustered together. Morphospecies are color-coded according to the genomic groups observed. In PCAs scatterplots the point clustering groups are delimited by convex hulls. In DAPC scatterplots, the point clustering groups are inside their 95% inertia ellipses, and the lines connect points to the mean value for each group. The eigenvalue bar plots are showing in the upper right of each figure. (c) Admixture assignment analyses estimated using all, neutral, and outlier SNPs consistently identified three well-differentiated clusters (k = 3). Each bar represents the probability of assignment to each cluster. Genomic clusters are color-coded as blue, </w:t>
                      </w:r>
                      <w:r w:rsidRPr="0080123C">
                        <w:rPr>
                          <w:rFonts w:ascii="Times New Roman" w:hAnsi="Times New Roman" w:cs="Times New Roman"/>
                          <w:bCs/>
                          <w:i/>
                          <w:iCs/>
                          <w:color w:val="000000" w:themeColor="text1"/>
                          <w:sz w:val="20"/>
                          <w:szCs w:val="20"/>
                        </w:rPr>
                        <w:t>humboldtianum sensu stricto</w:t>
                      </w:r>
                      <w:r w:rsidRPr="0080123C">
                        <w:rPr>
                          <w:rFonts w:ascii="Times New Roman" w:hAnsi="Times New Roman" w:cs="Times New Roman"/>
                          <w:bCs/>
                          <w:color w:val="000000" w:themeColor="text1"/>
                          <w:sz w:val="20"/>
                          <w:szCs w:val="20"/>
                        </w:rPr>
                        <w:t xml:space="preserve">, green, </w:t>
                      </w:r>
                      <w:r w:rsidRPr="0080123C">
                        <w:rPr>
                          <w:rFonts w:ascii="Times New Roman" w:hAnsi="Times New Roman" w:cs="Times New Roman"/>
                          <w:bCs/>
                          <w:i/>
                          <w:iCs/>
                          <w:color w:val="000000" w:themeColor="text1"/>
                          <w:sz w:val="20"/>
                          <w:szCs w:val="20"/>
                        </w:rPr>
                        <w:t>estor</w:t>
                      </w:r>
                      <w:r w:rsidRPr="0080123C">
                        <w:rPr>
                          <w:rFonts w:ascii="Times New Roman" w:hAnsi="Times New Roman" w:cs="Times New Roman"/>
                          <w:bCs/>
                          <w:color w:val="000000" w:themeColor="text1"/>
                          <w:sz w:val="20"/>
                          <w:szCs w:val="20"/>
                        </w:rPr>
                        <w:t xml:space="preserve"> group; orange, </w:t>
                      </w:r>
                      <w:r w:rsidRPr="0080123C">
                        <w:rPr>
                          <w:rFonts w:ascii="Times New Roman" w:hAnsi="Times New Roman" w:cs="Times New Roman"/>
                          <w:bCs/>
                          <w:i/>
                          <w:iCs/>
                          <w:color w:val="000000" w:themeColor="text1"/>
                          <w:sz w:val="20"/>
                          <w:szCs w:val="20"/>
                        </w:rPr>
                        <w:t>chapalae-sphyraena</w:t>
                      </w:r>
                      <w:r w:rsidRPr="0080123C">
                        <w:rPr>
                          <w:rFonts w:ascii="Times New Roman" w:hAnsi="Times New Roman" w:cs="Times New Roman"/>
                          <w:bCs/>
                          <w:color w:val="000000" w:themeColor="text1"/>
                          <w:sz w:val="20"/>
                          <w:szCs w:val="20"/>
                        </w:rPr>
                        <w:t xml:space="preserve"> group. CHA, Lake Chapala; TEP, Tepuxtepec Dam; TRI, Trinidad Fabela Dam; PAT, Lake Pátzcuaro; ZIR, Lake Zirahuén.</w:t>
                      </w:r>
                    </w:p>
                  </w:txbxContent>
                </v:textbox>
              </v:shape>
            </w:pict>
          </mc:Fallback>
        </mc:AlternateContent>
      </w:r>
    </w:p>
    <w:p w14:paraId="25BF8ED4" w14:textId="10B78631" w:rsidR="0080123C" w:rsidRDefault="0080123C" w:rsidP="00BD2DBB">
      <w:pPr>
        <w:jc w:val="both"/>
        <w:rPr>
          <w:rFonts w:asciiTheme="majorBidi" w:hAnsiTheme="majorBidi" w:cstheme="majorBidi"/>
          <w:bCs/>
          <w:sz w:val="24"/>
          <w:szCs w:val="24"/>
        </w:rPr>
      </w:pPr>
    </w:p>
    <w:p w14:paraId="17C94D20" w14:textId="459EA2EA" w:rsidR="0080123C" w:rsidRDefault="0080123C" w:rsidP="00BD2DBB">
      <w:pPr>
        <w:jc w:val="both"/>
        <w:rPr>
          <w:rFonts w:asciiTheme="majorBidi" w:hAnsiTheme="majorBidi" w:cstheme="majorBidi"/>
          <w:bCs/>
          <w:sz w:val="24"/>
          <w:szCs w:val="24"/>
        </w:rPr>
      </w:pPr>
    </w:p>
    <w:p w14:paraId="49D59077" w14:textId="3A192F33" w:rsidR="0080123C" w:rsidRDefault="0080123C" w:rsidP="00BD2DBB">
      <w:pPr>
        <w:jc w:val="both"/>
        <w:rPr>
          <w:rFonts w:asciiTheme="majorBidi" w:hAnsiTheme="majorBidi" w:cstheme="majorBidi"/>
          <w:bCs/>
          <w:sz w:val="24"/>
          <w:szCs w:val="24"/>
        </w:rPr>
      </w:pPr>
    </w:p>
    <w:p w14:paraId="1A38242B" w14:textId="77777777" w:rsidR="0080123C" w:rsidRDefault="0080123C" w:rsidP="00BD2DBB">
      <w:pPr>
        <w:jc w:val="both"/>
        <w:rPr>
          <w:rFonts w:asciiTheme="majorBidi" w:hAnsiTheme="majorBidi" w:cstheme="majorBidi"/>
          <w:bCs/>
          <w:sz w:val="24"/>
          <w:szCs w:val="24"/>
        </w:rPr>
      </w:pPr>
    </w:p>
    <w:p w14:paraId="2C762DE7" w14:textId="77777777" w:rsidR="0080123C" w:rsidRDefault="0080123C" w:rsidP="00BD2DBB">
      <w:pPr>
        <w:jc w:val="both"/>
        <w:rPr>
          <w:rFonts w:asciiTheme="majorBidi" w:hAnsiTheme="majorBidi" w:cstheme="majorBidi"/>
          <w:bCs/>
          <w:sz w:val="24"/>
          <w:szCs w:val="24"/>
        </w:rPr>
      </w:pPr>
    </w:p>
    <w:p w14:paraId="40B0042F" w14:textId="77777777" w:rsidR="0080123C" w:rsidRDefault="0080123C" w:rsidP="00BD2DBB">
      <w:pPr>
        <w:jc w:val="both"/>
        <w:rPr>
          <w:rFonts w:asciiTheme="majorBidi" w:hAnsiTheme="majorBidi" w:cstheme="majorBidi"/>
          <w:bCs/>
          <w:sz w:val="24"/>
          <w:szCs w:val="24"/>
        </w:rPr>
      </w:pPr>
    </w:p>
    <w:p w14:paraId="202F0640" w14:textId="77777777" w:rsidR="0080123C" w:rsidRDefault="0080123C" w:rsidP="00BD2DBB">
      <w:pPr>
        <w:jc w:val="both"/>
        <w:rPr>
          <w:rFonts w:asciiTheme="majorBidi" w:hAnsiTheme="majorBidi" w:cstheme="majorBidi"/>
          <w:bCs/>
          <w:sz w:val="24"/>
          <w:szCs w:val="24"/>
        </w:rPr>
      </w:pPr>
    </w:p>
    <w:p w14:paraId="37AE4835" w14:textId="77777777" w:rsidR="0080123C" w:rsidRDefault="0080123C" w:rsidP="00BD2DBB">
      <w:pPr>
        <w:jc w:val="both"/>
        <w:rPr>
          <w:rFonts w:asciiTheme="majorBidi" w:hAnsiTheme="majorBidi" w:cstheme="majorBidi"/>
          <w:bCs/>
          <w:sz w:val="24"/>
          <w:szCs w:val="24"/>
        </w:rPr>
      </w:pPr>
    </w:p>
    <w:p w14:paraId="6D0D8EE1" w14:textId="77777777" w:rsidR="0080123C" w:rsidRPr="00BD2DBB" w:rsidRDefault="0080123C" w:rsidP="00BD2DBB">
      <w:pPr>
        <w:jc w:val="both"/>
        <w:rPr>
          <w:rFonts w:asciiTheme="majorBidi" w:hAnsiTheme="majorBidi" w:cstheme="majorBidi"/>
          <w:bCs/>
          <w:sz w:val="24"/>
          <w:szCs w:val="24"/>
        </w:rPr>
      </w:pPr>
    </w:p>
    <w:p w14:paraId="7ACDE66B" w14:textId="5CAB7BC3" w:rsidR="007911AC" w:rsidRDefault="00BD2DBB" w:rsidP="00BD2DBB">
      <w:pPr>
        <w:jc w:val="both"/>
        <w:rPr>
          <w:rFonts w:asciiTheme="majorBidi" w:hAnsiTheme="majorBidi" w:cstheme="majorBidi"/>
          <w:bCs/>
          <w:sz w:val="24"/>
          <w:szCs w:val="24"/>
        </w:rPr>
      </w:pPr>
      <w:r w:rsidRPr="00BD2DBB">
        <w:rPr>
          <w:rFonts w:asciiTheme="majorBidi" w:hAnsiTheme="majorBidi" w:cstheme="majorBidi"/>
          <w:bCs/>
          <w:sz w:val="24"/>
          <w:szCs w:val="24"/>
        </w:rPr>
        <w:lastRenderedPageBreak/>
        <w:tab/>
        <w:t xml:space="preserve">Pairwise </w:t>
      </w:r>
      <w:r w:rsidRPr="00BD2DBB">
        <w:rPr>
          <w:rFonts w:asciiTheme="majorBidi" w:hAnsiTheme="majorBidi" w:cstheme="majorBidi"/>
          <w:bCs/>
          <w:i/>
          <w:iCs/>
          <w:sz w:val="24"/>
          <w:szCs w:val="24"/>
        </w:rPr>
        <w:t>F</w:t>
      </w:r>
      <w:r w:rsidRPr="00BD2DBB">
        <w:rPr>
          <w:rFonts w:asciiTheme="majorBidi" w:hAnsiTheme="majorBidi" w:cstheme="majorBidi"/>
          <w:bCs/>
          <w:sz w:val="24"/>
          <w:szCs w:val="24"/>
          <w:vertAlign w:val="subscript"/>
        </w:rPr>
        <w:t>ST</w:t>
      </w:r>
      <w:r w:rsidRPr="00BD2DBB">
        <w:rPr>
          <w:rFonts w:asciiTheme="majorBidi" w:hAnsiTheme="majorBidi" w:cstheme="majorBidi"/>
          <w:bCs/>
          <w:sz w:val="24"/>
          <w:szCs w:val="24"/>
        </w:rPr>
        <w:t xml:space="preserve"> comparisons were much higher and statistically more significant at inter-lacustrine than at intra-lacustrine levels, reflecting a strong correlation between genetic structure and geography (Tables S4–S7). Pairwise </w:t>
      </w:r>
      <w:r w:rsidRPr="00BD2DBB">
        <w:rPr>
          <w:rFonts w:asciiTheme="majorBidi" w:hAnsiTheme="majorBidi" w:cstheme="majorBidi"/>
          <w:bCs/>
          <w:i/>
          <w:iCs/>
          <w:sz w:val="24"/>
          <w:szCs w:val="24"/>
        </w:rPr>
        <w:t>F</w:t>
      </w:r>
      <w:r w:rsidRPr="00BD2DBB">
        <w:rPr>
          <w:rFonts w:asciiTheme="majorBidi" w:hAnsiTheme="majorBidi" w:cstheme="majorBidi"/>
          <w:bCs/>
          <w:sz w:val="24"/>
          <w:szCs w:val="24"/>
          <w:vertAlign w:val="subscript"/>
        </w:rPr>
        <w:t>ST</w:t>
      </w:r>
      <w:r w:rsidRPr="00BD2DBB">
        <w:rPr>
          <w:rFonts w:asciiTheme="majorBidi" w:hAnsiTheme="majorBidi" w:cstheme="majorBidi"/>
          <w:bCs/>
          <w:sz w:val="24"/>
          <w:szCs w:val="24"/>
        </w:rPr>
        <w:t xml:space="preserve"> values between the nine morphospecies varied from 0.023–0.256 and were mostly significant (</w:t>
      </w:r>
      <w:r w:rsidRPr="00BD2DBB">
        <w:rPr>
          <w:rFonts w:asciiTheme="majorBidi" w:hAnsiTheme="majorBidi" w:cstheme="majorBidi"/>
          <w:bCs/>
          <w:i/>
          <w:iCs/>
          <w:sz w:val="24"/>
          <w:szCs w:val="24"/>
        </w:rPr>
        <w:t>p</w:t>
      </w:r>
      <w:r w:rsidRPr="00BD2DBB">
        <w:rPr>
          <w:rFonts w:asciiTheme="majorBidi" w:hAnsiTheme="majorBidi" w:cstheme="majorBidi"/>
          <w:bCs/>
          <w:sz w:val="24"/>
          <w:szCs w:val="24"/>
        </w:rPr>
        <w:t xml:space="preserve"> values &lt; 0.0012, α = 0.0014) at inter-lacustrine comparisons, with the exception of </w:t>
      </w:r>
      <w:r w:rsidRPr="00BD2DBB">
        <w:rPr>
          <w:rFonts w:asciiTheme="majorBidi" w:hAnsiTheme="majorBidi" w:cstheme="majorBidi"/>
          <w:bCs/>
          <w:i/>
          <w:iCs/>
          <w:sz w:val="24"/>
          <w:szCs w:val="24"/>
        </w:rPr>
        <w:t>C. chapalae</w:t>
      </w:r>
      <w:r w:rsidRPr="00BD2DBB">
        <w:rPr>
          <w:rFonts w:asciiTheme="majorBidi" w:hAnsiTheme="majorBidi" w:cstheme="majorBidi"/>
          <w:bCs/>
          <w:sz w:val="24"/>
          <w:szCs w:val="24"/>
        </w:rPr>
        <w:t xml:space="preserve"> which showed no significant differentiation with the rest of the morphospecies. By contrast, comparisons among sympatric morphospecies from Lakes Chapala and Pátzcuaro yield negative non-significant values (</w:t>
      </w:r>
      <w:r w:rsidRPr="00BD2DBB">
        <w:rPr>
          <w:rFonts w:asciiTheme="majorBidi" w:hAnsiTheme="majorBidi" w:cstheme="majorBidi"/>
          <w:bCs/>
          <w:i/>
          <w:iCs/>
          <w:sz w:val="24"/>
          <w:szCs w:val="24"/>
        </w:rPr>
        <w:t>F</w:t>
      </w:r>
      <w:r w:rsidRPr="00BD2DBB">
        <w:rPr>
          <w:rFonts w:asciiTheme="majorBidi" w:hAnsiTheme="majorBidi" w:cstheme="majorBidi"/>
          <w:bCs/>
          <w:sz w:val="24"/>
          <w:szCs w:val="24"/>
          <w:vertAlign w:val="subscript"/>
        </w:rPr>
        <w:t>ST</w:t>
      </w:r>
      <w:r w:rsidRPr="00BD2DBB">
        <w:rPr>
          <w:rFonts w:asciiTheme="majorBidi" w:hAnsiTheme="majorBidi" w:cstheme="majorBidi"/>
          <w:bCs/>
          <w:sz w:val="24"/>
          <w:szCs w:val="24"/>
        </w:rPr>
        <w:t xml:space="preserve"> = -0.317–-0.012, </w:t>
      </w:r>
      <w:r w:rsidRPr="00BD2DBB">
        <w:rPr>
          <w:rFonts w:asciiTheme="majorBidi" w:hAnsiTheme="majorBidi" w:cstheme="majorBidi"/>
          <w:bCs/>
          <w:i/>
          <w:iCs/>
          <w:sz w:val="24"/>
          <w:szCs w:val="24"/>
        </w:rPr>
        <w:t>p</w:t>
      </w:r>
      <w:r w:rsidRPr="00BD2DBB">
        <w:rPr>
          <w:rFonts w:asciiTheme="majorBidi" w:hAnsiTheme="majorBidi" w:cstheme="majorBidi"/>
          <w:bCs/>
          <w:sz w:val="24"/>
          <w:szCs w:val="24"/>
        </w:rPr>
        <w:t xml:space="preserve"> values &gt; 0.029), except for </w:t>
      </w:r>
      <w:r w:rsidRPr="00BD2DBB">
        <w:rPr>
          <w:rFonts w:asciiTheme="majorBidi" w:hAnsiTheme="majorBidi" w:cstheme="majorBidi"/>
          <w:bCs/>
          <w:i/>
          <w:iCs/>
          <w:sz w:val="24"/>
          <w:szCs w:val="24"/>
        </w:rPr>
        <w:t>C. sphyraena</w:t>
      </w:r>
      <w:r w:rsidRPr="00BD2DBB">
        <w:rPr>
          <w:rFonts w:asciiTheme="majorBidi" w:hAnsiTheme="majorBidi" w:cstheme="majorBidi"/>
          <w:bCs/>
          <w:sz w:val="24"/>
          <w:szCs w:val="24"/>
        </w:rPr>
        <w:t xml:space="preserve">, which was significantly different than the rest (Table S4). A greater genetic differentiation was found between the five </w:t>
      </w:r>
      <w:r w:rsidRPr="00BD2DBB">
        <w:rPr>
          <w:rFonts w:asciiTheme="majorBidi" w:hAnsiTheme="majorBidi" w:cstheme="majorBidi"/>
          <w:bCs/>
          <w:i/>
          <w:iCs/>
          <w:sz w:val="24"/>
          <w:szCs w:val="24"/>
        </w:rPr>
        <w:t>mt</w:t>
      </w:r>
      <w:r w:rsidRPr="00BD2DBB">
        <w:rPr>
          <w:rFonts w:asciiTheme="majorBidi" w:hAnsiTheme="majorBidi" w:cstheme="majorBidi"/>
          <w:bCs/>
          <w:sz w:val="24"/>
          <w:szCs w:val="24"/>
        </w:rPr>
        <w:t>DNA haplogroups (0.050–0.246), where the majority of the pairwise comparisons were significantly different (</w:t>
      </w:r>
      <w:r w:rsidRPr="00BD2DBB">
        <w:rPr>
          <w:rFonts w:asciiTheme="majorBidi" w:hAnsiTheme="majorBidi" w:cstheme="majorBidi"/>
          <w:bCs/>
          <w:i/>
          <w:iCs/>
          <w:sz w:val="24"/>
          <w:szCs w:val="24"/>
        </w:rPr>
        <w:t>p</w:t>
      </w:r>
      <w:r w:rsidRPr="00BD2DBB">
        <w:rPr>
          <w:rFonts w:asciiTheme="majorBidi" w:hAnsiTheme="majorBidi" w:cstheme="majorBidi"/>
          <w:bCs/>
          <w:sz w:val="24"/>
          <w:szCs w:val="24"/>
        </w:rPr>
        <w:t xml:space="preserve"> values &lt; 0.0001, α = 0.005), except for comparisons between subspecies </w:t>
      </w:r>
      <w:r w:rsidRPr="00BD2DBB">
        <w:rPr>
          <w:rFonts w:asciiTheme="majorBidi" w:hAnsiTheme="majorBidi" w:cstheme="majorBidi"/>
          <w:bCs/>
          <w:i/>
          <w:iCs/>
          <w:sz w:val="24"/>
          <w:szCs w:val="24"/>
        </w:rPr>
        <w:t>C. e. estor</w:t>
      </w:r>
      <w:r w:rsidRPr="00BD2DBB">
        <w:rPr>
          <w:rFonts w:asciiTheme="majorBidi" w:hAnsiTheme="majorBidi" w:cstheme="majorBidi"/>
          <w:bCs/>
          <w:sz w:val="24"/>
          <w:szCs w:val="24"/>
        </w:rPr>
        <w:t xml:space="preserve"> and </w:t>
      </w:r>
      <w:r w:rsidRPr="00BD2DBB">
        <w:rPr>
          <w:rFonts w:asciiTheme="majorBidi" w:hAnsiTheme="majorBidi" w:cstheme="majorBidi"/>
          <w:bCs/>
          <w:i/>
          <w:iCs/>
          <w:sz w:val="24"/>
          <w:szCs w:val="24"/>
        </w:rPr>
        <w:t xml:space="preserve">C. e. copandaro </w:t>
      </w:r>
      <w:r w:rsidRPr="00BD2DBB">
        <w:rPr>
          <w:rFonts w:asciiTheme="majorBidi" w:hAnsiTheme="majorBidi" w:cstheme="majorBidi"/>
          <w:bCs/>
          <w:sz w:val="24"/>
          <w:szCs w:val="24"/>
        </w:rPr>
        <w:t>(</w:t>
      </w:r>
      <w:r w:rsidRPr="00BD2DBB">
        <w:rPr>
          <w:rFonts w:asciiTheme="majorBidi" w:hAnsiTheme="majorBidi" w:cstheme="majorBidi"/>
          <w:bCs/>
          <w:i/>
          <w:iCs/>
          <w:sz w:val="24"/>
          <w:szCs w:val="24"/>
        </w:rPr>
        <w:t>p</w:t>
      </w:r>
      <w:r w:rsidRPr="00BD2DBB">
        <w:rPr>
          <w:rFonts w:asciiTheme="majorBidi" w:hAnsiTheme="majorBidi" w:cstheme="majorBidi"/>
          <w:bCs/>
          <w:sz w:val="24"/>
          <w:szCs w:val="24"/>
        </w:rPr>
        <w:t xml:space="preserve"> value = 0.05; Table S5). </w:t>
      </w:r>
      <w:r w:rsidRPr="00BD2DBB">
        <w:rPr>
          <w:rFonts w:asciiTheme="majorBidi" w:hAnsiTheme="majorBidi" w:cstheme="majorBidi"/>
          <w:bCs/>
          <w:i/>
          <w:iCs/>
          <w:sz w:val="24"/>
          <w:szCs w:val="24"/>
        </w:rPr>
        <w:t>F</w:t>
      </w:r>
      <w:r w:rsidRPr="00BD2DBB">
        <w:rPr>
          <w:rFonts w:asciiTheme="majorBidi" w:hAnsiTheme="majorBidi" w:cstheme="majorBidi"/>
          <w:bCs/>
          <w:sz w:val="24"/>
          <w:szCs w:val="24"/>
          <w:vertAlign w:val="subscript"/>
        </w:rPr>
        <w:t>ST</w:t>
      </w:r>
      <w:r w:rsidRPr="00BD2DBB">
        <w:rPr>
          <w:rFonts w:asciiTheme="majorBidi" w:hAnsiTheme="majorBidi" w:cstheme="majorBidi"/>
          <w:bCs/>
          <w:sz w:val="24"/>
          <w:szCs w:val="24"/>
        </w:rPr>
        <w:t xml:space="preserve"> values between DAPC clusters were significant and varied from 0.04–0.248 (</w:t>
      </w:r>
      <w:r w:rsidRPr="00BD2DBB">
        <w:rPr>
          <w:rFonts w:asciiTheme="majorBidi" w:hAnsiTheme="majorBidi" w:cstheme="majorBidi"/>
          <w:bCs/>
          <w:i/>
          <w:iCs/>
          <w:sz w:val="24"/>
          <w:szCs w:val="24"/>
        </w:rPr>
        <w:t>p</w:t>
      </w:r>
      <w:r w:rsidRPr="00BD2DBB">
        <w:rPr>
          <w:rFonts w:asciiTheme="majorBidi" w:hAnsiTheme="majorBidi" w:cstheme="majorBidi"/>
          <w:bCs/>
          <w:sz w:val="24"/>
          <w:szCs w:val="24"/>
        </w:rPr>
        <w:t xml:space="preserve"> values &lt; 0.0001, α = 0.0083; Table S6); the three genomic groups detected by the admixture analyses also resulted in significant </w:t>
      </w:r>
      <w:r w:rsidRPr="00BD2DBB">
        <w:rPr>
          <w:rFonts w:asciiTheme="majorBidi" w:hAnsiTheme="majorBidi" w:cstheme="majorBidi"/>
          <w:bCs/>
          <w:i/>
          <w:iCs/>
          <w:sz w:val="24"/>
          <w:szCs w:val="24"/>
        </w:rPr>
        <w:t>F</w:t>
      </w:r>
      <w:r w:rsidRPr="00BD2DBB">
        <w:rPr>
          <w:rFonts w:asciiTheme="majorBidi" w:hAnsiTheme="majorBidi" w:cstheme="majorBidi"/>
          <w:bCs/>
          <w:sz w:val="24"/>
          <w:szCs w:val="24"/>
          <w:vertAlign w:val="subscript"/>
        </w:rPr>
        <w:t>ST</w:t>
      </w:r>
      <w:r w:rsidRPr="00BD2DBB">
        <w:rPr>
          <w:rFonts w:asciiTheme="majorBidi" w:hAnsiTheme="majorBidi" w:cstheme="majorBidi"/>
          <w:bCs/>
          <w:sz w:val="24"/>
          <w:szCs w:val="24"/>
        </w:rPr>
        <w:t xml:space="preserve"> values (0.120–0.217, </w:t>
      </w:r>
      <w:r w:rsidRPr="00BD2DBB">
        <w:rPr>
          <w:rFonts w:asciiTheme="majorBidi" w:hAnsiTheme="majorBidi" w:cstheme="majorBidi"/>
          <w:bCs/>
          <w:i/>
          <w:iCs/>
          <w:sz w:val="24"/>
          <w:szCs w:val="24"/>
        </w:rPr>
        <w:t>p</w:t>
      </w:r>
      <w:r w:rsidRPr="00BD2DBB">
        <w:rPr>
          <w:rFonts w:asciiTheme="majorBidi" w:hAnsiTheme="majorBidi" w:cstheme="majorBidi"/>
          <w:bCs/>
          <w:sz w:val="24"/>
          <w:szCs w:val="24"/>
        </w:rPr>
        <w:t xml:space="preserve"> values &lt; 0.0001, α = 0.017; Table S7). Finally, the genetic structure between ‘peces blancos’ and ‘charales’ ecotypes (-0.005–0.001) was not significant in any of the intra-lacustrine comparisons (</w:t>
      </w:r>
      <w:r w:rsidRPr="00BD2DBB">
        <w:rPr>
          <w:rFonts w:asciiTheme="majorBidi" w:hAnsiTheme="majorBidi" w:cstheme="majorBidi"/>
          <w:bCs/>
          <w:i/>
          <w:iCs/>
          <w:sz w:val="24"/>
          <w:szCs w:val="24"/>
        </w:rPr>
        <w:t>p</w:t>
      </w:r>
      <w:r w:rsidRPr="00BD2DBB">
        <w:rPr>
          <w:rFonts w:asciiTheme="majorBidi" w:hAnsiTheme="majorBidi" w:cstheme="majorBidi"/>
          <w:bCs/>
          <w:sz w:val="24"/>
          <w:szCs w:val="24"/>
        </w:rPr>
        <w:t xml:space="preserve"> values = 0.01–0.027, α = 0.005; Table S8).</w:t>
      </w:r>
    </w:p>
    <w:p w14:paraId="6016C49F" w14:textId="77777777" w:rsidR="00252717" w:rsidRPr="00252717" w:rsidRDefault="00252717" w:rsidP="00252717">
      <w:pPr>
        <w:jc w:val="both"/>
        <w:rPr>
          <w:rFonts w:asciiTheme="majorBidi" w:hAnsiTheme="majorBidi" w:cstheme="majorBidi"/>
          <w:b/>
          <w:bCs/>
          <w:sz w:val="28"/>
          <w:szCs w:val="28"/>
        </w:rPr>
      </w:pPr>
      <w:r w:rsidRPr="00252717">
        <w:rPr>
          <w:rFonts w:asciiTheme="majorBidi" w:hAnsiTheme="majorBidi" w:cstheme="majorBidi"/>
          <w:b/>
          <w:bCs/>
          <w:sz w:val="28"/>
          <w:szCs w:val="28"/>
        </w:rPr>
        <w:t>Phylogenetic analyses</w:t>
      </w:r>
    </w:p>
    <w:p w14:paraId="0395A080" w14:textId="7C08DD17" w:rsidR="00252717" w:rsidRPr="00252717" w:rsidRDefault="00252717" w:rsidP="00252717">
      <w:pPr>
        <w:jc w:val="both"/>
        <w:rPr>
          <w:rFonts w:asciiTheme="majorBidi" w:hAnsiTheme="majorBidi" w:cstheme="majorBidi"/>
          <w:bCs/>
          <w:sz w:val="24"/>
          <w:szCs w:val="24"/>
        </w:rPr>
      </w:pPr>
      <w:r w:rsidRPr="00252717">
        <w:rPr>
          <w:rFonts w:asciiTheme="majorBidi" w:hAnsiTheme="majorBidi" w:cstheme="majorBidi"/>
          <w:bCs/>
          <w:sz w:val="24"/>
          <w:szCs w:val="24"/>
        </w:rPr>
        <w:t xml:space="preserve">Phylogenetic inferences in a ML framework based on matrices A, C, D and E of all and neutral SNP loci resolved three highly supported clades (ultrafast bootstrap or UFBoot = 90–99%; Figs. </w:t>
      </w:r>
      <w:r w:rsidR="005C4C7F">
        <w:rPr>
          <w:rFonts w:asciiTheme="majorBidi" w:hAnsiTheme="majorBidi" w:cstheme="majorBidi"/>
          <w:bCs/>
          <w:sz w:val="24"/>
          <w:szCs w:val="24"/>
        </w:rPr>
        <w:t>2.</w:t>
      </w:r>
      <w:r w:rsidRPr="00252717">
        <w:rPr>
          <w:rFonts w:asciiTheme="majorBidi" w:hAnsiTheme="majorBidi" w:cstheme="majorBidi"/>
          <w:bCs/>
          <w:sz w:val="24"/>
          <w:szCs w:val="24"/>
        </w:rPr>
        <w:t xml:space="preserve">3a and S8), which are largely in agreement with the results from admixture analyses. Matrix B resolve well Clades I and III, but Clade II was paraphyletic (Fig. S8). Clade I clustered species within </w:t>
      </w:r>
      <w:r w:rsidRPr="00252717">
        <w:rPr>
          <w:rFonts w:asciiTheme="majorBidi" w:hAnsiTheme="majorBidi" w:cstheme="majorBidi"/>
          <w:bCs/>
          <w:i/>
          <w:sz w:val="24"/>
          <w:szCs w:val="24"/>
        </w:rPr>
        <w:t xml:space="preserve">chapalae </w:t>
      </w:r>
      <w:r w:rsidRPr="00252717">
        <w:rPr>
          <w:rFonts w:asciiTheme="majorBidi" w:hAnsiTheme="majorBidi" w:cstheme="majorBidi"/>
          <w:bCs/>
          <w:iCs/>
          <w:sz w:val="24"/>
          <w:szCs w:val="24"/>
        </w:rPr>
        <w:t xml:space="preserve">and </w:t>
      </w:r>
      <w:r w:rsidRPr="00252717">
        <w:rPr>
          <w:rFonts w:asciiTheme="majorBidi" w:hAnsiTheme="majorBidi" w:cstheme="majorBidi"/>
          <w:bCs/>
          <w:i/>
          <w:sz w:val="24"/>
          <w:szCs w:val="24"/>
        </w:rPr>
        <w:t>sphyraena</w:t>
      </w:r>
      <w:r w:rsidRPr="00252717">
        <w:rPr>
          <w:rFonts w:asciiTheme="majorBidi" w:hAnsiTheme="majorBidi" w:cstheme="majorBidi"/>
          <w:bCs/>
          <w:i/>
          <w:iCs/>
          <w:sz w:val="24"/>
          <w:szCs w:val="24"/>
        </w:rPr>
        <w:t xml:space="preserve"> </w:t>
      </w:r>
      <w:r w:rsidRPr="00252717">
        <w:rPr>
          <w:rFonts w:asciiTheme="majorBidi" w:hAnsiTheme="majorBidi" w:cstheme="majorBidi"/>
          <w:bCs/>
          <w:sz w:val="24"/>
          <w:szCs w:val="24"/>
        </w:rPr>
        <w:t xml:space="preserve">groups from Lake Chapala (UFBoot = 83–95%); clade II is formed by the </w:t>
      </w:r>
      <w:r w:rsidRPr="00252717">
        <w:rPr>
          <w:rFonts w:asciiTheme="majorBidi" w:hAnsiTheme="majorBidi" w:cstheme="majorBidi"/>
          <w:bCs/>
          <w:i/>
          <w:iCs/>
          <w:sz w:val="24"/>
          <w:szCs w:val="24"/>
        </w:rPr>
        <w:t>humboldtianum</w:t>
      </w:r>
      <w:r w:rsidRPr="00252717">
        <w:rPr>
          <w:rFonts w:asciiTheme="majorBidi" w:hAnsiTheme="majorBidi" w:cstheme="majorBidi"/>
          <w:bCs/>
          <w:sz w:val="24"/>
          <w:szCs w:val="24"/>
        </w:rPr>
        <w:t xml:space="preserve"> </w:t>
      </w:r>
      <w:r w:rsidRPr="00252717">
        <w:rPr>
          <w:rFonts w:asciiTheme="majorBidi" w:hAnsiTheme="majorBidi" w:cstheme="majorBidi"/>
          <w:bCs/>
          <w:i/>
          <w:iCs/>
          <w:sz w:val="24"/>
          <w:szCs w:val="24"/>
        </w:rPr>
        <w:t>sensu stricto</w:t>
      </w:r>
      <w:r w:rsidRPr="00252717">
        <w:rPr>
          <w:rFonts w:asciiTheme="majorBidi" w:hAnsiTheme="majorBidi" w:cstheme="majorBidi"/>
          <w:bCs/>
          <w:sz w:val="24"/>
          <w:szCs w:val="24"/>
        </w:rPr>
        <w:t xml:space="preserve"> group from Lake Zacapu and dams (UFBoot = 73–100%); and clade III is represented by the </w:t>
      </w:r>
      <w:r w:rsidRPr="00252717">
        <w:rPr>
          <w:rFonts w:asciiTheme="majorBidi" w:hAnsiTheme="majorBidi" w:cstheme="majorBidi"/>
          <w:bCs/>
          <w:i/>
          <w:iCs/>
          <w:sz w:val="24"/>
          <w:szCs w:val="24"/>
        </w:rPr>
        <w:t xml:space="preserve">estor </w:t>
      </w:r>
      <w:r w:rsidRPr="00252717">
        <w:rPr>
          <w:rFonts w:asciiTheme="majorBidi" w:hAnsiTheme="majorBidi" w:cstheme="majorBidi"/>
          <w:bCs/>
          <w:sz w:val="24"/>
          <w:szCs w:val="24"/>
        </w:rPr>
        <w:t xml:space="preserve">group from Lakes Pátzcuaro and Zirahuén (UFBoot = 100%). Samples of </w:t>
      </w:r>
      <w:r w:rsidRPr="00252717">
        <w:rPr>
          <w:rFonts w:asciiTheme="majorBidi" w:hAnsiTheme="majorBidi" w:cstheme="majorBidi"/>
          <w:bCs/>
          <w:i/>
          <w:iCs/>
          <w:sz w:val="24"/>
          <w:szCs w:val="24"/>
        </w:rPr>
        <w:t>C. sphyraena</w:t>
      </w:r>
      <w:r w:rsidRPr="00252717">
        <w:rPr>
          <w:rFonts w:asciiTheme="majorBidi" w:hAnsiTheme="majorBidi" w:cstheme="majorBidi"/>
          <w:bCs/>
          <w:sz w:val="24"/>
          <w:szCs w:val="24"/>
        </w:rPr>
        <w:t xml:space="preserve"> and the subspecies </w:t>
      </w:r>
      <w:r w:rsidRPr="00252717">
        <w:rPr>
          <w:rFonts w:asciiTheme="majorBidi" w:hAnsiTheme="majorBidi" w:cstheme="majorBidi"/>
          <w:bCs/>
          <w:i/>
          <w:iCs/>
          <w:sz w:val="24"/>
          <w:szCs w:val="24"/>
        </w:rPr>
        <w:t>C. e. copandaro</w:t>
      </w:r>
      <w:r w:rsidRPr="00252717">
        <w:rPr>
          <w:rFonts w:asciiTheme="majorBidi" w:hAnsiTheme="majorBidi" w:cstheme="majorBidi"/>
          <w:bCs/>
          <w:sz w:val="24"/>
          <w:szCs w:val="24"/>
        </w:rPr>
        <w:t xml:space="preserve"> were resolved as monophyletic within clade I (UFBoot = 80–100%) and clade III (UFBoot = 94–97%), respectively. While the phylogenetic trees obtained with outlier loci datasets showed less resolution than those using the complete matrix, these different analyses resolved the reciprocal monophyly between Clade I and Clades II-III, except in matrix A, where Clade I was paraphyletic. Also, the relationship between Clade II and III was more problematic: in some cases, these clades recovered the reciprocal monophyly between both clades (matrices A and C), but in the other cases, they were paraphyletic (databases B, D, and E) (Fig. S8).</w:t>
      </w:r>
      <w:r w:rsidRPr="00252717" w:rsidDel="00447A5E">
        <w:rPr>
          <w:rFonts w:asciiTheme="majorBidi" w:hAnsiTheme="majorBidi" w:cstheme="majorBidi"/>
          <w:bCs/>
          <w:sz w:val="24"/>
          <w:szCs w:val="24"/>
        </w:rPr>
        <w:t xml:space="preserve"> </w:t>
      </w:r>
    </w:p>
    <w:p w14:paraId="752BEA80" w14:textId="75578BE7" w:rsidR="00414101" w:rsidRPr="00252717" w:rsidRDefault="00252717" w:rsidP="002B61E9">
      <w:pPr>
        <w:ind w:firstLine="720"/>
        <w:jc w:val="both"/>
        <w:rPr>
          <w:rFonts w:asciiTheme="majorBidi" w:hAnsiTheme="majorBidi" w:cstheme="majorBidi"/>
          <w:bCs/>
          <w:sz w:val="24"/>
          <w:szCs w:val="24"/>
        </w:rPr>
      </w:pPr>
      <w:r w:rsidRPr="00252717">
        <w:rPr>
          <w:rFonts w:asciiTheme="majorBidi" w:hAnsiTheme="majorBidi" w:cstheme="majorBidi"/>
          <w:bCs/>
          <w:sz w:val="24"/>
          <w:szCs w:val="24"/>
        </w:rPr>
        <w:t>Tree inference based on mitochondrial data failed to resolve the groups identified with our genome-wide RADseq analyses, a case of mitonuc</w:t>
      </w:r>
      <w:r>
        <w:rPr>
          <w:rFonts w:asciiTheme="majorBidi" w:hAnsiTheme="majorBidi" w:cstheme="majorBidi"/>
          <w:bCs/>
          <w:sz w:val="24"/>
          <w:szCs w:val="24"/>
        </w:rPr>
        <w:t>l</w:t>
      </w:r>
      <w:r w:rsidRPr="00252717">
        <w:rPr>
          <w:rFonts w:asciiTheme="majorBidi" w:hAnsiTheme="majorBidi" w:cstheme="majorBidi"/>
          <w:bCs/>
          <w:sz w:val="24"/>
          <w:szCs w:val="24"/>
        </w:rPr>
        <w:t xml:space="preserve">ear discordance between both datasets results (Figs. </w:t>
      </w:r>
      <w:r w:rsidR="005C4C7F">
        <w:rPr>
          <w:rFonts w:asciiTheme="majorBidi" w:hAnsiTheme="majorBidi" w:cstheme="majorBidi"/>
          <w:bCs/>
          <w:sz w:val="24"/>
          <w:szCs w:val="24"/>
        </w:rPr>
        <w:t>2.</w:t>
      </w:r>
      <w:r w:rsidRPr="00252717">
        <w:rPr>
          <w:rFonts w:asciiTheme="majorBidi" w:hAnsiTheme="majorBidi" w:cstheme="majorBidi"/>
          <w:bCs/>
          <w:sz w:val="24"/>
          <w:szCs w:val="24"/>
        </w:rPr>
        <w:t xml:space="preserve">3c and S9). However, similar to the ddRADseq phylogenies, analyses of the mitochondrial genealogies and a phylogeny estimated using the concatenated matrix did not delineate any clear monophyletic groups according to morphospecies boundaries. Although some groupings comprised of neighboring localities were resolved with the </w:t>
      </w:r>
      <w:r w:rsidRPr="00252717">
        <w:rPr>
          <w:rFonts w:asciiTheme="majorBidi" w:hAnsiTheme="majorBidi" w:cstheme="majorBidi"/>
          <w:bCs/>
          <w:i/>
          <w:iCs/>
          <w:sz w:val="24"/>
          <w:szCs w:val="24"/>
        </w:rPr>
        <w:t>mt</w:t>
      </w:r>
      <w:r w:rsidRPr="00252717">
        <w:rPr>
          <w:rFonts w:asciiTheme="majorBidi" w:hAnsiTheme="majorBidi" w:cstheme="majorBidi"/>
          <w:bCs/>
          <w:sz w:val="24"/>
          <w:szCs w:val="24"/>
        </w:rPr>
        <w:t xml:space="preserve">DNA trees, resulting clades from these trees are not cohesively clustered by geography. The </w:t>
      </w:r>
      <w:r w:rsidRPr="00252717">
        <w:rPr>
          <w:rFonts w:asciiTheme="majorBidi" w:hAnsiTheme="majorBidi" w:cstheme="majorBidi"/>
          <w:bCs/>
          <w:i/>
          <w:iCs/>
          <w:sz w:val="24"/>
          <w:szCs w:val="24"/>
        </w:rPr>
        <w:t>Cytb</w:t>
      </w:r>
      <w:r w:rsidRPr="00252717">
        <w:rPr>
          <w:rFonts w:asciiTheme="majorBidi" w:hAnsiTheme="majorBidi" w:cstheme="majorBidi"/>
          <w:bCs/>
          <w:sz w:val="24"/>
          <w:szCs w:val="24"/>
        </w:rPr>
        <w:t xml:space="preserve"> genealogy resolved the monophyly of </w:t>
      </w:r>
      <w:r w:rsidRPr="00252717">
        <w:rPr>
          <w:rFonts w:asciiTheme="majorBidi" w:hAnsiTheme="majorBidi" w:cstheme="majorBidi"/>
          <w:bCs/>
          <w:i/>
          <w:iCs/>
          <w:sz w:val="24"/>
          <w:szCs w:val="24"/>
        </w:rPr>
        <w:t>C. sphyraena</w:t>
      </w:r>
      <w:r w:rsidRPr="00252717">
        <w:rPr>
          <w:rFonts w:asciiTheme="majorBidi" w:hAnsiTheme="majorBidi" w:cstheme="majorBidi"/>
          <w:bCs/>
          <w:sz w:val="24"/>
          <w:szCs w:val="24"/>
        </w:rPr>
        <w:t xml:space="preserve">, a result that is in agreement with the RADseq phylogeny and previous studies </w:t>
      </w:r>
      <w:r w:rsidRPr="00252717">
        <w:rPr>
          <w:rFonts w:asciiTheme="majorBidi" w:hAnsiTheme="majorBidi" w:cstheme="majorBidi"/>
          <w:bCs/>
          <w:sz w:val="24"/>
          <w:szCs w:val="24"/>
        </w:rPr>
        <w:lastRenderedPageBreak/>
        <w:fldChar w:fldCharType="begin" w:fldLock="1"/>
      </w:r>
      <w:r w:rsidRPr="00252717">
        <w:rPr>
          <w:rFonts w:asciiTheme="majorBidi" w:hAnsiTheme="majorBidi" w:cstheme="majorBidi"/>
          <w:bCs/>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252717">
        <w:rPr>
          <w:rFonts w:asciiTheme="majorBidi" w:hAnsiTheme="majorBidi" w:cstheme="majorBidi"/>
          <w:bCs/>
          <w:sz w:val="24"/>
          <w:szCs w:val="24"/>
        </w:rPr>
        <w:fldChar w:fldCharType="separate"/>
      </w:r>
      <w:r w:rsidRPr="00252717">
        <w:rPr>
          <w:rFonts w:asciiTheme="majorBidi" w:hAnsiTheme="majorBidi" w:cstheme="majorBidi"/>
          <w:bCs/>
          <w:sz w:val="24"/>
          <w:szCs w:val="24"/>
        </w:rPr>
        <w:t>[11]</w:t>
      </w:r>
      <w:r w:rsidRPr="00252717">
        <w:rPr>
          <w:rFonts w:asciiTheme="majorBidi" w:hAnsiTheme="majorBidi" w:cstheme="majorBidi"/>
          <w:bCs/>
          <w:sz w:val="24"/>
          <w:szCs w:val="24"/>
        </w:rPr>
        <w:fldChar w:fldCharType="end"/>
      </w:r>
      <w:r w:rsidRPr="00252717">
        <w:rPr>
          <w:rFonts w:asciiTheme="majorBidi" w:hAnsiTheme="majorBidi" w:cstheme="majorBidi"/>
          <w:bCs/>
          <w:sz w:val="24"/>
          <w:szCs w:val="24"/>
        </w:rPr>
        <w:t xml:space="preserve">. However, these relationships were not resolved with confidence (UFBoot &lt; 95%). Overall, none of the phylogenetic hypotheses were concordant with the morphospecies or ecotypes proposed within the </w:t>
      </w:r>
      <w:r w:rsidRPr="00252717">
        <w:rPr>
          <w:rFonts w:asciiTheme="majorBidi" w:hAnsiTheme="majorBidi" w:cstheme="majorBidi"/>
          <w:bCs/>
          <w:i/>
          <w:iCs/>
          <w:sz w:val="24"/>
          <w:szCs w:val="24"/>
        </w:rPr>
        <w:t xml:space="preserve">humboldtianum </w:t>
      </w:r>
      <w:r w:rsidRPr="00252717">
        <w:rPr>
          <w:rFonts w:asciiTheme="majorBidi" w:hAnsiTheme="majorBidi" w:cstheme="majorBidi"/>
          <w:bCs/>
          <w:sz w:val="24"/>
          <w:szCs w:val="24"/>
        </w:rPr>
        <w:t xml:space="preserve">group (Figs. </w:t>
      </w:r>
      <w:r w:rsidR="005C4C7F">
        <w:rPr>
          <w:rFonts w:asciiTheme="majorBidi" w:hAnsiTheme="majorBidi" w:cstheme="majorBidi"/>
          <w:bCs/>
          <w:sz w:val="24"/>
          <w:szCs w:val="24"/>
        </w:rPr>
        <w:t>2.</w:t>
      </w:r>
      <w:r w:rsidRPr="00252717">
        <w:rPr>
          <w:rFonts w:asciiTheme="majorBidi" w:hAnsiTheme="majorBidi" w:cstheme="majorBidi"/>
          <w:bCs/>
          <w:sz w:val="24"/>
          <w:szCs w:val="24"/>
        </w:rPr>
        <w:t>3 and S9).</w:t>
      </w:r>
    </w:p>
    <w:p w14:paraId="4475E432" w14:textId="77777777" w:rsidR="00F22381" w:rsidRPr="00F22381" w:rsidRDefault="00F22381" w:rsidP="00F22381">
      <w:pPr>
        <w:jc w:val="both"/>
        <w:rPr>
          <w:rFonts w:asciiTheme="majorBidi" w:hAnsiTheme="majorBidi" w:cstheme="majorBidi"/>
          <w:b/>
          <w:bCs/>
          <w:sz w:val="28"/>
          <w:szCs w:val="28"/>
        </w:rPr>
      </w:pPr>
      <w:r w:rsidRPr="00F22381">
        <w:rPr>
          <w:rFonts w:asciiTheme="majorBidi" w:hAnsiTheme="majorBidi" w:cstheme="majorBidi"/>
          <w:b/>
          <w:bCs/>
          <w:sz w:val="28"/>
          <w:szCs w:val="28"/>
        </w:rPr>
        <w:t>Multispecies coalescent analyses</w:t>
      </w:r>
    </w:p>
    <w:p w14:paraId="4AB886B6" w14:textId="72D879E2" w:rsidR="00F22381" w:rsidRDefault="00F22381" w:rsidP="00F22381">
      <w:pPr>
        <w:jc w:val="both"/>
        <w:rPr>
          <w:rFonts w:asciiTheme="majorBidi" w:hAnsiTheme="majorBidi" w:cstheme="majorBidi"/>
          <w:bCs/>
          <w:sz w:val="24"/>
          <w:szCs w:val="24"/>
        </w:rPr>
      </w:pPr>
      <w:r w:rsidRPr="00F22381">
        <w:rPr>
          <w:rFonts w:asciiTheme="majorBidi" w:hAnsiTheme="majorBidi" w:cstheme="majorBidi"/>
          <w:bCs/>
          <w:sz w:val="24"/>
          <w:szCs w:val="24"/>
        </w:rPr>
        <w:t>The species tree estimated with SNAPP also evidenced the three geographically cohesive clades (I, II, and III;</w:t>
      </w:r>
      <w:r w:rsidRPr="00F22381" w:rsidDel="00D33615">
        <w:rPr>
          <w:rFonts w:asciiTheme="majorBidi" w:hAnsiTheme="majorBidi" w:cstheme="majorBidi"/>
          <w:bCs/>
          <w:sz w:val="24"/>
          <w:szCs w:val="24"/>
        </w:rPr>
        <w:t xml:space="preserve"> </w:t>
      </w:r>
      <w:r w:rsidRPr="00F22381">
        <w:rPr>
          <w:rFonts w:asciiTheme="majorBidi" w:hAnsiTheme="majorBidi" w:cstheme="majorBidi"/>
          <w:bCs/>
          <w:sz w:val="24"/>
          <w:szCs w:val="24"/>
        </w:rPr>
        <w:t xml:space="preserve">Fig. </w:t>
      </w:r>
      <w:r w:rsidR="005C4C7F">
        <w:rPr>
          <w:rFonts w:asciiTheme="majorBidi" w:hAnsiTheme="majorBidi" w:cstheme="majorBidi"/>
          <w:bCs/>
          <w:sz w:val="24"/>
          <w:szCs w:val="24"/>
        </w:rPr>
        <w:t>2.</w:t>
      </w:r>
      <w:r w:rsidRPr="00F22381">
        <w:rPr>
          <w:rFonts w:asciiTheme="majorBidi" w:hAnsiTheme="majorBidi" w:cstheme="majorBidi"/>
          <w:bCs/>
          <w:sz w:val="24"/>
          <w:szCs w:val="24"/>
        </w:rPr>
        <w:t>3b). Coalescent-based species delimitation analyses using the BFD* method selected species delimitation scenarios of four and five species as the top-ranked models with the highest MLE values (MLE = -30568.17 and -21025.86–-11910.25 respectively;</w:t>
      </w:r>
      <w:r w:rsidRPr="00F22381" w:rsidDel="00263ECC">
        <w:rPr>
          <w:rFonts w:asciiTheme="majorBidi" w:hAnsiTheme="majorBidi" w:cstheme="majorBidi"/>
          <w:bCs/>
          <w:sz w:val="24"/>
          <w:szCs w:val="24"/>
        </w:rPr>
        <w:t xml:space="preserve"> </w:t>
      </w:r>
      <w:r w:rsidRPr="00F22381">
        <w:rPr>
          <w:rFonts w:asciiTheme="majorBidi" w:hAnsiTheme="majorBidi" w:cstheme="majorBidi"/>
          <w:bCs/>
          <w:sz w:val="24"/>
          <w:szCs w:val="24"/>
        </w:rPr>
        <w:t xml:space="preserve">Table 1). The main difference of the models of four and five species relies on the subspecies </w:t>
      </w:r>
      <w:r w:rsidRPr="00F22381">
        <w:rPr>
          <w:rFonts w:asciiTheme="majorBidi" w:hAnsiTheme="majorBidi" w:cstheme="majorBidi"/>
          <w:bCs/>
          <w:i/>
          <w:iCs/>
          <w:sz w:val="24"/>
          <w:szCs w:val="24"/>
        </w:rPr>
        <w:t>C. e. copandaro</w:t>
      </w:r>
      <w:r w:rsidRPr="00F22381">
        <w:rPr>
          <w:rFonts w:asciiTheme="majorBidi" w:hAnsiTheme="majorBidi" w:cstheme="majorBidi"/>
          <w:bCs/>
          <w:sz w:val="24"/>
          <w:szCs w:val="24"/>
        </w:rPr>
        <w:t xml:space="preserve"> from Lake Zirahuén forming a different group from </w:t>
      </w:r>
      <w:r w:rsidRPr="00F22381">
        <w:rPr>
          <w:rFonts w:asciiTheme="majorBidi" w:hAnsiTheme="majorBidi" w:cstheme="majorBidi"/>
          <w:bCs/>
          <w:i/>
          <w:iCs/>
          <w:sz w:val="24"/>
          <w:szCs w:val="24"/>
        </w:rPr>
        <w:t>C. e. estor</w:t>
      </w:r>
      <w:r w:rsidRPr="00F22381">
        <w:rPr>
          <w:rFonts w:asciiTheme="majorBidi" w:hAnsiTheme="majorBidi" w:cstheme="majorBidi"/>
          <w:bCs/>
          <w:sz w:val="24"/>
          <w:szCs w:val="24"/>
        </w:rPr>
        <w:t xml:space="preserve"> and the sympatric species in Lake Pátzcuaro. Overall, the fact that the Bayes factors analyses supported models of four (subset 1 and 3) and five species (subset 2) is decisive compared with nine species that reflects the current taxonomy (BF = 295.56, 507.42, and 850.28 respectively; Table 1) and when compared to the alternative models of three species (BF = 158.53, 504.88 and 660.41 respectively; Table 1).</w:t>
      </w:r>
    </w:p>
    <w:p w14:paraId="59A91B48" w14:textId="77777777" w:rsidR="009841C7" w:rsidRPr="00370CB9" w:rsidRDefault="009841C7" w:rsidP="009841C7">
      <w:pPr>
        <w:jc w:val="both"/>
        <w:rPr>
          <w:rFonts w:asciiTheme="majorBidi" w:hAnsiTheme="majorBidi" w:cstheme="majorBidi"/>
          <w:b/>
          <w:bCs/>
          <w:sz w:val="28"/>
          <w:szCs w:val="28"/>
        </w:rPr>
      </w:pPr>
      <w:r w:rsidRPr="00370CB9">
        <w:rPr>
          <w:rFonts w:asciiTheme="majorBidi" w:hAnsiTheme="majorBidi" w:cstheme="majorBidi"/>
          <w:b/>
          <w:bCs/>
          <w:sz w:val="28"/>
          <w:szCs w:val="28"/>
        </w:rPr>
        <w:t>Genetic diversity and effective population size (</w:t>
      </w:r>
      <w:r w:rsidRPr="00370CB9">
        <w:rPr>
          <w:rFonts w:asciiTheme="majorBidi" w:hAnsiTheme="majorBidi" w:cstheme="majorBidi"/>
          <w:b/>
          <w:bCs/>
          <w:i/>
          <w:iCs/>
          <w:sz w:val="28"/>
          <w:szCs w:val="28"/>
        </w:rPr>
        <w:t>Ne</w:t>
      </w:r>
      <w:r w:rsidRPr="00370CB9">
        <w:rPr>
          <w:rFonts w:asciiTheme="majorBidi" w:hAnsiTheme="majorBidi" w:cstheme="majorBidi"/>
          <w:b/>
          <w:bCs/>
          <w:sz w:val="28"/>
          <w:szCs w:val="28"/>
        </w:rPr>
        <w:t>) analyses</w:t>
      </w:r>
    </w:p>
    <w:p w14:paraId="47887C49" w14:textId="77777777" w:rsidR="009841C7" w:rsidRPr="00370CB9" w:rsidRDefault="009841C7" w:rsidP="009841C7">
      <w:pPr>
        <w:jc w:val="both"/>
        <w:rPr>
          <w:rFonts w:asciiTheme="majorBidi" w:hAnsiTheme="majorBidi" w:cstheme="majorBidi"/>
          <w:bCs/>
          <w:sz w:val="24"/>
          <w:szCs w:val="24"/>
        </w:rPr>
      </w:pPr>
      <w:r w:rsidRPr="00370CB9">
        <w:rPr>
          <w:rFonts w:asciiTheme="majorBidi" w:hAnsiTheme="majorBidi" w:cstheme="majorBidi"/>
          <w:bCs/>
          <w:sz w:val="24"/>
          <w:szCs w:val="24"/>
        </w:rPr>
        <w:t>The genomic diversity of</w:t>
      </w:r>
      <w:r w:rsidRPr="00370CB9">
        <w:rPr>
          <w:rFonts w:asciiTheme="majorBidi" w:hAnsiTheme="majorBidi" w:cstheme="majorBidi"/>
          <w:bCs/>
          <w:i/>
          <w:iCs/>
          <w:sz w:val="24"/>
          <w:szCs w:val="24"/>
        </w:rPr>
        <w:t xml:space="preserve"> </w:t>
      </w:r>
      <w:r w:rsidRPr="00370CB9">
        <w:rPr>
          <w:rFonts w:asciiTheme="majorBidi" w:hAnsiTheme="majorBidi" w:cstheme="majorBidi"/>
          <w:bCs/>
          <w:sz w:val="24"/>
          <w:szCs w:val="24"/>
        </w:rPr>
        <w:t xml:space="preserve">the </w:t>
      </w:r>
      <w:r w:rsidRPr="00370CB9">
        <w:rPr>
          <w:rFonts w:asciiTheme="majorBidi" w:hAnsiTheme="majorBidi" w:cstheme="majorBidi"/>
          <w:bCs/>
          <w:i/>
          <w:iCs/>
          <w:sz w:val="24"/>
          <w:szCs w:val="24"/>
        </w:rPr>
        <w:t xml:space="preserve">humboldtianum </w:t>
      </w:r>
      <w:r w:rsidRPr="00370CB9">
        <w:rPr>
          <w:rFonts w:asciiTheme="majorBidi" w:hAnsiTheme="majorBidi" w:cstheme="majorBidi"/>
          <w:bCs/>
          <w:sz w:val="24"/>
          <w:szCs w:val="24"/>
        </w:rPr>
        <w:t>group is summarized in Table 2. The observed and expected heterozygosity (</w:t>
      </w:r>
      <w:r w:rsidRPr="00370CB9">
        <w:rPr>
          <w:rFonts w:asciiTheme="majorBidi" w:hAnsiTheme="majorBidi" w:cstheme="majorBidi"/>
          <w:bCs/>
          <w:i/>
          <w:iCs/>
          <w:sz w:val="24"/>
          <w:szCs w:val="24"/>
        </w:rPr>
        <w:t>Ho</w:t>
      </w:r>
      <w:r w:rsidRPr="00370CB9">
        <w:rPr>
          <w:rFonts w:asciiTheme="majorBidi" w:hAnsiTheme="majorBidi" w:cstheme="majorBidi"/>
          <w:bCs/>
          <w:sz w:val="24"/>
          <w:szCs w:val="24"/>
        </w:rPr>
        <w:t xml:space="preserve"> and </w:t>
      </w:r>
      <w:r w:rsidRPr="00370CB9">
        <w:rPr>
          <w:rFonts w:asciiTheme="majorBidi" w:hAnsiTheme="majorBidi" w:cstheme="majorBidi"/>
          <w:bCs/>
          <w:i/>
          <w:iCs/>
          <w:sz w:val="24"/>
          <w:szCs w:val="24"/>
        </w:rPr>
        <w:t>He</w:t>
      </w:r>
      <w:r w:rsidRPr="00370CB9">
        <w:rPr>
          <w:rFonts w:asciiTheme="majorBidi" w:hAnsiTheme="majorBidi" w:cstheme="majorBidi"/>
          <w:bCs/>
          <w:sz w:val="24"/>
          <w:szCs w:val="24"/>
        </w:rPr>
        <w:t>) across different lineages was 0.097–0.136 and 0.084–0.139, respectively. All lineages distributed within Lake Chapala revealed higher genetic diversity (</w:t>
      </w:r>
      <w:r w:rsidRPr="00370CB9">
        <w:rPr>
          <w:rFonts w:asciiTheme="majorBidi" w:hAnsiTheme="majorBidi" w:cstheme="majorBidi"/>
          <w:bCs/>
          <w:i/>
          <w:iCs/>
          <w:sz w:val="24"/>
          <w:szCs w:val="24"/>
        </w:rPr>
        <w:t>Ho</w:t>
      </w:r>
      <w:r w:rsidRPr="00370CB9">
        <w:rPr>
          <w:rFonts w:asciiTheme="majorBidi" w:hAnsiTheme="majorBidi" w:cstheme="majorBidi"/>
          <w:bCs/>
          <w:sz w:val="24"/>
          <w:szCs w:val="24"/>
        </w:rPr>
        <w:t xml:space="preserve"> = 0.123–0.138) than those in the Lakes Zacapu and Pátzcuaro-Zirahuén (</w:t>
      </w:r>
      <w:r w:rsidRPr="00370CB9">
        <w:rPr>
          <w:rFonts w:asciiTheme="majorBidi" w:hAnsiTheme="majorBidi" w:cstheme="majorBidi"/>
          <w:bCs/>
          <w:i/>
          <w:iCs/>
          <w:sz w:val="24"/>
          <w:szCs w:val="24"/>
        </w:rPr>
        <w:t>Ho</w:t>
      </w:r>
      <w:r w:rsidRPr="00370CB9">
        <w:rPr>
          <w:rFonts w:asciiTheme="majorBidi" w:hAnsiTheme="majorBidi" w:cstheme="majorBidi"/>
          <w:bCs/>
          <w:sz w:val="24"/>
          <w:szCs w:val="24"/>
        </w:rPr>
        <w:t xml:space="preserve"> = 0.100–0.126) (Table 2). The values of </w:t>
      </w:r>
      <w:r w:rsidRPr="00370CB9">
        <w:rPr>
          <w:rFonts w:asciiTheme="majorBidi" w:hAnsiTheme="majorBidi" w:cstheme="majorBidi"/>
          <w:bCs/>
          <w:i/>
          <w:iCs/>
          <w:sz w:val="24"/>
          <w:szCs w:val="24"/>
        </w:rPr>
        <w:t>Ne</w:t>
      </w:r>
      <w:r w:rsidRPr="00370CB9">
        <w:rPr>
          <w:rFonts w:asciiTheme="majorBidi" w:hAnsiTheme="majorBidi" w:cstheme="majorBidi"/>
          <w:bCs/>
          <w:sz w:val="24"/>
          <w:szCs w:val="24"/>
        </w:rPr>
        <w:t xml:space="preserve"> estimator (</w:t>
      </w:r>
      <w:proofErr w:type="spellStart"/>
      <w:r w:rsidRPr="00370CB9">
        <w:rPr>
          <w:rFonts w:asciiTheme="majorBidi" w:hAnsiTheme="majorBidi" w:cstheme="majorBidi"/>
          <w:bCs/>
          <w:i/>
          <w:iCs/>
          <w:sz w:val="24"/>
          <w:szCs w:val="24"/>
        </w:rPr>
        <w:t>HetExcessNe</w:t>
      </w:r>
      <w:proofErr w:type="spellEnd"/>
      <w:r w:rsidRPr="00370CB9">
        <w:rPr>
          <w:rFonts w:asciiTheme="majorBidi" w:hAnsiTheme="majorBidi" w:cstheme="majorBidi"/>
          <w:bCs/>
          <w:sz w:val="24"/>
          <w:szCs w:val="24"/>
        </w:rPr>
        <w:t xml:space="preserve"> and </w:t>
      </w:r>
      <w:proofErr w:type="spellStart"/>
      <w:r w:rsidRPr="00370CB9">
        <w:rPr>
          <w:rFonts w:asciiTheme="majorBidi" w:hAnsiTheme="majorBidi" w:cstheme="majorBidi"/>
          <w:bCs/>
          <w:i/>
          <w:iCs/>
          <w:sz w:val="24"/>
          <w:szCs w:val="24"/>
        </w:rPr>
        <w:t>CoancentryNe</w:t>
      </w:r>
      <w:proofErr w:type="spellEnd"/>
      <w:r w:rsidRPr="00370CB9">
        <w:rPr>
          <w:rFonts w:asciiTheme="majorBidi" w:hAnsiTheme="majorBidi" w:cstheme="majorBidi"/>
          <w:bCs/>
          <w:sz w:val="24"/>
          <w:szCs w:val="24"/>
        </w:rPr>
        <w:t xml:space="preserve">) across different lineages was 7.2–317 and 2.2–31 respectively (Table 2). The higher </w:t>
      </w:r>
      <w:r w:rsidRPr="00370CB9">
        <w:rPr>
          <w:rFonts w:asciiTheme="majorBidi" w:hAnsiTheme="majorBidi" w:cstheme="majorBidi"/>
          <w:bCs/>
          <w:i/>
          <w:iCs/>
          <w:sz w:val="24"/>
          <w:szCs w:val="24"/>
        </w:rPr>
        <w:t>Ne</w:t>
      </w:r>
      <w:r w:rsidRPr="00370CB9">
        <w:rPr>
          <w:rFonts w:asciiTheme="majorBidi" w:hAnsiTheme="majorBidi" w:cstheme="majorBidi"/>
          <w:bCs/>
          <w:sz w:val="24"/>
          <w:szCs w:val="24"/>
        </w:rPr>
        <w:t xml:space="preserve"> values varied of location among the species delimitation from Chapala lake lineages to Patzcuaro-</w:t>
      </w:r>
      <w:proofErr w:type="spellStart"/>
      <w:r w:rsidRPr="00370CB9">
        <w:rPr>
          <w:rFonts w:asciiTheme="majorBidi" w:hAnsiTheme="majorBidi" w:cstheme="majorBidi"/>
          <w:bCs/>
          <w:sz w:val="24"/>
          <w:szCs w:val="24"/>
        </w:rPr>
        <w:t>Zirahuen</w:t>
      </w:r>
      <w:proofErr w:type="spellEnd"/>
      <w:r w:rsidRPr="00370CB9">
        <w:rPr>
          <w:rFonts w:asciiTheme="majorBidi" w:hAnsiTheme="majorBidi" w:cstheme="majorBidi"/>
          <w:bCs/>
          <w:sz w:val="24"/>
          <w:szCs w:val="24"/>
        </w:rPr>
        <w:t xml:space="preserve"> lake lineages (Table 2). Values of </w:t>
      </w:r>
      <w:proofErr w:type="spellStart"/>
      <w:r w:rsidRPr="00370CB9">
        <w:rPr>
          <w:rFonts w:asciiTheme="majorBidi" w:hAnsiTheme="majorBidi" w:cstheme="majorBidi"/>
          <w:bCs/>
          <w:i/>
          <w:iCs/>
          <w:sz w:val="24"/>
          <w:szCs w:val="24"/>
        </w:rPr>
        <w:t>LDNe</w:t>
      </w:r>
      <w:proofErr w:type="spellEnd"/>
      <w:r w:rsidRPr="00370CB9">
        <w:rPr>
          <w:rFonts w:asciiTheme="majorBidi" w:hAnsiTheme="majorBidi" w:cstheme="majorBidi"/>
          <w:bCs/>
          <w:sz w:val="24"/>
          <w:szCs w:val="24"/>
        </w:rPr>
        <w:t xml:space="preserve"> estimator were infinite with exception of </w:t>
      </w:r>
      <w:r w:rsidRPr="00370CB9">
        <w:rPr>
          <w:rFonts w:asciiTheme="majorBidi" w:hAnsiTheme="majorBidi" w:cstheme="majorBidi"/>
          <w:bCs/>
          <w:i/>
          <w:iCs/>
          <w:sz w:val="24"/>
          <w:szCs w:val="24"/>
        </w:rPr>
        <w:t xml:space="preserve"> chapalae-sphyraena</w:t>
      </w:r>
      <w:r w:rsidRPr="00370CB9">
        <w:rPr>
          <w:rFonts w:asciiTheme="majorBidi" w:hAnsiTheme="majorBidi" w:cstheme="majorBidi"/>
          <w:bCs/>
          <w:sz w:val="24"/>
          <w:szCs w:val="24"/>
        </w:rPr>
        <w:t xml:space="preserve"> group (86.9), while </w:t>
      </w:r>
      <w:r w:rsidRPr="00370CB9">
        <w:rPr>
          <w:rFonts w:asciiTheme="majorBidi" w:hAnsiTheme="majorBidi" w:cstheme="majorBidi"/>
          <w:bCs/>
          <w:i/>
          <w:iCs/>
          <w:sz w:val="24"/>
          <w:szCs w:val="24"/>
        </w:rPr>
        <w:t>C. humboldtianum sensu stricto</w:t>
      </w:r>
      <w:r w:rsidRPr="00370CB9">
        <w:rPr>
          <w:rFonts w:asciiTheme="majorBidi" w:hAnsiTheme="majorBidi" w:cstheme="majorBidi"/>
          <w:bCs/>
          <w:sz w:val="24"/>
          <w:szCs w:val="24"/>
        </w:rPr>
        <w:t xml:space="preserve"> obtained infinite values in </w:t>
      </w:r>
      <w:proofErr w:type="spellStart"/>
      <w:r w:rsidRPr="00370CB9">
        <w:rPr>
          <w:rFonts w:asciiTheme="majorBidi" w:hAnsiTheme="majorBidi" w:cstheme="majorBidi"/>
          <w:bCs/>
          <w:i/>
          <w:iCs/>
          <w:sz w:val="24"/>
          <w:szCs w:val="24"/>
        </w:rPr>
        <w:t>LDNe</w:t>
      </w:r>
      <w:proofErr w:type="spellEnd"/>
      <w:r w:rsidRPr="00370CB9">
        <w:rPr>
          <w:rFonts w:asciiTheme="majorBidi" w:hAnsiTheme="majorBidi" w:cstheme="majorBidi"/>
          <w:bCs/>
          <w:sz w:val="24"/>
          <w:szCs w:val="24"/>
        </w:rPr>
        <w:t xml:space="preserve"> and </w:t>
      </w:r>
      <w:proofErr w:type="spellStart"/>
      <w:r w:rsidRPr="00370CB9">
        <w:rPr>
          <w:rFonts w:asciiTheme="majorBidi" w:hAnsiTheme="majorBidi" w:cstheme="majorBidi"/>
          <w:bCs/>
          <w:i/>
          <w:iCs/>
          <w:sz w:val="24"/>
          <w:szCs w:val="24"/>
        </w:rPr>
        <w:t>HetExcessNe</w:t>
      </w:r>
      <w:proofErr w:type="spellEnd"/>
      <w:r w:rsidRPr="00370CB9">
        <w:rPr>
          <w:rFonts w:asciiTheme="majorBidi" w:hAnsiTheme="majorBidi" w:cstheme="majorBidi"/>
          <w:bCs/>
          <w:i/>
          <w:iCs/>
          <w:sz w:val="24"/>
          <w:szCs w:val="24"/>
        </w:rPr>
        <w:t xml:space="preserve"> </w:t>
      </w:r>
      <w:r w:rsidRPr="00370CB9">
        <w:rPr>
          <w:rFonts w:asciiTheme="majorBidi" w:hAnsiTheme="majorBidi" w:cstheme="majorBidi"/>
          <w:bCs/>
          <w:sz w:val="24"/>
          <w:szCs w:val="24"/>
        </w:rPr>
        <w:t>estimators (Table 2).</w:t>
      </w:r>
    </w:p>
    <w:p w14:paraId="6A471BA2" w14:textId="77777777" w:rsidR="009841C7" w:rsidRPr="00370CB9" w:rsidRDefault="009841C7" w:rsidP="009841C7">
      <w:pPr>
        <w:jc w:val="both"/>
        <w:rPr>
          <w:rFonts w:asciiTheme="majorBidi" w:hAnsiTheme="majorBidi" w:cstheme="majorBidi"/>
          <w:b/>
          <w:bCs/>
          <w:sz w:val="28"/>
          <w:szCs w:val="28"/>
        </w:rPr>
      </w:pPr>
      <w:r w:rsidRPr="00370CB9">
        <w:rPr>
          <w:rFonts w:asciiTheme="majorBidi" w:hAnsiTheme="majorBidi" w:cstheme="majorBidi"/>
          <w:b/>
          <w:bCs/>
          <w:i/>
          <w:iCs/>
          <w:sz w:val="28"/>
          <w:szCs w:val="28"/>
        </w:rPr>
        <w:t>F</w:t>
      </w:r>
      <w:r w:rsidRPr="00370CB9">
        <w:rPr>
          <w:rFonts w:asciiTheme="majorBidi" w:hAnsiTheme="majorBidi" w:cstheme="majorBidi"/>
          <w:b/>
          <w:bCs/>
          <w:sz w:val="28"/>
          <w:szCs w:val="28"/>
          <w:vertAlign w:val="subscript"/>
        </w:rPr>
        <w:t>ST</w:t>
      </w:r>
      <w:r w:rsidRPr="00370CB9">
        <w:rPr>
          <w:rFonts w:asciiTheme="majorBidi" w:hAnsiTheme="majorBidi" w:cstheme="majorBidi"/>
          <w:b/>
          <w:bCs/>
          <w:sz w:val="28"/>
          <w:szCs w:val="28"/>
        </w:rPr>
        <w:t xml:space="preserve"> loci outlier analysis</w:t>
      </w:r>
    </w:p>
    <w:p w14:paraId="44FC177A" w14:textId="77777777" w:rsidR="009841C7" w:rsidRPr="00370CB9" w:rsidRDefault="009841C7" w:rsidP="009841C7">
      <w:pPr>
        <w:jc w:val="both"/>
        <w:rPr>
          <w:rFonts w:asciiTheme="majorBidi" w:hAnsiTheme="majorBidi" w:cstheme="majorBidi"/>
          <w:bCs/>
          <w:sz w:val="24"/>
          <w:szCs w:val="24"/>
        </w:rPr>
      </w:pPr>
      <w:r w:rsidRPr="00370CB9">
        <w:rPr>
          <w:rFonts w:asciiTheme="majorBidi" w:hAnsiTheme="majorBidi" w:cstheme="majorBidi"/>
          <w:bCs/>
          <w:sz w:val="24"/>
          <w:szCs w:val="24"/>
        </w:rPr>
        <w:t>A total of 410 outlier loci (1.1% of the total analyzed, Fig. S10) were compared to GenBank entries using BLAST-n. In summary, 116 sequences did not have a match, while the remaining 294 (71.7%) loci matched fish sequences (E-value = 4E-42–2E-02), including protein-coding genes (26%) (Table S9). Out of these coding regions, we identified genes related to a wide array of biological functions such as genes implicated in immune responses (</w:t>
      </w:r>
      <w:r w:rsidRPr="00370CB9">
        <w:rPr>
          <w:rFonts w:asciiTheme="majorBidi" w:hAnsiTheme="majorBidi" w:cstheme="majorBidi"/>
          <w:bCs/>
          <w:i/>
          <w:iCs/>
          <w:sz w:val="24"/>
          <w:szCs w:val="24"/>
        </w:rPr>
        <w:t>kpna3</w:t>
      </w:r>
      <w:r w:rsidRPr="00370CB9">
        <w:rPr>
          <w:rFonts w:asciiTheme="majorBidi" w:hAnsiTheme="majorBidi" w:cstheme="majorBidi"/>
          <w:bCs/>
          <w:sz w:val="24"/>
          <w:szCs w:val="24"/>
        </w:rPr>
        <w:t xml:space="preserve">: </w:t>
      </w:r>
      <w:proofErr w:type="spellStart"/>
      <w:r w:rsidRPr="00370CB9">
        <w:rPr>
          <w:rFonts w:asciiTheme="majorBidi" w:hAnsiTheme="majorBidi" w:cstheme="majorBidi"/>
          <w:bCs/>
          <w:i/>
          <w:iCs/>
          <w:sz w:val="24"/>
          <w:szCs w:val="24"/>
        </w:rPr>
        <w:t>Nothobranchius</w:t>
      </w:r>
      <w:proofErr w:type="spellEnd"/>
      <w:r w:rsidRPr="00370CB9">
        <w:rPr>
          <w:rFonts w:asciiTheme="majorBidi" w:hAnsiTheme="majorBidi" w:cstheme="majorBidi"/>
          <w:bCs/>
          <w:i/>
          <w:iCs/>
          <w:sz w:val="24"/>
          <w:szCs w:val="24"/>
        </w:rPr>
        <w:t xml:space="preserve"> </w:t>
      </w:r>
      <w:proofErr w:type="spellStart"/>
      <w:r w:rsidRPr="00370CB9">
        <w:rPr>
          <w:rFonts w:asciiTheme="majorBidi" w:hAnsiTheme="majorBidi" w:cstheme="majorBidi"/>
          <w:bCs/>
          <w:i/>
          <w:iCs/>
          <w:sz w:val="24"/>
          <w:szCs w:val="24"/>
        </w:rPr>
        <w:t>furzeri</w:t>
      </w:r>
      <w:proofErr w:type="spellEnd"/>
      <w:r w:rsidRPr="00370CB9">
        <w:rPr>
          <w:rFonts w:asciiTheme="majorBidi" w:hAnsiTheme="majorBidi" w:cstheme="majorBidi"/>
          <w:bCs/>
          <w:sz w:val="24"/>
          <w:szCs w:val="24"/>
        </w:rPr>
        <w:t xml:space="preserve">, GenBank accession number XM_015966110.1; </w:t>
      </w:r>
      <w:r w:rsidRPr="00370CB9">
        <w:rPr>
          <w:rFonts w:asciiTheme="majorBidi" w:hAnsiTheme="majorBidi" w:cstheme="majorBidi"/>
          <w:bCs/>
          <w:i/>
          <w:iCs/>
          <w:sz w:val="24"/>
          <w:szCs w:val="24"/>
        </w:rPr>
        <w:t>bcl11b</w:t>
      </w:r>
      <w:r w:rsidRPr="00370CB9">
        <w:rPr>
          <w:rFonts w:asciiTheme="majorBidi" w:hAnsiTheme="majorBidi" w:cstheme="majorBidi"/>
          <w:bCs/>
          <w:sz w:val="24"/>
          <w:szCs w:val="24"/>
        </w:rPr>
        <w:t xml:space="preserve">: </w:t>
      </w:r>
      <w:proofErr w:type="spellStart"/>
      <w:r w:rsidRPr="00370CB9">
        <w:rPr>
          <w:rFonts w:asciiTheme="majorBidi" w:hAnsiTheme="majorBidi" w:cstheme="majorBidi"/>
          <w:bCs/>
          <w:i/>
          <w:iCs/>
          <w:sz w:val="24"/>
          <w:szCs w:val="24"/>
        </w:rPr>
        <w:t>Cheilinus</w:t>
      </w:r>
      <w:proofErr w:type="spellEnd"/>
      <w:r w:rsidRPr="00370CB9">
        <w:rPr>
          <w:rFonts w:asciiTheme="majorBidi" w:hAnsiTheme="majorBidi" w:cstheme="majorBidi"/>
          <w:bCs/>
          <w:i/>
          <w:iCs/>
          <w:sz w:val="24"/>
          <w:szCs w:val="24"/>
        </w:rPr>
        <w:t xml:space="preserve"> </w:t>
      </w:r>
      <w:r w:rsidRPr="00370CB9">
        <w:rPr>
          <w:rFonts w:asciiTheme="majorBidi" w:hAnsiTheme="majorBidi" w:cstheme="majorBidi"/>
          <w:bCs/>
          <w:sz w:val="24"/>
          <w:szCs w:val="24"/>
        </w:rPr>
        <w:t xml:space="preserve">undulates, XM_041804421.1; </w:t>
      </w:r>
      <w:r w:rsidRPr="00370CB9">
        <w:rPr>
          <w:rFonts w:asciiTheme="majorBidi" w:hAnsiTheme="majorBidi" w:cstheme="majorBidi"/>
          <w:bCs/>
          <w:i/>
          <w:iCs/>
          <w:sz w:val="24"/>
          <w:szCs w:val="24"/>
        </w:rPr>
        <w:t>trim59</w:t>
      </w:r>
      <w:r w:rsidRPr="00370CB9">
        <w:rPr>
          <w:rFonts w:asciiTheme="majorBidi" w:hAnsiTheme="majorBidi" w:cstheme="majorBidi"/>
          <w:bCs/>
          <w:sz w:val="24"/>
          <w:szCs w:val="24"/>
        </w:rPr>
        <w:t xml:space="preserve">: </w:t>
      </w:r>
      <w:r w:rsidRPr="00370CB9">
        <w:rPr>
          <w:rFonts w:asciiTheme="majorBidi" w:hAnsiTheme="majorBidi" w:cstheme="majorBidi"/>
          <w:bCs/>
          <w:i/>
          <w:iCs/>
          <w:sz w:val="24"/>
          <w:szCs w:val="24"/>
        </w:rPr>
        <w:t xml:space="preserve">Megalops </w:t>
      </w:r>
      <w:proofErr w:type="spellStart"/>
      <w:r w:rsidRPr="00370CB9">
        <w:rPr>
          <w:rFonts w:asciiTheme="majorBidi" w:hAnsiTheme="majorBidi" w:cstheme="majorBidi"/>
          <w:bCs/>
          <w:i/>
          <w:iCs/>
          <w:sz w:val="24"/>
          <w:szCs w:val="24"/>
        </w:rPr>
        <w:t>cyprinoides</w:t>
      </w:r>
      <w:proofErr w:type="spellEnd"/>
      <w:r w:rsidRPr="00370CB9">
        <w:rPr>
          <w:rFonts w:asciiTheme="majorBidi" w:hAnsiTheme="majorBidi" w:cstheme="majorBidi"/>
          <w:bCs/>
          <w:sz w:val="24"/>
          <w:szCs w:val="24"/>
        </w:rPr>
        <w:t xml:space="preserve">, XM_036537431.1; </w:t>
      </w:r>
      <w:r w:rsidRPr="00370CB9">
        <w:rPr>
          <w:rFonts w:asciiTheme="majorBidi" w:hAnsiTheme="majorBidi" w:cstheme="majorBidi"/>
          <w:bCs/>
          <w:i/>
          <w:iCs/>
          <w:sz w:val="24"/>
          <w:szCs w:val="24"/>
        </w:rPr>
        <w:t>NLR family CARD domain-containing protein 3-like</w:t>
      </w:r>
      <w:r w:rsidRPr="00370CB9">
        <w:rPr>
          <w:rFonts w:asciiTheme="majorBidi" w:hAnsiTheme="majorBidi" w:cstheme="majorBidi"/>
          <w:bCs/>
          <w:sz w:val="24"/>
          <w:szCs w:val="24"/>
        </w:rPr>
        <w:t xml:space="preserve">: </w:t>
      </w:r>
      <w:proofErr w:type="spellStart"/>
      <w:r w:rsidRPr="00370CB9">
        <w:rPr>
          <w:rFonts w:asciiTheme="majorBidi" w:hAnsiTheme="majorBidi" w:cstheme="majorBidi"/>
          <w:bCs/>
          <w:i/>
          <w:iCs/>
          <w:sz w:val="24"/>
          <w:szCs w:val="24"/>
        </w:rPr>
        <w:t>Acanthophagus</w:t>
      </w:r>
      <w:proofErr w:type="spellEnd"/>
      <w:r w:rsidRPr="00370CB9">
        <w:rPr>
          <w:rFonts w:asciiTheme="majorBidi" w:hAnsiTheme="majorBidi" w:cstheme="majorBidi"/>
          <w:bCs/>
          <w:i/>
          <w:iCs/>
          <w:sz w:val="24"/>
          <w:szCs w:val="24"/>
        </w:rPr>
        <w:t xml:space="preserve"> latus</w:t>
      </w:r>
      <w:r w:rsidRPr="00370CB9">
        <w:rPr>
          <w:rFonts w:asciiTheme="majorBidi" w:hAnsiTheme="majorBidi" w:cstheme="majorBidi"/>
          <w:bCs/>
          <w:sz w:val="24"/>
          <w:szCs w:val="24"/>
        </w:rPr>
        <w:t>, XM_037091148.1), sensory systems (</w:t>
      </w:r>
      <w:r w:rsidRPr="00370CB9">
        <w:rPr>
          <w:rFonts w:asciiTheme="majorBidi" w:hAnsiTheme="majorBidi" w:cstheme="majorBidi"/>
          <w:bCs/>
          <w:i/>
          <w:iCs/>
          <w:sz w:val="24"/>
          <w:szCs w:val="24"/>
        </w:rPr>
        <w:t>or132-1</w:t>
      </w:r>
      <w:r w:rsidRPr="00370CB9">
        <w:rPr>
          <w:rFonts w:asciiTheme="majorBidi" w:hAnsiTheme="majorBidi" w:cstheme="majorBidi"/>
          <w:bCs/>
          <w:sz w:val="24"/>
          <w:szCs w:val="24"/>
        </w:rPr>
        <w:t>:</w:t>
      </w:r>
      <w:r w:rsidRPr="00370CB9">
        <w:rPr>
          <w:rFonts w:asciiTheme="majorBidi" w:hAnsiTheme="majorBidi" w:cstheme="majorBidi"/>
          <w:bCs/>
          <w:i/>
          <w:iCs/>
          <w:sz w:val="24"/>
          <w:szCs w:val="24"/>
        </w:rPr>
        <w:t xml:space="preserve"> Danio rerio</w:t>
      </w:r>
      <w:r w:rsidRPr="00370CB9">
        <w:rPr>
          <w:rFonts w:asciiTheme="majorBidi" w:hAnsiTheme="majorBidi" w:cstheme="majorBidi"/>
          <w:bCs/>
          <w:sz w:val="24"/>
          <w:szCs w:val="24"/>
        </w:rPr>
        <w:t>, DQ306116.1</w:t>
      </w:r>
      <w:r w:rsidRPr="00370CB9">
        <w:rPr>
          <w:rFonts w:asciiTheme="majorBidi" w:hAnsiTheme="majorBidi" w:cstheme="majorBidi"/>
          <w:bCs/>
          <w:i/>
          <w:iCs/>
          <w:sz w:val="24"/>
          <w:szCs w:val="24"/>
        </w:rPr>
        <w:t>; sws2a</w:t>
      </w:r>
      <w:r w:rsidRPr="00370CB9">
        <w:rPr>
          <w:rFonts w:asciiTheme="majorBidi" w:hAnsiTheme="majorBidi" w:cstheme="majorBidi"/>
          <w:bCs/>
          <w:sz w:val="24"/>
          <w:szCs w:val="24"/>
        </w:rPr>
        <w:t xml:space="preserve"> and </w:t>
      </w:r>
      <w:r w:rsidRPr="00370CB9">
        <w:rPr>
          <w:rFonts w:asciiTheme="majorBidi" w:hAnsiTheme="majorBidi" w:cstheme="majorBidi"/>
          <w:bCs/>
          <w:i/>
          <w:iCs/>
          <w:sz w:val="24"/>
          <w:szCs w:val="24"/>
        </w:rPr>
        <w:t>rh2-1</w:t>
      </w:r>
      <w:r w:rsidRPr="00370CB9">
        <w:rPr>
          <w:rFonts w:asciiTheme="majorBidi" w:hAnsiTheme="majorBidi" w:cstheme="majorBidi"/>
          <w:bCs/>
          <w:sz w:val="24"/>
          <w:szCs w:val="24"/>
        </w:rPr>
        <w:t xml:space="preserve">: </w:t>
      </w:r>
      <w:r w:rsidRPr="00370CB9">
        <w:rPr>
          <w:rFonts w:asciiTheme="majorBidi" w:hAnsiTheme="majorBidi" w:cstheme="majorBidi"/>
          <w:bCs/>
          <w:i/>
          <w:iCs/>
          <w:sz w:val="24"/>
          <w:szCs w:val="24"/>
        </w:rPr>
        <w:t xml:space="preserve">Lucania </w:t>
      </w:r>
      <w:proofErr w:type="spellStart"/>
      <w:r w:rsidRPr="00370CB9">
        <w:rPr>
          <w:rFonts w:asciiTheme="majorBidi" w:hAnsiTheme="majorBidi" w:cstheme="majorBidi"/>
          <w:bCs/>
          <w:i/>
          <w:iCs/>
          <w:sz w:val="24"/>
          <w:szCs w:val="24"/>
        </w:rPr>
        <w:t>goodei</w:t>
      </w:r>
      <w:proofErr w:type="spellEnd"/>
      <w:r w:rsidRPr="00370CB9">
        <w:rPr>
          <w:rFonts w:asciiTheme="majorBidi" w:hAnsiTheme="majorBidi" w:cstheme="majorBidi"/>
          <w:bCs/>
          <w:sz w:val="24"/>
          <w:szCs w:val="24"/>
        </w:rPr>
        <w:t xml:space="preserve">, MT850055.1; and </w:t>
      </w:r>
      <w:r w:rsidRPr="00370CB9">
        <w:rPr>
          <w:rFonts w:asciiTheme="majorBidi" w:hAnsiTheme="majorBidi" w:cstheme="majorBidi"/>
          <w:bCs/>
          <w:i/>
          <w:iCs/>
          <w:sz w:val="24"/>
          <w:szCs w:val="24"/>
        </w:rPr>
        <w:t>lws2</w:t>
      </w:r>
      <w:r w:rsidRPr="00370CB9">
        <w:rPr>
          <w:rFonts w:asciiTheme="majorBidi" w:hAnsiTheme="majorBidi" w:cstheme="majorBidi"/>
          <w:bCs/>
          <w:sz w:val="24"/>
          <w:szCs w:val="24"/>
        </w:rPr>
        <w:t xml:space="preserve">: </w:t>
      </w:r>
      <w:proofErr w:type="spellStart"/>
      <w:r w:rsidRPr="00370CB9">
        <w:rPr>
          <w:rFonts w:asciiTheme="majorBidi" w:hAnsiTheme="majorBidi" w:cstheme="majorBidi"/>
          <w:bCs/>
          <w:i/>
          <w:iCs/>
          <w:sz w:val="24"/>
          <w:szCs w:val="24"/>
        </w:rPr>
        <w:t>Monopterus</w:t>
      </w:r>
      <w:proofErr w:type="spellEnd"/>
      <w:r w:rsidRPr="00370CB9">
        <w:rPr>
          <w:rFonts w:asciiTheme="majorBidi" w:hAnsiTheme="majorBidi" w:cstheme="majorBidi"/>
          <w:bCs/>
          <w:i/>
          <w:iCs/>
          <w:sz w:val="24"/>
          <w:szCs w:val="24"/>
        </w:rPr>
        <w:t xml:space="preserve"> albus</w:t>
      </w:r>
      <w:r w:rsidRPr="00370CB9">
        <w:rPr>
          <w:rFonts w:asciiTheme="majorBidi" w:hAnsiTheme="majorBidi" w:cstheme="majorBidi"/>
          <w:bCs/>
          <w:sz w:val="24"/>
          <w:szCs w:val="24"/>
        </w:rPr>
        <w:t>, XM_020592984.1), growth (</w:t>
      </w:r>
      <w:r w:rsidRPr="00370CB9">
        <w:rPr>
          <w:rFonts w:asciiTheme="majorBidi" w:hAnsiTheme="majorBidi" w:cstheme="majorBidi"/>
          <w:bCs/>
          <w:i/>
          <w:iCs/>
          <w:sz w:val="24"/>
          <w:szCs w:val="24"/>
        </w:rPr>
        <w:t>cand1</w:t>
      </w:r>
      <w:r w:rsidRPr="00370CB9">
        <w:rPr>
          <w:rFonts w:asciiTheme="majorBidi" w:hAnsiTheme="majorBidi" w:cstheme="majorBidi"/>
          <w:bCs/>
          <w:sz w:val="24"/>
          <w:szCs w:val="24"/>
        </w:rPr>
        <w:t xml:space="preserve">: </w:t>
      </w:r>
      <w:proofErr w:type="spellStart"/>
      <w:r w:rsidRPr="00370CB9">
        <w:rPr>
          <w:rFonts w:asciiTheme="majorBidi" w:hAnsiTheme="majorBidi" w:cstheme="majorBidi"/>
          <w:bCs/>
          <w:i/>
          <w:iCs/>
          <w:sz w:val="24"/>
          <w:szCs w:val="24"/>
        </w:rPr>
        <w:t>Poecilia</w:t>
      </w:r>
      <w:proofErr w:type="spellEnd"/>
      <w:r w:rsidRPr="00370CB9">
        <w:rPr>
          <w:rFonts w:asciiTheme="majorBidi" w:hAnsiTheme="majorBidi" w:cstheme="majorBidi"/>
          <w:bCs/>
          <w:i/>
          <w:iCs/>
          <w:sz w:val="24"/>
          <w:szCs w:val="24"/>
        </w:rPr>
        <w:t xml:space="preserve"> </w:t>
      </w:r>
      <w:proofErr w:type="spellStart"/>
      <w:r w:rsidRPr="00370CB9">
        <w:rPr>
          <w:rFonts w:asciiTheme="majorBidi" w:hAnsiTheme="majorBidi" w:cstheme="majorBidi"/>
          <w:bCs/>
          <w:i/>
          <w:iCs/>
          <w:sz w:val="24"/>
          <w:szCs w:val="24"/>
        </w:rPr>
        <w:t>formosa</w:t>
      </w:r>
      <w:proofErr w:type="spellEnd"/>
      <w:r w:rsidRPr="00370CB9">
        <w:rPr>
          <w:rFonts w:asciiTheme="majorBidi" w:hAnsiTheme="majorBidi" w:cstheme="majorBidi"/>
          <w:bCs/>
          <w:sz w:val="24"/>
          <w:szCs w:val="24"/>
        </w:rPr>
        <w:t xml:space="preserve">, XM_007569621.2; and </w:t>
      </w:r>
      <w:proofErr w:type="spellStart"/>
      <w:r w:rsidRPr="00370CB9">
        <w:rPr>
          <w:rFonts w:asciiTheme="majorBidi" w:hAnsiTheme="majorBidi" w:cstheme="majorBidi"/>
          <w:bCs/>
          <w:i/>
          <w:iCs/>
          <w:sz w:val="24"/>
          <w:szCs w:val="24"/>
        </w:rPr>
        <w:t>sgta</w:t>
      </w:r>
      <w:proofErr w:type="spellEnd"/>
      <w:r w:rsidRPr="00370CB9">
        <w:rPr>
          <w:rFonts w:asciiTheme="majorBidi" w:hAnsiTheme="majorBidi" w:cstheme="majorBidi"/>
          <w:bCs/>
          <w:sz w:val="24"/>
          <w:szCs w:val="24"/>
        </w:rPr>
        <w:t xml:space="preserve">: </w:t>
      </w:r>
      <w:proofErr w:type="spellStart"/>
      <w:r w:rsidRPr="00370CB9">
        <w:rPr>
          <w:rFonts w:asciiTheme="majorBidi" w:hAnsiTheme="majorBidi" w:cstheme="majorBidi"/>
          <w:bCs/>
          <w:i/>
          <w:iCs/>
          <w:sz w:val="24"/>
          <w:szCs w:val="24"/>
        </w:rPr>
        <w:t>Archocentrus</w:t>
      </w:r>
      <w:proofErr w:type="spellEnd"/>
      <w:r w:rsidRPr="00370CB9">
        <w:rPr>
          <w:rFonts w:asciiTheme="majorBidi" w:hAnsiTheme="majorBidi" w:cstheme="majorBidi"/>
          <w:bCs/>
          <w:i/>
          <w:iCs/>
          <w:sz w:val="24"/>
          <w:szCs w:val="24"/>
        </w:rPr>
        <w:t xml:space="preserve"> </w:t>
      </w:r>
      <w:proofErr w:type="spellStart"/>
      <w:r w:rsidRPr="00370CB9">
        <w:rPr>
          <w:rFonts w:asciiTheme="majorBidi" w:hAnsiTheme="majorBidi" w:cstheme="majorBidi"/>
          <w:bCs/>
          <w:i/>
          <w:iCs/>
          <w:sz w:val="24"/>
          <w:szCs w:val="24"/>
        </w:rPr>
        <w:t>centrarchus</w:t>
      </w:r>
      <w:proofErr w:type="spellEnd"/>
      <w:r w:rsidRPr="00370CB9">
        <w:rPr>
          <w:rFonts w:asciiTheme="majorBidi" w:hAnsiTheme="majorBidi" w:cstheme="majorBidi"/>
          <w:bCs/>
          <w:sz w:val="24"/>
          <w:szCs w:val="24"/>
        </w:rPr>
        <w:t>, XM_030727116.1), and skeletal-muscle system (</w:t>
      </w:r>
      <w:r w:rsidRPr="00370CB9">
        <w:rPr>
          <w:rFonts w:asciiTheme="majorBidi" w:hAnsiTheme="majorBidi" w:cstheme="majorBidi"/>
          <w:bCs/>
          <w:i/>
          <w:iCs/>
          <w:sz w:val="24"/>
          <w:szCs w:val="24"/>
        </w:rPr>
        <w:t>neb</w:t>
      </w:r>
      <w:r w:rsidRPr="00370CB9">
        <w:rPr>
          <w:rFonts w:asciiTheme="majorBidi" w:hAnsiTheme="majorBidi" w:cstheme="majorBidi"/>
          <w:bCs/>
          <w:sz w:val="24"/>
          <w:szCs w:val="24"/>
        </w:rPr>
        <w:t xml:space="preserve">: </w:t>
      </w:r>
      <w:proofErr w:type="spellStart"/>
      <w:r w:rsidRPr="00370CB9">
        <w:rPr>
          <w:rFonts w:asciiTheme="majorBidi" w:hAnsiTheme="majorBidi" w:cstheme="majorBidi"/>
          <w:bCs/>
          <w:i/>
          <w:iCs/>
          <w:sz w:val="24"/>
          <w:szCs w:val="24"/>
        </w:rPr>
        <w:t>Gymnodraco</w:t>
      </w:r>
      <w:proofErr w:type="spellEnd"/>
      <w:r w:rsidRPr="00370CB9">
        <w:rPr>
          <w:rFonts w:asciiTheme="majorBidi" w:hAnsiTheme="majorBidi" w:cstheme="majorBidi"/>
          <w:bCs/>
          <w:i/>
          <w:iCs/>
          <w:sz w:val="24"/>
          <w:szCs w:val="24"/>
        </w:rPr>
        <w:t xml:space="preserve"> </w:t>
      </w:r>
      <w:proofErr w:type="spellStart"/>
      <w:r w:rsidRPr="00370CB9">
        <w:rPr>
          <w:rFonts w:asciiTheme="majorBidi" w:hAnsiTheme="majorBidi" w:cstheme="majorBidi"/>
          <w:bCs/>
          <w:i/>
          <w:iCs/>
          <w:sz w:val="24"/>
          <w:szCs w:val="24"/>
        </w:rPr>
        <w:t>acuticeps</w:t>
      </w:r>
      <w:proofErr w:type="spellEnd"/>
      <w:r w:rsidRPr="00370CB9">
        <w:rPr>
          <w:rFonts w:asciiTheme="majorBidi" w:hAnsiTheme="majorBidi" w:cstheme="majorBidi"/>
          <w:bCs/>
          <w:sz w:val="24"/>
          <w:szCs w:val="24"/>
        </w:rPr>
        <w:t>,</w:t>
      </w:r>
      <w:r w:rsidRPr="00370CB9">
        <w:rPr>
          <w:rFonts w:asciiTheme="majorBidi" w:hAnsiTheme="majorBidi" w:cstheme="majorBidi"/>
          <w:bCs/>
          <w:i/>
          <w:iCs/>
          <w:sz w:val="24"/>
          <w:szCs w:val="24"/>
        </w:rPr>
        <w:t xml:space="preserve"> </w:t>
      </w:r>
      <w:r w:rsidRPr="00370CB9">
        <w:rPr>
          <w:rFonts w:asciiTheme="majorBidi" w:hAnsiTheme="majorBidi" w:cstheme="majorBidi"/>
          <w:bCs/>
          <w:sz w:val="24"/>
          <w:szCs w:val="24"/>
        </w:rPr>
        <w:t xml:space="preserve">XM_034221710.1; and </w:t>
      </w:r>
      <w:proofErr w:type="spellStart"/>
      <w:r w:rsidRPr="00370CB9">
        <w:rPr>
          <w:rFonts w:asciiTheme="majorBidi" w:hAnsiTheme="majorBidi" w:cstheme="majorBidi"/>
          <w:bCs/>
          <w:i/>
          <w:iCs/>
          <w:sz w:val="24"/>
          <w:szCs w:val="24"/>
        </w:rPr>
        <w:t>ttn</w:t>
      </w:r>
      <w:proofErr w:type="spellEnd"/>
      <w:r w:rsidRPr="00370CB9">
        <w:rPr>
          <w:rFonts w:asciiTheme="majorBidi" w:hAnsiTheme="majorBidi" w:cstheme="majorBidi"/>
          <w:bCs/>
          <w:sz w:val="24"/>
          <w:szCs w:val="24"/>
        </w:rPr>
        <w:t xml:space="preserve">: </w:t>
      </w:r>
      <w:proofErr w:type="spellStart"/>
      <w:r w:rsidRPr="00370CB9">
        <w:rPr>
          <w:rFonts w:asciiTheme="majorBidi" w:hAnsiTheme="majorBidi" w:cstheme="majorBidi"/>
          <w:bCs/>
          <w:i/>
          <w:iCs/>
          <w:sz w:val="24"/>
          <w:szCs w:val="24"/>
        </w:rPr>
        <w:t>Fundulus</w:t>
      </w:r>
      <w:proofErr w:type="spellEnd"/>
      <w:r w:rsidRPr="00370CB9">
        <w:rPr>
          <w:rFonts w:asciiTheme="majorBidi" w:hAnsiTheme="majorBidi" w:cstheme="majorBidi"/>
          <w:bCs/>
          <w:i/>
          <w:iCs/>
          <w:sz w:val="24"/>
          <w:szCs w:val="24"/>
        </w:rPr>
        <w:t xml:space="preserve"> </w:t>
      </w:r>
      <w:proofErr w:type="spellStart"/>
      <w:r w:rsidRPr="00370CB9">
        <w:rPr>
          <w:rFonts w:asciiTheme="majorBidi" w:hAnsiTheme="majorBidi" w:cstheme="majorBidi"/>
          <w:bCs/>
          <w:i/>
          <w:iCs/>
          <w:sz w:val="24"/>
          <w:szCs w:val="24"/>
        </w:rPr>
        <w:t>heteroclitusi</w:t>
      </w:r>
      <w:proofErr w:type="spellEnd"/>
      <w:r w:rsidRPr="00370CB9">
        <w:rPr>
          <w:rFonts w:asciiTheme="majorBidi" w:hAnsiTheme="majorBidi" w:cstheme="majorBidi"/>
          <w:bCs/>
          <w:sz w:val="24"/>
          <w:szCs w:val="24"/>
        </w:rPr>
        <w:t>, XM_036135404.1) (Table S9).</w:t>
      </w:r>
    </w:p>
    <w:p w14:paraId="035CB4BA" w14:textId="77777777" w:rsidR="009841C7" w:rsidRPr="00F22381" w:rsidRDefault="009841C7" w:rsidP="00F22381">
      <w:pPr>
        <w:jc w:val="both"/>
        <w:rPr>
          <w:rFonts w:asciiTheme="majorBidi" w:hAnsiTheme="majorBidi" w:cstheme="majorBidi"/>
          <w:bCs/>
          <w:sz w:val="24"/>
          <w:szCs w:val="24"/>
        </w:rPr>
      </w:pPr>
    </w:p>
    <w:p w14:paraId="3F422B9E" w14:textId="41C6C0DE" w:rsidR="00414101" w:rsidRDefault="00414101" w:rsidP="00370CB9">
      <w:pPr>
        <w:jc w:val="both"/>
        <w:rPr>
          <w:rFonts w:asciiTheme="majorBidi" w:hAnsiTheme="majorBidi" w:cstheme="majorBidi"/>
          <w:b/>
          <w:bCs/>
          <w:sz w:val="28"/>
          <w:szCs w:val="28"/>
        </w:rPr>
      </w:pPr>
    </w:p>
    <w:p w14:paraId="7EB2D156" w14:textId="0A157743" w:rsidR="00414101" w:rsidRDefault="00414101" w:rsidP="00370CB9">
      <w:pPr>
        <w:jc w:val="both"/>
        <w:rPr>
          <w:rFonts w:asciiTheme="majorBidi" w:hAnsiTheme="majorBidi" w:cstheme="majorBidi"/>
          <w:b/>
          <w:bCs/>
          <w:sz w:val="28"/>
          <w:szCs w:val="28"/>
        </w:rPr>
      </w:pPr>
    </w:p>
    <w:p w14:paraId="36C56FCA" w14:textId="2BD4D56E" w:rsidR="00414101" w:rsidRDefault="00414101" w:rsidP="00370CB9">
      <w:pPr>
        <w:jc w:val="both"/>
        <w:rPr>
          <w:rFonts w:asciiTheme="majorBidi" w:hAnsiTheme="majorBidi" w:cstheme="majorBidi"/>
          <w:b/>
          <w:bCs/>
          <w:sz w:val="28"/>
          <w:szCs w:val="28"/>
        </w:rPr>
      </w:pPr>
    </w:p>
    <w:p w14:paraId="72798718" w14:textId="04FB4811" w:rsidR="00414101" w:rsidRDefault="00FA25A1" w:rsidP="00370CB9">
      <w:pPr>
        <w:jc w:val="both"/>
        <w:rPr>
          <w:rFonts w:asciiTheme="majorBidi" w:hAnsiTheme="majorBidi" w:cstheme="majorBidi"/>
          <w:b/>
          <w:bCs/>
          <w:sz w:val="28"/>
          <w:szCs w:val="28"/>
        </w:rPr>
      </w:pPr>
      <w:r>
        <w:rPr>
          <w:rFonts w:asciiTheme="majorBidi" w:hAnsiTheme="majorBidi" w:cstheme="majorBidi"/>
          <w:b/>
          <w:bCs/>
          <w:noProof/>
          <w:sz w:val="28"/>
          <w:szCs w:val="28"/>
        </w:rPr>
        <w:drawing>
          <wp:anchor distT="0" distB="0" distL="114300" distR="114300" simplePos="0" relativeHeight="251678720" behindDoc="0" locked="0" layoutInCell="1" allowOverlap="1" wp14:anchorId="502D860F" wp14:editId="26D23D4A">
            <wp:simplePos x="0" y="0"/>
            <wp:positionH relativeFrom="column">
              <wp:posOffset>59690</wp:posOffset>
            </wp:positionH>
            <wp:positionV relativeFrom="paragraph">
              <wp:posOffset>65496</wp:posOffset>
            </wp:positionV>
            <wp:extent cx="5829300" cy="3352800"/>
            <wp:effectExtent l="0" t="0" r="0" b="0"/>
            <wp:wrapNone/>
            <wp:docPr id="143429166" name="Picture 7" descr="A diagram of fish spec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9166" name="Picture 7" descr="A diagram of fish specie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29300" cy="3352800"/>
                    </a:xfrm>
                    <a:prstGeom prst="rect">
                      <a:avLst/>
                    </a:prstGeom>
                  </pic:spPr>
                </pic:pic>
              </a:graphicData>
            </a:graphic>
            <wp14:sizeRelH relativeFrom="page">
              <wp14:pctWidth>0</wp14:pctWidth>
            </wp14:sizeRelH>
            <wp14:sizeRelV relativeFrom="page">
              <wp14:pctHeight>0</wp14:pctHeight>
            </wp14:sizeRelV>
          </wp:anchor>
        </w:drawing>
      </w:r>
    </w:p>
    <w:p w14:paraId="3AD1BB6A" w14:textId="08AA368C" w:rsidR="00414101" w:rsidRDefault="00414101" w:rsidP="00370CB9">
      <w:pPr>
        <w:jc w:val="both"/>
        <w:rPr>
          <w:rFonts w:asciiTheme="majorBidi" w:hAnsiTheme="majorBidi" w:cstheme="majorBidi"/>
          <w:b/>
          <w:bCs/>
          <w:sz w:val="28"/>
          <w:szCs w:val="28"/>
        </w:rPr>
      </w:pPr>
    </w:p>
    <w:p w14:paraId="425B7072" w14:textId="3DD0DCF9" w:rsidR="00414101" w:rsidRDefault="00414101" w:rsidP="00370CB9">
      <w:pPr>
        <w:jc w:val="both"/>
        <w:rPr>
          <w:rFonts w:asciiTheme="majorBidi" w:hAnsiTheme="majorBidi" w:cstheme="majorBidi"/>
          <w:b/>
          <w:bCs/>
          <w:sz w:val="28"/>
          <w:szCs w:val="28"/>
        </w:rPr>
      </w:pPr>
    </w:p>
    <w:p w14:paraId="10F13D8A" w14:textId="47141A23" w:rsidR="00414101" w:rsidRDefault="00414101" w:rsidP="00370CB9">
      <w:pPr>
        <w:jc w:val="both"/>
        <w:rPr>
          <w:rFonts w:asciiTheme="majorBidi" w:hAnsiTheme="majorBidi" w:cstheme="majorBidi"/>
          <w:b/>
          <w:bCs/>
          <w:sz w:val="28"/>
          <w:szCs w:val="28"/>
        </w:rPr>
      </w:pPr>
    </w:p>
    <w:p w14:paraId="5707DE3A" w14:textId="7A5456CB" w:rsidR="00414101" w:rsidRDefault="00414101" w:rsidP="00370CB9">
      <w:pPr>
        <w:jc w:val="both"/>
        <w:rPr>
          <w:rFonts w:asciiTheme="majorBidi" w:hAnsiTheme="majorBidi" w:cstheme="majorBidi"/>
          <w:b/>
          <w:bCs/>
          <w:sz w:val="28"/>
          <w:szCs w:val="28"/>
        </w:rPr>
      </w:pPr>
    </w:p>
    <w:p w14:paraId="6E216351" w14:textId="7F9C427C" w:rsidR="00414101" w:rsidRDefault="00414101" w:rsidP="00370CB9">
      <w:pPr>
        <w:jc w:val="both"/>
        <w:rPr>
          <w:rFonts w:asciiTheme="majorBidi" w:hAnsiTheme="majorBidi" w:cstheme="majorBidi"/>
          <w:b/>
          <w:bCs/>
          <w:sz w:val="28"/>
          <w:szCs w:val="28"/>
        </w:rPr>
      </w:pPr>
    </w:p>
    <w:p w14:paraId="29678894" w14:textId="1F945321" w:rsidR="00414101" w:rsidRDefault="00414101" w:rsidP="00370CB9">
      <w:pPr>
        <w:jc w:val="both"/>
        <w:rPr>
          <w:rFonts w:asciiTheme="majorBidi" w:hAnsiTheme="majorBidi" w:cstheme="majorBidi"/>
          <w:b/>
          <w:bCs/>
          <w:sz w:val="28"/>
          <w:szCs w:val="28"/>
        </w:rPr>
      </w:pPr>
    </w:p>
    <w:p w14:paraId="130105D6" w14:textId="3AAA51E4" w:rsidR="00414101" w:rsidRDefault="00414101" w:rsidP="00370CB9">
      <w:pPr>
        <w:jc w:val="both"/>
        <w:rPr>
          <w:rFonts w:asciiTheme="majorBidi" w:hAnsiTheme="majorBidi" w:cstheme="majorBidi"/>
          <w:b/>
          <w:bCs/>
          <w:sz w:val="28"/>
          <w:szCs w:val="28"/>
        </w:rPr>
      </w:pPr>
    </w:p>
    <w:p w14:paraId="0AFFE6E2" w14:textId="40803707" w:rsidR="00414101" w:rsidRDefault="00414101" w:rsidP="00370CB9">
      <w:pPr>
        <w:jc w:val="both"/>
        <w:rPr>
          <w:rFonts w:asciiTheme="majorBidi" w:hAnsiTheme="majorBidi" w:cstheme="majorBidi"/>
          <w:b/>
          <w:bCs/>
          <w:sz w:val="28"/>
          <w:szCs w:val="28"/>
        </w:rPr>
      </w:pPr>
    </w:p>
    <w:p w14:paraId="112A4176" w14:textId="56F0ABA0" w:rsidR="00414101" w:rsidRDefault="00414101" w:rsidP="00370CB9">
      <w:pPr>
        <w:jc w:val="both"/>
        <w:rPr>
          <w:rFonts w:asciiTheme="majorBidi" w:hAnsiTheme="majorBidi" w:cstheme="majorBidi"/>
          <w:b/>
          <w:bCs/>
          <w:sz w:val="28"/>
          <w:szCs w:val="28"/>
        </w:rPr>
      </w:pPr>
    </w:p>
    <w:p w14:paraId="26465D33" w14:textId="56928D67" w:rsidR="00414101" w:rsidRDefault="00FA25A1" w:rsidP="00370CB9">
      <w:pPr>
        <w:jc w:val="both"/>
        <w:rPr>
          <w:rFonts w:asciiTheme="majorBidi" w:hAnsiTheme="majorBidi" w:cstheme="majorBidi"/>
          <w:b/>
          <w:bCs/>
          <w:sz w:val="28"/>
          <w:szCs w:val="28"/>
        </w:rPr>
      </w:pPr>
      <w:r>
        <w:rPr>
          <w:rFonts w:asciiTheme="majorBidi" w:hAnsiTheme="majorBidi" w:cstheme="majorBidi"/>
          <w:noProof/>
          <w:sz w:val="24"/>
          <w:szCs w:val="24"/>
        </w:rPr>
        <mc:AlternateContent>
          <mc:Choice Requires="wps">
            <w:drawing>
              <wp:anchor distT="0" distB="0" distL="114300" distR="114300" simplePos="0" relativeHeight="251674624" behindDoc="0" locked="0" layoutInCell="1" allowOverlap="1" wp14:anchorId="17FF6BF1" wp14:editId="327683D5">
                <wp:simplePos x="0" y="0"/>
                <wp:positionH relativeFrom="column">
                  <wp:posOffset>0</wp:posOffset>
                </wp:positionH>
                <wp:positionV relativeFrom="paragraph">
                  <wp:posOffset>293461</wp:posOffset>
                </wp:positionV>
                <wp:extent cx="5931535" cy="2059305"/>
                <wp:effectExtent l="0" t="0" r="0" b="0"/>
                <wp:wrapNone/>
                <wp:docPr id="39796249" name="Text Box 1"/>
                <wp:cNvGraphicFramePr/>
                <a:graphic xmlns:a="http://schemas.openxmlformats.org/drawingml/2006/main">
                  <a:graphicData uri="http://schemas.microsoft.com/office/word/2010/wordprocessingShape">
                    <wps:wsp>
                      <wps:cNvSpPr txBox="1"/>
                      <wps:spPr>
                        <a:xfrm>
                          <a:off x="0" y="0"/>
                          <a:ext cx="5931535" cy="2059305"/>
                        </a:xfrm>
                        <a:prstGeom prst="rect">
                          <a:avLst/>
                        </a:prstGeom>
                        <a:solidFill>
                          <a:schemeClr val="lt1"/>
                        </a:solidFill>
                        <a:ln w="6350">
                          <a:noFill/>
                        </a:ln>
                      </wps:spPr>
                      <wps:txbx>
                        <w:txbxContent>
                          <w:p w14:paraId="0D98A000" w14:textId="211703B0" w:rsidR="00414101" w:rsidRPr="00414101" w:rsidRDefault="00414101" w:rsidP="00414101">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414101">
                              <w:rPr>
                                <w:rFonts w:ascii="Times New Roman" w:hAnsi="Times New Roman" w:cs="Times New Roman"/>
                                <w:b/>
                                <w:bCs/>
                                <w:color w:val="000000" w:themeColor="text1"/>
                                <w:sz w:val="20"/>
                                <w:szCs w:val="20"/>
                              </w:rPr>
                              <w:t xml:space="preserve">Fig. </w:t>
                            </w:r>
                            <w:r>
                              <w:rPr>
                                <w:rFonts w:ascii="Times New Roman" w:hAnsi="Times New Roman" w:cs="Times New Roman"/>
                                <w:b/>
                                <w:bCs/>
                                <w:color w:val="000000" w:themeColor="text1"/>
                                <w:sz w:val="20"/>
                                <w:szCs w:val="20"/>
                              </w:rPr>
                              <w:t>2.</w:t>
                            </w:r>
                            <w:r w:rsidRPr="00414101">
                              <w:rPr>
                                <w:rFonts w:ascii="Times New Roman" w:hAnsi="Times New Roman" w:cs="Times New Roman"/>
                                <w:b/>
                                <w:bCs/>
                                <w:color w:val="000000" w:themeColor="text1"/>
                                <w:sz w:val="20"/>
                                <w:szCs w:val="20"/>
                              </w:rPr>
                              <w:t>3</w:t>
                            </w:r>
                            <w:r w:rsidRPr="00414101">
                              <w:rPr>
                                <w:rFonts w:ascii="Times New Roman" w:hAnsi="Times New Roman" w:cs="Times New Roman"/>
                                <w:b/>
                                <w:color w:val="000000" w:themeColor="text1"/>
                                <w:sz w:val="20"/>
                                <w:szCs w:val="20"/>
                              </w:rPr>
                              <w:t xml:space="preserve"> </w:t>
                            </w:r>
                            <w:r w:rsidRPr="00414101">
                              <w:rPr>
                                <w:rFonts w:ascii="Times New Roman" w:hAnsi="Times New Roman" w:cs="Times New Roman"/>
                                <w:color w:val="000000" w:themeColor="text1"/>
                                <w:sz w:val="20"/>
                                <w:szCs w:val="20"/>
                              </w:rPr>
                              <w:t xml:space="preserve">The ML phylogenetic tree based on 3564 SNP loci (a) recovered three well-differentiated clades: clade I formed by species in Lake Chapala, clade II represented by species from Lake Zacapu and dams, and clade III composed by species in Lakes Pátzcuaro and Zirahuén. We observed </w:t>
                            </w:r>
                            <w:r w:rsidRPr="00414101">
                              <w:rPr>
                                <w:rFonts w:ascii="Times New Roman" w:hAnsi="Times New Roman" w:cs="Times New Roman"/>
                                <w:i/>
                                <w:iCs/>
                                <w:color w:val="000000" w:themeColor="text1"/>
                                <w:sz w:val="20"/>
                                <w:szCs w:val="20"/>
                              </w:rPr>
                              <w:t>C. sphyraena</w:t>
                            </w:r>
                            <w:r w:rsidRPr="00414101">
                              <w:rPr>
                                <w:rFonts w:ascii="Times New Roman" w:hAnsi="Times New Roman" w:cs="Times New Roman"/>
                                <w:color w:val="000000" w:themeColor="text1"/>
                                <w:sz w:val="20"/>
                                <w:szCs w:val="20"/>
                              </w:rPr>
                              <w:t xml:space="preserve"> as a monophyletic group within clade I, and the subspecies </w:t>
                            </w:r>
                            <w:r w:rsidRPr="00414101">
                              <w:rPr>
                                <w:rFonts w:ascii="Times New Roman" w:hAnsi="Times New Roman" w:cs="Times New Roman"/>
                                <w:i/>
                                <w:iCs/>
                                <w:color w:val="000000" w:themeColor="text1"/>
                                <w:sz w:val="20"/>
                                <w:szCs w:val="20"/>
                              </w:rPr>
                              <w:t>C. e. copandaro</w:t>
                            </w:r>
                            <w:r w:rsidRPr="00414101">
                              <w:rPr>
                                <w:rFonts w:ascii="Times New Roman" w:hAnsi="Times New Roman" w:cs="Times New Roman"/>
                                <w:color w:val="000000" w:themeColor="text1"/>
                                <w:sz w:val="20"/>
                                <w:szCs w:val="20"/>
                              </w:rPr>
                              <w:t xml:space="preserve"> from Lake Zirahuén as a differentiated cluster within clade III. Although the multi-coalescent species tree considering circa 3400 neutral SNPs (b) recovered the main genomic clusters as the rest of the genetic structure analyses and the ML phylogenetic inferences, it did not present any intra-lake divergences. (c) The phylogenetic inference based on </w:t>
                            </w:r>
                            <w:r w:rsidRPr="00414101">
                              <w:rPr>
                                <w:rFonts w:ascii="Times New Roman" w:hAnsi="Times New Roman" w:cs="Times New Roman"/>
                                <w:i/>
                                <w:iCs/>
                                <w:color w:val="000000" w:themeColor="text1"/>
                                <w:sz w:val="20"/>
                                <w:szCs w:val="20"/>
                              </w:rPr>
                              <w:t>mt</w:t>
                            </w:r>
                            <w:r w:rsidRPr="00414101">
                              <w:rPr>
                                <w:rFonts w:ascii="Times New Roman" w:hAnsi="Times New Roman" w:cs="Times New Roman"/>
                                <w:color w:val="000000" w:themeColor="text1"/>
                                <w:sz w:val="20"/>
                                <w:szCs w:val="20"/>
                              </w:rPr>
                              <w:t>DNA (</w:t>
                            </w:r>
                            <w:r w:rsidRPr="00414101">
                              <w:rPr>
                                <w:rFonts w:ascii="Times New Roman" w:hAnsi="Times New Roman" w:cs="Times New Roman"/>
                                <w:i/>
                                <w:iCs/>
                                <w:color w:val="000000" w:themeColor="text1"/>
                                <w:sz w:val="20"/>
                                <w:szCs w:val="20"/>
                              </w:rPr>
                              <w:t>Cytb</w:t>
                            </w:r>
                            <w:r w:rsidRPr="00414101">
                              <w:rPr>
                                <w:rFonts w:ascii="Times New Roman" w:hAnsi="Times New Roman" w:cs="Times New Roman"/>
                                <w:color w:val="000000" w:themeColor="text1"/>
                                <w:sz w:val="20"/>
                                <w:szCs w:val="20"/>
                              </w:rPr>
                              <w:t xml:space="preserve"> and </w:t>
                            </w:r>
                            <w:r w:rsidRPr="00414101">
                              <w:rPr>
                                <w:rFonts w:ascii="Times New Roman" w:hAnsi="Times New Roman" w:cs="Times New Roman"/>
                                <w:i/>
                                <w:iCs/>
                                <w:color w:val="000000" w:themeColor="text1"/>
                                <w:sz w:val="20"/>
                                <w:szCs w:val="20"/>
                              </w:rPr>
                              <w:t>D-loop</w:t>
                            </w:r>
                            <w:r w:rsidRPr="00414101">
                              <w:rPr>
                                <w:rFonts w:ascii="Times New Roman" w:hAnsi="Times New Roman" w:cs="Times New Roman"/>
                                <w:color w:val="000000" w:themeColor="text1"/>
                                <w:sz w:val="20"/>
                                <w:szCs w:val="20"/>
                              </w:rPr>
                              <w:t xml:space="preserve">) failed to delineate reciprocal monophyletic groups as the ones estimated using the ddRADseq data (3564 SNP loci). The analyses of the genome-wide datasets clearly recovered well-differentiated clusters that are in agreement with the geography of the central Mexico plateau. However, none of our phylogenetic inferences showed concordance with the morphospecies nor ecotypes recognized within the </w:t>
                            </w:r>
                            <w:r w:rsidRPr="00414101">
                              <w:rPr>
                                <w:rFonts w:ascii="Times New Roman" w:hAnsi="Times New Roman" w:cs="Times New Roman"/>
                                <w:i/>
                                <w:iCs/>
                                <w:color w:val="000000" w:themeColor="text1"/>
                                <w:sz w:val="20"/>
                                <w:szCs w:val="20"/>
                              </w:rPr>
                              <w:t>humboltianum</w:t>
                            </w:r>
                            <w:r w:rsidRPr="00414101">
                              <w:rPr>
                                <w:rFonts w:ascii="Times New Roman" w:hAnsi="Times New Roman" w:cs="Times New Roman"/>
                                <w:color w:val="000000" w:themeColor="text1"/>
                                <w:sz w:val="20"/>
                                <w:szCs w:val="20"/>
                              </w:rPr>
                              <w:t xml:space="preserve"> group. Numbers on branches of the main clades indicate bootstrap values.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F6BF1" id="_x0000_s1031" type="#_x0000_t202" style="position:absolute;left:0;text-align:left;margin-left:0;margin-top:23.1pt;width:467.05pt;height:16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" fillcolor="white [3201]" stroked="f" strokeweight=".5pt">
                <v:textbox>
                  <w:txbxContent>
                    <w:p w14:paraId="0D98A000" w14:textId="211703B0" w:rsidR="00414101" w:rsidRPr="00414101" w:rsidRDefault="00414101" w:rsidP="00414101">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414101">
                        <w:rPr>
                          <w:rFonts w:ascii="Times New Roman" w:hAnsi="Times New Roman" w:cs="Times New Roman"/>
                          <w:b/>
                          <w:bCs/>
                          <w:color w:val="000000" w:themeColor="text1"/>
                          <w:sz w:val="20"/>
                          <w:szCs w:val="20"/>
                        </w:rPr>
                        <w:t xml:space="preserve">Fig. </w:t>
                      </w:r>
                      <w:r>
                        <w:rPr>
                          <w:rFonts w:ascii="Times New Roman" w:hAnsi="Times New Roman" w:cs="Times New Roman"/>
                          <w:b/>
                          <w:bCs/>
                          <w:color w:val="000000" w:themeColor="text1"/>
                          <w:sz w:val="20"/>
                          <w:szCs w:val="20"/>
                        </w:rPr>
                        <w:t>2.</w:t>
                      </w:r>
                      <w:r w:rsidRPr="00414101">
                        <w:rPr>
                          <w:rFonts w:ascii="Times New Roman" w:hAnsi="Times New Roman" w:cs="Times New Roman"/>
                          <w:b/>
                          <w:bCs/>
                          <w:color w:val="000000" w:themeColor="text1"/>
                          <w:sz w:val="20"/>
                          <w:szCs w:val="20"/>
                        </w:rPr>
                        <w:t>3</w:t>
                      </w:r>
                      <w:r w:rsidRPr="00414101">
                        <w:rPr>
                          <w:rFonts w:ascii="Times New Roman" w:hAnsi="Times New Roman" w:cs="Times New Roman"/>
                          <w:b/>
                          <w:color w:val="000000" w:themeColor="text1"/>
                          <w:sz w:val="20"/>
                          <w:szCs w:val="20"/>
                        </w:rPr>
                        <w:t xml:space="preserve"> </w:t>
                      </w:r>
                      <w:r w:rsidRPr="00414101">
                        <w:rPr>
                          <w:rFonts w:ascii="Times New Roman" w:hAnsi="Times New Roman" w:cs="Times New Roman"/>
                          <w:color w:val="000000" w:themeColor="text1"/>
                          <w:sz w:val="20"/>
                          <w:szCs w:val="20"/>
                        </w:rPr>
                        <w:t xml:space="preserve">The ML phylogenetic tree based on 3564 SNP loci (a) recovered three well-differentiated clades: clade I formed by species in Lake Chapala, clade II represented by species from Lake Zacapu and dams, and clade III composed by species in Lakes Pátzcuaro and Zirahuén. We observed </w:t>
                      </w:r>
                      <w:r w:rsidRPr="00414101">
                        <w:rPr>
                          <w:rFonts w:ascii="Times New Roman" w:hAnsi="Times New Roman" w:cs="Times New Roman"/>
                          <w:i/>
                          <w:iCs/>
                          <w:color w:val="000000" w:themeColor="text1"/>
                          <w:sz w:val="20"/>
                          <w:szCs w:val="20"/>
                        </w:rPr>
                        <w:t>C. sphyraena</w:t>
                      </w:r>
                      <w:r w:rsidRPr="00414101">
                        <w:rPr>
                          <w:rFonts w:ascii="Times New Roman" w:hAnsi="Times New Roman" w:cs="Times New Roman"/>
                          <w:color w:val="000000" w:themeColor="text1"/>
                          <w:sz w:val="20"/>
                          <w:szCs w:val="20"/>
                        </w:rPr>
                        <w:t xml:space="preserve"> as a monophyletic group within clade I, and the subspecies </w:t>
                      </w:r>
                      <w:r w:rsidRPr="00414101">
                        <w:rPr>
                          <w:rFonts w:ascii="Times New Roman" w:hAnsi="Times New Roman" w:cs="Times New Roman"/>
                          <w:i/>
                          <w:iCs/>
                          <w:color w:val="000000" w:themeColor="text1"/>
                          <w:sz w:val="20"/>
                          <w:szCs w:val="20"/>
                        </w:rPr>
                        <w:t>C. e. copandaro</w:t>
                      </w:r>
                      <w:r w:rsidRPr="00414101">
                        <w:rPr>
                          <w:rFonts w:ascii="Times New Roman" w:hAnsi="Times New Roman" w:cs="Times New Roman"/>
                          <w:color w:val="000000" w:themeColor="text1"/>
                          <w:sz w:val="20"/>
                          <w:szCs w:val="20"/>
                        </w:rPr>
                        <w:t xml:space="preserve"> from Lake Zirahuén as a differentiated cluster within clade III. Although the multi-coalescent species tree considering circa 3400 neutral SNPs (b) recovered the main genomic clusters as the rest of the genetic structure analyses and the ML phylogenetic inferences, it did not present any intra-lake divergences. (c) The phylogenetic inference based on </w:t>
                      </w:r>
                      <w:r w:rsidRPr="00414101">
                        <w:rPr>
                          <w:rFonts w:ascii="Times New Roman" w:hAnsi="Times New Roman" w:cs="Times New Roman"/>
                          <w:i/>
                          <w:iCs/>
                          <w:color w:val="000000" w:themeColor="text1"/>
                          <w:sz w:val="20"/>
                          <w:szCs w:val="20"/>
                        </w:rPr>
                        <w:t>mt</w:t>
                      </w:r>
                      <w:r w:rsidRPr="00414101">
                        <w:rPr>
                          <w:rFonts w:ascii="Times New Roman" w:hAnsi="Times New Roman" w:cs="Times New Roman"/>
                          <w:color w:val="000000" w:themeColor="text1"/>
                          <w:sz w:val="20"/>
                          <w:szCs w:val="20"/>
                        </w:rPr>
                        <w:t>DNA (</w:t>
                      </w:r>
                      <w:r w:rsidRPr="00414101">
                        <w:rPr>
                          <w:rFonts w:ascii="Times New Roman" w:hAnsi="Times New Roman" w:cs="Times New Roman"/>
                          <w:i/>
                          <w:iCs/>
                          <w:color w:val="000000" w:themeColor="text1"/>
                          <w:sz w:val="20"/>
                          <w:szCs w:val="20"/>
                        </w:rPr>
                        <w:t>Cytb</w:t>
                      </w:r>
                      <w:r w:rsidRPr="00414101">
                        <w:rPr>
                          <w:rFonts w:ascii="Times New Roman" w:hAnsi="Times New Roman" w:cs="Times New Roman"/>
                          <w:color w:val="000000" w:themeColor="text1"/>
                          <w:sz w:val="20"/>
                          <w:szCs w:val="20"/>
                        </w:rPr>
                        <w:t xml:space="preserve"> and </w:t>
                      </w:r>
                      <w:r w:rsidRPr="00414101">
                        <w:rPr>
                          <w:rFonts w:ascii="Times New Roman" w:hAnsi="Times New Roman" w:cs="Times New Roman"/>
                          <w:i/>
                          <w:iCs/>
                          <w:color w:val="000000" w:themeColor="text1"/>
                          <w:sz w:val="20"/>
                          <w:szCs w:val="20"/>
                        </w:rPr>
                        <w:t>D-loop</w:t>
                      </w:r>
                      <w:r w:rsidRPr="00414101">
                        <w:rPr>
                          <w:rFonts w:ascii="Times New Roman" w:hAnsi="Times New Roman" w:cs="Times New Roman"/>
                          <w:color w:val="000000" w:themeColor="text1"/>
                          <w:sz w:val="20"/>
                          <w:szCs w:val="20"/>
                        </w:rPr>
                        <w:t xml:space="preserve">) failed to delineate reciprocal monophyletic groups as the ones estimated using the ddRADseq data (3564 SNP loci). The analyses of the genome-wide datasets clearly recovered well-differentiated clusters that are in agreement with the geography of the central Mexico plateau. However, none of our phylogenetic inferences showed concordance with the morphospecies nor ecotypes recognized within the </w:t>
                      </w:r>
                      <w:r w:rsidRPr="00414101">
                        <w:rPr>
                          <w:rFonts w:ascii="Times New Roman" w:hAnsi="Times New Roman" w:cs="Times New Roman"/>
                          <w:i/>
                          <w:iCs/>
                          <w:color w:val="000000" w:themeColor="text1"/>
                          <w:sz w:val="20"/>
                          <w:szCs w:val="20"/>
                        </w:rPr>
                        <w:t>humboltianum</w:t>
                      </w:r>
                      <w:r w:rsidRPr="00414101">
                        <w:rPr>
                          <w:rFonts w:ascii="Times New Roman" w:hAnsi="Times New Roman" w:cs="Times New Roman"/>
                          <w:color w:val="000000" w:themeColor="text1"/>
                          <w:sz w:val="20"/>
                          <w:szCs w:val="20"/>
                        </w:rPr>
                        <w:t xml:space="preserve"> group. Numbers on branches of the main clades indicate bootstrap values.</w:t>
                      </w:r>
                    </w:p>
                  </w:txbxContent>
                </v:textbox>
              </v:shape>
            </w:pict>
          </mc:Fallback>
        </mc:AlternateContent>
      </w:r>
    </w:p>
    <w:p w14:paraId="5AB38629" w14:textId="27C89F43" w:rsidR="00414101" w:rsidRDefault="00414101" w:rsidP="00370CB9">
      <w:pPr>
        <w:jc w:val="both"/>
        <w:rPr>
          <w:rFonts w:asciiTheme="majorBidi" w:hAnsiTheme="majorBidi" w:cstheme="majorBidi"/>
          <w:b/>
          <w:bCs/>
          <w:sz w:val="28"/>
          <w:szCs w:val="28"/>
        </w:rPr>
      </w:pPr>
    </w:p>
    <w:p w14:paraId="014E8FD0" w14:textId="23FA076F" w:rsidR="00414101" w:rsidRDefault="00414101" w:rsidP="00370CB9">
      <w:pPr>
        <w:jc w:val="both"/>
        <w:rPr>
          <w:rFonts w:asciiTheme="majorBidi" w:hAnsiTheme="majorBidi" w:cstheme="majorBidi"/>
          <w:b/>
          <w:bCs/>
          <w:sz w:val="28"/>
          <w:szCs w:val="28"/>
        </w:rPr>
      </w:pPr>
    </w:p>
    <w:p w14:paraId="342B9D60" w14:textId="77777777" w:rsidR="00414101" w:rsidRDefault="00414101" w:rsidP="00370CB9">
      <w:pPr>
        <w:jc w:val="both"/>
        <w:rPr>
          <w:rFonts w:asciiTheme="majorBidi" w:hAnsiTheme="majorBidi" w:cstheme="majorBidi"/>
          <w:b/>
          <w:bCs/>
          <w:sz w:val="28"/>
          <w:szCs w:val="28"/>
        </w:rPr>
      </w:pPr>
    </w:p>
    <w:p w14:paraId="4B24EEC4" w14:textId="77777777" w:rsidR="00414101" w:rsidRDefault="00414101" w:rsidP="00370CB9">
      <w:pPr>
        <w:jc w:val="both"/>
        <w:rPr>
          <w:rFonts w:asciiTheme="majorBidi" w:hAnsiTheme="majorBidi" w:cstheme="majorBidi"/>
          <w:b/>
          <w:bCs/>
          <w:sz w:val="28"/>
          <w:szCs w:val="28"/>
        </w:rPr>
      </w:pPr>
    </w:p>
    <w:p w14:paraId="28AF2912" w14:textId="77777777" w:rsidR="00FA25A1" w:rsidRDefault="00FA25A1" w:rsidP="00370CB9">
      <w:pPr>
        <w:jc w:val="both"/>
        <w:rPr>
          <w:rFonts w:asciiTheme="majorBidi" w:hAnsiTheme="majorBidi" w:cstheme="majorBidi"/>
          <w:b/>
          <w:bCs/>
          <w:sz w:val="28"/>
          <w:szCs w:val="28"/>
        </w:rPr>
      </w:pPr>
    </w:p>
    <w:p w14:paraId="046A172C" w14:textId="77777777" w:rsidR="00FA25A1" w:rsidRDefault="00FA25A1" w:rsidP="00370CB9">
      <w:pPr>
        <w:jc w:val="both"/>
        <w:rPr>
          <w:rFonts w:asciiTheme="majorBidi" w:hAnsiTheme="majorBidi" w:cstheme="majorBidi"/>
          <w:b/>
          <w:bCs/>
          <w:sz w:val="28"/>
          <w:szCs w:val="28"/>
        </w:rPr>
      </w:pPr>
    </w:p>
    <w:p w14:paraId="411F7353" w14:textId="77777777" w:rsidR="00FA25A1" w:rsidRDefault="00FA25A1" w:rsidP="00370CB9">
      <w:pPr>
        <w:jc w:val="both"/>
        <w:rPr>
          <w:rFonts w:asciiTheme="majorBidi" w:hAnsiTheme="majorBidi" w:cstheme="majorBidi"/>
          <w:b/>
          <w:bCs/>
          <w:sz w:val="28"/>
          <w:szCs w:val="28"/>
        </w:rPr>
      </w:pPr>
    </w:p>
    <w:p w14:paraId="5A9CF446" w14:textId="77777777" w:rsidR="00FA25A1" w:rsidRDefault="00FA25A1" w:rsidP="00370CB9">
      <w:pPr>
        <w:jc w:val="both"/>
        <w:rPr>
          <w:rFonts w:asciiTheme="majorBidi" w:hAnsiTheme="majorBidi" w:cstheme="majorBidi"/>
          <w:b/>
          <w:bCs/>
          <w:sz w:val="28"/>
          <w:szCs w:val="28"/>
        </w:rPr>
      </w:pPr>
    </w:p>
    <w:p w14:paraId="7A685CE8" w14:textId="77777777" w:rsidR="00FA25A1" w:rsidRDefault="00FA25A1" w:rsidP="00370CB9">
      <w:pPr>
        <w:jc w:val="both"/>
        <w:rPr>
          <w:rFonts w:asciiTheme="majorBidi" w:hAnsiTheme="majorBidi" w:cstheme="majorBidi"/>
          <w:b/>
          <w:bCs/>
          <w:sz w:val="28"/>
          <w:szCs w:val="28"/>
        </w:rPr>
      </w:pPr>
    </w:p>
    <w:p w14:paraId="601183E9" w14:textId="77777777" w:rsidR="00FA25A1" w:rsidRDefault="00FA25A1" w:rsidP="00370CB9">
      <w:pPr>
        <w:jc w:val="both"/>
        <w:rPr>
          <w:rFonts w:asciiTheme="majorBidi" w:hAnsiTheme="majorBidi" w:cstheme="majorBidi"/>
          <w:b/>
          <w:bCs/>
          <w:sz w:val="28"/>
          <w:szCs w:val="28"/>
        </w:rPr>
      </w:pPr>
    </w:p>
    <w:p w14:paraId="2DD43585" w14:textId="77777777" w:rsidR="00FA25A1" w:rsidRDefault="00FA25A1" w:rsidP="00370CB9">
      <w:pPr>
        <w:jc w:val="both"/>
        <w:rPr>
          <w:rFonts w:asciiTheme="majorBidi" w:hAnsiTheme="majorBidi" w:cstheme="majorBidi"/>
          <w:b/>
          <w:bCs/>
          <w:sz w:val="28"/>
          <w:szCs w:val="28"/>
        </w:rPr>
      </w:pPr>
    </w:p>
    <w:tbl>
      <w:tblPr>
        <w:tblStyle w:val="TableGrid"/>
        <w:tblW w:w="0" w:type="auto"/>
        <w:tblLook w:val="04A0" w:firstRow="1" w:lastRow="0" w:firstColumn="1" w:lastColumn="0" w:noHBand="0" w:noVBand="1"/>
      </w:tblPr>
      <w:tblGrid>
        <w:gridCol w:w="1205"/>
        <w:gridCol w:w="1164"/>
        <w:gridCol w:w="1164"/>
        <w:gridCol w:w="1163"/>
        <w:gridCol w:w="1164"/>
        <w:gridCol w:w="1163"/>
        <w:gridCol w:w="1164"/>
        <w:gridCol w:w="1163"/>
      </w:tblGrid>
      <w:tr w:rsidR="005C0315" w:rsidRPr="005C0315" w14:paraId="5D43EC61" w14:textId="77777777" w:rsidTr="006A4D13">
        <w:tc>
          <w:tcPr>
            <w:tcW w:w="9350" w:type="dxa"/>
            <w:gridSpan w:val="8"/>
            <w:tcBorders>
              <w:top w:val="single" w:sz="18" w:space="0" w:color="auto"/>
              <w:left w:val="nil"/>
              <w:bottom w:val="single" w:sz="18" w:space="0" w:color="auto"/>
              <w:right w:val="nil"/>
            </w:tcBorders>
          </w:tcPr>
          <w:p w14:paraId="6344B0EA" w14:textId="7695911A" w:rsidR="005C0315" w:rsidRPr="005C0315" w:rsidRDefault="005C0315" w:rsidP="005C0315">
            <w:pPr>
              <w:jc w:val="both"/>
              <w:rPr>
                <w:rFonts w:ascii="Times New Roman" w:hAnsi="Times New Roman" w:cs="Times New Roman"/>
                <w:sz w:val="20"/>
                <w:szCs w:val="20"/>
              </w:rPr>
            </w:pPr>
            <w:r w:rsidRPr="005C0315">
              <w:rPr>
                <w:rFonts w:ascii="Times New Roman" w:hAnsi="Times New Roman" w:cs="Times New Roman"/>
                <w:b/>
                <w:bCs/>
                <w:color w:val="000000" w:themeColor="text1"/>
                <w:sz w:val="20"/>
                <w:szCs w:val="20"/>
              </w:rPr>
              <w:lastRenderedPageBreak/>
              <w:t xml:space="preserve">Table </w:t>
            </w:r>
            <w:r>
              <w:rPr>
                <w:rFonts w:ascii="Times New Roman" w:hAnsi="Times New Roman" w:cs="Times New Roman"/>
                <w:b/>
                <w:bCs/>
                <w:color w:val="000000" w:themeColor="text1"/>
                <w:sz w:val="20"/>
                <w:szCs w:val="20"/>
              </w:rPr>
              <w:t>2.</w:t>
            </w:r>
            <w:r w:rsidRPr="005C0315">
              <w:rPr>
                <w:rFonts w:ascii="Times New Roman" w:hAnsi="Times New Roman" w:cs="Times New Roman"/>
                <w:b/>
                <w:bCs/>
                <w:color w:val="000000" w:themeColor="text1"/>
                <w:sz w:val="20"/>
                <w:szCs w:val="20"/>
              </w:rPr>
              <w:t>1</w:t>
            </w:r>
            <w:r w:rsidRPr="005C0315">
              <w:rPr>
                <w:rFonts w:ascii="Times New Roman" w:hAnsi="Times New Roman" w:cs="Times New Roman"/>
                <w:color w:val="000000"/>
                <w:sz w:val="20"/>
                <w:szCs w:val="20"/>
              </w:rPr>
              <w:t xml:space="preserve"> </w:t>
            </w:r>
            <w:r w:rsidRPr="005C0315">
              <w:rPr>
                <w:rFonts w:ascii="Times New Roman" w:hAnsi="Times New Roman" w:cs="Times New Roman"/>
                <w:sz w:val="20"/>
                <w:szCs w:val="20"/>
              </w:rPr>
              <w:t xml:space="preserve">Results of bayes factor delimitation (BFD*) analyses for the </w:t>
            </w:r>
            <w:r w:rsidRPr="005C0315">
              <w:rPr>
                <w:rFonts w:ascii="Times New Roman" w:hAnsi="Times New Roman" w:cs="Times New Roman"/>
                <w:i/>
                <w:iCs/>
                <w:sz w:val="20"/>
                <w:szCs w:val="20"/>
              </w:rPr>
              <w:t>humboldtianum</w:t>
            </w:r>
            <w:r w:rsidRPr="005C0315">
              <w:rPr>
                <w:rFonts w:ascii="Times New Roman" w:hAnsi="Times New Roman" w:cs="Times New Roman"/>
                <w:sz w:val="20"/>
                <w:szCs w:val="20"/>
              </w:rPr>
              <w:t xml:space="preserve"> group using three SNPs subsets (ranging from 39–59 individuals, and 411–1102 SNP loci). </w:t>
            </w:r>
            <w:r w:rsidRPr="005C0315">
              <w:rPr>
                <w:rFonts w:ascii="Times New Roman" w:hAnsi="Times New Roman" w:cs="Times New Roman"/>
                <w:color w:val="000000"/>
                <w:sz w:val="20"/>
                <w:szCs w:val="20"/>
              </w:rPr>
              <w:t>Bayes factor (BF)</w:t>
            </w:r>
            <w:r w:rsidRPr="005C0315">
              <w:rPr>
                <w:rFonts w:ascii="Times New Roman" w:hAnsi="Times New Roman" w:cs="Times New Roman"/>
                <w:sz w:val="20"/>
                <w:szCs w:val="20"/>
              </w:rPr>
              <w:t xml:space="preserve"> </w:t>
            </w:r>
            <w:r w:rsidRPr="005C0315">
              <w:rPr>
                <w:rFonts w:ascii="Times New Roman" w:hAnsi="Times New Roman" w:cs="Times New Roman"/>
                <w:color w:val="000000"/>
                <w:sz w:val="20"/>
                <w:szCs w:val="20"/>
              </w:rPr>
              <w:t>calculations are estimated against the model with the best marginal-likelihood estimate (Model 1). Positive BF values indicate support for model 1 (the best model).</w:t>
            </w:r>
            <w:r w:rsidRPr="005C0315">
              <w:rPr>
                <w:rFonts w:ascii="Times New Roman" w:hAnsi="Times New Roman" w:cs="Times New Roman"/>
                <w:sz w:val="20"/>
                <w:szCs w:val="20"/>
              </w:rPr>
              <w:t xml:space="preserve"> Overall, these analyses support a species delimitation scenario between four and five species, rejecting the nine morphospecies scheme.</w:t>
            </w:r>
          </w:p>
        </w:tc>
      </w:tr>
      <w:tr w:rsidR="00291A63" w:rsidRPr="005C0315" w14:paraId="34F975B1" w14:textId="77777777" w:rsidTr="006A4D13">
        <w:tc>
          <w:tcPr>
            <w:tcW w:w="1205" w:type="dxa"/>
            <w:vMerge w:val="restart"/>
            <w:tcBorders>
              <w:top w:val="single" w:sz="18" w:space="0" w:color="auto"/>
              <w:left w:val="nil"/>
              <w:bottom w:val="single" w:sz="18" w:space="0" w:color="auto"/>
              <w:right w:val="nil"/>
            </w:tcBorders>
          </w:tcPr>
          <w:p w14:paraId="11D02A3F" w14:textId="0E34D222" w:rsidR="00291A63" w:rsidRPr="006A4D13" w:rsidRDefault="00291A63"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Model</w:t>
            </w:r>
          </w:p>
        </w:tc>
        <w:tc>
          <w:tcPr>
            <w:tcW w:w="1164" w:type="dxa"/>
            <w:vMerge w:val="restart"/>
            <w:tcBorders>
              <w:top w:val="single" w:sz="18" w:space="0" w:color="auto"/>
              <w:left w:val="nil"/>
              <w:bottom w:val="single" w:sz="18" w:space="0" w:color="auto"/>
              <w:right w:val="nil"/>
            </w:tcBorders>
          </w:tcPr>
          <w:p w14:paraId="79F160AA" w14:textId="2CFBB902" w:rsidR="00291A63" w:rsidRPr="006A4D13" w:rsidRDefault="00291A63"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Species number</w:t>
            </w:r>
          </w:p>
        </w:tc>
        <w:tc>
          <w:tcPr>
            <w:tcW w:w="2327" w:type="dxa"/>
            <w:gridSpan w:val="2"/>
            <w:tcBorders>
              <w:top w:val="single" w:sz="18" w:space="0" w:color="auto"/>
              <w:left w:val="nil"/>
              <w:bottom w:val="single" w:sz="12" w:space="0" w:color="auto"/>
              <w:right w:val="nil"/>
            </w:tcBorders>
          </w:tcPr>
          <w:p w14:paraId="4C1C6443" w14:textId="77777777" w:rsidR="00291A63" w:rsidRPr="006A4D13" w:rsidRDefault="00291A63"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Subset 1</w:t>
            </w:r>
          </w:p>
          <w:p w14:paraId="406C255A" w14:textId="37F28AED" w:rsidR="00291A63" w:rsidRPr="006A4D13" w:rsidRDefault="00291A63"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39 ind./411 SNPs</w:t>
            </w:r>
          </w:p>
        </w:tc>
        <w:tc>
          <w:tcPr>
            <w:tcW w:w="2327" w:type="dxa"/>
            <w:gridSpan w:val="2"/>
            <w:tcBorders>
              <w:top w:val="single" w:sz="18" w:space="0" w:color="auto"/>
              <w:left w:val="nil"/>
              <w:bottom w:val="single" w:sz="12" w:space="0" w:color="auto"/>
              <w:right w:val="nil"/>
            </w:tcBorders>
          </w:tcPr>
          <w:p w14:paraId="034677A6" w14:textId="39618CCF" w:rsidR="00291A63" w:rsidRPr="006A4D13" w:rsidRDefault="00291A63"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Subset 2</w:t>
            </w:r>
          </w:p>
          <w:p w14:paraId="65852F5C" w14:textId="69496FE1" w:rsidR="00291A63" w:rsidRPr="006A4D13" w:rsidRDefault="00291A63"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39 ind./1102 SNPs</w:t>
            </w:r>
          </w:p>
        </w:tc>
        <w:tc>
          <w:tcPr>
            <w:tcW w:w="2327" w:type="dxa"/>
            <w:gridSpan w:val="2"/>
            <w:tcBorders>
              <w:top w:val="single" w:sz="18" w:space="0" w:color="auto"/>
              <w:left w:val="nil"/>
              <w:bottom w:val="single" w:sz="12" w:space="0" w:color="auto"/>
              <w:right w:val="nil"/>
            </w:tcBorders>
          </w:tcPr>
          <w:p w14:paraId="169018E4" w14:textId="1B310545" w:rsidR="00291A63" w:rsidRPr="006A4D13" w:rsidRDefault="00291A63"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Subset 3</w:t>
            </w:r>
          </w:p>
          <w:p w14:paraId="04FB3A55" w14:textId="6261CA8E" w:rsidR="00291A63" w:rsidRPr="006A4D13" w:rsidRDefault="00291A63"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59 ind./458 SNPs</w:t>
            </w:r>
          </w:p>
        </w:tc>
      </w:tr>
      <w:tr w:rsidR="00291A63" w:rsidRPr="005C0315" w14:paraId="266806C4" w14:textId="77777777" w:rsidTr="006A4D13">
        <w:tc>
          <w:tcPr>
            <w:tcW w:w="1205" w:type="dxa"/>
            <w:vMerge/>
            <w:tcBorders>
              <w:top w:val="nil"/>
              <w:left w:val="nil"/>
              <w:bottom w:val="single" w:sz="18" w:space="0" w:color="auto"/>
              <w:right w:val="nil"/>
            </w:tcBorders>
          </w:tcPr>
          <w:p w14:paraId="6124E496" w14:textId="77777777" w:rsidR="00291A63" w:rsidRPr="006A4D13" w:rsidRDefault="00291A63" w:rsidP="006A4D13">
            <w:pPr>
              <w:jc w:val="center"/>
              <w:rPr>
                <w:rFonts w:ascii="Times New Roman" w:hAnsi="Times New Roman" w:cs="Times New Roman"/>
                <w:b/>
                <w:bCs/>
                <w:sz w:val="20"/>
                <w:szCs w:val="20"/>
              </w:rPr>
            </w:pPr>
          </w:p>
        </w:tc>
        <w:tc>
          <w:tcPr>
            <w:tcW w:w="1164" w:type="dxa"/>
            <w:vMerge/>
            <w:tcBorders>
              <w:top w:val="nil"/>
              <w:left w:val="nil"/>
              <w:bottom w:val="single" w:sz="18" w:space="0" w:color="auto"/>
              <w:right w:val="nil"/>
            </w:tcBorders>
          </w:tcPr>
          <w:p w14:paraId="5F622DCD" w14:textId="77777777" w:rsidR="00291A63" w:rsidRPr="006A4D13" w:rsidRDefault="00291A63" w:rsidP="006A4D13">
            <w:pPr>
              <w:jc w:val="center"/>
              <w:rPr>
                <w:rFonts w:ascii="Times New Roman" w:hAnsi="Times New Roman" w:cs="Times New Roman"/>
                <w:b/>
                <w:bCs/>
                <w:sz w:val="20"/>
                <w:szCs w:val="20"/>
              </w:rPr>
            </w:pPr>
          </w:p>
        </w:tc>
        <w:tc>
          <w:tcPr>
            <w:tcW w:w="1164" w:type="dxa"/>
            <w:tcBorders>
              <w:top w:val="single" w:sz="12" w:space="0" w:color="auto"/>
              <w:left w:val="nil"/>
              <w:bottom w:val="single" w:sz="18" w:space="0" w:color="auto"/>
              <w:right w:val="nil"/>
            </w:tcBorders>
          </w:tcPr>
          <w:p w14:paraId="5483ED1C" w14:textId="2278F67C" w:rsidR="00291A63" w:rsidRPr="006A4D13" w:rsidRDefault="00DB130D"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MLE</w:t>
            </w:r>
          </w:p>
        </w:tc>
        <w:tc>
          <w:tcPr>
            <w:tcW w:w="1163" w:type="dxa"/>
            <w:tcBorders>
              <w:top w:val="single" w:sz="12" w:space="0" w:color="auto"/>
              <w:left w:val="nil"/>
              <w:bottom w:val="single" w:sz="18" w:space="0" w:color="auto"/>
              <w:right w:val="nil"/>
            </w:tcBorders>
          </w:tcPr>
          <w:p w14:paraId="642C2AA1" w14:textId="04E19C0B" w:rsidR="00291A63" w:rsidRPr="006A4D13" w:rsidRDefault="00DB130D"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BF</w:t>
            </w:r>
          </w:p>
        </w:tc>
        <w:tc>
          <w:tcPr>
            <w:tcW w:w="1164" w:type="dxa"/>
            <w:tcBorders>
              <w:top w:val="single" w:sz="12" w:space="0" w:color="auto"/>
              <w:left w:val="nil"/>
              <w:bottom w:val="single" w:sz="18" w:space="0" w:color="auto"/>
              <w:right w:val="nil"/>
            </w:tcBorders>
          </w:tcPr>
          <w:p w14:paraId="0D6C4C11" w14:textId="0F8E5579" w:rsidR="00291A63" w:rsidRPr="006A4D13" w:rsidRDefault="00DB130D"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MLE</w:t>
            </w:r>
          </w:p>
        </w:tc>
        <w:tc>
          <w:tcPr>
            <w:tcW w:w="1163" w:type="dxa"/>
            <w:tcBorders>
              <w:top w:val="single" w:sz="12" w:space="0" w:color="auto"/>
              <w:left w:val="nil"/>
              <w:bottom w:val="single" w:sz="18" w:space="0" w:color="auto"/>
              <w:right w:val="nil"/>
            </w:tcBorders>
          </w:tcPr>
          <w:p w14:paraId="0EAED908" w14:textId="3D7F485F" w:rsidR="00291A63" w:rsidRPr="006A4D13" w:rsidRDefault="00DB130D"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BF</w:t>
            </w:r>
          </w:p>
        </w:tc>
        <w:tc>
          <w:tcPr>
            <w:tcW w:w="1164" w:type="dxa"/>
            <w:tcBorders>
              <w:top w:val="single" w:sz="12" w:space="0" w:color="auto"/>
              <w:left w:val="nil"/>
              <w:bottom w:val="single" w:sz="18" w:space="0" w:color="auto"/>
              <w:right w:val="nil"/>
            </w:tcBorders>
          </w:tcPr>
          <w:p w14:paraId="64C8CBDD" w14:textId="323F5D7C" w:rsidR="00291A63" w:rsidRPr="006A4D13" w:rsidRDefault="00DB130D"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MLE</w:t>
            </w:r>
          </w:p>
        </w:tc>
        <w:tc>
          <w:tcPr>
            <w:tcW w:w="1163" w:type="dxa"/>
            <w:tcBorders>
              <w:top w:val="single" w:sz="12" w:space="0" w:color="auto"/>
              <w:left w:val="nil"/>
              <w:bottom w:val="single" w:sz="18" w:space="0" w:color="auto"/>
              <w:right w:val="nil"/>
            </w:tcBorders>
          </w:tcPr>
          <w:p w14:paraId="0641D3D3" w14:textId="3BD2EE1B" w:rsidR="00291A63" w:rsidRPr="006A4D13" w:rsidRDefault="00DB130D" w:rsidP="006A4D13">
            <w:pPr>
              <w:jc w:val="center"/>
              <w:rPr>
                <w:rFonts w:ascii="Times New Roman" w:hAnsi="Times New Roman" w:cs="Times New Roman"/>
                <w:b/>
                <w:bCs/>
                <w:sz w:val="20"/>
                <w:szCs w:val="20"/>
              </w:rPr>
            </w:pPr>
            <w:r w:rsidRPr="006A4D13">
              <w:rPr>
                <w:rFonts w:ascii="Times New Roman" w:hAnsi="Times New Roman" w:cs="Times New Roman"/>
                <w:b/>
                <w:bCs/>
                <w:sz w:val="20"/>
                <w:szCs w:val="20"/>
              </w:rPr>
              <w:t>BF</w:t>
            </w:r>
          </w:p>
        </w:tc>
      </w:tr>
      <w:tr w:rsidR="005C0315" w:rsidRPr="005C0315" w14:paraId="0A51B079" w14:textId="77777777" w:rsidTr="006A4D13">
        <w:tc>
          <w:tcPr>
            <w:tcW w:w="1205" w:type="dxa"/>
            <w:tcBorders>
              <w:top w:val="single" w:sz="18" w:space="0" w:color="auto"/>
              <w:left w:val="nil"/>
              <w:bottom w:val="nil"/>
              <w:right w:val="nil"/>
            </w:tcBorders>
          </w:tcPr>
          <w:p w14:paraId="7FD8611F" w14:textId="67F2EF95" w:rsidR="005C0315" w:rsidRPr="005C0315" w:rsidRDefault="00171117" w:rsidP="006A4D13">
            <w:pPr>
              <w:jc w:val="center"/>
              <w:rPr>
                <w:rFonts w:ascii="Times New Roman" w:hAnsi="Times New Roman" w:cs="Times New Roman"/>
                <w:sz w:val="20"/>
                <w:szCs w:val="20"/>
              </w:rPr>
            </w:pPr>
            <w:r w:rsidRPr="00171117">
              <w:rPr>
                <w:rFonts w:ascii="Times New Roman" w:hAnsi="Times New Roman" w:cs="Times New Roman"/>
                <w:sz w:val="20"/>
                <w:szCs w:val="20"/>
              </w:rPr>
              <w:t>current morpho-species</w:t>
            </w:r>
          </w:p>
        </w:tc>
        <w:tc>
          <w:tcPr>
            <w:tcW w:w="1164" w:type="dxa"/>
            <w:tcBorders>
              <w:top w:val="single" w:sz="18" w:space="0" w:color="auto"/>
              <w:left w:val="nil"/>
              <w:bottom w:val="nil"/>
              <w:right w:val="nil"/>
            </w:tcBorders>
          </w:tcPr>
          <w:p w14:paraId="2B12CCE3" w14:textId="54A04BF6" w:rsidR="005C0315" w:rsidRPr="005C0315" w:rsidRDefault="00DB130D" w:rsidP="006A4D13">
            <w:pPr>
              <w:jc w:val="center"/>
              <w:rPr>
                <w:rFonts w:ascii="Times New Roman" w:hAnsi="Times New Roman" w:cs="Times New Roman"/>
                <w:sz w:val="20"/>
                <w:szCs w:val="20"/>
              </w:rPr>
            </w:pPr>
            <w:r>
              <w:rPr>
                <w:rFonts w:ascii="Times New Roman" w:hAnsi="Times New Roman" w:cs="Times New Roman"/>
                <w:sz w:val="20"/>
                <w:szCs w:val="20"/>
              </w:rPr>
              <w:t>9</w:t>
            </w:r>
          </w:p>
        </w:tc>
        <w:tc>
          <w:tcPr>
            <w:tcW w:w="1164" w:type="dxa"/>
            <w:tcBorders>
              <w:top w:val="single" w:sz="18" w:space="0" w:color="auto"/>
              <w:left w:val="nil"/>
              <w:bottom w:val="nil"/>
              <w:right w:val="nil"/>
            </w:tcBorders>
          </w:tcPr>
          <w:p w14:paraId="0B4AE63A" w14:textId="5E7864DC" w:rsidR="005C0315" w:rsidRPr="005C0315" w:rsidRDefault="00DB130D" w:rsidP="006A4D13">
            <w:pPr>
              <w:jc w:val="center"/>
              <w:rPr>
                <w:rFonts w:ascii="Times New Roman" w:hAnsi="Times New Roman" w:cs="Times New Roman"/>
                <w:sz w:val="20"/>
                <w:szCs w:val="20"/>
              </w:rPr>
            </w:pPr>
            <w:r w:rsidRPr="00DB130D">
              <w:rPr>
                <w:rFonts w:ascii="Times New Roman" w:hAnsi="Times New Roman" w:cs="Times New Roman"/>
                <w:sz w:val="20"/>
                <w:szCs w:val="20"/>
              </w:rPr>
              <w:t>-12058.03</w:t>
            </w:r>
          </w:p>
        </w:tc>
        <w:tc>
          <w:tcPr>
            <w:tcW w:w="1163" w:type="dxa"/>
            <w:tcBorders>
              <w:top w:val="single" w:sz="18" w:space="0" w:color="auto"/>
              <w:left w:val="nil"/>
              <w:bottom w:val="nil"/>
              <w:right w:val="nil"/>
            </w:tcBorders>
          </w:tcPr>
          <w:p w14:paraId="536EF6AB" w14:textId="562F9DC0"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lang w:val="es-MX"/>
              </w:rPr>
              <w:t>295.56</w:t>
            </w:r>
          </w:p>
        </w:tc>
        <w:tc>
          <w:tcPr>
            <w:tcW w:w="1164" w:type="dxa"/>
            <w:tcBorders>
              <w:top w:val="single" w:sz="18" w:space="0" w:color="auto"/>
              <w:left w:val="nil"/>
              <w:bottom w:val="nil"/>
              <w:right w:val="nil"/>
            </w:tcBorders>
          </w:tcPr>
          <w:p w14:paraId="62F9CF6B" w14:textId="087F34CD"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-30993.31</w:t>
            </w:r>
          </w:p>
        </w:tc>
        <w:tc>
          <w:tcPr>
            <w:tcW w:w="1163" w:type="dxa"/>
            <w:tcBorders>
              <w:top w:val="single" w:sz="18" w:space="0" w:color="auto"/>
              <w:left w:val="nil"/>
              <w:bottom w:val="nil"/>
              <w:right w:val="nil"/>
            </w:tcBorders>
          </w:tcPr>
          <w:p w14:paraId="249718C9" w14:textId="10E745EA"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lang w:val="es-MX"/>
              </w:rPr>
              <w:t>850.28</w:t>
            </w:r>
          </w:p>
        </w:tc>
        <w:tc>
          <w:tcPr>
            <w:tcW w:w="1164" w:type="dxa"/>
            <w:tcBorders>
              <w:top w:val="single" w:sz="18" w:space="0" w:color="auto"/>
              <w:left w:val="nil"/>
              <w:bottom w:val="nil"/>
              <w:right w:val="nil"/>
            </w:tcBorders>
          </w:tcPr>
          <w:p w14:paraId="539E937C" w14:textId="7CA43404"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-21279.57</w:t>
            </w:r>
          </w:p>
        </w:tc>
        <w:tc>
          <w:tcPr>
            <w:tcW w:w="1163" w:type="dxa"/>
            <w:tcBorders>
              <w:top w:val="single" w:sz="18" w:space="0" w:color="auto"/>
              <w:left w:val="nil"/>
              <w:bottom w:val="nil"/>
              <w:right w:val="nil"/>
            </w:tcBorders>
          </w:tcPr>
          <w:p w14:paraId="058CEC4B" w14:textId="1A329D5F"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lang w:val="es-MX"/>
              </w:rPr>
              <w:t>507.42</w:t>
            </w:r>
          </w:p>
        </w:tc>
      </w:tr>
      <w:tr w:rsidR="005C0315" w:rsidRPr="005C0315" w14:paraId="42587C34" w14:textId="77777777" w:rsidTr="006A4D13">
        <w:tc>
          <w:tcPr>
            <w:tcW w:w="1205" w:type="dxa"/>
            <w:tcBorders>
              <w:top w:val="nil"/>
              <w:left w:val="nil"/>
              <w:bottom w:val="nil"/>
              <w:right w:val="nil"/>
            </w:tcBorders>
          </w:tcPr>
          <w:p w14:paraId="7AEBC069" w14:textId="69F2F2AB" w:rsidR="005C0315" w:rsidRPr="005C0315" w:rsidRDefault="00171117" w:rsidP="006A4D13">
            <w:pPr>
              <w:jc w:val="center"/>
              <w:rPr>
                <w:rFonts w:ascii="Times New Roman" w:hAnsi="Times New Roman" w:cs="Times New Roman"/>
                <w:sz w:val="20"/>
                <w:szCs w:val="20"/>
              </w:rPr>
            </w:pPr>
            <w:r w:rsidRPr="00171117">
              <w:rPr>
                <w:rFonts w:ascii="Times New Roman" w:hAnsi="Times New Roman" w:cs="Times New Roman"/>
                <w:i/>
                <w:iCs/>
                <w:sz w:val="20"/>
                <w:szCs w:val="20"/>
              </w:rPr>
              <w:t>mt</w:t>
            </w:r>
            <w:r w:rsidRPr="00171117">
              <w:rPr>
                <w:rFonts w:ascii="Times New Roman" w:hAnsi="Times New Roman" w:cs="Times New Roman"/>
                <w:sz w:val="20"/>
                <w:szCs w:val="20"/>
              </w:rPr>
              <w:t>DNA haplogroups</w:t>
            </w:r>
          </w:p>
        </w:tc>
        <w:tc>
          <w:tcPr>
            <w:tcW w:w="1164" w:type="dxa"/>
            <w:tcBorders>
              <w:top w:val="nil"/>
              <w:left w:val="nil"/>
              <w:bottom w:val="nil"/>
              <w:right w:val="nil"/>
            </w:tcBorders>
          </w:tcPr>
          <w:p w14:paraId="41416DA9" w14:textId="248F08DE" w:rsidR="005C0315" w:rsidRPr="005C0315" w:rsidRDefault="00DB130D" w:rsidP="006A4D13">
            <w:pPr>
              <w:jc w:val="center"/>
              <w:rPr>
                <w:rFonts w:ascii="Times New Roman" w:hAnsi="Times New Roman" w:cs="Times New Roman"/>
                <w:sz w:val="20"/>
                <w:szCs w:val="20"/>
              </w:rPr>
            </w:pPr>
            <w:r>
              <w:rPr>
                <w:rFonts w:ascii="Times New Roman" w:hAnsi="Times New Roman" w:cs="Times New Roman"/>
                <w:sz w:val="20"/>
                <w:szCs w:val="20"/>
              </w:rPr>
              <w:t>5</w:t>
            </w:r>
          </w:p>
        </w:tc>
        <w:tc>
          <w:tcPr>
            <w:tcW w:w="1164" w:type="dxa"/>
            <w:tcBorders>
              <w:top w:val="nil"/>
              <w:left w:val="nil"/>
              <w:bottom w:val="nil"/>
              <w:right w:val="nil"/>
            </w:tcBorders>
          </w:tcPr>
          <w:p w14:paraId="0618CD6E" w14:textId="20D57686"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b/>
                <w:bCs/>
                <w:sz w:val="20"/>
                <w:szCs w:val="20"/>
              </w:rPr>
              <w:t>-11910.25</w:t>
            </w:r>
          </w:p>
        </w:tc>
        <w:tc>
          <w:tcPr>
            <w:tcW w:w="1163" w:type="dxa"/>
            <w:tcBorders>
              <w:top w:val="nil"/>
              <w:left w:val="nil"/>
              <w:bottom w:val="nil"/>
              <w:right w:val="nil"/>
            </w:tcBorders>
          </w:tcPr>
          <w:p w14:paraId="008DB10F" w14:textId="067E1BAF" w:rsidR="005C0315" w:rsidRPr="005C0315" w:rsidRDefault="006A4D13" w:rsidP="006A4D13">
            <w:pPr>
              <w:jc w:val="center"/>
              <w:rPr>
                <w:rFonts w:ascii="Times New Roman" w:hAnsi="Times New Roman" w:cs="Times New Roman"/>
                <w:sz w:val="20"/>
                <w:szCs w:val="20"/>
              </w:rPr>
            </w:pPr>
            <w:r>
              <w:rPr>
                <w:rFonts w:ascii="Times New Roman" w:hAnsi="Times New Roman" w:cs="Times New Roman"/>
                <w:sz w:val="20"/>
                <w:szCs w:val="20"/>
              </w:rPr>
              <w:t>NA</w:t>
            </w:r>
          </w:p>
        </w:tc>
        <w:tc>
          <w:tcPr>
            <w:tcW w:w="1164" w:type="dxa"/>
            <w:tcBorders>
              <w:top w:val="nil"/>
              <w:left w:val="nil"/>
              <w:bottom w:val="nil"/>
              <w:right w:val="nil"/>
            </w:tcBorders>
          </w:tcPr>
          <w:p w14:paraId="56CE337C" w14:textId="367AD308"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-30600.16</w:t>
            </w:r>
          </w:p>
        </w:tc>
        <w:tc>
          <w:tcPr>
            <w:tcW w:w="1163" w:type="dxa"/>
            <w:tcBorders>
              <w:top w:val="nil"/>
              <w:left w:val="nil"/>
              <w:bottom w:val="nil"/>
              <w:right w:val="nil"/>
            </w:tcBorders>
          </w:tcPr>
          <w:p w14:paraId="3F9A0E3D" w14:textId="574EFD24" w:rsidR="005C0315" w:rsidRPr="005C0315" w:rsidRDefault="006A4D13" w:rsidP="006A4D13">
            <w:pPr>
              <w:tabs>
                <w:tab w:val="left" w:pos="557"/>
              </w:tabs>
              <w:jc w:val="center"/>
              <w:rPr>
                <w:rFonts w:ascii="Times New Roman" w:hAnsi="Times New Roman" w:cs="Times New Roman"/>
                <w:sz w:val="20"/>
                <w:szCs w:val="20"/>
              </w:rPr>
            </w:pPr>
            <w:r w:rsidRPr="006A4D13">
              <w:rPr>
                <w:rFonts w:ascii="Times New Roman" w:hAnsi="Times New Roman" w:cs="Times New Roman"/>
                <w:sz w:val="20"/>
                <w:szCs w:val="20"/>
                <w:lang w:val="es-MX"/>
              </w:rPr>
              <w:t>63.98</w:t>
            </w:r>
          </w:p>
        </w:tc>
        <w:tc>
          <w:tcPr>
            <w:tcW w:w="1164" w:type="dxa"/>
            <w:tcBorders>
              <w:top w:val="nil"/>
              <w:left w:val="nil"/>
              <w:bottom w:val="nil"/>
              <w:right w:val="nil"/>
            </w:tcBorders>
          </w:tcPr>
          <w:p w14:paraId="14211893" w14:textId="5E021071"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b/>
                <w:bCs/>
                <w:sz w:val="20"/>
                <w:szCs w:val="20"/>
              </w:rPr>
              <w:t>-21025.86</w:t>
            </w:r>
          </w:p>
        </w:tc>
        <w:tc>
          <w:tcPr>
            <w:tcW w:w="1163" w:type="dxa"/>
            <w:tcBorders>
              <w:top w:val="nil"/>
              <w:left w:val="nil"/>
              <w:bottom w:val="nil"/>
              <w:right w:val="nil"/>
            </w:tcBorders>
          </w:tcPr>
          <w:p w14:paraId="54B86DC8" w14:textId="476EF4FC" w:rsidR="005C0315" w:rsidRPr="005C0315" w:rsidRDefault="006A4D13" w:rsidP="006A4D13">
            <w:pPr>
              <w:jc w:val="center"/>
              <w:rPr>
                <w:rFonts w:ascii="Times New Roman" w:hAnsi="Times New Roman" w:cs="Times New Roman"/>
                <w:sz w:val="20"/>
                <w:szCs w:val="20"/>
              </w:rPr>
            </w:pPr>
            <w:r>
              <w:rPr>
                <w:rFonts w:ascii="Times New Roman" w:hAnsi="Times New Roman" w:cs="Times New Roman"/>
                <w:sz w:val="20"/>
                <w:szCs w:val="20"/>
              </w:rPr>
              <w:t>NA</w:t>
            </w:r>
          </w:p>
        </w:tc>
      </w:tr>
      <w:tr w:rsidR="005C0315" w:rsidRPr="005C0315" w14:paraId="1CB09A9D" w14:textId="77777777" w:rsidTr="006A4D13">
        <w:tc>
          <w:tcPr>
            <w:tcW w:w="1205" w:type="dxa"/>
            <w:tcBorders>
              <w:top w:val="nil"/>
              <w:left w:val="nil"/>
              <w:bottom w:val="nil"/>
              <w:right w:val="nil"/>
            </w:tcBorders>
          </w:tcPr>
          <w:p w14:paraId="57A1BBF8" w14:textId="52996458" w:rsidR="005C0315" w:rsidRPr="005C0315" w:rsidRDefault="00171117" w:rsidP="006A4D13">
            <w:pPr>
              <w:jc w:val="center"/>
              <w:rPr>
                <w:rFonts w:ascii="Times New Roman" w:hAnsi="Times New Roman" w:cs="Times New Roman"/>
                <w:sz w:val="20"/>
                <w:szCs w:val="20"/>
              </w:rPr>
            </w:pPr>
            <w:r w:rsidRPr="00171117">
              <w:rPr>
                <w:rFonts w:ascii="Times New Roman" w:hAnsi="Times New Roman" w:cs="Times New Roman"/>
                <w:sz w:val="20"/>
                <w:szCs w:val="20"/>
              </w:rPr>
              <w:t>DAPC groups</w:t>
            </w:r>
          </w:p>
        </w:tc>
        <w:tc>
          <w:tcPr>
            <w:tcW w:w="1164" w:type="dxa"/>
            <w:tcBorders>
              <w:top w:val="nil"/>
              <w:left w:val="nil"/>
              <w:bottom w:val="nil"/>
              <w:right w:val="nil"/>
            </w:tcBorders>
          </w:tcPr>
          <w:p w14:paraId="72B4F434" w14:textId="1E53E0BA" w:rsidR="005C0315" w:rsidRPr="005C0315" w:rsidRDefault="00DB130D" w:rsidP="006A4D13">
            <w:pPr>
              <w:jc w:val="center"/>
              <w:rPr>
                <w:rFonts w:ascii="Times New Roman" w:hAnsi="Times New Roman" w:cs="Times New Roman"/>
                <w:sz w:val="20"/>
                <w:szCs w:val="20"/>
              </w:rPr>
            </w:pPr>
            <w:r>
              <w:rPr>
                <w:rFonts w:ascii="Times New Roman" w:hAnsi="Times New Roman" w:cs="Times New Roman"/>
                <w:sz w:val="20"/>
                <w:szCs w:val="20"/>
              </w:rPr>
              <w:t>4</w:t>
            </w:r>
          </w:p>
        </w:tc>
        <w:tc>
          <w:tcPr>
            <w:tcW w:w="1164" w:type="dxa"/>
            <w:tcBorders>
              <w:top w:val="nil"/>
              <w:left w:val="nil"/>
              <w:bottom w:val="nil"/>
              <w:right w:val="nil"/>
            </w:tcBorders>
          </w:tcPr>
          <w:p w14:paraId="23096A4D" w14:textId="4DE9F026"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-11927.68</w:t>
            </w:r>
          </w:p>
        </w:tc>
        <w:tc>
          <w:tcPr>
            <w:tcW w:w="1163" w:type="dxa"/>
            <w:tcBorders>
              <w:top w:val="nil"/>
              <w:left w:val="nil"/>
              <w:bottom w:val="nil"/>
              <w:right w:val="nil"/>
            </w:tcBorders>
          </w:tcPr>
          <w:p w14:paraId="3B3FC5BE" w14:textId="5AA63776"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34.85</w:t>
            </w:r>
          </w:p>
        </w:tc>
        <w:tc>
          <w:tcPr>
            <w:tcW w:w="1164" w:type="dxa"/>
            <w:tcBorders>
              <w:top w:val="nil"/>
              <w:left w:val="nil"/>
              <w:bottom w:val="nil"/>
              <w:right w:val="nil"/>
            </w:tcBorders>
          </w:tcPr>
          <w:p w14:paraId="1891E597" w14:textId="58CC0E57"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b/>
                <w:bCs/>
                <w:sz w:val="20"/>
                <w:szCs w:val="20"/>
              </w:rPr>
              <w:t>-30568.17</w:t>
            </w:r>
          </w:p>
        </w:tc>
        <w:tc>
          <w:tcPr>
            <w:tcW w:w="1163" w:type="dxa"/>
            <w:tcBorders>
              <w:top w:val="nil"/>
              <w:left w:val="nil"/>
              <w:bottom w:val="nil"/>
              <w:right w:val="nil"/>
            </w:tcBorders>
          </w:tcPr>
          <w:p w14:paraId="302183FC" w14:textId="2CF4EB46" w:rsidR="005C0315" w:rsidRPr="005C0315" w:rsidRDefault="006A4D13" w:rsidP="006A4D13">
            <w:pPr>
              <w:jc w:val="center"/>
              <w:rPr>
                <w:rFonts w:ascii="Times New Roman" w:hAnsi="Times New Roman" w:cs="Times New Roman"/>
                <w:sz w:val="20"/>
                <w:szCs w:val="20"/>
              </w:rPr>
            </w:pPr>
            <w:r>
              <w:rPr>
                <w:rFonts w:ascii="Times New Roman" w:hAnsi="Times New Roman" w:cs="Times New Roman"/>
                <w:sz w:val="20"/>
                <w:szCs w:val="20"/>
              </w:rPr>
              <w:t>NA</w:t>
            </w:r>
          </w:p>
        </w:tc>
        <w:tc>
          <w:tcPr>
            <w:tcW w:w="1164" w:type="dxa"/>
            <w:tcBorders>
              <w:top w:val="nil"/>
              <w:left w:val="nil"/>
              <w:bottom w:val="nil"/>
              <w:right w:val="nil"/>
            </w:tcBorders>
          </w:tcPr>
          <w:p w14:paraId="10D121E2" w14:textId="2A2678EA"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-21161.43</w:t>
            </w:r>
          </w:p>
        </w:tc>
        <w:tc>
          <w:tcPr>
            <w:tcW w:w="1163" w:type="dxa"/>
            <w:tcBorders>
              <w:top w:val="nil"/>
              <w:left w:val="nil"/>
              <w:bottom w:val="nil"/>
              <w:right w:val="nil"/>
            </w:tcBorders>
          </w:tcPr>
          <w:p w14:paraId="420D8B95" w14:textId="2DACDE65"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271.14</w:t>
            </w:r>
          </w:p>
        </w:tc>
      </w:tr>
      <w:tr w:rsidR="005C0315" w:rsidRPr="005C0315" w14:paraId="33A50808" w14:textId="77777777" w:rsidTr="006A4D13">
        <w:tc>
          <w:tcPr>
            <w:tcW w:w="1205" w:type="dxa"/>
            <w:tcBorders>
              <w:top w:val="nil"/>
              <w:left w:val="nil"/>
              <w:bottom w:val="single" w:sz="18" w:space="0" w:color="auto"/>
              <w:right w:val="nil"/>
            </w:tcBorders>
          </w:tcPr>
          <w:p w14:paraId="3E283773" w14:textId="03B4A252" w:rsidR="005C0315" w:rsidRPr="005C0315" w:rsidRDefault="00171117" w:rsidP="006A4D13">
            <w:pPr>
              <w:jc w:val="center"/>
              <w:rPr>
                <w:rFonts w:ascii="Times New Roman" w:hAnsi="Times New Roman" w:cs="Times New Roman"/>
                <w:sz w:val="20"/>
                <w:szCs w:val="20"/>
              </w:rPr>
            </w:pPr>
            <w:r w:rsidRPr="00171117">
              <w:rPr>
                <w:rFonts w:ascii="Times New Roman" w:hAnsi="Times New Roman" w:cs="Times New Roman"/>
                <w:sz w:val="20"/>
                <w:szCs w:val="20"/>
              </w:rPr>
              <w:t>Admixture groups</w:t>
            </w:r>
          </w:p>
        </w:tc>
        <w:tc>
          <w:tcPr>
            <w:tcW w:w="1164" w:type="dxa"/>
            <w:tcBorders>
              <w:top w:val="nil"/>
              <w:left w:val="nil"/>
              <w:bottom w:val="single" w:sz="18" w:space="0" w:color="auto"/>
              <w:right w:val="nil"/>
            </w:tcBorders>
          </w:tcPr>
          <w:p w14:paraId="27E41C62" w14:textId="12E0FC44" w:rsidR="005C0315" w:rsidRPr="005C0315" w:rsidRDefault="00DB130D" w:rsidP="006A4D13">
            <w:pPr>
              <w:jc w:val="center"/>
              <w:rPr>
                <w:rFonts w:ascii="Times New Roman" w:hAnsi="Times New Roman" w:cs="Times New Roman"/>
                <w:sz w:val="20"/>
                <w:szCs w:val="20"/>
              </w:rPr>
            </w:pPr>
            <w:r>
              <w:rPr>
                <w:rFonts w:ascii="Times New Roman" w:hAnsi="Times New Roman" w:cs="Times New Roman"/>
                <w:sz w:val="20"/>
                <w:szCs w:val="20"/>
              </w:rPr>
              <w:t>3</w:t>
            </w:r>
          </w:p>
        </w:tc>
        <w:tc>
          <w:tcPr>
            <w:tcW w:w="1164" w:type="dxa"/>
            <w:tcBorders>
              <w:top w:val="nil"/>
              <w:left w:val="nil"/>
              <w:bottom w:val="single" w:sz="18" w:space="0" w:color="auto"/>
              <w:right w:val="nil"/>
            </w:tcBorders>
          </w:tcPr>
          <w:p w14:paraId="75219AC3" w14:textId="1F0499E2"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-11989.52</w:t>
            </w:r>
          </w:p>
        </w:tc>
        <w:tc>
          <w:tcPr>
            <w:tcW w:w="1163" w:type="dxa"/>
            <w:tcBorders>
              <w:top w:val="nil"/>
              <w:left w:val="nil"/>
              <w:bottom w:val="single" w:sz="18" w:space="0" w:color="auto"/>
              <w:right w:val="nil"/>
            </w:tcBorders>
          </w:tcPr>
          <w:p w14:paraId="253B2FC4" w14:textId="7258FE03"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158.53</w:t>
            </w:r>
          </w:p>
        </w:tc>
        <w:tc>
          <w:tcPr>
            <w:tcW w:w="1164" w:type="dxa"/>
            <w:tcBorders>
              <w:top w:val="nil"/>
              <w:left w:val="nil"/>
              <w:bottom w:val="single" w:sz="18" w:space="0" w:color="auto"/>
              <w:right w:val="nil"/>
            </w:tcBorders>
          </w:tcPr>
          <w:p w14:paraId="6AA42EAB" w14:textId="73252B18"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-30898.37</w:t>
            </w:r>
          </w:p>
        </w:tc>
        <w:tc>
          <w:tcPr>
            <w:tcW w:w="1163" w:type="dxa"/>
            <w:tcBorders>
              <w:top w:val="nil"/>
              <w:left w:val="nil"/>
              <w:bottom w:val="single" w:sz="18" w:space="0" w:color="auto"/>
              <w:right w:val="nil"/>
            </w:tcBorders>
          </w:tcPr>
          <w:p w14:paraId="379F465D" w14:textId="4CE03398"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660.41</w:t>
            </w:r>
          </w:p>
        </w:tc>
        <w:tc>
          <w:tcPr>
            <w:tcW w:w="1164" w:type="dxa"/>
            <w:tcBorders>
              <w:top w:val="nil"/>
              <w:left w:val="nil"/>
              <w:bottom w:val="single" w:sz="18" w:space="0" w:color="auto"/>
              <w:right w:val="nil"/>
            </w:tcBorders>
          </w:tcPr>
          <w:p w14:paraId="745B3B5E" w14:textId="1C64A903"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-21278.3</w:t>
            </w:r>
          </w:p>
        </w:tc>
        <w:tc>
          <w:tcPr>
            <w:tcW w:w="1163" w:type="dxa"/>
            <w:tcBorders>
              <w:top w:val="nil"/>
              <w:left w:val="nil"/>
              <w:bottom w:val="single" w:sz="18" w:space="0" w:color="auto"/>
              <w:right w:val="nil"/>
            </w:tcBorders>
          </w:tcPr>
          <w:p w14:paraId="6B018054" w14:textId="01868966" w:rsidR="005C0315" w:rsidRPr="005C0315" w:rsidRDefault="006A4D13" w:rsidP="006A4D13">
            <w:pPr>
              <w:jc w:val="center"/>
              <w:rPr>
                <w:rFonts w:ascii="Times New Roman" w:hAnsi="Times New Roman" w:cs="Times New Roman"/>
                <w:sz w:val="20"/>
                <w:szCs w:val="20"/>
              </w:rPr>
            </w:pPr>
            <w:r w:rsidRPr="006A4D13">
              <w:rPr>
                <w:rFonts w:ascii="Times New Roman" w:hAnsi="Times New Roman" w:cs="Times New Roman"/>
                <w:sz w:val="20"/>
                <w:szCs w:val="20"/>
              </w:rPr>
              <w:t>504.88</w:t>
            </w:r>
          </w:p>
        </w:tc>
      </w:tr>
      <w:tr w:rsidR="00171117" w:rsidRPr="005C0315" w14:paraId="0B340524" w14:textId="77777777" w:rsidTr="006A4D13">
        <w:tc>
          <w:tcPr>
            <w:tcW w:w="9350" w:type="dxa"/>
            <w:gridSpan w:val="8"/>
            <w:tcBorders>
              <w:top w:val="single" w:sz="18" w:space="0" w:color="auto"/>
              <w:left w:val="nil"/>
              <w:bottom w:val="nil"/>
              <w:right w:val="nil"/>
            </w:tcBorders>
          </w:tcPr>
          <w:p w14:paraId="05F10AB2" w14:textId="51B62F43" w:rsidR="00171117" w:rsidRPr="005C0315" w:rsidRDefault="00171117" w:rsidP="005C0315">
            <w:pPr>
              <w:rPr>
                <w:rFonts w:ascii="Times New Roman" w:hAnsi="Times New Roman" w:cs="Times New Roman"/>
                <w:sz w:val="20"/>
                <w:szCs w:val="20"/>
              </w:rPr>
            </w:pPr>
            <w:r w:rsidRPr="00171117">
              <w:rPr>
                <w:rFonts w:ascii="Times New Roman" w:hAnsi="Times New Roman" w:cs="Times New Roman"/>
                <w:sz w:val="20"/>
                <w:szCs w:val="20"/>
              </w:rPr>
              <w:t>MLE: marginal likelihood estimates. Bold values correspond to the best model selected by the analysis. NA correspond to not applied, and its associated marginal likelihood is in bold. 0 &lt; BF &lt; 2, non-significant; 2 &lt;BF &lt; 6, positive evidence; 6 &lt; BF &lt; 10, strong support; BF &gt; 10, decisive support.</w:t>
            </w:r>
          </w:p>
        </w:tc>
      </w:tr>
    </w:tbl>
    <w:p w14:paraId="79802BD7" w14:textId="77777777" w:rsidR="00FA25A1" w:rsidRDefault="00FA25A1" w:rsidP="00370CB9">
      <w:pPr>
        <w:jc w:val="both"/>
        <w:rPr>
          <w:rFonts w:asciiTheme="majorBidi" w:hAnsiTheme="majorBidi" w:cstheme="majorBidi"/>
          <w:b/>
          <w:bCs/>
          <w:sz w:val="28"/>
          <w:szCs w:val="28"/>
        </w:rPr>
      </w:pPr>
    </w:p>
    <w:p w14:paraId="190133A7" w14:textId="77777777" w:rsidR="00822411" w:rsidRDefault="00822411" w:rsidP="00370CB9">
      <w:pPr>
        <w:jc w:val="both"/>
        <w:rPr>
          <w:rFonts w:asciiTheme="majorBidi" w:hAnsiTheme="majorBidi" w:cstheme="majorBidi"/>
          <w:b/>
          <w:bCs/>
          <w:sz w:val="28"/>
          <w:szCs w:val="28"/>
        </w:rPr>
      </w:pPr>
    </w:p>
    <w:p w14:paraId="25CF5986" w14:textId="77777777" w:rsidR="00822411" w:rsidRDefault="00822411" w:rsidP="00370CB9">
      <w:pPr>
        <w:jc w:val="both"/>
        <w:rPr>
          <w:rFonts w:asciiTheme="majorBidi" w:hAnsiTheme="majorBidi" w:cstheme="majorBidi"/>
          <w:b/>
          <w:bCs/>
          <w:sz w:val="28"/>
          <w:szCs w:val="28"/>
        </w:rPr>
      </w:pPr>
    </w:p>
    <w:p w14:paraId="04745C6D" w14:textId="77777777" w:rsidR="00822411" w:rsidRDefault="00822411" w:rsidP="00370CB9">
      <w:pPr>
        <w:jc w:val="both"/>
        <w:rPr>
          <w:rFonts w:asciiTheme="majorBidi" w:hAnsiTheme="majorBidi" w:cstheme="majorBidi"/>
          <w:b/>
          <w:bCs/>
          <w:sz w:val="28"/>
          <w:szCs w:val="28"/>
        </w:rPr>
      </w:pPr>
    </w:p>
    <w:p w14:paraId="4C5A4CAE" w14:textId="77777777" w:rsidR="00822411" w:rsidRDefault="00822411" w:rsidP="00370CB9">
      <w:pPr>
        <w:jc w:val="both"/>
        <w:rPr>
          <w:rFonts w:asciiTheme="majorBidi" w:hAnsiTheme="majorBidi" w:cstheme="majorBidi"/>
          <w:b/>
          <w:bCs/>
          <w:sz w:val="28"/>
          <w:szCs w:val="28"/>
        </w:rPr>
      </w:pPr>
    </w:p>
    <w:p w14:paraId="1336E8CF" w14:textId="77777777" w:rsidR="00822411" w:rsidRDefault="00822411" w:rsidP="00370CB9">
      <w:pPr>
        <w:jc w:val="both"/>
        <w:rPr>
          <w:rFonts w:asciiTheme="majorBidi" w:hAnsiTheme="majorBidi" w:cstheme="majorBidi"/>
          <w:b/>
          <w:bCs/>
          <w:sz w:val="28"/>
          <w:szCs w:val="28"/>
        </w:rPr>
      </w:pPr>
    </w:p>
    <w:p w14:paraId="2E4403F4" w14:textId="77777777" w:rsidR="00822411" w:rsidRDefault="00822411" w:rsidP="00370CB9">
      <w:pPr>
        <w:jc w:val="both"/>
        <w:rPr>
          <w:rFonts w:asciiTheme="majorBidi" w:hAnsiTheme="majorBidi" w:cstheme="majorBidi"/>
          <w:b/>
          <w:bCs/>
          <w:sz w:val="28"/>
          <w:szCs w:val="28"/>
        </w:rPr>
      </w:pPr>
    </w:p>
    <w:p w14:paraId="158C3E77" w14:textId="77777777" w:rsidR="00822411" w:rsidRDefault="00822411" w:rsidP="00370CB9">
      <w:pPr>
        <w:jc w:val="both"/>
        <w:rPr>
          <w:rFonts w:asciiTheme="majorBidi" w:hAnsiTheme="majorBidi" w:cstheme="majorBidi"/>
          <w:b/>
          <w:bCs/>
          <w:sz w:val="28"/>
          <w:szCs w:val="28"/>
        </w:rPr>
      </w:pPr>
    </w:p>
    <w:p w14:paraId="3720BE19" w14:textId="77777777" w:rsidR="00822411" w:rsidRDefault="00822411" w:rsidP="00370CB9">
      <w:pPr>
        <w:jc w:val="both"/>
        <w:rPr>
          <w:rFonts w:asciiTheme="majorBidi" w:hAnsiTheme="majorBidi" w:cstheme="majorBidi"/>
          <w:b/>
          <w:bCs/>
          <w:sz w:val="28"/>
          <w:szCs w:val="28"/>
        </w:rPr>
      </w:pPr>
    </w:p>
    <w:p w14:paraId="1D2A3C43" w14:textId="77777777" w:rsidR="00822411" w:rsidRDefault="00822411" w:rsidP="00370CB9">
      <w:pPr>
        <w:jc w:val="both"/>
        <w:rPr>
          <w:rFonts w:asciiTheme="majorBidi" w:hAnsiTheme="majorBidi" w:cstheme="majorBidi"/>
          <w:b/>
          <w:bCs/>
          <w:sz w:val="28"/>
          <w:szCs w:val="28"/>
        </w:rPr>
      </w:pPr>
    </w:p>
    <w:p w14:paraId="2EDFFB56" w14:textId="77777777" w:rsidR="00822411" w:rsidRDefault="00822411" w:rsidP="00370CB9">
      <w:pPr>
        <w:jc w:val="both"/>
        <w:rPr>
          <w:rFonts w:asciiTheme="majorBidi" w:hAnsiTheme="majorBidi" w:cstheme="majorBidi"/>
          <w:b/>
          <w:bCs/>
          <w:sz w:val="28"/>
          <w:szCs w:val="28"/>
        </w:rPr>
      </w:pPr>
    </w:p>
    <w:p w14:paraId="3121DBA7" w14:textId="77777777" w:rsidR="00822411" w:rsidRDefault="00822411" w:rsidP="00370CB9">
      <w:pPr>
        <w:jc w:val="both"/>
        <w:rPr>
          <w:rFonts w:asciiTheme="majorBidi" w:hAnsiTheme="majorBidi" w:cstheme="majorBidi"/>
          <w:b/>
          <w:bCs/>
          <w:sz w:val="28"/>
          <w:szCs w:val="28"/>
        </w:rPr>
      </w:pPr>
    </w:p>
    <w:p w14:paraId="0B8C80C0" w14:textId="77777777" w:rsidR="00822411" w:rsidRDefault="00822411" w:rsidP="00370CB9">
      <w:pPr>
        <w:jc w:val="both"/>
        <w:rPr>
          <w:rFonts w:asciiTheme="majorBidi" w:hAnsiTheme="majorBidi" w:cstheme="majorBidi"/>
          <w:b/>
          <w:bCs/>
          <w:sz w:val="28"/>
          <w:szCs w:val="28"/>
        </w:rPr>
      </w:pPr>
    </w:p>
    <w:p w14:paraId="6E7F65A2" w14:textId="77777777" w:rsidR="00822411" w:rsidRDefault="00822411" w:rsidP="00370CB9">
      <w:pPr>
        <w:jc w:val="both"/>
        <w:rPr>
          <w:rFonts w:asciiTheme="majorBidi" w:hAnsiTheme="majorBidi" w:cstheme="majorBidi"/>
          <w:b/>
          <w:bCs/>
          <w:sz w:val="28"/>
          <w:szCs w:val="28"/>
        </w:rPr>
      </w:pPr>
    </w:p>
    <w:p w14:paraId="2A704632" w14:textId="77777777" w:rsidR="00822411" w:rsidRDefault="00822411" w:rsidP="00370CB9">
      <w:pPr>
        <w:jc w:val="both"/>
        <w:rPr>
          <w:rFonts w:asciiTheme="majorBidi" w:hAnsiTheme="majorBidi" w:cstheme="majorBidi"/>
          <w:b/>
          <w:bCs/>
          <w:sz w:val="28"/>
          <w:szCs w:val="28"/>
        </w:rPr>
      </w:pPr>
    </w:p>
    <w:tbl>
      <w:tblPr>
        <w:tblStyle w:val="TableGrid"/>
        <w:tblW w:w="0" w:type="auto"/>
        <w:tblLook w:val="04A0" w:firstRow="1" w:lastRow="0" w:firstColumn="1" w:lastColumn="0" w:noHBand="0" w:noVBand="1"/>
      </w:tblPr>
      <w:tblGrid>
        <w:gridCol w:w="1750"/>
        <w:gridCol w:w="444"/>
        <w:gridCol w:w="1226"/>
        <w:gridCol w:w="990"/>
        <w:gridCol w:w="1254"/>
        <w:gridCol w:w="1008"/>
        <w:gridCol w:w="1316"/>
        <w:gridCol w:w="1372"/>
      </w:tblGrid>
      <w:tr w:rsidR="000720AC" w:rsidRPr="005C0315" w14:paraId="0E95074D" w14:textId="77777777" w:rsidTr="00BF13D3">
        <w:tc>
          <w:tcPr>
            <w:tcW w:w="9360" w:type="dxa"/>
            <w:gridSpan w:val="8"/>
            <w:tcBorders>
              <w:top w:val="single" w:sz="18" w:space="0" w:color="auto"/>
              <w:left w:val="nil"/>
              <w:bottom w:val="single" w:sz="18" w:space="0" w:color="auto"/>
              <w:right w:val="nil"/>
            </w:tcBorders>
          </w:tcPr>
          <w:p w14:paraId="4ACF524C" w14:textId="2836A965" w:rsidR="000720AC" w:rsidRPr="000720AC" w:rsidRDefault="000720AC" w:rsidP="00031031">
            <w:pPr>
              <w:jc w:val="both"/>
              <w:rPr>
                <w:rFonts w:ascii="Times New Roman" w:hAnsi="Times New Roman" w:cs="Times New Roman"/>
                <w:b/>
                <w:bCs/>
                <w:color w:val="000000" w:themeColor="text1"/>
                <w:sz w:val="20"/>
                <w:szCs w:val="20"/>
              </w:rPr>
            </w:pPr>
            <w:r w:rsidRPr="000720AC">
              <w:rPr>
                <w:rFonts w:ascii="Times New Roman" w:hAnsi="Times New Roman" w:cs="Times New Roman"/>
                <w:b/>
                <w:bCs/>
                <w:color w:val="000000" w:themeColor="text1"/>
                <w:sz w:val="20"/>
                <w:szCs w:val="20"/>
              </w:rPr>
              <w:lastRenderedPageBreak/>
              <w:t>Table 2.</w:t>
            </w:r>
            <w:r>
              <w:rPr>
                <w:rFonts w:ascii="Times New Roman" w:hAnsi="Times New Roman" w:cs="Times New Roman"/>
                <w:b/>
                <w:bCs/>
                <w:color w:val="000000" w:themeColor="text1"/>
                <w:sz w:val="20"/>
                <w:szCs w:val="20"/>
              </w:rPr>
              <w:t>2</w:t>
            </w:r>
            <w:r w:rsidRPr="000720AC">
              <w:rPr>
                <w:rFonts w:ascii="Times New Roman" w:hAnsi="Times New Roman" w:cs="Times New Roman"/>
                <w:b/>
                <w:bCs/>
                <w:color w:val="000000" w:themeColor="text1"/>
                <w:sz w:val="20"/>
                <w:szCs w:val="20"/>
              </w:rPr>
              <w:t xml:space="preserve"> </w:t>
            </w:r>
            <w:r w:rsidRPr="000720AC">
              <w:rPr>
                <w:rFonts w:ascii="Times New Roman" w:hAnsi="Times New Roman" w:cs="Times New Roman"/>
                <w:color w:val="000000" w:themeColor="text1"/>
                <w:sz w:val="20"/>
                <w:szCs w:val="20"/>
              </w:rPr>
              <w:t xml:space="preserve">Genomic diversity of 3482 neutral SNPs loci estimates for the </w:t>
            </w:r>
            <w:r w:rsidRPr="000720AC">
              <w:rPr>
                <w:rFonts w:ascii="Times New Roman" w:hAnsi="Times New Roman" w:cs="Times New Roman"/>
                <w:i/>
                <w:iCs/>
                <w:color w:val="000000" w:themeColor="text1"/>
                <w:sz w:val="20"/>
                <w:szCs w:val="20"/>
              </w:rPr>
              <w:t>humboldtianum</w:t>
            </w:r>
            <w:r w:rsidRPr="000720AC">
              <w:rPr>
                <w:rFonts w:ascii="Times New Roman" w:hAnsi="Times New Roman" w:cs="Times New Roman"/>
                <w:iCs/>
                <w:color w:val="000000" w:themeColor="text1"/>
                <w:sz w:val="20"/>
                <w:szCs w:val="20"/>
              </w:rPr>
              <w:t xml:space="preserve"> group</w:t>
            </w:r>
            <w:r w:rsidRPr="000720AC">
              <w:rPr>
                <w:rFonts w:ascii="Times New Roman" w:hAnsi="Times New Roman" w:cs="Times New Roman"/>
                <w:color w:val="000000" w:themeColor="text1"/>
                <w:sz w:val="20"/>
                <w:szCs w:val="20"/>
              </w:rPr>
              <w:t>, under each species delimitation hypothesis examined in this study (i–iv).</w:t>
            </w:r>
          </w:p>
        </w:tc>
      </w:tr>
      <w:tr w:rsidR="002C2E66" w:rsidRPr="005C0315" w14:paraId="06807318" w14:textId="4A452184" w:rsidTr="001979F8">
        <w:trPr>
          <w:trHeight w:val="505"/>
        </w:trPr>
        <w:tc>
          <w:tcPr>
            <w:tcW w:w="1750" w:type="dxa"/>
            <w:tcBorders>
              <w:top w:val="single" w:sz="18" w:space="0" w:color="auto"/>
              <w:left w:val="nil"/>
              <w:bottom w:val="single" w:sz="18" w:space="0" w:color="auto"/>
              <w:right w:val="nil"/>
            </w:tcBorders>
          </w:tcPr>
          <w:p w14:paraId="0645D8B6" w14:textId="6CA0C075" w:rsidR="000720AC" w:rsidRPr="006A4D13" w:rsidRDefault="000720AC" w:rsidP="000720AC">
            <w:pPr>
              <w:jc w:val="center"/>
              <w:rPr>
                <w:rFonts w:ascii="Times New Roman" w:hAnsi="Times New Roman" w:cs="Times New Roman"/>
                <w:b/>
                <w:bCs/>
                <w:sz w:val="20"/>
                <w:szCs w:val="20"/>
              </w:rPr>
            </w:pPr>
          </w:p>
        </w:tc>
        <w:tc>
          <w:tcPr>
            <w:tcW w:w="444" w:type="dxa"/>
            <w:tcBorders>
              <w:top w:val="single" w:sz="18" w:space="0" w:color="auto"/>
              <w:left w:val="nil"/>
              <w:bottom w:val="single" w:sz="18" w:space="0" w:color="auto"/>
              <w:right w:val="nil"/>
            </w:tcBorders>
          </w:tcPr>
          <w:p w14:paraId="40977963" w14:textId="5DBCFA02" w:rsidR="000720AC" w:rsidRPr="006A4D13" w:rsidRDefault="000720AC" w:rsidP="00031031">
            <w:pPr>
              <w:jc w:val="center"/>
              <w:rPr>
                <w:rFonts w:ascii="Times New Roman" w:hAnsi="Times New Roman" w:cs="Times New Roman"/>
                <w:b/>
                <w:bCs/>
                <w:sz w:val="20"/>
                <w:szCs w:val="20"/>
              </w:rPr>
            </w:pPr>
            <w:r>
              <w:rPr>
                <w:rFonts w:ascii="Times New Roman" w:hAnsi="Times New Roman" w:cs="Times New Roman"/>
                <w:b/>
                <w:bCs/>
                <w:sz w:val="20"/>
                <w:szCs w:val="20"/>
              </w:rPr>
              <w:t>N</w:t>
            </w:r>
          </w:p>
        </w:tc>
        <w:tc>
          <w:tcPr>
            <w:tcW w:w="1226" w:type="dxa"/>
            <w:tcBorders>
              <w:top w:val="single" w:sz="18" w:space="0" w:color="auto"/>
              <w:left w:val="nil"/>
              <w:bottom w:val="single" w:sz="18" w:space="0" w:color="auto"/>
              <w:right w:val="nil"/>
            </w:tcBorders>
          </w:tcPr>
          <w:p w14:paraId="609CF9D8" w14:textId="5AC2F574" w:rsidR="000720AC" w:rsidRPr="006A4D13" w:rsidRDefault="000720AC" w:rsidP="00031031">
            <w:pPr>
              <w:jc w:val="center"/>
              <w:rPr>
                <w:rFonts w:ascii="Times New Roman" w:hAnsi="Times New Roman" w:cs="Times New Roman"/>
                <w:b/>
                <w:bCs/>
                <w:sz w:val="20"/>
                <w:szCs w:val="20"/>
              </w:rPr>
            </w:pPr>
            <w:r w:rsidRPr="000720AC">
              <w:rPr>
                <w:rFonts w:ascii="Times New Roman" w:hAnsi="Times New Roman" w:cs="Times New Roman"/>
                <w:b/>
                <w:bCs/>
                <w:i/>
                <w:iCs/>
                <w:sz w:val="20"/>
                <w:szCs w:val="20"/>
              </w:rPr>
              <w:t>HO</w:t>
            </w:r>
            <w:r>
              <w:rPr>
                <w:rFonts w:ascii="Times New Roman" w:hAnsi="Times New Roman" w:cs="Times New Roman"/>
                <w:b/>
                <w:bCs/>
                <w:sz w:val="20"/>
                <w:szCs w:val="20"/>
              </w:rPr>
              <w:t xml:space="preserve"> (SD)</w:t>
            </w:r>
          </w:p>
        </w:tc>
        <w:tc>
          <w:tcPr>
            <w:tcW w:w="990" w:type="dxa"/>
            <w:tcBorders>
              <w:top w:val="single" w:sz="18" w:space="0" w:color="auto"/>
              <w:left w:val="nil"/>
              <w:bottom w:val="single" w:sz="18" w:space="0" w:color="auto"/>
              <w:right w:val="nil"/>
            </w:tcBorders>
          </w:tcPr>
          <w:p w14:paraId="3BAB12BB" w14:textId="52423E85" w:rsidR="000720AC" w:rsidRPr="006A4D13" w:rsidRDefault="000720AC" w:rsidP="00031031">
            <w:pPr>
              <w:jc w:val="center"/>
              <w:rPr>
                <w:rFonts w:ascii="Times New Roman" w:hAnsi="Times New Roman" w:cs="Times New Roman"/>
                <w:b/>
                <w:bCs/>
                <w:sz w:val="20"/>
                <w:szCs w:val="20"/>
              </w:rPr>
            </w:pPr>
            <w:r>
              <w:rPr>
                <w:rFonts w:ascii="Times New Roman" w:hAnsi="Times New Roman" w:cs="Times New Roman"/>
                <w:b/>
                <w:bCs/>
                <w:i/>
                <w:iCs/>
                <w:sz w:val="20"/>
                <w:szCs w:val="20"/>
              </w:rPr>
              <w:t>HE</w:t>
            </w:r>
            <w:r>
              <w:rPr>
                <w:rFonts w:ascii="Times New Roman" w:hAnsi="Times New Roman" w:cs="Times New Roman"/>
                <w:b/>
                <w:bCs/>
                <w:sz w:val="20"/>
                <w:szCs w:val="20"/>
              </w:rPr>
              <w:t xml:space="preserve"> (SD)</w:t>
            </w:r>
          </w:p>
        </w:tc>
        <w:tc>
          <w:tcPr>
            <w:tcW w:w="1254" w:type="dxa"/>
            <w:tcBorders>
              <w:top w:val="single" w:sz="18" w:space="0" w:color="auto"/>
              <w:left w:val="nil"/>
              <w:bottom w:val="single" w:sz="18" w:space="0" w:color="auto"/>
              <w:right w:val="nil"/>
            </w:tcBorders>
          </w:tcPr>
          <w:p w14:paraId="3B03B22B" w14:textId="14ECC75E" w:rsidR="000720AC" w:rsidRPr="006A4D13" w:rsidRDefault="000720AC" w:rsidP="00031031">
            <w:pPr>
              <w:jc w:val="center"/>
              <w:rPr>
                <w:rFonts w:ascii="Times New Roman" w:hAnsi="Times New Roman" w:cs="Times New Roman"/>
                <w:b/>
                <w:bCs/>
                <w:sz w:val="20"/>
                <w:szCs w:val="20"/>
              </w:rPr>
            </w:pPr>
            <w:r w:rsidRPr="000720AC">
              <w:rPr>
                <w:rFonts w:ascii="Times New Roman" w:hAnsi="Times New Roman" w:cs="Times New Roman"/>
                <w:b/>
                <w:bCs/>
                <w:i/>
                <w:iCs/>
                <w:sz w:val="20"/>
                <w:szCs w:val="20"/>
              </w:rPr>
              <w:t>F</w:t>
            </w:r>
            <w:r>
              <w:rPr>
                <w:rFonts w:ascii="Times New Roman" w:hAnsi="Times New Roman" w:cs="Times New Roman"/>
                <w:b/>
                <w:bCs/>
                <w:sz w:val="20"/>
                <w:szCs w:val="20"/>
              </w:rPr>
              <w:t xml:space="preserve"> (SD)</w:t>
            </w:r>
          </w:p>
        </w:tc>
        <w:tc>
          <w:tcPr>
            <w:tcW w:w="1008" w:type="dxa"/>
            <w:tcBorders>
              <w:top w:val="single" w:sz="18" w:space="0" w:color="auto"/>
              <w:left w:val="nil"/>
              <w:bottom w:val="single" w:sz="18" w:space="0" w:color="auto"/>
              <w:right w:val="nil"/>
            </w:tcBorders>
          </w:tcPr>
          <w:p w14:paraId="0B947C12" w14:textId="77777777" w:rsidR="000720AC" w:rsidRPr="000720AC" w:rsidRDefault="000720AC" w:rsidP="00031031">
            <w:pPr>
              <w:jc w:val="center"/>
              <w:rPr>
                <w:rFonts w:ascii="Times New Roman" w:hAnsi="Times New Roman" w:cs="Times New Roman"/>
                <w:b/>
                <w:bCs/>
                <w:i/>
                <w:iCs/>
                <w:sz w:val="20"/>
                <w:szCs w:val="20"/>
              </w:rPr>
            </w:pPr>
            <w:proofErr w:type="spellStart"/>
            <w:r w:rsidRPr="000720AC">
              <w:rPr>
                <w:rFonts w:ascii="Times New Roman" w:hAnsi="Times New Roman" w:cs="Times New Roman"/>
                <w:b/>
                <w:bCs/>
                <w:i/>
                <w:iCs/>
                <w:sz w:val="20"/>
                <w:szCs w:val="20"/>
              </w:rPr>
              <w:t>LDNe</w:t>
            </w:r>
            <w:proofErr w:type="spellEnd"/>
          </w:p>
          <w:p w14:paraId="6E3FF72C" w14:textId="19E0328C" w:rsidR="000720AC" w:rsidRPr="006A4D13" w:rsidRDefault="000720AC" w:rsidP="00031031">
            <w:pPr>
              <w:jc w:val="center"/>
              <w:rPr>
                <w:rFonts w:ascii="Times New Roman" w:hAnsi="Times New Roman" w:cs="Times New Roman"/>
                <w:b/>
                <w:bCs/>
                <w:sz w:val="20"/>
                <w:szCs w:val="20"/>
              </w:rPr>
            </w:pPr>
            <w:r>
              <w:rPr>
                <w:rFonts w:ascii="Times New Roman" w:hAnsi="Times New Roman" w:cs="Times New Roman"/>
                <w:b/>
                <w:bCs/>
                <w:sz w:val="20"/>
                <w:szCs w:val="20"/>
              </w:rPr>
              <w:t>95% CIs</w:t>
            </w:r>
          </w:p>
        </w:tc>
        <w:tc>
          <w:tcPr>
            <w:tcW w:w="1316" w:type="dxa"/>
            <w:tcBorders>
              <w:top w:val="single" w:sz="18" w:space="0" w:color="auto"/>
              <w:left w:val="nil"/>
              <w:bottom w:val="single" w:sz="18" w:space="0" w:color="auto"/>
              <w:right w:val="nil"/>
            </w:tcBorders>
          </w:tcPr>
          <w:p w14:paraId="08C71DFD" w14:textId="77777777" w:rsidR="000720AC" w:rsidRDefault="000720AC" w:rsidP="00031031">
            <w:pPr>
              <w:jc w:val="center"/>
              <w:rPr>
                <w:rFonts w:ascii="Times New Roman" w:hAnsi="Times New Roman" w:cs="Times New Roman"/>
                <w:b/>
                <w:bCs/>
                <w:i/>
                <w:iCs/>
                <w:sz w:val="20"/>
                <w:szCs w:val="20"/>
              </w:rPr>
            </w:pPr>
            <w:proofErr w:type="spellStart"/>
            <w:r w:rsidRPr="000720AC">
              <w:rPr>
                <w:rFonts w:ascii="Times New Roman" w:hAnsi="Times New Roman" w:cs="Times New Roman"/>
                <w:b/>
                <w:bCs/>
                <w:i/>
                <w:iCs/>
                <w:sz w:val="20"/>
                <w:szCs w:val="20"/>
              </w:rPr>
              <w:t>HetExcessNe</w:t>
            </w:r>
            <w:proofErr w:type="spellEnd"/>
          </w:p>
          <w:p w14:paraId="2B4EBB9E" w14:textId="59D6324C" w:rsidR="000720AC" w:rsidRPr="000720AC" w:rsidRDefault="000720AC" w:rsidP="00031031">
            <w:pPr>
              <w:jc w:val="center"/>
              <w:rPr>
                <w:rFonts w:ascii="Times New Roman" w:hAnsi="Times New Roman" w:cs="Times New Roman"/>
                <w:b/>
                <w:bCs/>
                <w:i/>
                <w:iCs/>
                <w:sz w:val="20"/>
                <w:szCs w:val="20"/>
              </w:rPr>
            </w:pPr>
            <w:r>
              <w:rPr>
                <w:rFonts w:ascii="Times New Roman" w:hAnsi="Times New Roman" w:cs="Times New Roman"/>
                <w:b/>
                <w:bCs/>
                <w:sz w:val="20"/>
                <w:szCs w:val="20"/>
              </w:rPr>
              <w:t>95% CIs</w:t>
            </w:r>
          </w:p>
        </w:tc>
        <w:tc>
          <w:tcPr>
            <w:tcW w:w="1372" w:type="dxa"/>
            <w:tcBorders>
              <w:top w:val="single" w:sz="18" w:space="0" w:color="auto"/>
              <w:left w:val="nil"/>
              <w:bottom w:val="single" w:sz="18" w:space="0" w:color="auto"/>
              <w:right w:val="nil"/>
            </w:tcBorders>
          </w:tcPr>
          <w:p w14:paraId="05613E32" w14:textId="0FAE6A6C" w:rsidR="000720AC" w:rsidRDefault="000720AC" w:rsidP="000720AC">
            <w:pPr>
              <w:jc w:val="center"/>
              <w:rPr>
                <w:rFonts w:ascii="Times New Roman" w:hAnsi="Times New Roman" w:cs="Times New Roman"/>
                <w:b/>
                <w:bCs/>
                <w:i/>
                <w:iCs/>
                <w:sz w:val="20"/>
                <w:szCs w:val="20"/>
              </w:rPr>
            </w:pPr>
            <w:proofErr w:type="spellStart"/>
            <w:r>
              <w:rPr>
                <w:rFonts w:ascii="Times New Roman" w:hAnsi="Times New Roman" w:cs="Times New Roman"/>
                <w:b/>
                <w:bCs/>
                <w:i/>
                <w:iCs/>
                <w:sz w:val="20"/>
                <w:szCs w:val="20"/>
              </w:rPr>
              <w:t>Coancestry</w:t>
            </w:r>
            <w:r w:rsidRPr="000720AC">
              <w:rPr>
                <w:rFonts w:ascii="Times New Roman" w:hAnsi="Times New Roman" w:cs="Times New Roman"/>
                <w:b/>
                <w:bCs/>
                <w:i/>
                <w:iCs/>
                <w:sz w:val="20"/>
                <w:szCs w:val="20"/>
              </w:rPr>
              <w:t>Ne</w:t>
            </w:r>
            <w:proofErr w:type="spellEnd"/>
          </w:p>
          <w:p w14:paraId="5923A4B6" w14:textId="7E9BC0C7" w:rsidR="000720AC" w:rsidRPr="006A4D13" w:rsidRDefault="000720AC" w:rsidP="000720AC">
            <w:pPr>
              <w:jc w:val="center"/>
              <w:rPr>
                <w:rFonts w:ascii="Times New Roman" w:hAnsi="Times New Roman" w:cs="Times New Roman"/>
                <w:b/>
                <w:bCs/>
                <w:sz w:val="20"/>
                <w:szCs w:val="20"/>
              </w:rPr>
            </w:pPr>
            <w:r>
              <w:rPr>
                <w:rFonts w:ascii="Times New Roman" w:hAnsi="Times New Roman" w:cs="Times New Roman"/>
                <w:b/>
                <w:bCs/>
                <w:sz w:val="20"/>
                <w:szCs w:val="20"/>
              </w:rPr>
              <w:t>95% CIs</w:t>
            </w:r>
          </w:p>
        </w:tc>
      </w:tr>
      <w:tr w:rsidR="0057339E" w:rsidRPr="005C0315" w14:paraId="46BA0109" w14:textId="77777777" w:rsidTr="001979F8">
        <w:tc>
          <w:tcPr>
            <w:tcW w:w="1750" w:type="dxa"/>
            <w:tcBorders>
              <w:top w:val="single" w:sz="18" w:space="0" w:color="auto"/>
              <w:left w:val="nil"/>
              <w:bottom w:val="nil"/>
              <w:right w:val="nil"/>
            </w:tcBorders>
          </w:tcPr>
          <w:p w14:paraId="628C1A38" w14:textId="1C5466F1" w:rsidR="00BF13D3" w:rsidRPr="00BF13D3" w:rsidRDefault="00BF13D3" w:rsidP="00BF13D3">
            <w:pPr>
              <w:jc w:val="center"/>
              <w:rPr>
                <w:rFonts w:ascii="Times New Roman" w:hAnsi="Times New Roman" w:cs="Times New Roman"/>
                <w:b/>
                <w:bCs/>
                <w:sz w:val="20"/>
                <w:szCs w:val="20"/>
              </w:rPr>
            </w:pPr>
            <w:r>
              <w:rPr>
                <w:rFonts w:ascii="Times New Roman" w:hAnsi="Times New Roman" w:cs="Times New Roman"/>
                <w:b/>
                <w:bCs/>
                <w:sz w:val="20"/>
                <w:szCs w:val="20"/>
              </w:rPr>
              <w:t>Morphospecies</w:t>
            </w:r>
          </w:p>
        </w:tc>
        <w:tc>
          <w:tcPr>
            <w:tcW w:w="444" w:type="dxa"/>
            <w:tcBorders>
              <w:top w:val="single" w:sz="18" w:space="0" w:color="auto"/>
              <w:left w:val="nil"/>
              <w:bottom w:val="nil"/>
              <w:right w:val="nil"/>
            </w:tcBorders>
          </w:tcPr>
          <w:p w14:paraId="33D6C2EA" w14:textId="77777777" w:rsidR="00BF13D3" w:rsidRDefault="00BF13D3" w:rsidP="00031031">
            <w:pPr>
              <w:jc w:val="center"/>
              <w:rPr>
                <w:rFonts w:ascii="Times New Roman" w:hAnsi="Times New Roman" w:cs="Times New Roman"/>
                <w:sz w:val="20"/>
                <w:szCs w:val="20"/>
              </w:rPr>
            </w:pPr>
          </w:p>
        </w:tc>
        <w:tc>
          <w:tcPr>
            <w:tcW w:w="1226" w:type="dxa"/>
            <w:tcBorders>
              <w:top w:val="single" w:sz="18" w:space="0" w:color="auto"/>
              <w:left w:val="nil"/>
              <w:bottom w:val="nil"/>
              <w:right w:val="nil"/>
            </w:tcBorders>
          </w:tcPr>
          <w:p w14:paraId="51006C6A" w14:textId="77777777" w:rsidR="00BF13D3" w:rsidRPr="005C0315" w:rsidRDefault="00BF13D3" w:rsidP="00031031">
            <w:pPr>
              <w:jc w:val="center"/>
              <w:rPr>
                <w:rFonts w:ascii="Times New Roman" w:hAnsi="Times New Roman" w:cs="Times New Roman"/>
                <w:sz w:val="20"/>
                <w:szCs w:val="20"/>
              </w:rPr>
            </w:pPr>
          </w:p>
        </w:tc>
        <w:tc>
          <w:tcPr>
            <w:tcW w:w="990" w:type="dxa"/>
            <w:tcBorders>
              <w:top w:val="single" w:sz="18" w:space="0" w:color="auto"/>
              <w:left w:val="nil"/>
              <w:bottom w:val="nil"/>
              <w:right w:val="nil"/>
            </w:tcBorders>
          </w:tcPr>
          <w:p w14:paraId="184BFD72" w14:textId="77777777" w:rsidR="00BF13D3" w:rsidRPr="005C0315" w:rsidRDefault="00BF13D3" w:rsidP="00031031">
            <w:pPr>
              <w:jc w:val="center"/>
              <w:rPr>
                <w:rFonts w:ascii="Times New Roman" w:hAnsi="Times New Roman" w:cs="Times New Roman"/>
                <w:sz w:val="20"/>
                <w:szCs w:val="20"/>
              </w:rPr>
            </w:pPr>
          </w:p>
        </w:tc>
        <w:tc>
          <w:tcPr>
            <w:tcW w:w="1254" w:type="dxa"/>
            <w:tcBorders>
              <w:top w:val="single" w:sz="18" w:space="0" w:color="auto"/>
              <w:left w:val="nil"/>
              <w:bottom w:val="nil"/>
              <w:right w:val="nil"/>
            </w:tcBorders>
          </w:tcPr>
          <w:p w14:paraId="3646B736" w14:textId="77777777" w:rsidR="00BF13D3" w:rsidRPr="005C0315" w:rsidRDefault="00BF13D3" w:rsidP="00031031">
            <w:pPr>
              <w:jc w:val="center"/>
              <w:rPr>
                <w:rFonts w:ascii="Times New Roman" w:hAnsi="Times New Roman" w:cs="Times New Roman"/>
                <w:sz w:val="20"/>
                <w:szCs w:val="20"/>
              </w:rPr>
            </w:pPr>
          </w:p>
        </w:tc>
        <w:tc>
          <w:tcPr>
            <w:tcW w:w="1008" w:type="dxa"/>
            <w:tcBorders>
              <w:top w:val="single" w:sz="18" w:space="0" w:color="auto"/>
              <w:left w:val="nil"/>
              <w:bottom w:val="nil"/>
              <w:right w:val="nil"/>
            </w:tcBorders>
          </w:tcPr>
          <w:p w14:paraId="51EF6051" w14:textId="77777777" w:rsidR="00BF13D3" w:rsidRPr="005C0315" w:rsidRDefault="00BF13D3" w:rsidP="00031031">
            <w:pPr>
              <w:jc w:val="center"/>
              <w:rPr>
                <w:rFonts w:ascii="Times New Roman" w:hAnsi="Times New Roman" w:cs="Times New Roman"/>
                <w:sz w:val="20"/>
                <w:szCs w:val="20"/>
              </w:rPr>
            </w:pPr>
          </w:p>
        </w:tc>
        <w:tc>
          <w:tcPr>
            <w:tcW w:w="1316" w:type="dxa"/>
            <w:tcBorders>
              <w:top w:val="single" w:sz="18" w:space="0" w:color="auto"/>
              <w:left w:val="nil"/>
              <w:bottom w:val="nil"/>
              <w:right w:val="nil"/>
            </w:tcBorders>
          </w:tcPr>
          <w:p w14:paraId="674EEB20" w14:textId="77777777" w:rsidR="00BF13D3" w:rsidRPr="005C0315" w:rsidRDefault="00BF13D3" w:rsidP="00031031">
            <w:pPr>
              <w:jc w:val="center"/>
              <w:rPr>
                <w:rFonts w:ascii="Times New Roman" w:hAnsi="Times New Roman" w:cs="Times New Roman"/>
                <w:sz w:val="20"/>
                <w:szCs w:val="20"/>
              </w:rPr>
            </w:pPr>
          </w:p>
        </w:tc>
        <w:tc>
          <w:tcPr>
            <w:tcW w:w="1372" w:type="dxa"/>
            <w:tcBorders>
              <w:top w:val="single" w:sz="18" w:space="0" w:color="auto"/>
              <w:left w:val="nil"/>
              <w:bottom w:val="nil"/>
              <w:right w:val="nil"/>
            </w:tcBorders>
          </w:tcPr>
          <w:p w14:paraId="599F1373" w14:textId="77777777" w:rsidR="00BF13D3" w:rsidRPr="005C0315" w:rsidRDefault="00BF13D3" w:rsidP="00031031">
            <w:pPr>
              <w:jc w:val="center"/>
              <w:rPr>
                <w:rFonts w:ascii="Times New Roman" w:hAnsi="Times New Roman" w:cs="Times New Roman"/>
                <w:sz w:val="20"/>
                <w:szCs w:val="20"/>
              </w:rPr>
            </w:pPr>
          </w:p>
        </w:tc>
      </w:tr>
      <w:tr w:rsidR="00AD54EE" w:rsidRPr="005C0315" w14:paraId="7EDF8DBA" w14:textId="77777777" w:rsidTr="001979F8">
        <w:tc>
          <w:tcPr>
            <w:tcW w:w="1750" w:type="dxa"/>
            <w:tcBorders>
              <w:top w:val="single" w:sz="18" w:space="0" w:color="auto"/>
              <w:left w:val="nil"/>
              <w:bottom w:val="nil"/>
              <w:right w:val="nil"/>
            </w:tcBorders>
          </w:tcPr>
          <w:p w14:paraId="585B1699" w14:textId="4F96E9AC" w:rsidR="000720AC" w:rsidRPr="005C0315" w:rsidRDefault="000720AC" w:rsidP="00031031">
            <w:pPr>
              <w:jc w:val="center"/>
              <w:rPr>
                <w:rFonts w:ascii="Times New Roman" w:hAnsi="Times New Roman" w:cs="Times New Roman"/>
                <w:sz w:val="20"/>
                <w:szCs w:val="20"/>
              </w:rPr>
            </w:pPr>
            <w:r w:rsidRPr="000720AC">
              <w:rPr>
                <w:rFonts w:ascii="Times New Roman" w:hAnsi="Times New Roman" w:cs="Times New Roman"/>
                <w:i/>
                <w:iCs/>
                <w:sz w:val="20"/>
                <w:szCs w:val="20"/>
              </w:rPr>
              <w:t>C. chapalae</w:t>
            </w:r>
          </w:p>
        </w:tc>
        <w:tc>
          <w:tcPr>
            <w:tcW w:w="444" w:type="dxa"/>
            <w:tcBorders>
              <w:top w:val="single" w:sz="18" w:space="0" w:color="auto"/>
              <w:left w:val="nil"/>
              <w:bottom w:val="nil"/>
              <w:right w:val="nil"/>
            </w:tcBorders>
          </w:tcPr>
          <w:p w14:paraId="397EC9D8" w14:textId="3645C82F" w:rsidR="000720AC" w:rsidRPr="005C0315" w:rsidRDefault="00BF13D3" w:rsidP="00031031">
            <w:pPr>
              <w:jc w:val="center"/>
              <w:rPr>
                <w:rFonts w:ascii="Times New Roman" w:hAnsi="Times New Roman" w:cs="Times New Roman"/>
                <w:sz w:val="20"/>
                <w:szCs w:val="20"/>
              </w:rPr>
            </w:pPr>
            <w:r>
              <w:rPr>
                <w:rFonts w:ascii="Times New Roman" w:hAnsi="Times New Roman" w:cs="Times New Roman"/>
                <w:sz w:val="20"/>
                <w:szCs w:val="20"/>
              </w:rPr>
              <w:t>1</w:t>
            </w:r>
          </w:p>
        </w:tc>
        <w:tc>
          <w:tcPr>
            <w:tcW w:w="1226" w:type="dxa"/>
            <w:tcBorders>
              <w:top w:val="single" w:sz="18" w:space="0" w:color="auto"/>
              <w:left w:val="nil"/>
              <w:bottom w:val="nil"/>
              <w:right w:val="nil"/>
            </w:tcBorders>
          </w:tcPr>
          <w:p w14:paraId="50122A46" w14:textId="55EBE156" w:rsidR="000720AC" w:rsidRPr="005C0315" w:rsidRDefault="005D663F" w:rsidP="00031031">
            <w:pPr>
              <w:jc w:val="center"/>
              <w:rPr>
                <w:rFonts w:ascii="Times New Roman" w:hAnsi="Times New Roman" w:cs="Times New Roman"/>
                <w:sz w:val="20"/>
                <w:szCs w:val="20"/>
              </w:rPr>
            </w:pPr>
            <w:r>
              <w:rPr>
                <w:rFonts w:ascii="Times New Roman" w:hAnsi="Times New Roman" w:cs="Times New Roman"/>
                <w:sz w:val="20"/>
                <w:szCs w:val="20"/>
              </w:rPr>
              <w:t>-</w:t>
            </w:r>
          </w:p>
        </w:tc>
        <w:tc>
          <w:tcPr>
            <w:tcW w:w="990" w:type="dxa"/>
            <w:tcBorders>
              <w:top w:val="single" w:sz="18" w:space="0" w:color="auto"/>
              <w:left w:val="nil"/>
              <w:bottom w:val="nil"/>
              <w:right w:val="nil"/>
            </w:tcBorders>
          </w:tcPr>
          <w:p w14:paraId="63ECB238" w14:textId="55308F82" w:rsidR="000720AC" w:rsidRPr="005C0315" w:rsidRDefault="005D663F" w:rsidP="00031031">
            <w:pPr>
              <w:jc w:val="center"/>
              <w:rPr>
                <w:rFonts w:ascii="Times New Roman" w:hAnsi="Times New Roman" w:cs="Times New Roman"/>
                <w:sz w:val="20"/>
                <w:szCs w:val="20"/>
              </w:rPr>
            </w:pPr>
            <w:r>
              <w:rPr>
                <w:rFonts w:ascii="Times New Roman" w:hAnsi="Times New Roman" w:cs="Times New Roman"/>
                <w:sz w:val="20"/>
                <w:szCs w:val="20"/>
              </w:rPr>
              <w:t>-</w:t>
            </w:r>
          </w:p>
        </w:tc>
        <w:tc>
          <w:tcPr>
            <w:tcW w:w="1254" w:type="dxa"/>
            <w:tcBorders>
              <w:top w:val="single" w:sz="18" w:space="0" w:color="auto"/>
              <w:left w:val="nil"/>
              <w:bottom w:val="nil"/>
              <w:right w:val="nil"/>
            </w:tcBorders>
          </w:tcPr>
          <w:p w14:paraId="0A7DF2AD" w14:textId="42FE6450" w:rsidR="000720AC" w:rsidRPr="005C0315" w:rsidRDefault="005D663F" w:rsidP="00031031">
            <w:pPr>
              <w:jc w:val="center"/>
              <w:rPr>
                <w:rFonts w:ascii="Times New Roman" w:hAnsi="Times New Roman" w:cs="Times New Roman"/>
                <w:sz w:val="20"/>
                <w:szCs w:val="20"/>
              </w:rPr>
            </w:pPr>
            <w:r>
              <w:rPr>
                <w:rFonts w:ascii="Times New Roman" w:hAnsi="Times New Roman" w:cs="Times New Roman"/>
                <w:sz w:val="20"/>
                <w:szCs w:val="20"/>
              </w:rPr>
              <w:t>-</w:t>
            </w:r>
          </w:p>
        </w:tc>
        <w:tc>
          <w:tcPr>
            <w:tcW w:w="1008" w:type="dxa"/>
            <w:tcBorders>
              <w:top w:val="single" w:sz="18" w:space="0" w:color="auto"/>
              <w:left w:val="nil"/>
              <w:bottom w:val="nil"/>
              <w:right w:val="nil"/>
            </w:tcBorders>
          </w:tcPr>
          <w:p w14:paraId="1CD392A5" w14:textId="345B3518" w:rsidR="000720AC" w:rsidRPr="005C0315" w:rsidRDefault="005D663F" w:rsidP="00031031">
            <w:pPr>
              <w:jc w:val="center"/>
              <w:rPr>
                <w:rFonts w:ascii="Times New Roman" w:hAnsi="Times New Roman" w:cs="Times New Roman"/>
                <w:sz w:val="20"/>
                <w:szCs w:val="20"/>
              </w:rPr>
            </w:pPr>
            <w:r>
              <w:rPr>
                <w:rFonts w:ascii="Times New Roman" w:hAnsi="Times New Roman" w:cs="Times New Roman"/>
                <w:sz w:val="20"/>
                <w:szCs w:val="20"/>
              </w:rPr>
              <w:t>-</w:t>
            </w:r>
          </w:p>
        </w:tc>
        <w:tc>
          <w:tcPr>
            <w:tcW w:w="1316" w:type="dxa"/>
            <w:tcBorders>
              <w:top w:val="single" w:sz="18" w:space="0" w:color="auto"/>
              <w:left w:val="nil"/>
              <w:bottom w:val="nil"/>
              <w:right w:val="nil"/>
            </w:tcBorders>
          </w:tcPr>
          <w:p w14:paraId="7BAD7577" w14:textId="2A10A001" w:rsidR="000720AC" w:rsidRPr="005C0315" w:rsidRDefault="005D663F" w:rsidP="00031031">
            <w:pPr>
              <w:jc w:val="center"/>
              <w:rPr>
                <w:rFonts w:ascii="Times New Roman" w:hAnsi="Times New Roman" w:cs="Times New Roman"/>
                <w:sz w:val="20"/>
                <w:szCs w:val="20"/>
              </w:rPr>
            </w:pPr>
            <w:r>
              <w:rPr>
                <w:rFonts w:ascii="Times New Roman" w:hAnsi="Times New Roman" w:cs="Times New Roman"/>
                <w:sz w:val="20"/>
                <w:szCs w:val="20"/>
              </w:rPr>
              <w:t>-</w:t>
            </w:r>
          </w:p>
        </w:tc>
        <w:tc>
          <w:tcPr>
            <w:tcW w:w="1372" w:type="dxa"/>
            <w:tcBorders>
              <w:top w:val="single" w:sz="18" w:space="0" w:color="auto"/>
              <w:left w:val="nil"/>
              <w:bottom w:val="nil"/>
              <w:right w:val="nil"/>
            </w:tcBorders>
          </w:tcPr>
          <w:p w14:paraId="488058E8" w14:textId="5AD70860" w:rsidR="000720AC" w:rsidRPr="005C0315" w:rsidRDefault="005D663F" w:rsidP="00031031">
            <w:pPr>
              <w:jc w:val="center"/>
              <w:rPr>
                <w:rFonts w:ascii="Times New Roman" w:hAnsi="Times New Roman" w:cs="Times New Roman"/>
                <w:sz w:val="20"/>
                <w:szCs w:val="20"/>
              </w:rPr>
            </w:pPr>
            <w:r>
              <w:rPr>
                <w:rFonts w:ascii="Times New Roman" w:hAnsi="Times New Roman" w:cs="Times New Roman"/>
                <w:sz w:val="20"/>
                <w:szCs w:val="20"/>
              </w:rPr>
              <w:t>-</w:t>
            </w:r>
          </w:p>
        </w:tc>
      </w:tr>
      <w:tr w:rsidR="0057339E" w:rsidRPr="005C0315" w14:paraId="39F7EE6A" w14:textId="77777777" w:rsidTr="007F0FA4">
        <w:tc>
          <w:tcPr>
            <w:tcW w:w="1750" w:type="dxa"/>
            <w:tcBorders>
              <w:top w:val="nil"/>
              <w:left w:val="nil"/>
              <w:bottom w:val="nil"/>
              <w:right w:val="nil"/>
            </w:tcBorders>
          </w:tcPr>
          <w:p w14:paraId="614D036B" w14:textId="25E33FA5" w:rsidR="00F04AEC" w:rsidRPr="005C0315" w:rsidRDefault="00F04AEC" w:rsidP="00F04AEC">
            <w:pPr>
              <w:jc w:val="center"/>
              <w:rPr>
                <w:rFonts w:ascii="Times New Roman" w:hAnsi="Times New Roman" w:cs="Times New Roman"/>
                <w:sz w:val="20"/>
                <w:szCs w:val="20"/>
              </w:rPr>
            </w:pPr>
            <w:r w:rsidRPr="000720AC">
              <w:rPr>
                <w:rFonts w:ascii="Times New Roman" w:hAnsi="Times New Roman" w:cs="Times New Roman"/>
                <w:i/>
                <w:iCs/>
                <w:sz w:val="20"/>
                <w:szCs w:val="20"/>
              </w:rPr>
              <w:t>C. consocium</w:t>
            </w:r>
          </w:p>
        </w:tc>
        <w:tc>
          <w:tcPr>
            <w:tcW w:w="444" w:type="dxa"/>
            <w:tcBorders>
              <w:top w:val="nil"/>
              <w:left w:val="nil"/>
              <w:bottom w:val="nil"/>
              <w:right w:val="nil"/>
            </w:tcBorders>
          </w:tcPr>
          <w:p w14:paraId="6288FA9C" w14:textId="3ABA2C76" w:rsidR="00F04AEC" w:rsidRPr="005C0315" w:rsidRDefault="00F04AEC" w:rsidP="00F04AEC">
            <w:pPr>
              <w:jc w:val="center"/>
              <w:rPr>
                <w:rFonts w:ascii="Times New Roman" w:hAnsi="Times New Roman" w:cs="Times New Roman"/>
                <w:sz w:val="20"/>
                <w:szCs w:val="20"/>
              </w:rPr>
            </w:pPr>
            <w:r>
              <w:rPr>
                <w:rFonts w:ascii="Times New Roman" w:hAnsi="Times New Roman" w:cs="Times New Roman"/>
                <w:sz w:val="20"/>
                <w:szCs w:val="20"/>
              </w:rPr>
              <w:t>4</w:t>
            </w:r>
          </w:p>
        </w:tc>
        <w:tc>
          <w:tcPr>
            <w:tcW w:w="1226" w:type="dxa"/>
            <w:tcBorders>
              <w:top w:val="nil"/>
              <w:left w:val="nil"/>
              <w:bottom w:val="nil"/>
              <w:right w:val="nil"/>
            </w:tcBorders>
            <w:vAlign w:val="center"/>
          </w:tcPr>
          <w:p w14:paraId="3C030B3D" w14:textId="093D5B62" w:rsidR="00F04AEC" w:rsidRPr="001979F8" w:rsidRDefault="00F04AEC" w:rsidP="00F04AEC">
            <w:pPr>
              <w:jc w:val="center"/>
              <w:rPr>
                <w:rFonts w:ascii="Times New Roman" w:hAnsi="Times New Roman" w:cs="Times New Roman"/>
                <w:sz w:val="20"/>
                <w:szCs w:val="20"/>
              </w:rPr>
            </w:pPr>
            <w:r w:rsidRPr="001979F8">
              <w:rPr>
                <w:rFonts w:ascii="Times New Roman" w:hAnsi="Times New Roman" w:cs="Times New Roman"/>
                <w:color w:val="000000"/>
                <w:sz w:val="20"/>
                <w:szCs w:val="20"/>
              </w:rPr>
              <w:t>0.1</w:t>
            </w:r>
            <w:r>
              <w:rPr>
                <w:rFonts w:ascii="Times New Roman" w:hAnsi="Times New Roman" w:cs="Times New Roman"/>
                <w:color w:val="000000"/>
                <w:sz w:val="20"/>
                <w:szCs w:val="20"/>
              </w:rPr>
              <w:t>4</w:t>
            </w:r>
            <w:r w:rsidRPr="001979F8">
              <w:rPr>
                <w:rFonts w:ascii="Times New Roman" w:hAnsi="Times New Roman" w:cs="Times New Roman"/>
                <w:color w:val="000000"/>
                <w:sz w:val="20"/>
                <w:szCs w:val="20"/>
              </w:rPr>
              <w:t xml:space="preserve"> </w:t>
            </w:r>
            <w:r>
              <w:rPr>
                <w:rFonts w:ascii="Times New Roman" w:hAnsi="Times New Roman" w:cs="Times New Roman"/>
                <w:color w:val="000000"/>
                <w:sz w:val="20"/>
                <w:szCs w:val="20"/>
              </w:rPr>
              <w:t>4</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-4</w:t>
            </w:r>
          </w:p>
        </w:tc>
        <w:tc>
          <w:tcPr>
            <w:tcW w:w="990" w:type="dxa"/>
            <w:tcBorders>
              <w:top w:val="nil"/>
              <w:left w:val="nil"/>
              <w:bottom w:val="nil"/>
              <w:right w:val="nil"/>
            </w:tcBorders>
            <w:vAlign w:val="center"/>
          </w:tcPr>
          <w:p w14:paraId="5BD2F175" w14:textId="1B9EA38F" w:rsidR="00F04AEC" w:rsidRPr="001979F8" w:rsidRDefault="00F04AEC" w:rsidP="00F04AEC">
            <w:pPr>
              <w:jc w:val="center"/>
              <w:rPr>
                <w:rFonts w:ascii="Times New Roman" w:hAnsi="Times New Roman" w:cs="Times New Roman"/>
                <w:sz w:val="20"/>
                <w:szCs w:val="20"/>
              </w:rPr>
            </w:pPr>
            <w:r w:rsidRPr="001979F8">
              <w:rPr>
                <w:rFonts w:ascii="Times New Roman" w:hAnsi="Times New Roman" w:cs="Times New Roman"/>
                <w:color w:val="000000"/>
                <w:sz w:val="20"/>
                <w:szCs w:val="20"/>
              </w:rPr>
              <w:t xml:space="preserve">0.11 </w:t>
            </w:r>
            <w:r>
              <w:rPr>
                <w:rFonts w:ascii="Times New Roman" w:hAnsi="Times New Roman" w:cs="Times New Roman"/>
                <w:color w:val="000000"/>
                <w:sz w:val="20"/>
                <w:szCs w:val="20"/>
              </w:rPr>
              <w:t>3</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46860E97" w14:textId="79AECB50" w:rsidR="00F04AEC" w:rsidRPr="00F04AEC" w:rsidRDefault="00F04AEC" w:rsidP="00F04AEC">
            <w:pPr>
              <w:jc w:val="center"/>
              <w:rPr>
                <w:rFonts w:ascii="Times New Roman" w:hAnsi="Times New Roman" w:cs="Times New Roman"/>
                <w:sz w:val="20"/>
                <w:szCs w:val="20"/>
              </w:rPr>
            </w:pPr>
            <w:r w:rsidRPr="00F04AEC">
              <w:rPr>
                <w:rFonts w:ascii="Times New Roman" w:hAnsi="Times New Roman" w:cs="Times New Roman"/>
                <w:color w:val="000000"/>
                <w:sz w:val="20"/>
                <w:szCs w:val="20"/>
              </w:rPr>
              <w:t>-0.2</w:t>
            </w:r>
            <w:r>
              <w:rPr>
                <w:rFonts w:ascii="Times New Roman" w:hAnsi="Times New Roman" w:cs="Times New Roman"/>
                <w:color w:val="000000"/>
                <w:sz w:val="20"/>
                <w:szCs w:val="20"/>
              </w:rPr>
              <w:t>3</w:t>
            </w:r>
            <w:r w:rsidRPr="00F04AEC">
              <w:rPr>
                <w:rFonts w:ascii="Times New Roman" w:hAnsi="Times New Roman" w:cs="Times New Roman"/>
                <w:color w:val="000000"/>
                <w:sz w:val="20"/>
                <w:szCs w:val="20"/>
              </w:rPr>
              <w:t xml:space="preserve"> </w:t>
            </w:r>
            <w:r>
              <w:rPr>
                <w:rFonts w:ascii="Times New Roman" w:hAnsi="Times New Roman" w:cs="Times New Roman"/>
                <w:color w:val="000000"/>
                <w:sz w:val="20"/>
                <w:szCs w:val="20"/>
              </w:rPr>
              <w:t>8</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008" w:type="dxa"/>
            <w:tcBorders>
              <w:top w:val="nil"/>
              <w:left w:val="nil"/>
              <w:bottom w:val="nil"/>
              <w:right w:val="nil"/>
            </w:tcBorders>
          </w:tcPr>
          <w:p w14:paraId="1FEA7EB7" w14:textId="48E36811" w:rsidR="00F04AEC" w:rsidRPr="005C0315" w:rsidRDefault="005A72AD" w:rsidP="00F04AEC">
            <w:pPr>
              <w:tabs>
                <w:tab w:val="left" w:pos="557"/>
              </w:tabs>
              <w:jc w:val="center"/>
              <w:rPr>
                <w:rFonts w:ascii="Times New Roman" w:hAnsi="Times New Roman" w:cs="Times New Roman"/>
                <w:sz w:val="20"/>
                <w:szCs w:val="20"/>
              </w:rPr>
            </w:pPr>
            <w:r>
              <w:rPr>
                <w:rFonts w:ascii="Times New Roman" w:hAnsi="Times New Roman" w:cs="Times New Roman"/>
                <w:sz w:val="20"/>
                <w:szCs w:val="20"/>
              </w:rPr>
              <w:t>infinite</w:t>
            </w:r>
          </w:p>
        </w:tc>
        <w:tc>
          <w:tcPr>
            <w:tcW w:w="1316" w:type="dxa"/>
            <w:tcBorders>
              <w:top w:val="nil"/>
              <w:left w:val="nil"/>
              <w:bottom w:val="nil"/>
              <w:right w:val="nil"/>
            </w:tcBorders>
          </w:tcPr>
          <w:p w14:paraId="020BED61" w14:textId="5DC850D8" w:rsidR="00F04AEC" w:rsidRPr="005C0315" w:rsidRDefault="005A72AD" w:rsidP="00F04AEC">
            <w:pPr>
              <w:jc w:val="center"/>
              <w:rPr>
                <w:rFonts w:ascii="Times New Roman" w:hAnsi="Times New Roman" w:cs="Times New Roman"/>
                <w:sz w:val="20"/>
                <w:szCs w:val="20"/>
              </w:rPr>
            </w:pPr>
            <w:r>
              <w:rPr>
                <w:rFonts w:ascii="Times New Roman" w:hAnsi="Times New Roman" w:cs="Times New Roman"/>
                <w:sz w:val="20"/>
                <w:szCs w:val="20"/>
              </w:rPr>
              <w:t>8.9</w:t>
            </w:r>
          </w:p>
        </w:tc>
        <w:tc>
          <w:tcPr>
            <w:tcW w:w="1372" w:type="dxa"/>
            <w:tcBorders>
              <w:top w:val="nil"/>
              <w:left w:val="nil"/>
              <w:bottom w:val="nil"/>
              <w:right w:val="nil"/>
            </w:tcBorders>
          </w:tcPr>
          <w:p w14:paraId="1E9E4CE0" w14:textId="3B085C9A" w:rsidR="00F04AEC" w:rsidRPr="005C0315" w:rsidRDefault="005A72AD" w:rsidP="00F04AEC">
            <w:pPr>
              <w:jc w:val="center"/>
              <w:rPr>
                <w:rFonts w:ascii="Times New Roman" w:hAnsi="Times New Roman" w:cs="Times New Roman"/>
                <w:sz w:val="20"/>
                <w:szCs w:val="20"/>
              </w:rPr>
            </w:pPr>
            <w:r>
              <w:rPr>
                <w:rFonts w:ascii="Times New Roman" w:hAnsi="Times New Roman" w:cs="Times New Roman"/>
                <w:sz w:val="20"/>
                <w:szCs w:val="20"/>
              </w:rPr>
              <w:t>10.9</w:t>
            </w:r>
          </w:p>
        </w:tc>
      </w:tr>
      <w:tr w:rsidR="0057339E" w:rsidRPr="005C0315" w14:paraId="0D6A7543" w14:textId="77777777" w:rsidTr="007F0FA4">
        <w:tc>
          <w:tcPr>
            <w:tcW w:w="1750" w:type="dxa"/>
            <w:tcBorders>
              <w:top w:val="nil"/>
              <w:left w:val="nil"/>
              <w:bottom w:val="nil"/>
              <w:right w:val="nil"/>
            </w:tcBorders>
          </w:tcPr>
          <w:p w14:paraId="77823C76" w14:textId="419B4DB3" w:rsidR="005A72AD" w:rsidRPr="005C0315" w:rsidRDefault="005A72AD" w:rsidP="005A72AD">
            <w:pPr>
              <w:jc w:val="center"/>
              <w:rPr>
                <w:rFonts w:ascii="Times New Roman" w:hAnsi="Times New Roman" w:cs="Times New Roman"/>
                <w:sz w:val="20"/>
                <w:szCs w:val="20"/>
              </w:rPr>
            </w:pPr>
            <w:r w:rsidRPr="000720AC">
              <w:rPr>
                <w:rFonts w:ascii="Times New Roman" w:hAnsi="Times New Roman" w:cs="Times New Roman"/>
                <w:i/>
                <w:iCs/>
                <w:sz w:val="20"/>
                <w:szCs w:val="20"/>
              </w:rPr>
              <w:t>C. lucius</w:t>
            </w:r>
          </w:p>
        </w:tc>
        <w:tc>
          <w:tcPr>
            <w:tcW w:w="444" w:type="dxa"/>
            <w:tcBorders>
              <w:top w:val="nil"/>
              <w:left w:val="nil"/>
              <w:bottom w:val="nil"/>
              <w:right w:val="nil"/>
            </w:tcBorders>
          </w:tcPr>
          <w:p w14:paraId="5A56608B" w14:textId="602EE464"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7</w:t>
            </w:r>
          </w:p>
        </w:tc>
        <w:tc>
          <w:tcPr>
            <w:tcW w:w="1226" w:type="dxa"/>
            <w:tcBorders>
              <w:top w:val="nil"/>
              <w:left w:val="nil"/>
              <w:bottom w:val="nil"/>
              <w:right w:val="nil"/>
            </w:tcBorders>
            <w:vAlign w:val="center"/>
          </w:tcPr>
          <w:p w14:paraId="3EC2A111" w14:textId="7D1AF9E7"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 xml:space="preserve">0.13 </w:t>
            </w:r>
            <w:r>
              <w:rPr>
                <w:rFonts w:ascii="Times New Roman" w:hAnsi="Times New Roman" w:cs="Times New Roman"/>
                <w:color w:val="000000"/>
                <w:sz w:val="20"/>
                <w:szCs w:val="20"/>
              </w:rPr>
              <w:t>4</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-4</w:t>
            </w:r>
          </w:p>
        </w:tc>
        <w:tc>
          <w:tcPr>
            <w:tcW w:w="990" w:type="dxa"/>
            <w:tcBorders>
              <w:top w:val="nil"/>
              <w:left w:val="nil"/>
              <w:bottom w:val="nil"/>
              <w:right w:val="nil"/>
            </w:tcBorders>
            <w:vAlign w:val="center"/>
          </w:tcPr>
          <w:p w14:paraId="4BA9EA95" w14:textId="33635606"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0.11</w:t>
            </w:r>
            <w:r>
              <w:rPr>
                <w:rFonts w:ascii="Times New Roman" w:hAnsi="Times New Roman" w:cs="Times New Roman"/>
                <w:color w:val="000000"/>
                <w:sz w:val="20"/>
                <w:szCs w:val="20"/>
              </w:rPr>
              <w:t xml:space="preserve"> 3</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50993510" w14:textId="41BAABA2" w:rsidR="005A72AD" w:rsidRPr="00F04AEC" w:rsidRDefault="005A72AD" w:rsidP="005A72AD">
            <w:pPr>
              <w:jc w:val="center"/>
              <w:rPr>
                <w:rFonts w:ascii="Times New Roman" w:hAnsi="Times New Roman" w:cs="Times New Roman"/>
                <w:sz w:val="20"/>
                <w:szCs w:val="20"/>
              </w:rPr>
            </w:pPr>
            <w:r w:rsidRPr="00F04AEC">
              <w:rPr>
                <w:rFonts w:ascii="Times New Roman" w:hAnsi="Times New Roman" w:cs="Times New Roman"/>
                <w:color w:val="000000"/>
                <w:sz w:val="20"/>
                <w:szCs w:val="20"/>
              </w:rPr>
              <w:t>-0.14</w:t>
            </w:r>
            <w:r>
              <w:rPr>
                <w:rFonts w:ascii="Times New Roman" w:hAnsi="Times New Roman" w:cs="Times New Roman"/>
                <w:color w:val="000000"/>
                <w:sz w:val="20"/>
                <w:szCs w:val="20"/>
              </w:rPr>
              <w:t xml:space="preserve"> 7</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008" w:type="dxa"/>
            <w:tcBorders>
              <w:top w:val="nil"/>
              <w:left w:val="nil"/>
              <w:bottom w:val="nil"/>
              <w:right w:val="nil"/>
            </w:tcBorders>
          </w:tcPr>
          <w:p w14:paraId="209585F9" w14:textId="3428CD65" w:rsidR="005A72AD" w:rsidRPr="005C0315" w:rsidRDefault="005A72AD" w:rsidP="005A72AD">
            <w:pPr>
              <w:jc w:val="center"/>
              <w:rPr>
                <w:rFonts w:ascii="Times New Roman" w:hAnsi="Times New Roman" w:cs="Times New Roman"/>
                <w:sz w:val="20"/>
                <w:szCs w:val="20"/>
              </w:rPr>
            </w:pPr>
            <w:r w:rsidRPr="00E7612E">
              <w:rPr>
                <w:rFonts w:ascii="Times New Roman" w:hAnsi="Times New Roman" w:cs="Times New Roman"/>
                <w:sz w:val="20"/>
                <w:szCs w:val="20"/>
              </w:rPr>
              <w:t>infinite</w:t>
            </w:r>
          </w:p>
        </w:tc>
        <w:tc>
          <w:tcPr>
            <w:tcW w:w="1316" w:type="dxa"/>
            <w:tcBorders>
              <w:top w:val="nil"/>
              <w:left w:val="nil"/>
              <w:bottom w:val="nil"/>
              <w:right w:val="nil"/>
            </w:tcBorders>
          </w:tcPr>
          <w:p w14:paraId="23416F29" w14:textId="385E9CCA"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12.6</w:t>
            </w:r>
          </w:p>
        </w:tc>
        <w:tc>
          <w:tcPr>
            <w:tcW w:w="1372" w:type="dxa"/>
            <w:tcBorders>
              <w:top w:val="nil"/>
              <w:left w:val="nil"/>
              <w:bottom w:val="nil"/>
              <w:right w:val="nil"/>
            </w:tcBorders>
          </w:tcPr>
          <w:p w14:paraId="2052393C" w14:textId="4AD564CC"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6</w:t>
            </w:r>
          </w:p>
        </w:tc>
      </w:tr>
      <w:tr w:rsidR="006827D1" w:rsidRPr="005C0315" w14:paraId="57946FF7" w14:textId="77777777" w:rsidTr="007F0FA4">
        <w:tc>
          <w:tcPr>
            <w:tcW w:w="1750" w:type="dxa"/>
            <w:tcBorders>
              <w:top w:val="nil"/>
              <w:left w:val="nil"/>
              <w:bottom w:val="nil"/>
              <w:right w:val="nil"/>
            </w:tcBorders>
          </w:tcPr>
          <w:p w14:paraId="10B5AF3F" w14:textId="69363BA2" w:rsidR="005A72AD" w:rsidRPr="000720AC" w:rsidRDefault="005A72AD" w:rsidP="005A72AD">
            <w:pPr>
              <w:jc w:val="center"/>
              <w:rPr>
                <w:rFonts w:ascii="Times New Roman" w:hAnsi="Times New Roman" w:cs="Times New Roman"/>
                <w:i/>
                <w:iCs/>
                <w:sz w:val="20"/>
                <w:szCs w:val="20"/>
              </w:rPr>
            </w:pPr>
            <w:r w:rsidRPr="000720AC">
              <w:rPr>
                <w:rFonts w:ascii="Times New Roman" w:hAnsi="Times New Roman" w:cs="Times New Roman"/>
                <w:i/>
                <w:iCs/>
                <w:sz w:val="20"/>
                <w:szCs w:val="20"/>
              </w:rPr>
              <w:t>C. promelas</w:t>
            </w:r>
          </w:p>
        </w:tc>
        <w:tc>
          <w:tcPr>
            <w:tcW w:w="444" w:type="dxa"/>
            <w:tcBorders>
              <w:top w:val="nil"/>
              <w:left w:val="nil"/>
              <w:bottom w:val="nil"/>
              <w:right w:val="nil"/>
            </w:tcBorders>
          </w:tcPr>
          <w:p w14:paraId="2510C9F2" w14:textId="01FCAF1E" w:rsidR="005A72AD" w:rsidRDefault="005A72AD" w:rsidP="005A72AD">
            <w:pPr>
              <w:jc w:val="center"/>
              <w:rPr>
                <w:rFonts w:ascii="Times New Roman" w:hAnsi="Times New Roman" w:cs="Times New Roman"/>
                <w:sz w:val="20"/>
                <w:szCs w:val="20"/>
              </w:rPr>
            </w:pPr>
            <w:r>
              <w:rPr>
                <w:rFonts w:ascii="Times New Roman" w:hAnsi="Times New Roman" w:cs="Times New Roman"/>
                <w:sz w:val="20"/>
                <w:szCs w:val="20"/>
              </w:rPr>
              <w:t>5</w:t>
            </w:r>
          </w:p>
        </w:tc>
        <w:tc>
          <w:tcPr>
            <w:tcW w:w="1226" w:type="dxa"/>
            <w:tcBorders>
              <w:top w:val="nil"/>
              <w:left w:val="nil"/>
              <w:bottom w:val="nil"/>
              <w:right w:val="nil"/>
            </w:tcBorders>
            <w:vAlign w:val="center"/>
          </w:tcPr>
          <w:p w14:paraId="10201C63" w14:textId="0833BC99"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 xml:space="preserve">0.12 </w:t>
            </w:r>
            <w:r>
              <w:rPr>
                <w:rFonts w:ascii="Times New Roman" w:hAnsi="Times New Roman" w:cs="Times New Roman"/>
                <w:color w:val="000000"/>
                <w:sz w:val="20"/>
                <w:szCs w:val="20"/>
              </w:rPr>
              <w:t>4</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-4</w:t>
            </w:r>
          </w:p>
        </w:tc>
        <w:tc>
          <w:tcPr>
            <w:tcW w:w="990" w:type="dxa"/>
            <w:tcBorders>
              <w:top w:val="nil"/>
              <w:left w:val="nil"/>
              <w:bottom w:val="nil"/>
              <w:right w:val="nil"/>
            </w:tcBorders>
            <w:vAlign w:val="center"/>
          </w:tcPr>
          <w:p w14:paraId="3AEDC2C7" w14:textId="6126E160"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0.</w:t>
            </w:r>
            <w:r>
              <w:rPr>
                <w:rFonts w:ascii="Times New Roman" w:hAnsi="Times New Roman" w:cs="Times New Roman"/>
                <w:color w:val="000000"/>
                <w:sz w:val="20"/>
                <w:szCs w:val="20"/>
              </w:rPr>
              <w:t>10 3</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4E562AB4" w14:textId="31572B29" w:rsidR="005A72AD" w:rsidRPr="00F04AEC" w:rsidRDefault="005A72AD" w:rsidP="005A72AD">
            <w:pPr>
              <w:jc w:val="center"/>
              <w:rPr>
                <w:rFonts w:ascii="Times New Roman" w:hAnsi="Times New Roman" w:cs="Times New Roman"/>
                <w:sz w:val="20"/>
                <w:szCs w:val="20"/>
              </w:rPr>
            </w:pPr>
            <w:r w:rsidRPr="00F04AEC">
              <w:rPr>
                <w:rFonts w:ascii="Times New Roman" w:hAnsi="Times New Roman" w:cs="Times New Roman"/>
                <w:color w:val="000000"/>
                <w:sz w:val="20"/>
                <w:szCs w:val="20"/>
              </w:rPr>
              <w:t>-0.22</w:t>
            </w:r>
            <w:r>
              <w:rPr>
                <w:rFonts w:ascii="Times New Roman" w:hAnsi="Times New Roman" w:cs="Times New Roman"/>
                <w:color w:val="000000"/>
                <w:sz w:val="20"/>
                <w:szCs w:val="20"/>
              </w:rPr>
              <w:t xml:space="preserve"> 9</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008" w:type="dxa"/>
            <w:tcBorders>
              <w:top w:val="nil"/>
              <w:left w:val="nil"/>
              <w:bottom w:val="nil"/>
              <w:right w:val="nil"/>
            </w:tcBorders>
          </w:tcPr>
          <w:p w14:paraId="5AB11022" w14:textId="1C5C7948" w:rsidR="005A72AD" w:rsidRPr="005C0315" w:rsidRDefault="005A72AD" w:rsidP="005A72AD">
            <w:pPr>
              <w:jc w:val="center"/>
              <w:rPr>
                <w:rFonts w:ascii="Times New Roman" w:hAnsi="Times New Roman" w:cs="Times New Roman"/>
                <w:sz w:val="20"/>
                <w:szCs w:val="20"/>
              </w:rPr>
            </w:pPr>
            <w:r w:rsidRPr="00E7612E">
              <w:rPr>
                <w:rFonts w:ascii="Times New Roman" w:hAnsi="Times New Roman" w:cs="Times New Roman"/>
                <w:sz w:val="20"/>
                <w:szCs w:val="20"/>
              </w:rPr>
              <w:t>infinite</w:t>
            </w:r>
          </w:p>
        </w:tc>
        <w:tc>
          <w:tcPr>
            <w:tcW w:w="1316" w:type="dxa"/>
            <w:tcBorders>
              <w:top w:val="nil"/>
              <w:left w:val="nil"/>
              <w:bottom w:val="nil"/>
              <w:right w:val="nil"/>
            </w:tcBorders>
          </w:tcPr>
          <w:p w14:paraId="55C4D2E6" w14:textId="08A2708A"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infinite</w:t>
            </w:r>
          </w:p>
        </w:tc>
        <w:tc>
          <w:tcPr>
            <w:tcW w:w="1372" w:type="dxa"/>
            <w:tcBorders>
              <w:top w:val="nil"/>
              <w:left w:val="nil"/>
              <w:bottom w:val="nil"/>
              <w:right w:val="nil"/>
            </w:tcBorders>
          </w:tcPr>
          <w:p w14:paraId="7ADBA6A1" w14:textId="57073E9E"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31</w:t>
            </w:r>
          </w:p>
        </w:tc>
      </w:tr>
      <w:tr w:rsidR="006827D1" w:rsidRPr="005C0315" w14:paraId="37409523" w14:textId="77777777" w:rsidTr="007F0FA4">
        <w:tc>
          <w:tcPr>
            <w:tcW w:w="1750" w:type="dxa"/>
            <w:tcBorders>
              <w:top w:val="nil"/>
              <w:left w:val="nil"/>
              <w:bottom w:val="nil"/>
              <w:right w:val="nil"/>
            </w:tcBorders>
          </w:tcPr>
          <w:p w14:paraId="6831F814" w14:textId="618683E4" w:rsidR="005A72AD" w:rsidRPr="000720AC" w:rsidRDefault="005A72AD" w:rsidP="005A72AD">
            <w:pPr>
              <w:jc w:val="center"/>
              <w:rPr>
                <w:rFonts w:ascii="Times New Roman" w:hAnsi="Times New Roman" w:cs="Times New Roman"/>
                <w:i/>
                <w:iCs/>
                <w:sz w:val="20"/>
                <w:szCs w:val="20"/>
              </w:rPr>
            </w:pPr>
            <w:r w:rsidRPr="000720AC">
              <w:rPr>
                <w:rFonts w:ascii="Times New Roman" w:hAnsi="Times New Roman" w:cs="Times New Roman"/>
                <w:i/>
                <w:iCs/>
                <w:sz w:val="20"/>
                <w:szCs w:val="20"/>
              </w:rPr>
              <w:t>C. sphyraena</w:t>
            </w:r>
          </w:p>
        </w:tc>
        <w:tc>
          <w:tcPr>
            <w:tcW w:w="444" w:type="dxa"/>
            <w:tcBorders>
              <w:top w:val="nil"/>
              <w:left w:val="nil"/>
              <w:bottom w:val="nil"/>
              <w:right w:val="nil"/>
            </w:tcBorders>
          </w:tcPr>
          <w:p w14:paraId="60071811" w14:textId="2A14346C" w:rsidR="005A72AD" w:rsidRDefault="005A72AD" w:rsidP="005A72AD">
            <w:pPr>
              <w:jc w:val="center"/>
              <w:rPr>
                <w:rFonts w:ascii="Times New Roman" w:hAnsi="Times New Roman" w:cs="Times New Roman"/>
                <w:sz w:val="20"/>
                <w:szCs w:val="20"/>
              </w:rPr>
            </w:pPr>
            <w:r>
              <w:rPr>
                <w:rFonts w:ascii="Times New Roman" w:hAnsi="Times New Roman" w:cs="Times New Roman"/>
                <w:sz w:val="20"/>
                <w:szCs w:val="20"/>
              </w:rPr>
              <w:t>24</w:t>
            </w:r>
          </w:p>
        </w:tc>
        <w:tc>
          <w:tcPr>
            <w:tcW w:w="1226" w:type="dxa"/>
            <w:tcBorders>
              <w:top w:val="nil"/>
              <w:left w:val="nil"/>
              <w:bottom w:val="nil"/>
              <w:right w:val="nil"/>
            </w:tcBorders>
            <w:vAlign w:val="center"/>
          </w:tcPr>
          <w:p w14:paraId="0B33273C" w14:textId="34E121C2"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0.1</w:t>
            </w:r>
            <w:r>
              <w:rPr>
                <w:rFonts w:ascii="Times New Roman" w:hAnsi="Times New Roman" w:cs="Times New Roman"/>
                <w:color w:val="000000"/>
                <w:sz w:val="20"/>
                <w:szCs w:val="20"/>
              </w:rPr>
              <w:t>4</w:t>
            </w:r>
            <w:r w:rsidRPr="001979F8">
              <w:rPr>
                <w:rFonts w:ascii="Times New Roman" w:hAnsi="Times New Roman" w:cs="Times New Roman"/>
                <w:color w:val="000000"/>
                <w:sz w:val="20"/>
                <w:szCs w:val="20"/>
              </w:rPr>
              <w:t xml:space="preserve"> </w:t>
            </w:r>
            <w:r>
              <w:rPr>
                <w:rFonts w:ascii="Times New Roman" w:hAnsi="Times New Roman" w:cs="Times New Roman"/>
                <w:color w:val="000000"/>
                <w:sz w:val="20"/>
                <w:szCs w:val="20"/>
              </w:rPr>
              <w:t>4</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-4</w:t>
            </w:r>
          </w:p>
        </w:tc>
        <w:tc>
          <w:tcPr>
            <w:tcW w:w="990" w:type="dxa"/>
            <w:tcBorders>
              <w:top w:val="nil"/>
              <w:left w:val="nil"/>
              <w:bottom w:val="nil"/>
              <w:right w:val="nil"/>
            </w:tcBorders>
            <w:vAlign w:val="center"/>
          </w:tcPr>
          <w:p w14:paraId="4474E138" w14:textId="52C87434"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0.12</w:t>
            </w:r>
            <w:r>
              <w:rPr>
                <w:rFonts w:ascii="Times New Roman" w:hAnsi="Times New Roman" w:cs="Times New Roman"/>
                <w:color w:val="000000"/>
                <w:sz w:val="20"/>
                <w:szCs w:val="20"/>
              </w:rPr>
              <w:t xml:space="preserve"> 3</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52F0F291" w14:textId="781F9E68" w:rsidR="005A72AD" w:rsidRPr="00F04AEC" w:rsidRDefault="005A72AD" w:rsidP="005A72AD">
            <w:pPr>
              <w:jc w:val="center"/>
              <w:rPr>
                <w:rFonts w:ascii="Times New Roman" w:hAnsi="Times New Roman" w:cs="Times New Roman"/>
                <w:sz w:val="20"/>
                <w:szCs w:val="20"/>
              </w:rPr>
            </w:pPr>
            <w:r w:rsidRPr="00F04AEC">
              <w:rPr>
                <w:rFonts w:ascii="Times New Roman" w:hAnsi="Times New Roman" w:cs="Times New Roman"/>
                <w:color w:val="000000"/>
                <w:sz w:val="20"/>
                <w:szCs w:val="20"/>
              </w:rPr>
              <w:t>-0.08</w:t>
            </w:r>
            <w:r>
              <w:rPr>
                <w:rFonts w:ascii="Times New Roman" w:hAnsi="Times New Roman" w:cs="Times New Roman"/>
                <w:color w:val="000000"/>
                <w:sz w:val="20"/>
                <w:szCs w:val="20"/>
              </w:rPr>
              <w:t xml:space="preserve"> 5</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008" w:type="dxa"/>
            <w:tcBorders>
              <w:top w:val="nil"/>
              <w:left w:val="nil"/>
              <w:bottom w:val="nil"/>
              <w:right w:val="nil"/>
            </w:tcBorders>
          </w:tcPr>
          <w:p w14:paraId="00967A9F" w14:textId="22A56D9D" w:rsidR="005A72AD" w:rsidRPr="005C0315" w:rsidRDefault="005A72AD" w:rsidP="005A72AD">
            <w:pPr>
              <w:jc w:val="center"/>
              <w:rPr>
                <w:rFonts w:ascii="Times New Roman" w:hAnsi="Times New Roman" w:cs="Times New Roman"/>
                <w:sz w:val="20"/>
                <w:szCs w:val="20"/>
              </w:rPr>
            </w:pPr>
            <w:r w:rsidRPr="00E7612E">
              <w:rPr>
                <w:rFonts w:ascii="Times New Roman" w:hAnsi="Times New Roman" w:cs="Times New Roman"/>
                <w:sz w:val="20"/>
                <w:szCs w:val="20"/>
              </w:rPr>
              <w:t>infinite</w:t>
            </w:r>
          </w:p>
        </w:tc>
        <w:tc>
          <w:tcPr>
            <w:tcW w:w="1316" w:type="dxa"/>
            <w:tcBorders>
              <w:top w:val="nil"/>
              <w:left w:val="nil"/>
              <w:bottom w:val="nil"/>
              <w:right w:val="nil"/>
            </w:tcBorders>
          </w:tcPr>
          <w:p w14:paraId="27EAE65A" w14:textId="12CC07F9"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8.9</w:t>
            </w:r>
          </w:p>
        </w:tc>
        <w:tc>
          <w:tcPr>
            <w:tcW w:w="1372" w:type="dxa"/>
            <w:tcBorders>
              <w:top w:val="nil"/>
              <w:left w:val="nil"/>
              <w:bottom w:val="nil"/>
              <w:right w:val="nil"/>
            </w:tcBorders>
          </w:tcPr>
          <w:p w14:paraId="7993D433" w14:textId="75261B55"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2.2</w:t>
            </w:r>
          </w:p>
        </w:tc>
      </w:tr>
      <w:tr w:rsidR="006827D1" w:rsidRPr="005C0315" w14:paraId="2751D491" w14:textId="77777777" w:rsidTr="007F0FA4">
        <w:tc>
          <w:tcPr>
            <w:tcW w:w="1750" w:type="dxa"/>
            <w:tcBorders>
              <w:top w:val="nil"/>
              <w:left w:val="nil"/>
              <w:bottom w:val="nil"/>
              <w:right w:val="nil"/>
            </w:tcBorders>
          </w:tcPr>
          <w:p w14:paraId="43A63176" w14:textId="5F6D52B6" w:rsidR="005A72AD" w:rsidRPr="000720AC" w:rsidRDefault="005A72AD" w:rsidP="005A72AD">
            <w:pPr>
              <w:jc w:val="center"/>
              <w:rPr>
                <w:rFonts w:ascii="Times New Roman" w:hAnsi="Times New Roman" w:cs="Times New Roman"/>
                <w:i/>
                <w:iCs/>
                <w:sz w:val="20"/>
                <w:szCs w:val="20"/>
              </w:rPr>
            </w:pPr>
            <w:r w:rsidRPr="000720AC">
              <w:rPr>
                <w:rFonts w:ascii="Times New Roman" w:hAnsi="Times New Roman" w:cs="Times New Roman"/>
                <w:i/>
                <w:iCs/>
                <w:sz w:val="20"/>
                <w:szCs w:val="20"/>
              </w:rPr>
              <w:t>C. humboldtianum</w:t>
            </w:r>
          </w:p>
        </w:tc>
        <w:tc>
          <w:tcPr>
            <w:tcW w:w="444" w:type="dxa"/>
            <w:tcBorders>
              <w:top w:val="nil"/>
              <w:left w:val="nil"/>
              <w:bottom w:val="nil"/>
              <w:right w:val="nil"/>
            </w:tcBorders>
          </w:tcPr>
          <w:p w14:paraId="59C45C39" w14:textId="642BEAD3" w:rsidR="005A72AD" w:rsidRDefault="005A72AD" w:rsidP="005A72AD">
            <w:pPr>
              <w:jc w:val="center"/>
              <w:rPr>
                <w:rFonts w:ascii="Times New Roman" w:hAnsi="Times New Roman" w:cs="Times New Roman"/>
                <w:sz w:val="20"/>
                <w:szCs w:val="20"/>
              </w:rPr>
            </w:pPr>
            <w:r>
              <w:rPr>
                <w:rFonts w:ascii="Times New Roman" w:hAnsi="Times New Roman" w:cs="Times New Roman"/>
                <w:sz w:val="20"/>
                <w:szCs w:val="20"/>
              </w:rPr>
              <w:t>7</w:t>
            </w:r>
          </w:p>
        </w:tc>
        <w:tc>
          <w:tcPr>
            <w:tcW w:w="1226" w:type="dxa"/>
            <w:tcBorders>
              <w:top w:val="nil"/>
              <w:left w:val="nil"/>
              <w:bottom w:val="nil"/>
              <w:right w:val="nil"/>
            </w:tcBorders>
            <w:vAlign w:val="center"/>
          </w:tcPr>
          <w:p w14:paraId="5D12E72C" w14:textId="7AB14BA5"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0.1</w:t>
            </w:r>
            <w:r>
              <w:rPr>
                <w:rFonts w:ascii="Times New Roman" w:hAnsi="Times New Roman" w:cs="Times New Roman"/>
                <w:color w:val="000000"/>
                <w:sz w:val="20"/>
                <w:szCs w:val="20"/>
              </w:rPr>
              <w:t>5</w:t>
            </w:r>
            <w:r w:rsidRPr="001979F8">
              <w:rPr>
                <w:rFonts w:ascii="Times New Roman" w:hAnsi="Times New Roman" w:cs="Times New Roman"/>
                <w:color w:val="000000"/>
                <w:sz w:val="20"/>
                <w:szCs w:val="20"/>
              </w:rPr>
              <w:t xml:space="preserve"> </w:t>
            </w:r>
            <w:r>
              <w:rPr>
                <w:rFonts w:ascii="Times New Roman" w:hAnsi="Times New Roman" w:cs="Times New Roman"/>
                <w:color w:val="000000"/>
                <w:sz w:val="20"/>
                <w:szCs w:val="20"/>
              </w:rPr>
              <w:t>4</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-4</w:t>
            </w:r>
          </w:p>
        </w:tc>
        <w:tc>
          <w:tcPr>
            <w:tcW w:w="990" w:type="dxa"/>
            <w:tcBorders>
              <w:top w:val="nil"/>
              <w:left w:val="nil"/>
              <w:bottom w:val="nil"/>
              <w:right w:val="nil"/>
            </w:tcBorders>
            <w:vAlign w:val="center"/>
          </w:tcPr>
          <w:p w14:paraId="393B757A" w14:textId="3529BF6F"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0.1</w:t>
            </w:r>
            <w:r>
              <w:rPr>
                <w:rFonts w:ascii="Times New Roman" w:hAnsi="Times New Roman" w:cs="Times New Roman"/>
                <w:color w:val="000000"/>
                <w:sz w:val="20"/>
                <w:szCs w:val="20"/>
              </w:rPr>
              <w:t>2 3</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391691C7" w14:textId="700CE5CD" w:rsidR="005A72AD" w:rsidRPr="00F04AEC" w:rsidRDefault="005A72AD" w:rsidP="005A72AD">
            <w:pPr>
              <w:jc w:val="center"/>
              <w:rPr>
                <w:rFonts w:ascii="Times New Roman" w:hAnsi="Times New Roman" w:cs="Times New Roman"/>
                <w:sz w:val="20"/>
                <w:szCs w:val="20"/>
              </w:rPr>
            </w:pPr>
            <w:r w:rsidRPr="00F04AEC">
              <w:rPr>
                <w:rFonts w:ascii="Times New Roman" w:hAnsi="Times New Roman" w:cs="Times New Roman"/>
                <w:color w:val="000000"/>
                <w:sz w:val="20"/>
                <w:szCs w:val="20"/>
              </w:rPr>
              <w:t>-0.06</w:t>
            </w:r>
            <w:r>
              <w:rPr>
                <w:rFonts w:ascii="Times New Roman" w:hAnsi="Times New Roman" w:cs="Times New Roman"/>
                <w:color w:val="000000"/>
                <w:sz w:val="20"/>
                <w:szCs w:val="20"/>
              </w:rPr>
              <w:t xml:space="preserve"> 7</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008" w:type="dxa"/>
            <w:tcBorders>
              <w:top w:val="nil"/>
              <w:left w:val="nil"/>
              <w:bottom w:val="nil"/>
              <w:right w:val="nil"/>
            </w:tcBorders>
          </w:tcPr>
          <w:p w14:paraId="31E34B92" w14:textId="3F6AEB30" w:rsidR="005A72AD" w:rsidRPr="005C0315" w:rsidRDefault="005A72AD" w:rsidP="005A72AD">
            <w:pPr>
              <w:jc w:val="center"/>
              <w:rPr>
                <w:rFonts w:ascii="Times New Roman" w:hAnsi="Times New Roman" w:cs="Times New Roman"/>
                <w:sz w:val="20"/>
                <w:szCs w:val="20"/>
              </w:rPr>
            </w:pPr>
            <w:r w:rsidRPr="00E7612E">
              <w:rPr>
                <w:rFonts w:ascii="Times New Roman" w:hAnsi="Times New Roman" w:cs="Times New Roman"/>
                <w:sz w:val="20"/>
                <w:szCs w:val="20"/>
              </w:rPr>
              <w:t>infinite</w:t>
            </w:r>
          </w:p>
        </w:tc>
        <w:tc>
          <w:tcPr>
            <w:tcW w:w="1316" w:type="dxa"/>
            <w:tcBorders>
              <w:top w:val="nil"/>
              <w:left w:val="nil"/>
              <w:bottom w:val="nil"/>
              <w:right w:val="nil"/>
            </w:tcBorders>
          </w:tcPr>
          <w:p w14:paraId="77D6F66E" w14:textId="4F491DD7"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infinite</w:t>
            </w:r>
          </w:p>
        </w:tc>
        <w:tc>
          <w:tcPr>
            <w:tcW w:w="1372" w:type="dxa"/>
            <w:tcBorders>
              <w:top w:val="nil"/>
              <w:left w:val="nil"/>
              <w:bottom w:val="nil"/>
              <w:right w:val="nil"/>
            </w:tcBorders>
          </w:tcPr>
          <w:p w14:paraId="0CB8C45D" w14:textId="51F37394"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3</w:t>
            </w:r>
          </w:p>
        </w:tc>
      </w:tr>
      <w:tr w:rsidR="006827D1" w:rsidRPr="005C0315" w14:paraId="3F231F69" w14:textId="77777777" w:rsidTr="007F0FA4">
        <w:tc>
          <w:tcPr>
            <w:tcW w:w="1750" w:type="dxa"/>
            <w:tcBorders>
              <w:top w:val="nil"/>
              <w:left w:val="nil"/>
              <w:bottom w:val="nil"/>
              <w:right w:val="nil"/>
            </w:tcBorders>
          </w:tcPr>
          <w:p w14:paraId="0E91CF72" w14:textId="38CD834B" w:rsidR="005A72AD" w:rsidRPr="000720AC" w:rsidRDefault="005A72AD" w:rsidP="005A72AD">
            <w:pPr>
              <w:jc w:val="center"/>
              <w:rPr>
                <w:rFonts w:ascii="Times New Roman" w:hAnsi="Times New Roman" w:cs="Times New Roman"/>
                <w:i/>
                <w:iCs/>
                <w:sz w:val="20"/>
                <w:szCs w:val="20"/>
              </w:rPr>
            </w:pPr>
            <w:r w:rsidRPr="000720AC">
              <w:rPr>
                <w:rFonts w:ascii="Times New Roman" w:hAnsi="Times New Roman" w:cs="Times New Roman"/>
                <w:i/>
                <w:iCs/>
                <w:sz w:val="20"/>
                <w:szCs w:val="20"/>
              </w:rPr>
              <w:t>C. estor</w:t>
            </w:r>
          </w:p>
        </w:tc>
        <w:tc>
          <w:tcPr>
            <w:tcW w:w="444" w:type="dxa"/>
            <w:tcBorders>
              <w:top w:val="nil"/>
              <w:left w:val="nil"/>
              <w:bottom w:val="nil"/>
              <w:right w:val="nil"/>
            </w:tcBorders>
          </w:tcPr>
          <w:p w14:paraId="0AD0106C" w14:textId="3E454F13" w:rsidR="005A72AD" w:rsidRDefault="005A72AD" w:rsidP="005A72AD">
            <w:pPr>
              <w:jc w:val="center"/>
              <w:rPr>
                <w:rFonts w:ascii="Times New Roman" w:hAnsi="Times New Roman" w:cs="Times New Roman"/>
                <w:sz w:val="20"/>
                <w:szCs w:val="20"/>
              </w:rPr>
            </w:pPr>
            <w:r>
              <w:rPr>
                <w:rFonts w:ascii="Times New Roman" w:hAnsi="Times New Roman" w:cs="Times New Roman"/>
                <w:sz w:val="20"/>
                <w:szCs w:val="20"/>
              </w:rPr>
              <w:t>15</w:t>
            </w:r>
          </w:p>
        </w:tc>
        <w:tc>
          <w:tcPr>
            <w:tcW w:w="1226" w:type="dxa"/>
            <w:tcBorders>
              <w:top w:val="nil"/>
              <w:left w:val="nil"/>
              <w:bottom w:val="nil"/>
              <w:right w:val="nil"/>
            </w:tcBorders>
            <w:vAlign w:val="center"/>
          </w:tcPr>
          <w:p w14:paraId="6B12C810" w14:textId="52C874C8"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 xml:space="preserve">0.10 </w:t>
            </w:r>
            <w:r>
              <w:rPr>
                <w:rFonts w:ascii="Times New Roman" w:hAnsi="Times New Roman" w:cs="Times New Roman"/>
                <w:color w:val="000000"/>
                <w:sz w:val="20"/>
                <w:szCs w:val="20"/>
              </w:rPr>
              <w:t>4</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-4</w:t>
            </w:r>
          </w:p>
        </w:tc>
        <w:tc>
          <w:tcPr>
            <w:tcW w:w="990" w:type="dxa"/>
            <w:tcBorders>
              <w:top w:val="nil"/>
              <w:left w:val="nil"/>
              <w:bottom w:val="nil"/>
              <w:right w:val="nil"/>
            </w:tcBorders>
            <w:vAlign w:val="center"/>
          </w:tcPr>
          <w:p w14:paraId="4A91FCEE" w14:textId="178B3013"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0.</w:t>
            </w:r>
            <w:r>
              <w:rPr>
                <w:rFonts w:ascii="Times New Roman" w:hAnsi="Times New Roman" w:cs="Times New Roman"/>
                <w:color w:val="000000"/>
                <w:sz w:val="20"/>
                <w:szCs w:val="20"/>
              </w:rPr>
              <w:t>10 3</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5DA11EAF" w14:textId="39D8EA93" w:rsidR="005A72AD" w:rsidRPr="00F04AEC" w:rsidRDefault="005A72AD" w:rsidP="005A72AD">
            <w:pPr>
              <w:jc w:val="center"/>
              <w:rPr>
                <w:rFonts w:ascii="Times New Roman" w:hAnsi="Times New Roman" w:cs="Times New Roman"/>
                <w:sz w:val="20"/>
                <w:szCs w:val="20"/>
              </w:rPr>
            </w:pPr>
            <w:r w:rsidRPr="00F04AEC">
              <w:rPr>
                <w:rFonts w:ascii="Times New Roman" w:hAnsi="Times New Roman" w:cs="Times New Roman"/>
                <w:color w:val="000000"/>
                <w:sz w:val="20"/>
                <w:szCs w:val="20"/>
              </w:rPr>
              <w:t>-0.04</w:t>
            </w:r>
            <w:r>
              <w:rPr>
                <w:rFonts w:ascii="Times New Roman" w:hAnsi="Times New Roman" w:cs="Times New Roman"/>
                <w:color w:val="000000"/>
                <w:sz w:val="20"/>
                <w:szCs w:val="20"/>
              </w:rPr>
              <w:t xml:space="preserve"> 7</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008" w:type="dxa"/>
            <w:tcBorders>
              <w:top w:val="nil"/>
              <w:left w:val="nil"/>
              <w:bottom w:val="nil"/>
              <w:right w:val="nil"/>
            </w:tcBorders>
          </w:tcPr>
          <w:p w14:paraId="092312D1" w14:textId="03CD7166" w:rsidR="005A72AD" w:rsidRPr="005C0315" w:rsidRDefault="005A72AD" w:rsidP="005A72AD">
            <w:pPr>
              <w:jc w:val="center"/>
              <w:rPr>
                <w:rFonts w:ascii="Times New Roman" w:hAnsi="Times New Roman" w:cs="Times New Roman"/>
                <w:sz w:val="20"/>
                <w:szCs w:val="20"/>
              </w:rPr>
            </w:pPr>
            <w:r w:rsidRPr="00E7612E">
              <w:rPr>
                <w:rFonts w:ascii="Times New Roman" w:hAnsi="Times New Roman" w:cs="Times New Roman"/>
                <w:sz w:val="20"/>
                <w:szCs w:val="20"/>
              </w:rPr>
              <w:t>infinite</w:t>
            </w:r>
          </w:p>
        </w:tc>
        <w:tc>
          <w:tcPr>
            <w:tcW w:w="1316" w:type="dxa"/>
            <w:tcBorders>
              <w:top w:val="nil"/>
              <w:left w:val="nil"/>
              <w:bottom w:val="nil"/>
              <w:right w:val="nil"/>
            </w:tcBorders>
          </w:tcPr>
          <w:p w14:paraId="21959D57" w14:textId="43E56140"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244</w:t>
            </w:r>
          </w:p>
        </w:tc>
        <w:tc>
          <w:tcPr>
            <w:tcW w:w="1372" w:type="dxa"/>
            <w:tcBorders>
              <w:top w:val="nil"/>
              <w:left w:val="nil"/>
              <w:bottom w:val="nil"/>
              <w:right w:val="nil"/>
            </w:tcBorders>
          </w:tcPr>
          <w:p w14:paraId="03C1DC0A" w14:textId="7033EDB4"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3.6</w:t>
            </w:r>
          </w:p>
        </w:tc>
      </w:tr>
      <w:tr w:rsidR="006827D1" w:rsidRPr="005C0315" w14:paraId="483F618C" w14:textId="77777777" w:rsidTr="007F0FA4">
        <w:tc>
          <w:tcPr>
            <w:tcW w:w="1750" w:type="dxa"/>
            <w:tcBorders>
              <w:top w:val="nil"/>
              <w:left w:val="nil"/>
              <w:bottom w:val="nil"/>
              <w:right w:val="nil"/>
            </w:tcBorders>
          </w:tcPr>
          <w:p w14:paraId="4178C654" w14:textId="0C22463B" w:rsidR="005A72AD" w:rsidRPr="000720AC" w:rsidRDefault="005A72AD" w:rsidP="005A72AD">
            <w:pPr>
              <w:jc w:val="center"/>
              <w:rPr>
                <w:rFonts w:ascii="Times New Roman" w:hAnsi="Times New Roman" w:cs="Times New Roman"/>
                <w:i/>
                <w:iCs/>
                <w:sz w:val="20"/>
                <w:szCs w:val="20"/>
              </w:rPr>
            </w:pPr>
            <w:r w:rsidRPr="000720AC">
              <w:rPr>
                <w:rFonts w:ascii="Times New Roman" w:hAnsi="Times New Roman" w:cs="Times New Roman"/>
                <w:i/>
                <w:iCs/>
                <w:sz w:val="20"/>
                <w:szCs w:val="20"/>
              </w:rPr>
              <w:t>C. grandocule</w:t>
            </w:r>
          </w:p>
        </w:tc>
        <w:tc>
          <w:tcPr>
            <w:tcW w:w="444" w:type="dxa"/>
            <w:tcBorders>
              <w:top w:val="nil"/>
              <w:left w:val="nil"/>
              <w:bottom w:val="nil"/>
              <w:right w:val="nil"/>
            </w:tcBorders>
          </w:tcPr>
          <w:p w14:paraId="515D4D6C" w14:textId="03F74EE4" w:rsidR="005A72AD" w:rsidRDefault="005A72AD" w:rsidP="005A72AD">
            <w:pPr>
              <w:jc w:val="center"/>
              <w:rPr>
                <w:rFonts w:ascii="Times New Roman" w:hAnsi="Times New Roman" w:cs="Times New Roman"/>
                <w:sz w:val="20"/>
                <w:szCs w:val="20"/>
              </w:rPr>
            </w:pPr>
            <w:r>
              <w:rPr>
                <w:rFonts w:ascii="Times New Roman" w:hAnsi="Times New Roman" w:cs="Times New Roman"/>
                <w:sz w:val="20"/>
                <w:szCs w:val="20"/>
              </w:rPr>
              <w:t>6</w:t>
            </w:r>
          </w:p>
        </w:tc>
        <w:tc>
          <w:tcPr>
            <w:tcW w:w="1226" w:type="dxa"/>
            <w:tcBorders>
              <w:top w:val="nil"/>
              <w:left w:val="nil"/>
              <w:bottom w:val="nil"/>
              <w:right w:val="nil"/>
            </w:tcBorders>
            <w:vAlign w:val="center"/>
          </w:tcPr>
          <w:p w14:paraId="036FF7F6" w14:textId="33CFB7D4"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 xml:space="preserve">0.10 </w:t>
            </w:r>
            <w:r>
              <w:rPr>
                <w:rFonts w:ascii="Times New Roman" w:hAnsi="Times New Roman" w:cs="Times New Roman"/>
                <w:color w:val="000000"/>
                <w:sz w:val="20"/>
                <w:szCs w:val="20"/>
              </w:rPr>
              <w:t>4</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-4</w:t>
            </w:r>
          </w:p>
        </w:tc>
        <w:tc>
          <w:tcPr>
            <w:tcW w:w="990" w:type="dxa"/>
            <w:tcBorders>
              <w:top w:val="nil"/>
              <w:left w:val="nil"/>
              <w:bottom w:val="nil"/>
              <w:right w:val="nil"/>
            </w:tcBorders>
            <w:vAlign w:val="center"/>
          </w:tcPr>
          <w:p w14:paraId="79885608" w14:textId="59F642D0"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 xml:space="preserve">0.08 </w:t>
            </w:r>
            <w:r>
              <w:rPr>
                <w:rFonts w:ascii="Times New Roman" w:hAnsi="Times New Roman" w:cs="Times New Roman"/>
                <w:color w:val="000000"/>
                <w:sz w:val="20"/>
                <w:szCs w:val="20"/>
              </w:rPr>
              <w:t>3</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7E595D8C" w14:textId="51ABE20B" w:rsidR="005A72AD" w:rsidRPr="00F04AEC" w:rsidRDefault="005A72AD" w:rsidP="005A72AD">
            <w:pPr>
              <w:jc w:val="center"/>
              <w:rPr>
                <w:rFonts w:ascii="Times New Roman" w:hAnsi="Times New Roman" w:cs="Times New Roman"/>
                <w:sz w:val="20"/>
                <w:szCs w:val="20"/>
              </w:rPr>
            </w:pPr>
            <w:r w:rsidRPr="00F04AEC">
              <w:rPr>
                <w:rFonts w:ascii="Times New Roman" w:hAnsi="Times New Roman" w:cs="Times New Roman"/>
                <w:color w:val="000000"/>
                <w:sz w:val="20"/>
                <w:szCs w:val="20"/>
              </w:rPr>
              <w:t xml:space="preserve">-0.17 </w:t>
            </w:r>
            <w:r>
              <w:rPr>
                <w:rFonts w:ascii="Times New Roman" w:hAnsi="Times New Roman" w:cs="Times New Roman"/>
                <w:color w:val="000000"/>
                <w:sz w:val="20"/>
                <w:szCs w:val="20"/>
              </w:rPr>
              <w:t>8</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008" w:type="dxa"/>
            <w:tcBorders>
              <w:top w:val="nil"/>
              <w:left w:val="nil"/>
              <w:bottom w:val="nil"/>
              <w:right w:val="nil"/>
            </w:tcBorders>
          </w:tcPr>
          <w:p w14:paraId="4566D2BF" w14:textId="7B840B2D" w:rsidR="005A72AD" w:rsidRPr="005C0315" w:rsidRDefault="005A72AD" w:rsidP="005A72AD">
            <w:pPr>
              <w:jc w:val="center"/>
              <w:rPr>
                <w:rFonts w:ascii="Times New Roman" w:hAnsi="Times New Roman" w:cs="Times New Roman"/>
                <w:sz w:val="20"/>
                <w:szCs w:val="20"/>
              </w:rPr>
            </w:pPr>
            <w:r w:rsidRPr="00E7612E">
              <w:rPr>
                <w:rFonts w:ascii="Times New Roman" w:hAnsi="Times New Roman" w:cs="Times New Roman"/>
                <w:sz w:val="20"/>
                <w:szCs w:val="20"/>
              </w:rPr>
              <w:t>infinite</w:t>
            </w:r>
          </w:p>
        </w:tc>
        <w:tc>
          <w:tcPr>
            <w:tcW w:w="1316" w:type="dxa"/>
            <w:tcBorders>
              <w:top w:val="nil"/>
              <w:left w:val="nil"/>
              <w:bottom w:val="nil"/>
              <w:right w:val="nil"/>
            </w:tcBorders>
          </w:tcPr>
          <w:p w14:paraId="14AFD237" w14:textId="67DCAFED"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10.6</w:t>
            </w:r>
          </w:p>
        </w:tc>
        <w:tc>
          <w:tcPr>
            <w:tcW w:w="1372" w:type="dxa"/>
            <w:tcBorders>
              <w:top w:val="nil"/>
              <w:left w:val="nil"/>
              <w:bottom w:val="nil"/>
              <w:right w:val="nil"/>
            </w:tcBorders>
          </w:tcPr>
          <w:p w14:paraId="38203FE1" w14:textId="59D453CA"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7.2</w:t>
            </w:r>
          </w:p>
        </w:tc>
      </w:tr>
      <w:tr w:rsidR="006827D1" w:rsidRPr="005C0315" w14:paraId="7399402F" w14:textId="77777777" w:rsidTr="007F0FA4">
        <w:tc>
          <w:tcPr>
            <w:tcW w:w="1750" w:type="dxa"/>
            <w:tcBorders>
              <w:top w:val="nil"/>
              <w:left w:val="nil"/>
              <w:bottom w:val="single" w:sz="18" w:space="0" w:color="auto"/>
              <w:right w:val="nil"/>
            </w:tcBorders>
          </w:tcPr>
          <w:p w14:paraId="428E0449" w14:textId="238B4359" w:rsidR="005A72AD" w:rsidRPr="000720AC" w:rsidRDefault="005A72AD" w:rsidP="005A72AD">
            <w:pPr>
              <w:jc w:val="center"/>
              <w:rPr>
                <w:rFonts w:ascii="Times New Roman" w:hAnsi="Times New Roman" w:cs="Times New Roman"/>
                <w:i/>
                <w:iCs/>
                <w:sz w:val="20"/>
                <w:szCs w:val="20"/>
              </w:rPr>
            </w:pPr>
            <w:r w:rsidRPr="000720AC">
              <w:rPr>
                <w:rFonts w:ascii="Times New Roman" w:hAnsi="Times New Roman" w:cs="Times New Roman"/>
                <w:i/>
                <w:iCs/>
                <w:sz w:val="20"/>
                <w:szCs w:val="20"/>
              </w:rPr>
              <w:t>C. patzcuaro</w:t>
            </w:r>
          </w:p>
        </w:tc>
        <w:tc>
          <w:tcPr>
            <w:tcW w:w="444" w:type="dxa"/>
            <w:tcBorders>
              <w:top w:val="nil"/>
              <w:left w:val="nil"/>
              <w:bottom w:val="single" w:sz="18" w:space="0" w:color="auto"/>
              <w:right w:val="nil"/>
            </w:tcBorders>
          </w:tcPr>
          <w:p w14:paraId="5D4748D9" w14:textId="419A4324" w:rsidR="005A72AD" w:rsidRDefault="005A72AD" w:rsidP="005A72AD">
            <w:pPr>
              <w:jc w:val="center"/>
              <w:rPr>
                <w:rFonts w:ascii="Times New Roman" w:hAnsi="Times New Roman" w:cs="Times New Roman"/>
                <w:sz w:val="20"/>
                <w:szCs w:val="20"/>
              </w:rPr>
            </w:pPr>
            <w:r>
              <w:rPr>
                <w:rFonts w:ascii="Times New Roman" w:hAnsi="Times New Roman" w:cs="Times New Roman"/>
                <w:sz w:val="20"/>
                <w:szCs w:val="20"/>
              </w:rPr>
              <w:t>3</w:t>
            </w:r>
          </w:p>
        </w:tc>
        <w:tc>
          <w:tcPr>
            <w:tcW w:w="1226" w:type="dxa"/>
            <w:tcBorders>
              <w:top w:val="nil"/>
              <w:left w:val="nil"/>
              <w:bottom w:val="single" w:sz="18" w:space="0" w:color="auto"/>
              <w:right w:val="nil"/>
            </w:tcBorders>
            <w:vAlign w:val="center"/>
          </w:tcPr>
          <w:p w14:paraId="12C28EFE" w14:textId="1FED03E2"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0.1</w:t>
            </w:r>
            <w:r>
              <w:rPr>
                <w:rFonts w:ascii="Times New Roman" w:hAnsi="Times New Roman" w:cs="Times New Roman"/>
                <w:color w:val="000000"/>
                <w:sz w:val="20"/>
                <w:szCs w:val="20"/>
              </w:rPr>
              <w:t>1</w:t>
            </w:r>
            <w:r w:rsidRPr="001979F8">
              <w:rPr>
                <w:rFonts w:ascii="Times New Roman" w:hAnsi="Times New Roman" w:cs="Times New Roman"/>
                <w:color w:val="000000"/>
                <w:sz w:val="20"/>
                <w:szCs w:val="20"/>
              </w:rPr>
              <w:t xml:space="preserve"> </w:t>
            </w:r>
            <w:r>
              <w:rPr>
                <w:rFonts w:ascii="Times New Roman" w:hAnsi="Times New Roman" w:cs="Times New Roman"/>
                <w:color w:val="000000"/>
                <w:sz w:val="20"/>
                <w:szCs w:val="20"/>
              </w:rPr>
              <w:t>4</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-4</w:t>
            </w:r>
          </w:p>
        </w:tc>
        <w:tc>
          <w:tcPr>
            <w:tcW w:w="990" w:type="dxa"/>
            <w:tcBorders>
              <w:top w:val="nil"/>
              <w:left w:val="nil"/>
              <w:bottom w:val="single" w:sz="18" w:space="0" w:color="auto"/>
              <w:right w:val="nil"/>
            </w:tcBorders>
            <w:vAlign w:val="center"/>
          </w:tcPr>
          <w:p w14:paraId="4CF457CD" w14:textId="3D6D6CE3" w:rsidR="005A72AD" w:rsidRPr="001979F8" w:rsidRDefault="005A72AD" w:rsidP="005A72AD">
            <w:pPr>
              <w:jc w:val="center"/>
              <w:rPr>
                <w:rFonts w:ascii="Times New Roman" w:hAnsi="Times New Roman" w:cs="Times New Roman"/>
                <w:sz w:val="20"/>
                <w:szCs w:val="20"/>
              </w:rPr>
            </w:pPr>
            <w:r w:rsidRPr="001979F8">
              <w:rPr>
                <w:rFonts w:ascii="Times New Roman" w:hAnsi="Times New Roman" w:cs="Times New Roman"/>
                <w:color w:val="000000"/>
                <w:sz w:val="20"/>
                <w:szCs w:val="20"/>
              </w:rPr>
              <w:t>0.0</w:t>
            </w:r>
            <w:r>
              <w:rPr>
                <w:rFonts w:ascii="Times New Roman" w:hAnsi="Times New Roman" w:cs="Times New Roman"/>
                <w:color w:val="000000"/>
                <w:sz w:val="20"/>
                <w:szCs w:val="20"/>
              </w:rPr>
              <w:t>9 3</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254" w:type="dxa"/>
            <w:tcBorders>
              <w:top w:val="nil"/>
              <w:left w:val="nil"/>
              <w:bottom w:val="single" w:sz="18" w:space="0" w:color="auto"/>
              <w:right w:val="nil"/>
            </w:tcBorders>
            <w:vAlign w:val="center"/>
          </w:tcPr>
          <w:p w14:paraId="54D92FC9" w14:textId="5074A90A" w:rsidR="005A72AD" w:rsidRPr="00F04AEC" w:rsidRDefault="005A72AD" w:rsidP="005A72AD">
            <w:pPr>
              <w:jc w:val="center"/>
              <w:rPr>
                <w:rFonts w:ascii="Times New Roman" w:hAnsi="Times New Roman" w:cs="Times New Roman"/>
                <w:sz w:val="20"/>
                <w:szCs w:val="20"/>
              </w:rPr>
            </w:pPr>
            <w:r w:rsidRPr="00F04AEC">
              <w:rPr>
                <w:rFonts w:ascii="Times New Roman" w:hAnsi="Times New Roman" w:cs="Times New Roman"/>
                <w:color w:val="000000"/>
                <w:sz w:val="20"/>
                <w:szCs w:val="20"/>
              </w:rPr>
              <w:t>-0.30</w:t>
            </w:r>
            <w:r>
              <w:rPr>
                <w:rFonts w:ascii="Times New Roman" w:hAnsi="Times New Roman" w:cs="Times New Roman"/>
                <w:color w:val="000000"/>
                <w:sz w:val="20"/>
                <w:szCs w:val="20"/>
              </w:rPr>
              <w:t xml:space="preserve"> 9</w:t>
            </w:r>
            <w:r w:rsidRPr="001979F8">
              <w:rPr>
                <w:rFonts w:ascii="Times New Roman" w:hAnsi="Times New Roman" w:cs="Times New Roman"/>
                <w:i/>
                <w:iCs/>
                <w:color w:val="000000"/>
                <w:sz w:val="20"/>
                <w:szCs w:val="20"/>
              </w:rPr>
              <w:t>e</w:t>
            </w:r>
            <w:r>
              <w:rPr>
                <w:rFonts w:ascii="Times New Roman" w:hAnsi="Times New Roman" w:cs="Times New Roman"/>
                <w:color w:val="000000"/>
                <w:sz w:val="20"/>
                <w:szCs w:val="20"/>
              </w:rPr>
              <w:t>-3</w:t>
            </w:r>
          </w:p>
        </w:tc>
        <w:tc>
          <w:tcPr>
            <w:tcW w:w="1008" w:type="dxa"/>
            <w:tcBorders>
              <w:top w:val="nil"/>
              <w:left w:val="nil"/>
              <w:bottom w:val="single" w:sz="18" w:space="0" w:color="auto"/>
              <w:right w:val="nil"/>
            </w:tcBorders>
          </w:tcPr>
          <w:p w14:paraId="2B0B0378" w14:textId="13ADB53C" w:rsidR="005A72AD" w:rsidRPr="005C0315" w:rsidRDefault="005A72AD" w:rsidP="005A72AD">
            <w:pPr>
              <w:jc w:val="center"/>
              <w:rPr>
                <w:rFonts w:ascii="Times New Roman" w:hAnsi="Times New Roman" w:cs="Times New Roman"/>
                <w:sz w:val="20"/>
                <w:szCs w:val="20"/>
              </w:rPr>
            </w:pPr>
            <w:r w:rsidRPr="00E7612E">
              <w:rPr>
                <w:rFonts w:ascii="Times New Roman" w:hAnsi="Times New Roman" w:cs="Times New Roman"/>
                <w:sz w:val="20"/>
                <w:szCs w:val="20"/>
              </w:rPr>
              <w:t>infinite</w:t>
            </w:r>
          </w:p>
        </w:tc>
        <w:tc>
          <w:tcPr>
            <w:tcW w:w="1316" w:type="dxa"/>
            <w:tcBorders>
              <w:top w:val="nil"/>
              <w:left w:val="nil"/>
              <w:bottom w:val="single" w:sz="18" w:space="0" w:color="auto"/>
              <w:right w:val="nil"/>
            </w:tcBorders>
          </w:tcPr>
          <w:p w14:paraId="6090D714" w14:textId="5C39E6DC"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7.2</w:t>
            </w:r>
          </w:p>
        </w:tc>
        <w:tc>
          <w:tcPr>
            <w:tcW w:w="1372" w:type="dxa"/>
            <w:tcBorders>
              <w:top w:val="nil"/>
              <w:left w:val="nil"/>
              <w:bottom w:val="single" w:sz="18" w:space="0" w:color="auto"/>
              <w:right w:val="nil"/>
            </w:tcBorders>
          </w:tcPr>
          <w:p w14:paraId="2F97F4DB" w14:textId="419F4446" w:rsidR="005A72AD" w:rsidRPr="005C0315" w:rsidRDefault="005A72AD" w:rsidP="005A72AD">
            <w:pPr>
              <w:jc w:val="center"/>
              <w:rPr>
                <w:rFonts w:ascii="Times New Roman" w:hAnsi="Times New Roman" w:cs="Times New Roman"/>
                <w:sz w:val="20"/>
                <w:szCs w:val="20"/>
              </w:rPr>
            </w:pPr>
            <w:r>
              <w:rPr>
                <w:rFonts w:ascii="Times New Roman" w:hAnsi="Times New Roman" w:cs="Times New Roman"/>
                <w:sz w:val="20"/>
                <w:szCs w:val="20"/>
              </w:rPr>
              <w:t>infinite</w:t>
            </w:r>
          </w:p>
        </w:tc>
      </w:tr>
      <w:tr w:rsidR="006827D1" w:rsidRPr="005C0315" w14:paraId="3568E923" w14:textId="77777777" w:rsidTr="001979F8">
        <w:tc>
          <w:tcPr>
            <w:tcW w:w="1750" w:type="dxa"/>
            <w:tcBorders>
              <w:top w:val="single" w:sz="18" w:space="0" w:color="auto"/>
              <w:left w:val="nil"/>
              <w:bottom w:val="single" w:sz="18" w:space="0" w:color="auto"/>
              <w:right w:val="nil"/>
            </w:tcBorders>
          </w:tcPr>
          <w:p w14:paraId="594047FA" w14:textId="62E8FB22" w:rsidR="001979F8" w:rsidRPr="00BF13D3" w:rsidRDefault="001979F8" w:rsidP="001979F8">
            <w:pPr>
              <w:jc w:val="center"/>
              <w:rPr>
                <w:rFonts w:ascii="Times New Roman" w:hAnsi="Times New Roman" w:cs="Times New Roman"/>
                <w:b/>
                <w:bCs/>
                <w:sz w:val="20"/>
                <w:szCs w:val="20"/>
              </w:rPr>
            </w:pPr>
            <w:r>
              <w:rPr>
                <w:rFonts w:ascii="Times New Roman" w:hAnsi="Times New Roman" w:cs="Times New Roman"/>
                <w:b/>
                <w:bCs/>
                <w:sz w:val="20"/>
                <w:szCs w:val="20"/>
              </w:rPr>
              <w:t xml:space="preserve">5 </w:t>
            </w:r>
            <w:r>
              <w:rPr>
                <w:rFonts w:ascii="Times New Roman" w:hAnsi="Times New Roman" w:cs="Times New Roman"/>
                <w:b/>
                <w:bCs/>
                <w:i/>
                <w:iCs/>
                <w:sz w:val="20"/>
                <w:szCs w:val="20"/>
              </w:rPr>
              <w:t>mt</w:t>
            </w:r>
            <w:r>
              <w:rPr>
                <w:rFonts w:ascii="Times New Roman" w:hAnsi="Times New Roman" w:cs="Times New Roman"/>
                <w:b/>
                <w:bCs/>
                <w:sz w:val="20"/>
                <w:szCs w:val="20"/>
              </w:rPr>
              <w:t>DNA haplogroups</w:t>
            </w:r>
          </w:p>
        </w:tc>
        <w:tc>
          <w:tcPr>
            <w:tcW w:w="444" w:type="dxa"/>
            <w:tcBorders>
              <w:top w:val="single" w:sz="18" w:space="0" w:color="auto"/>
              <w:left w:val="nil"/>
              <w:bottom w:val="single" w:sz="18" w:space="0" w:color="auto"/>
              <w:right w:val="nil"/>
            </w:tcBorders>
          </w:tcPr>
          <w:p w14:paraId="12163A3C" w14:textId="77777777" w:rsidR="001979F8" w:rsidRDefault="001979F8" w:rsidP="001979F8">
            <w:pPr>
              <w:jc w:val="center"/>
              <w:rPr>
                <w:rFonts w:ascii="Times New Roman" w:hAnsi="Times New Roman" w:cs="Times New Roman"/>
                <w:sz w:val="20"/>
                <w:szCs w:val="20"/>
              </w:rPr>
            </w:pPr>
          </w:p>
        </w:tc>
        <w:tc>
          <w:tcPr>
            <w:tcW w:w="1226" w:type="dxa"/>
            <w:tcBorders>
              <w:top w:val="single" w:sz="18" w:space="0" w:color="auto"/>
              <w:left w:val="nil"/>
              <w:bottom w:val="single" w:sz="18" w:space="0" w:color="auto"/>
              <w:right w:val="nil"/>
            </w:tcBorders>
          </w:tcPr>
          <w:p w14:paraId="79C4BF4C" w14:textId="77777777" w:rsidR="001979F8" w:rsidRPr="005C0315" w:rsidRDefault="001979F8" w:rsidP="001979F8">
            <w:pPr>
              <w:jc w:val="center"/>
              <w:rPr>
                <w:rFonts w:ascii="Times New Roman" w:hAnsi="Times New Roman" w:cs="Times New Roman"/>
                <w:sz w:val="20"/>
                <w:szCs w:val="20"/>
              </w:rPr>
            </w:pPr>
          </w:p>
        </w:tc>
        <w:tc>
          <w:tcPr>
            <w:tcW w:w="990" w:type="dxa"/>
            <w:tcBorders>
              <w:top w:val="single" w:sz="18" w:space="0" w:color="auto"/>
              <w:left w:val="nil"/>
              <w:bottom w:val="single" w:sz="18" w:space="0" w:color="auto"/>
              <w:right w:val="nil"/>
            </w:tcBorders>
          </w:tcPr>
          <w:p w14:paraId="0BEBCCF6" w14:textId="77777777" w:rsidR="001979F8" w:rsidRPr="005C0315" w:rsidRDefault="001979F8" w:rsidP="001979F8">
            <w:pPr>
              <w:jc w:val="center"/>
              <w:rPr>
                <w:rFonts w:ascii="Times New Roman" w:hAnsi="Times New Roman" w:cs="Times New Roman"/>
                <w:sz w:val="20"/>
                <w:szCs w:val="20"/>
              </w:rPr>
            </w:pPr>
          </w:p>
        </w:tc>
        <w:tc>
          <w:tcPr>
            <w:tcW w:w="1254" w:type="dxa"/>
            <w:tcBorders>
              <w:top w:val="single" w:sz="18" w:space="0" w:color="auto"/>
              <w:left w:val="nil"/>
              <w:bottom w:val="single" w:sz="18" w:space="0" w:color="auto"/>
              <w:right w:val="nil"/>
            </w:tcBorders>
          </w:tcPr>
          <w:p w14:paraId="7022A0B4" w14:textId="77777777" w:rsidR="001979F8" w:rsidRPr="005C0315" w:rsidRDefault="001979F8" w:rsidP="001979F8">
            <w:pPr>
              <w:jc w:val="center"/>
              <w:rPr>
                <w:rFonts w:ascii="Times New Roman" w:hAnsi="Times New Roman" w:cs="Times New Roman"/>
                <w:sz w:val="20"/>
                <w:szCs w:val="20"/>
              </w:rPr>
            </w:pPr>
          </w:p>
        </w:tc>
        <w:tc>
          <w:tcPr>
            <w:tcW w:w="1008" w:type="dxa"/>
            <w:tcBorders>
              <w:top w:val="single" w:sz="18" w:space="0" w:color="auto"/>
              <w:left w:val="nil"/>
              <w:bottom w:val="single" w:sz="18" w:space="0" w:color="auto"/>
              <w:right w:val="nil"/>
            </w:tcBorders>
          </w:tcPr>
          <w:p w14:paraId="7B7C0117" w14:textId="77777777" w:rsidR="001979F8" w:rsidRPr="005C0315" w:rsidRDefault="001979F8" w:rsidP="001979F8">
            <w:pPr>
              <w:jc w:val="center"/>
              <w:rPr>
                <w:rFonts w:ascii="Times New Roman" w:hAnsi="Times New Roman" w:cs="Times New Roman"/>
                <w:sz w:val="20"/>
                <w:szCs w:val="20"/>
              </w:rPr>
            </w:pPr>
          </w:p>
        </w:tc>
        <w:tc>
          <w:tcPr>
            <w:tcW w:w="1316" w:type="dxa"/>
            <w:tcBorders>
              <w:top w:val="single" w:sz="18" w:space="0" w:color="auto"/>
              <w:left w:val="nil"/>
              <w:bottom w:val="single" w:sz="18" w:space="0" w:color="auto"/>
              <w:right w:val="nil"/>
            </w:tcBorders>
          </w:tcPr>
          <w:p w14:paraId="5F42B82E" w14:textId="77777777" w:rsidR="001979F8" w:rsidRPr="005C0315" w:rsidRDefault="001979F8" w:rsidP="001979F8">
            <w:pPr>
              <w:jc w:val="center"/>
              <w:rPr>
                <w:rFonts w:ascii="Times New Roman" w:hAnsi="Times New Roman" w:cs="Times New Roman"/>
                <w:sz w:val="20"/>
                <w:szCs w:val="20"/>
              </w:rPr>
            </w:pPr>
          </w:p>
        </w:tc>
        <w:tc>
          <w:tcPr>
            <w:tcW w:w="1372" w:type="dxa"/>
            <w:tcBorders>
              <w:top w:val="single" w:sz="18" w:space="0" w:color="auto"/>
              <w:left w:val="nil"/>
              <w:bottom w:val="single" w:sz="18" w:space="0" w:color="auto"/>
              <w:right w:val="nil"/>
            </w:tcBorders>
          </w:tcPr>
          <w:p w14:paraId="1DA09B0C" w14:textId="77777777" w:rsidR="001979F8" w:rsidRPr="005C0315" w:rsidRDefault="001979F8" w:rsidP="001979F8">
            <w:pPr>
              <w:jc w:val="center"/>
              <w:rPr>
                <w:rFonts w:ascii="Times New Roman" w:hAnsi="Times New Roman" w:cs="Times New Roman"/>
                <w:sz w:val="20"/>
                <w:szCs w:val="20"/>
              </w:rPr>
            </w:pPr>
          </w:p>
        </w:tc>
      </w:tr>
      <w:tr w:rsidR="006827D1" w:rsidRPr="005C0315" w14:paraId="77F651D4" w14:textId="77777777" w:rsidTr="00F64802">
        <w:tc>
          <w:tcPr>
            <w:tcW w:w="1750" w:type="dxa"/>
            <w:tcBorders>
              <w:top w:val="single" w:sz="18" w:space="0" w:color="auto"/>
              <w:left w:val="nil"/>
              <w:bottom w:val="nil"/>
              <w:right w:val="nil"/>
            </w:tcBorders>
          </w:tcPr>
          <w:p w14:paraId="4503AAFF" w14:textId="7980178A" w:rsidR="00D61842" w:rsidRPr="000720AC" w:rsidRDefault="00D61842" w:rsidP="00D61842">
            <w:pPr>
              <w:jc w:val="center"/>
              <w:rPr>
                <w:rFonts w:ascii="Times New Roman" w:hAnsi="Times New Roman" w:cs="Times New Roman"/>
                <w:i/>
                <w:iCs/>
                <w:sz w:val="20"/>
                <w:szCs w:val="20"/>
              </w:rPr>
            </w:pPr>
            <w:r w:rsidRPr="00BF13D3">
              <w:rPr>
                <w:rFonts w:ascii="Times New Roman" w:hAnsi="Times New Roman" w:cs="Times New Roman"/>
                <w:i/>
                <w:iCs/>
                <w:sz w:val="20"/>
                <w:szCs w:val="20"/>
              </w:rPr>
              <w:t>C. chapalae</w:t>
            </w:r>
          </w:p>
        </w:tc>
        <w:tc>
          <w:tcPr>
            <w:tcW w:w="444" w:type="dxa"/>
            <w:tcBorders>
              <w:top w:val="single" w:sz="18" w:space="0" w:color="auto"/>
              <w:left w:val="nil"/>
              <w:bottom w:val="nil"/>
              <w:right w:val="nil"/>
            </w:tcBorders>
          </w:tcPr>
          <w:p w14:paraId="38C3C31E" w14:textId="19D8C2F3" w:rsidR="00D61842" w:rsidRDefault="00D61842" w:rsidP="00D61842">
            <w:pPr>
              <w:jc w:val="center"/>
              <w:rPr>
                <w:rFonts w:ascii="Times New Roman" w:hAnsi="Times New Roman" w:cs="Times New Roman"/>
                <w:sz w:val="20"/>
                <w:szCs w:val="20"/>
              </w:rPr>
            </w:pPr>
            <w:r>
              <w:rPr>
                <w:rFonts w:ascii="Times New Roman" w:hAnsi="Times New Roman" w:cs="Times New Roman"/>
                <w:sz w:val="20"/>
                <w:szCs w:val="20"/>
              </w:rPr>
              <w:t>17</w:t>
            </w:r>
          </w:p>
        </w:tc>
        <w:tc>
          <w:tcPr>
            <w:tcW w:w="1226" w:type="dxa"/>
            <w:tcBorders>
              <w:top w:val="single" w:sz="18" w:space="0" w:color="auto"/>
              <w:left w:val="nil"/>
              <w:bottom w:val="nil"/>
              <w:right w:val="nil"/>
            </w:tcBorders>
            <w:vAlign w:val="center"/>
          </w:tcPr>
          <w:p w14:paraId="49211E81" w14:textId="35C08925"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0.13</w:t>
            </w:r>
            <w:r w:rsidR="0057339E">
              <w:rPr>
                <w:rFonts w:ascii="Times New Roman" w:hAnsi="Times New Roman" w:cs="Times New Roman"/>
                <w:color w:val="000000"/>
                <w:sz w:val="20"/>
                <w:szCs w:val="20"/>
              </w:rPr>
              <w:t xml:space="preserve"> 3</w:t>
            </w:r>
            <w:r w:rsidR="0057339E" w:rsidRPr="001979F8">
              <w:rPr>
                <w:rFonts w:ascii="Times New Roman" w:hAnsi="Times New Roman" w:cs="Times New Roman"/>
                <w:i/>
                <w:iCs/>
                <w:color w:val="000000"/>
                <w:sz w:val="20"/>
                <w:szCs w:val="20"/>
              </w:rPr>
              <w:t>e</w:t>
            </w:r>
            <w:r w:rsidR="0057339E">
              <w:rPr>
                <w:rFonts w:ascii="Times New Roman" w:hAnsi="Times New Roman" w:cs="Times New Roman"/>
                <w:color w:val="000000"/>
                <w:sz w:val="20"/>
                <w:szCs w:val="20"/>
              </w:rPr>
              <w:t>-3</w:t>
            </w:r>
          </w:p>
        </w:tc>
        <w:tc>
          <w:tcPr>
            <w:tcW w:w="990" w:type="dxa"/>
            <w:tcBorders>
              <w:top w:val="single" w:sz="18" w:space="0" w:color="auto"/>
              <w:left w:val="nil"/>
              <w:bottom w:val="nil"/>
              <w:right w:val="nil"/>
            </w:tcBorders>
            <w:vAlign w:val="center"/>
          </w:tcPr>
          <w:p w14:paraId="169C1514" w14:textId="56A489D4"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0.1</w:t>
            </w:r>
            <w:r w:rsidR="006827D1">
              <w:rPr>
                <w:rFonts w:ascii="Times New Roman" w:hAnsi="Times New Roman" w:cs="Times New Roman"/>
                <w:color w:val="000000"/>
                <w:sz w:val="20"/>
                <w:szCs w:val="20"/>
              </w:rPr>
              <w:t>4</w:t>
            </w:r>
            <w:r w:rsidRPr="00D61842">
              <w:rPr>
                <w:rFonts w:ascii="Times New Roman" w:hAnsi="Times New Roman" w:cs="Times New Roman"/>
                <w:color w:val="000000"/>
                <w:sz w:val="20"/>
                <w:szCs w:val="20"/>
              </w:rPr>
              <w:t xml:space="preserve"> </w:t>
            </w:r>
            <w:r w:rsidR="006827D1">
              <w:rPr>
                <w:rFonts w:ascii="Times New Roman" w:hAnsi="Times New Roman" w:cs="Times New Roman"/>
                <w:color w:val="000000"/>
                <w:sz w:val="20"/>
                <w:szCs w:val="20"/>
              </w:rPr>
              <w:t>3</w:t>
            </w:r>
            <w:r w:rsidR="006827D1" w:rsidRPr="001979F8">
              <w:rPr>
                <w:rFonts w:ascii="Times New Roman" w:hAnsi="Times New Roman" w:cs="Times New Roman"/>
                <w:i/>
                <w:iCs/>
                <w:color w:val="000000"/>
                <w:sz w:val="20"/>
                <w:szCs w:val="20"/>
              </w:rPr>
              <w:t>e</w:t>
            </w:r>
            <w:r w:rsidR="006827D1">
              <w:rPr>
                <w:rFonts w:ascii="Times New Roman" w:hAnsi="Times New Roman" w:cs="Times New Roman"/>
                <w:color w:val="000000"/>
                <w:sz w:val="20"/>
                <w:szCs w:val="20"/>
              </w:rPr>
              <w:t>-3</w:t>
            </w:r>
          </w:p>
        </w:tc>
        <w:tc>
          <w:tcPr>
            <w:tcW w:w="1254" w:type="dxa"/>
            <w:tcBorders>
              <w:top w:val="single" w:sz="18" w:space="0" w:color="auto"/>
              <w:left w:val="nil"/>
              <w:bottom w:val="nil"/>
              <w:right w:val="nil"/>
            </w:tcBorders>
            <w:vAlign w:val="center"/>
          </w:tcPr>
          <w:p w14:paraId="7CE16E6A" w14:textId="5934E69A"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0.0</w:t>
            </w:r>
            <w:r w:rsidR="007343F7">
              <w:rPr>
                <w:rFonts w:ascii="Times New Roman" w:hAnsi="Times New Roman" w:cs="Times New Roman"/>
                <w:color w:val="000000"/>
                <w:sz w:val="20"/>
                <w:szCs w:val="20"/>
              </w:rPr>
              <w:t>8</w:t>
            </w:r>
            <w:r w:rsidRPr="00D61842">
              <w:rPr>
                <w:rFonts w:ascii="Times New Roman" w:hAnsi="Times New Roman" w:cs="Times New Roman"/>
                <w:color w:val="000000"/>
                <w:sz w:val="20"/>
                <w:szCs w:val="20"/>
              </w:rPr>
              <w:t xml:space="preserve"> 7</w:t>
            </w:r>
            <w:r w:rsidR="007343F7" w:rsidRPr="001979F8">
              <w:rPr>
                <w:rFonts w:ascii="Times New Roman" w:hAnsi="Times New Roman" w:cs="Times New Roman"/>
                <w:i/>
                <w:iCs/>
                <w:color w:val="000000"/>
                <w:sz w:val="20"/>
                <w:szCs w:val="20"/>
              </w:rPr>
              <w:t>e</w:t>
            </w:r>
            <w:r w:rsidR="007343F7">
              <w:rPr>
                <w:rFonts w:ascii="Times New Roman" w:hAnsi="Times New Roman" w:cs="Times New Roman"/>
                <w:color w:val="000000"/>
                <w:sz w:val="20"/>
                <w:szCs w:val="20"/>
              </w:rPr>
              <w:t>-3</w:t>
            </w:r>
          </w:p>
        </w:tc>
        <w:tc>
          <w:tcPr>
            <w:tcW w:w="1008" w:type="dxa"/>
            <w:tcBorders>
              <w:top w:val="single" w:sz="18" w:space="0" w:color="auto"/>
              <w:left w:val="nil"/>
              <w:bottom w:val="nil"/>
              <w:right w:val="nil"/>
            </w:tcBorders>
          </w:tcPr>
          <w:p w14:paraId="6F55C3A7" w14:textId="0FBBF95F"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sz w:val="20"/>
                <w:szCs w:val="20"/>
              </w:rPr>
              <w:t>infinite</w:t>
            </w:r>
          </w:p>
        </w:tc>
        <w:tc>
          <w:tcPr>
            <w:tcW w:w="1316" w:type="dxa"/>
            <w:tcBorders>
              <w:top w:val="single" w:sz="18" w:space="0" w:color="auto"/>
              <w:left w:val="nil"/>
              <w:bottom w:val="nil"/>
              <w:right w:val="nil"/>
            </w:tcBorders>
            <w:vAlign w:val="center"/>
          </w:tcPr>
          <w:p w14:paraId="483FD447" w14:textId="3086CA0F" w:rsidR="00D61842" w:rsidRPr="00D61842" w:rsidRDefault="00D61842" w:rsidP="00D61842">
            <w:pPr>
              <w:jc w:val="center"/>
              <w:rPr>
                <w:rFonts w:ascii="Times New Roman" w:hAnsi="Times New Roman" w:cs="Times New Roman"/>
                <w:color w:val="000000"/>
                <w:sz w:val="20"/>
                <w:szCs w:val="20"/>
              </w:rPr>
            </w:pPr>
            <w:r w:rsidRPr="00D61842">
              <w:rPr>
                <w:rFonts w:ascii="Times New Roman" w:hAnsi="Times New Roman" w:cs="Times New Roman"/>
                <w:color w:val="000000"/>
                <w:sz w:val="20"/>
                <w:szCs w:val="20"/>
              </w:rPr>
              <w:t>24.7</w:t>
            </w:r>
          </w:p>
        </w:tc>
        <w:tc>
          <w:tcPr>
            <w:tcW w:w="1372" w:type="dxa"/>
            <w:tcBorders>
              <w:top w:val="single" w:sz="18" w:space="0" w:color="auto"/>
              <w:left w:val="nil"/>
              <w:bottom w:val="nil"/>
              <w:right w:val="nil"/>
            </w:tcBorders>
            <w:vAlign w:val="center"/>
          </w:tcPr>
          <w:p w14:paraId="53BF9650" w14:textId="49C13AE2"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4.5</w:t>
            </w:r>
          </w:p>
        </w:tc>
      </w:tr>
      <w:tr w:rsidR="006827D1" w:rsidRPr="005C0315" w14:paraId="52D7DEE6" w14:textId="77777777" w:rsidTr="00F64802">
        <w:tc>
          <w:tcPr>
            <w:tcW w:w="1750" w:type="dxa"/>
            <w:tcBorders>
              <w:top w:val="nil"/>
              <w:left w:val="nil"/>
              <w:bottom w:val="nil"/>
              <w:right w:val="nil"/>
            </w:tcBorders>
          </w:tcPr>
          <w:p w14:paraId="3FAE18E4" w14:textId="47334147" w:rsidR="00D61842" w:rsidRPr="000720AC" w:rsidRDefault="00D61842" w:rsidP="00D61842">
            <w:pPr>
              <w:jc w:val="center"/>
              <w:rPr>
                <w:rFonts w:ascii="Times New Roman" w:hAnsi="Times New Roman" w:cs="Times New Roman"/>
                <w:i/>
                <w:iCs/>
                <w:sz w:val="20"/>
                <w:szCs w:val="20"/>
              </w:rPr>
            </w:pPr>
            <w:r w:rsidRPr="00BF13D3">
              <w:rPr>
                <w:rFonts w:ascii="Times New Roman" w:hAnsi="Times New Roman" w:cs="Times New Roman"/>
                <w:i/>
                <w:iCs/>
                <w:sz w:val="20"/>
                <w:szCs w:val="20"/>
              </w:rPr>
              <w:t>C. sphyraena</w:t>
            </w:r>
          </w:p>
        </w:tc>
        <w:tc>
          <w:tcPr>
            <w:tcW w:w="444" w:type="dxa"/>
            <w:tcBorders>
              <w:top w:val="nil"/>
              <w:left w:val="nil"/>
              <w:bottom w:val="nil"/>
              <w:right w:val="nil"/>
            </w:tcBorders>
          </w:tcPr>
          <w:p w14:paraId="14FDCBCE" w14:textId="564F3D92" w:rsidR="00D61842" w:rsidRDefault="00D61842" w:rsidP="00D61842">
            <w:pPr>
              <w:jc w:val="center"/>
              <w:rPr>
                <w:rFonts w:ascii="Times New Roman" w:hAnsi="Times New Roman" w:cs="Times New Roman"/>
                <w:sz w:val="20"/>
                <w:szCs w:val="20"/>
              </w:rPr>
            </w:pPr>
            <w:r>
              <w:rPr>
                <w:rFonts w:ascii="Times New Roman" w:hAnsi="Times New Roman" w:cs="Times New Roman"/>
                <w:sz w:val="20"/>
                <w:szCs w:val="20"/>
              </w:rPr>
              <w:t>24</w:t>
            </w:r>
          </w:p>
        </w:tc>
        <w:tc>
          <w:tcPr>
            <w:tcW w:w="1226" w:type="dxa"/>
            <w:tcBorders>
              <w:top w:val="nil"/>
              <w:left w:val="nil"/>
              <w:bottom w:val="nil"/>
              <w:right w:val="nil"/>
            </w:tcBorders>
            <w:vAlign w:val="center"/>
          </w:tcPr>
          <w:p w14:paraId="678063AB" w14:textId="7391DED6"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0.1</w:t>
            </w:r>
            <w:r w:rsidR="0057339E">
              <w:rPr>
                <w:rFonts w:ascii="Times New Roman" w:hAnsi="Times New Roman" w:cs="Times New Roman"/>
                <w:color w:val="000000"/>
                <w:sz w:val="20"/>
                <w:szCs w:val="20"/>
              </w:rPr>
              <w:t>4 4</w:t>
            </w:r>
            <w:r w:rsidR="0057339E" w:rsidRPr="001979F8">
              <w:rPr>
                <w:rFonts w:ascii="Times New Roman" w:hAnsi="Times New Roman" w:cs="Times New Roman"/>
                <w:i/>
                <w:iCs/>
                <w:color w:val="000000"/>
                <w:sz w:val="20"/>
                <w:szCs w:val="20"/>
              </w:rPr>
              <w:t>e</w:t>
            </w:r>
            <w:r w:rsidR="0057339E">
              <w:rPr>
                <w:rFonts w:ascii="Times New Roman" w:hAnsi="Times New Roman" w:cs="Times New Roman"/>
                <w:color w:val="000000"/>
                <w:sz w:val="20"/>
                <w:szCs w:val="20"/>
              </w:rPr>
              <w:t>-3</w:t>
            </w:r>
          </w:p>
        </w:tc>
        <w:tc>
          <w:tcPr>
            <w:tcW w:w="990" w:type="dxa"/>
            <w:tcBorders>
              <w:top w:val="nil"/>
              <w:left w:val="nil"/>
              <w:bottom w:val="nil"/>
              <w:right w:val="nil"/>
            </w:tcBorders>
            <w:vAlign w:val="center"/>
          </w:tcPr>
          <w:p w14:paraId="437C7C0D" w14:textId="4BAA1158"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 xml:space="preserve">0.12 </w:t>
            </w:r>
            <w:r w:rsidR="006827D1">
              <w:rPr>
                <w:rFonts w:ascii="Times New Roman" w:hAnsi="Times New Roman" w:cs="Times New Roman"/>
                <w:color w:val="000000"/>
                <w:sz w:val="20"/>
                <w:szCs w:val="20"/>
              </w:rPr>
              <w:t>3</w:t>
            </w:r>
            <w:r w:rsidR="006827D1" w:rsidRPr="001979F8">
              <w:rPr>
                <w:rFonts w:ascii="Times New Roman" w:hAnsi="Times New Roman" w:cs="Times New Roman"/>
                <w:i/>
                <w:iCs/>
                <w:color w:val="000000"/>
                <w:sz w:val="20"/>
                <w:szCs w:val="20"/>
              </w:rPr>
              <w:t>e</w:t>
            </w:r>
            <w:r w:rsidR="006827D1">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19AFCBE7" w14:textId="6BB59906"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 xml:space="preserve">-0.08 </w:t>
            </w:r>
            <w:r w:rsidR="007343F7">
              <w:rPr>
                <w:rFonts w:ascii="Times New Roman" w:hAnsi="Times New Roman" w:cs="Times New Roman"/>
                <w:color w:val="000000"/>
                <w:sz w:val="20"/>
                <w:szCs w:val="20"/>
              </w:rPr>
              <w:t>5</w:t>
            </w:r>
            <w:r w:rsidR="007343F7" w:rsidRPr="001979F8">
              <w:rPr>
                <w:rFonts w:ascii="Times New Roman" w:hAnsi="Times New Roman" w:cs="Times New Roman"/>
                <w:i/>
                <w:iCs/>
                <w:color w:val="000000"/>
                <w:sz w:val="20"/>
                <w:szCs w:val="20"/>
              </w:rPr>
              <w:t>e</w:t>
            </w:r>
            <w:r w:rsidR="007343F7">
              <w:rPr>
                <w:rFonts w:ascii="Times New Roman" w:hAnsi="Times New Roman" w:cs="Times New Roman"/>
                <w:color w:val="000000"/>
                <w:sz w:val="20"/>
                <w:szCs w:val="20"/>
              </w:rPr>
              <w:t>-3</w:t>
            </w:r>
            <w:r w:rsidR="007343F7" w:rsidRPr="00D61842">
              <w:rPr>
                <w:rFonts w:ascii="Times New Roman" w:hAnsi="Times New Roman" w:cs="Times New Roman"/>
                <w:color w:val="000000"/>
                <w:sz w:val="20"/>
                <w:szCs w:val="20"/>
              </w:rPr>
              <w:t xml:space="preserve"> </w:t>
            </w:r>
          </w:p>
        </w:tc>
        <w:tc>
          <w:tcPr>
            <w:tcW w:w="1008" w:type="dxa"/>
            <w:tcBorders>
              <w:top w:val="nil"/>
              <w:left w:val="nil"/>
              <w:bottom w:val="nil"/>
              <w:right w:val="nil"/>
            </w:tcBorders>
          </w:tcPr>
          <w:p w14:paraId="082E13D8" w14:textId="395A5F98"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sz w:val="20"/>
                <w:szCs w:val="20"/>
              </w:rPr>
              <w:t>infinite</w:t>
            </w:r>
          </w:p>
        </w:tc>
        <w:tc>
          <w:tcPr>
            <w:tcW w:w="1316" w:type="dxa"/>
            <w:tcBorders>
              <w:top w:val="nil"/>
              <w:left w:val="nil"/>
              <w:bottom w:val="nil"/>
              <w:right w:val="nil"/>
            </w:tcBorders>
            <w:vAlign w:val="center"/>
          </w:tcPr>
          <w:p w14:paraId="6ABBFE69" w14:textId="00043A46"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8.9</w:t>
            </w:r>
          </w:p>
        </w:tc>
        <w:tc>
          <w:tcPr>
            <w:tcW w:w="1372" w:type="dxa"/>
            <w:tcBorders>
              <w:top w:val="nil"/>
              <w:left w:val="nil"/>
              <w:bottom w:val="nil"/>
              <w:right w:val="nil"/>
            </w:tcBorders>
            <w:vAlign w:val="center"/>
          </w:tcPr>
          <w:p w14:paraId="491C0425" w14:textId="48C0CD2B"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2.2</w:t>
            </w:r>
          </w:p>
        </w:tc>
      </w:tr>
      <w:tr w:rsidR="006827D1" w:rsidRPr="005C0315" w14:paraId="2D914B32" w14:textId="77777777" w:rsidTr="00F64802">
        <w:tc>
          <w:tcPr>
            <w:tcW w:w="1750" w:type="dxa"/>
            <w:tcBorders>
              <w:top w:val="nil"/>
              <w:left w:val="nil"/>
              <w:bottom w:val="nil"/>
              <w:right w:val="nil"/>
            </w:tcBorders>
          </w:tcPr>
          <w:p w14:paraId="2005F470" w14:textId="2F402F54" w:rsidR="00D61842" w:rsidRPr="000720AC" w:rsidRDefault="00D61842" w:rsidP="00D61842">
            <w:pPr>
              <w:jc w:val="center"/>
              <w:rPr>
                <w:rFonts w:ascii="Times New Roman" w:hAnsi="Times New Roman" w:cs="Times New Roman"/>
                <w:i/>
                <w:iCs/>
                <w:sz w:val="20"/>
                <w:szCs w:val="20"/>
              </w:rPr>
            </w:pPr>
            <w:r w:rsidRPr="00BF13D3">
              <w:rPr>
                <w:rFonts w:ascii="Times New Roman" w:hAnsi="Times New Roman" w:cs="Times New Roman"/>
                <w:i/>
                <w:iCs/>
                <w:sz w:val="20"/>
                <w:szCs w:val="20"/>
              </w:rPr>
              <w:t>C. humboldtianum</w:t>
            </w:r>
          </w:p>
        </w:tc>
        <w:tc>
          <w:tcPr>
            <w:tcW w:w="444" w:type="dxa"/>
            <w:tcBorders>
              <w:top w:val="nil"/>
              <w:left w:val="nil"/>
              <w:bottom w:val="nil"/>
              <w:right w:val="nil"/>
            </w:tcBorders>
          </w:tcPr>
          <w:p w14:paraId="1F7F1E98" w14:textId="38F9E275" w:rsidR="00D61842" w:rsidRDefault="00D61842" w:rsidP="00D61842">
            <w:pPr>
              <w:jc w:val="center"/>
              <w:rPr>
                <w:rFonts w:ascii="Times New Roman" w:hAnsi="Times New Roman" w:cs="Times New Roman"/>
                <w:sz w:val="20"/>
                <w:szCs w:val="20"/>
              </w:rPr>
            </w:pPr>
            <w:r>
              <w:rPr>
                <w:rFonts w:ascii="Times New Roman" w:hAnsi="Times New Roman" w:cs="Times New Roman"/>
                <w:sz w:val="20"/>
                <w:szCs w:val="20"/>
              </w:rPr>
              <w:t>7</w:t>
            </w:r>
          </w:p>
        </w:tc>
        <w:tc>
          <w:tcPr>
            <w:tcW w:w="1226" w:type="dxa"/>
            <w:tcBorders>
              <w:top w:val="nil"/>
              <w:left w:val="nil"/>
              <w:bottom w:val="nil"/>
              <w:right w:val="nil"/>
            </w:tcBorders>
            <w:vAlign w:val="center"/>
          </w:tcPr>
          <w:p w14:paraId="6AC55FA5" w14:textId="6E2147E0"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0.1</w:t>
            </w:r>
            <w:r w:rsidR="0057339E">
              <w:rPr>
                <w:rFonts w:ascii="Times New Roman" w:hAnsi="Times New Roman" w:cs="Times New Roman"/>
                <w:color w:val="000000"/>
                <w:sz w:val="20"/>
                <w:szCs w:val="20"/>
              </w:rPr>
              <w:t>3</w:t>
            </w:r>
            <w:r w:rsidRPr="00D61842">
              <w:rPr>
                <w:rFonts w:ascii="Times New Roman" w:hAnsi="Times New Roman" w:cs="Times New Roman"/>
                <w:color w:val="000000"/>
                <w:sz w:val="20"/>
                <w:szCs w:val="20"/>
              </w:rPr>
              <w:t xml:space="preserve"> </w:t>
            </w:r>
            <w:r w:rsidR="0057339E">
              <w:rPr>
                <w:rFonts w:ascii="Times New Roman" w:hAnsi="Times New Roman" w:cs="Times New Roman"/>
                <w:color w:val="000000"/>
                <w:sz w:val="20"/>
                <w:szCs w:val="20"/>
              </w:rPr>
              <w:t>3</w:t>
            </w:r>
            <w:r w:rsidR="0057339E" w:rsidRPr="001979F8">
              <w:rPr>
                <w:rFonts w:ascii="Times New Roman" w:hAnsi="Times New Roman" w:cs="Times New Roman"/>
                <w:i/>
                <w:iCs/>
                <w:color w:val="000000"/>
                <w:sz w:val="20"/>
                <w:szCs w:val="20"/>
              </w:rPr>
              <w:t>e</w:t>
            </w:r>
            <w:r w:rsidR="0057339E">
              <w:rPr>
                <w:rFonts w:ascii="Times New Roman" w:hAnsi="Times New Roman" w:cs="Times New Roman"/>
                <w:color w:val="000000"/>
                <w:sz w:val="20"/>
                <w:szCs w:val="20"/>
              </w:rPr>
              <w:t>-3</w:t>
            </w:r>
          </w:p>
        </w:tc>
        <w:tc>
          <w:tcPr>
            <w:tcW w:w="990" w:type="dxa"/>
            <w:tcBorders>
              <w:top w:val="nil"/>
              <w:left w:val="nil"/>
              <w:bottom w:val="nil"/>
              <w:right w:val="nil"/>
            </w:tcBorders>
            <w:vAlign w:val="center"/>
          </w:tcPr>
          <w:p w14:paraId="30F32026" w14:textId="502D96C3"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0.1</w:t>
            </w:r>
            <w:r w:rsidR="006827D1">
              <w:rPr>
                <w:rFonts w:ascii="Times New Roman" w:hAnsi="Times New Roman" w:cs="Times New Roman"/>
                <w:color w:val="000000"/>
                <w:sz w:val="20"/>
                <w:szCs w:val="20"/>
              </w:rPr>
              <w:t>2 3</w:t>
            </w:r>
            <w:r w:rsidR="006827D1" w:rsidRPr="001979F8">
              <w:rPr>
                <w:rFonts w:ascii="Times New Roman" w:hAnsi="Times New Roman" w:cs="Times New Roman"/>
                <w:i/>
                <w:iCs/>
                <w:color w:val="000000"/>
                <w:sz w:val="20"/>
                <w:szCs w:val="20"/>
              </w:rPr>
              <w:t>e</w:t>
            </w:r>
            <w:r w:rsidR="006827D1">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7A251829" w14:textId="618E4A99"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 xml:space="preserve">-0.06 </w:t>
            </w:r>
            <w:r w:rsidR="007343F7">
              <w:rPr>
                <w:rFonts w:ascii="Times New Roman" w:hAnsi="Times New Roman" w:cs="Times New Roman"/>
                <w:color w:val="000000"/>
                <w:sz w:val="20"/>
                <w:szCs w:val="20"/>
              </w:rPr>
              <w:t>7</w:t>
            </w:r>
            <w:r w:rsidR="007343F7" w:rsidRPr="001979F8">
              <w:rPr>
                <w:rFonts w:ascii="Times New Roman" w:hAnsi="Times New Roman" w:cs="Times New Roman"/>
                <w:i/>
                <w:iCs/>
                <w:color w:val="000000"/>
                <w:sz w:val="20"/>
                <w:szCs w:val="20"/>
              </w:rPr>
              <w:t>e</w:t>
            </w:r>
            <w:r w:rsidR="007343F7">
              <w:rPr>
                <w:rFonts w:ascii="Times New Roman" w:hAnsi="Times New Roman" w:cs="Times New Roman"/>
                <w:color w:val="000000"/>
                <w:sz w:val="20"/>
                <w:szCs w:val="20"/>
              </w:rPr>
              <w:t>-3</w:t>
            </w:r>
          </w:p>
        </w:tc>
        <w:tc>
          <w:tcPr>
            <w:tcW w:w="1008" w:type="dxa"/>
            <w:tcBorders>
              <w:top w:val="nil"/>
              <w:left w:val="nil"/>
              <w:bottom w:val="nil"/>
              <w:right w:val="nil"/>
            </w:tcBorders>
          </w:tcPr>
          <w:p w14:paraId="7C1CCC3C" w14:textId="5B1218E4"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sz w:val="20"/>
                <w:szCs w:val="20"/>
              </w:rPr>
              <w:t>infinite</w:t>
            </w:r>
          </w:p>
        </w:tc>
        <w:tc>
          <w:tcPr>
            <w:tcW w:w="1316" w:type="dxa"/>
            <w:tcBorders>
              <w:top w:val="nil"/>
              <w:left w:val="nil"/>
              <w:bottom w:val="nil"/>
              <w:right w:val="nil"/>
            </w:tcBorders>
            <w:vAlign w:val="center"/>
          </w:tcPr>
          <w:p w14:paraId="77D41700" w14:textId="5BDDF500" w:rsidR="00D61842" w:rsidRPr="00D61842" w:rsidRDefault="00D61842" w:rsidP="00D61842">
            <w:pPr>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r w:rsidRPr="00D61842">
              <w:rPr>
                <w:rFonts w:ascii="Times New Roman" w:hAnsi="Times New Roman" w:cs="Times New Roman"/>
                <w:color w:val="000000"/>
                <w:sz w:val="20"/>
                <w:szCs w:val="20"/>
              </w:rPr>
              <w:t>nfinite</w:t>
            </w:r>
          </w:p>
        </w:tc>
        <w:tc>
          <w:tcPr>
            <w:tcW w:w="1372" w:type="dxa"/>
            <w:tcBorders>
              <w:top w:val="nil"/>
              <w:left w:val="nil"/>
              <w:bottom w:val="nil"/>
              <w:right w:val="nil"/>
            </w:tcBorders>
            <w:vAlign w:val="center"/>
          </w:tcPr>
          <w:p w14:paraId="1E8348EC" w14:textId="4B852767"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3</w:t>
            </w:r>
          </w:p>
        </w:tc>
      </w:tr>
      <w:tr w:rsidR="006827D1" w:rsidRPr="005C0315" w14:paraId="3081DD83" w14:textId="77777777" w:rsidTr="00F64802">
        <w:tc>
          <w:tcPr>
            <w:tcW w:w="1750" w:type="dxa"/>
            <w:tcBorders>
              <w:top w:val="nil"/>
              <w:left w:val="nil"/>
              <w:bottom w:val="nil"/>
              <w:right w:val="nil"/>
            </w:tcBorders>
          </w:tcPr>
          <w:p w14:paraId="39FE7F40" w14:textId="15E335E2" w:rsidR="00D61842" w:rsidRPr="000720AC" w:rsidRDefault="00D61842" w:rsidP="00D61842">
            <w:pPr>
              <w:jc w:val="center"/>
              <w:rPr>
                <w:rFonts w:ascii="Times New Roman" w:hAnsi="Times New Roman" w:cs="Times New Roman"/>
                <w:i/>
                <w:iCs/>
                <w:sz w:val="20"/>
                <w:szCs w:val="20"/>
              </w:rPr>
            </w:pPr>
            <w:r w:rsidRPr="00BF13D3">
              <w:rPr>
                <w:rFonts w:ascii="Times New Roman" w:hAnsi="Times New Roman" w:cs="Times New Roman"/>
                <w:i/>
                <w:iCs/>
                <w:sz w:val="20"/>
                <w:szCs w:val="20"/>
              </w:rPr>
              <w:t>C. e. estor</w:t>
            </w:r>
          </w:p>
        </w:tc>
        <w:tc>
          <w:tcPr>
            <w:tcW w:w="444" w:type="dxa"/>
            <w:tcBorders>
              <w:top w:val="nil"/>
              <w:left w:val="nil"/>
              <w:bottom w:val="nil"/>
              <w:right w:val="nil"/>
            </w:tcBorders>
          </w:tcPr>
          <w:p w14:paraId="73649C07" w14:textId="49EAB99C" w:rsidR="00D61842" w:rsidRDefault="00D61842" w:rsidP="00D61842">
            <w:pPr>
              <w:jc w:val="center"/>
              <w:rPr>
                <w:rFonts w:ascii="Times New Roman" w:hAnsi="Times New Roman" w:cs="Times New Roman"/>
                <w:sz w:val="20"/>
                <w:szCs w:val="20"/>
              </w:rPr>
            </w:pPr>
            <w:r>
              <w:rPr>
                <w:rFonts w:ascii="Times New Roman" w:hAnsi="Times New Roman" w:cs="Times New Roman"/>
                <w:sz w:val="20"/>
                <w:szCs w:val="20"/>
              </w:rPr>
              <w:t>16</w:t>
            </w:r>
          </w:p>
        </w:tc>
        <w:tc>
          <w:tcPr>
            <w:tcW w:w="1226" w:type="dxa"/>
            <w:tcBorders>
              <w:top w:val="nil"/>
              <w:left w:val="nil"/>
              <w:bottom w:val="nil"/>
              <w:right w:val="nil"/>
            </w:tcBorders>
            <w:vAlign w:val="center"/>
          </w:tcPr>
          <w:p w14:paraId="75C2BA51" w14:textId="544A54DB"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 xml:space="preserve">0.10 </w:t>
            </w:r>
            <w:r w:rsidR="0057339E">
              <w:rPr>
                <w:rFonts w:ascii="Times New Roman" w:hAnsi="Times New Roman" w:cs="Times New Roman"/>
                <w:color w:val="000000"/>
                <w:sz w:val="20"/>
                <w:szCs w:val="20"/>
              </w:rPr>
              <w:t>4</w:t>
            </w:r>
            <w:r w:rsidR="0057339E" w:rsidRPr="001979F8">
              <w:rPr>
                <w:rFonts w:ascii="Times New Roman" w:hAnsi="Times New Roman" w:cs="Times New Roman"/>
                <w:i/>
                <w:iCs/>
                <w:color w:val="000000"/>
                <w:sz w:val="20"/>
                <w:szCs w:val="20"/>
              </w:rPr>
              <w:t>e</w:t>
            </w:r>
            <w:r w:rsidR="0057339E">
              <w:rPr>
                <w:rFonts w:ascii="Times New Roman" w:hAnsi="Times New Roman" w:cs="Times New Roman"/>
                <w:color w:val="000000"/>
                <w:sz w:val="20"/>
                <w:szCs w:val="20"/>
              </w:rPr>
              <w:t>-3</w:t>
            </w:r>
          </w:p>
        </w:tc>
        <w:tc>
          <w:tcPr>
            <w:tcW w:w="990" w:type="dxa"/>
            <w:tcBorders>
              <w:top w:val="nil"/>
              <w:left w:val="nil"/>
              <w:bottom w:val="nil"/>
              <w:right w:val="nil"/>
            </w:tcBorders>
            <w:vAlign w:val="center"/>
          </w:tcPr>
          <w:p w14:paraId="4A72A658" w14:textId="2C4FBF19"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0.</w:t>
            </w:r>
            <w:r w:rsidR="006827D1">
              <w:rPr>
                <w:rFonts w:ascii="Times New Roman" w:hAnsi="Times New Roman" w:cs="Times New Roman"/>
                <w:color w:val="000000"/>
                <w:sz w:val="20"/>
                <w:szCs w:val="20"/>
              </w:rPr>
              <w:t>10</w:t>
            </w:r>
            <w:r w:rsidRPr="00D61842">
              <w:rPr>
                <w:rFonts w:ascii="Times New Roman" w:hAnsi="Times New Roman" w:cs="Times New Roman"/>
                <w:color w:val="000000"/>
                <w:sz w:val="20"/>
                <w:szCs w:val="20"/>
              </w:rPr>
              <w:t xml:space="preserve"> </w:t>
            </w:r>
            <w:r w:rsidR="006827D1">
              <w:rPr>
                <w:rFonts w:ascii="Times New Roman" w:hAnsi="Times New Roman" w:cs="Times New Roman"/>
                <w:color w:val="000000"/>
                <w:sz w:val="20"/>
                <w:szCs w:val="20"/>
              </w:rPr>
              <w:t>3</w:t>
            </w:r>
            <w:r w:rsidR="006827D1" w:rsidRPr="001979F8">
              <w:rPr>
                <w:rFonts w:ascii="Times New Roman" w:hAnsi="Times New Roman" w:cs="Times New Roman"/>
                <w:i/>
                <w:iCs/>
                <w:color w:val="000000"/>
                <w:sz w:val="20"/>
                <w:szCs w:val="20"/>
              </w:rPr>
              <w:t>e</w:t>
            </w:r>
            <w:r w:rsidR="006827D1">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2B644D9E" w14:textId="53FCB37A"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-0.0</w:t>
            </w:r>
            <w:r w:rsidR="007343F7">
              <w:rPr>
                <w:rFonts w:ascii="Times New Roman" w:hAnsi="Times New Roman" w:cs="Times New Roman"/>
                <w:color w:val="000000"/>
                <w:sz w:val="20"/>
                <w:szCs w:val="20"/>
              </w:rPr>
              <w:t>4</w:t>
            </w:r>
            <w:r w:rsidRPr="00D61842">
              <w:rPr>
                <w:rFonts w:ascii="Times New Roman" w:hAnsi="Times New Roman" w:cs="Times New Roman"/>
                <w:color w:val="000000"/>
                <w:sz w:val="20"/>
                <w:szCs w:val="20"/>
              </w:rPr>
              <w:t xml:space="preserve"> </w:t>
            </w:r>
            <w:r w:rsidR="007343F7">
              <w:rPr>
                <w:rFonts w:ascii="Times New Roman" w:hAnsi="Times New Roman" w:cs="Times New Roman"/>
                <w:color w:val="000000"/>
                <w:sz w:val="20"/>
                <w:szCs w:val="20"/>
              </w:rPr>
              <w:t>7</w:t>
            </w:r>
            <w:r w:rsidR="007343F7" w:rsidRPr="001979F8">
              <w:rPr>
                <w:rFonts w:ascii="Times New Roman" w:hAnsi="Times New Roman" w:cs="Times New Roman"/>
                <w:i/>
                <w:iCs/>
                <w:color w:val="000000"/>
                <w:sz w:val="20"/>
                <w:szCs w:val="20"/>
              </w:rPr>
              <w:t>e</w:t>
            </w:r>
            <w:r w:rsidR="007343F7">
              <w:rPr>
                <w:rFonts w:ascii="Times New Roman" w:hAnsi="Times New Roman" w:cs="Times New Roman"/>
                <w:color w:val="000000"/>
                <w:sz w:val="20"/>
                <w:szCs w:val="20"/>
              </w:rPr>
              <w:t>-3</w:t>
            </w:r>
          </w:p>
        </w:tc>
        <w:tc>
          <w:tcPr>
            <w:tcW w:w="1008" w:type="dxa"/>
            <w:tcBorders>
              <w:top w:val="nil"/>
              <w:left w:val="nil"/>
              <w:bottom w:val="nil"/>
              <w:right w:val="nil"/>
            </w:tcBorders>
          </w:tcPr>
          <w:p w14:paraId="42028376" w14:textId="6051D864"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sz w:val="20"/>
                <w:szCs w:val="20"/>
              </w:rPr>
              <w:t>infinite</w:t>
            </w:r>
          </w:p>
        </w:tc>
        <w:tc>
          <w:tcPr>
            <w:tcW w:w="1316" w:type="dxa"/>
            <w:tcBorders>
              <w:top w:val="nil"/>
              <w:left w:val="nil"/>
              <w:bottom w:val="nil"/>
              <w:right w:val="nil"/>
            </w:tcBorders>
            <w:vAlign w:val="center"/>
          </w:tcPr>
          <w:p w14:paraId="757A1045" w14:textId="22F7877A"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10.8</w:t>
            </w:r>
          </w:p>
        </w:tc>
        <w:tc>
          <w:tcPr>
            <w:tcW w:w="1372" w:type="dxa"/>
            <w:tcBorders>
              <w:top w:val="nil"/>
              <w:left w:val="nil"/>
              <w:bottom w:val="nil"/>
              <w:right w:val="nil"/>
            </w:tcBorders>
            <w:vAlign w:val="center"/>
          </w:tcPr>
          <w:p w14:paraId="66CF0F11" w14:textId="33D1A502"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4.4</w:t>
            </w:r>
          </w:p>
        </w:tc>
      </w:tr>
      <w:tr w:rsidR="006827D1" w:rsidRPr="005C0315" w14:paraId="415F465B" w14:textId="77777777" w:rsidTr="00F64802">
        <w:tc>
          <w:tcPr>
            <w:tcW w:w="1750" w:type="dxa"/>
            <w:tcBorders>
              <w:top w:val="nil"/>
              <w:left w:val="nil"/>
              <w:bottom w:val="single" w:sz="18" w:space="0" w:color="auto"/>
              <w:right w:val="nil"/>
            </w:tcBorders>
          </w:tcPr>
          <w:p w14:paraId="011BB85F" w14:textId="0509CF8E" w:rsidR="00D61842" w:rsidRPr="000720AC" w:rsidRDefault="00D61842" w:rsidP="00D61842">
            <w:pPr>
              <w:jc w:val="center"/>
              <w:rPr>
                <w:rFonts w:ascii="Times New Roman" w:hAnsi="Times New Roman" w:cs="Times New Roman"/>
                <w:i/>
                <w:iCs/>
                <w:sz w:val="20"/>
                <w:szCs w:val="20"/>
              </w:rPr>
            </w:pPr>
            <w:r w:rsidRPr="00BF13D3">
              <w:rPr>
                <w:rFonts w:ascii="Times New Roman" w:hAnsi="Times New Roman" w:cs="Times New Roman"/>
                <w:i/>
                <w:iCs/>
                <w:sz w:val="20"/>
                <w:szCs w:val="20"/>
              </w:rPr>
              <w:t>C. e. copandaro</w:t>
            </w:r>
          </w:p>
        </w:tc>
        <w:tc>
          <w:tcPr>
            <w:tcW w:w="444" w:type="dxa"/>
            <w:tcBorders>
              <w:top w:val="nil"/>
              <w:left w:val="nil"/>
              <w:bottom w:val="single" w:sz="18" w:space="0" w:color="auto"/>
              <w:right w:val="nil"/>
            </w:tcBorders>
          </w:tcPr>
          <w:p w14:paraId="1F7CB675" w14:textId="4CDF8324" w:rsidR="00D61842" w:rsidRDefault="00D61842" w:rsidP="00D61842">
            <w:pPr>
              <w:jc w:val="center"/>
              <w:rPr>
                <w:rFonts w:ascii="Times New Roman" w:hAnsi="Times New Roman" w:cs="Times New Roman"/>
                <w:sz w:val="20"/>
                <w:szCs w:val="20"/>
              </w:rPr>
            </w:pPr>
            <w:r>
              <w:rPr>
                <w:rFonts w:ascii="Times New Roman" w:hAnsi="Times New Roman" w:cs="Times New Roman"/>
                <w:sz w:val="20"/>
                <w:szCs w:val="20"/>
              </w:rPr>
              <w:t>8</w:t>
            </w:r>
          </w:p>
        </w:tc>
        <w:tc>
          <w:tcPr>
            <w:tcW w:w="1226" w:type="dxa"/>
            <w:tcBorders>
              <w:top w:val="nil"/>
              <w:left w:val="nil"/>
              <w:bottom w:val="single" w:sz="18" w:space="0" w:color="auto"/>
              <w:right w:val="nil"/>
            </w:tcBorders>
            <w:vAlign w:val="center"/>
          </w:tcPr>
          <w:p w14:paraId="0E7064D9" w14:textId="426D5212"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0.</w:t>
            </w:r>
            <w:r w:rsidR="0057339E">
              <w:rPr>
                <w:rFonts w:ascii="Times New Roman" w:hAnsi="Times New Roman" w:cs="Times New Roman"/>
                <w:color w:val="000000"/>
                <w:sz w:val="20"/>
                <w:szCs w:val="20"/>
              </w:rPr>
              <w:t>10</w:t>
            </w:r>
            <w:r w:rsidRPr="00D61842">
              <w:rPr>
                <w:rFonts w:ascii="Times New Roman" w:hAnsi="Times New Roman" w:cs="Times New Roman"/>
                <w:color w:val="000000"/>
                <w:sz w:val="20"/>
                <w:szCs w:val="20"/>
              </w:rPr>
              <w:t xml:space="preserve"> </w:t>
            </w:r>
            <w:r w:rsidR="0057339E">
              <w:rPr>
                <w:rFonts w:ascii="Times New Roman" w:hAnsi="Times New Roman" w:cs="Times New Roman"/>
                <w:color w:val="000000"/>
                <w:sz w:val="20"/>
                <w:szCs w:val="20"/>
              </w:rPr>
              <w:t>4</w:t>
            </w:r>
            <w:r w:rsidR="0057339E" w:rsidRPr="001979F8">
              <w:rPr>
                <w:rFonts w:ascii="Times New Roman" w:hAnsi="Times New Roman" w:cs="Times New Roman"/>
                <w:i/>
                <w:iCs/>
                <w:color w:val="000000"/>
                <w:sz w:val="20"/>
                <w:szCs w:val="20"/>
              </w:rPr>
              <w:t>e</w:t>
            </w:r>
            <w:r w:rsidR="0057339E">
              <w:rPr>
                <w:rFonts w:ascii="Times New Roman" w:hAnsi="Times New Roman" w:cs="Times New Roman"/>
                <w:color w:val="000000"/>
                <w:sz w:val="20"/>
                <w:szCs w:val="20"/>
              </w:rPr>
              <w:t>-3</w:t>
            </w:r>
          </w:p>
        </w:tc>
        <w:tc>
          <w:tcPr>
            <w:tcW w:w="990" w:type="dxa"/>
            <w:tcBorders>
              <w:top w:val="nil"/>
              <w:left w:val="nil"/>
              <w:bottom w:val="single" w:sz="18" w:space="0" w:color="auto"/>
              <w:right w:val="nil"/>
            </w:tcBorders>
            <w:vAlign w:val="center"/>
          </w:tcPr>
          <w:p w14:paraId="08D99C9C" w14:textId="3F4C6B9C"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0.1</w:t>
            </w:r>
            <w:r w:rsidR="006827D1">
              <w:rPr>
                <w:rFonts w:ascii="Times New Roman" w:hAnsi="Times New Roman" w:cs="Times New Roman"/>
                <w:color w:val="000000"/>
                <w:sz w:val="20"/>
                <w:szCs w:val="20"/>
              </w:rPr>
              <w:t>1 3</w:t>
            </w:r>
            <w:r w:rsidR="006827D1" w:rsidRPr="001979F8">
              <w:rPr>
                <w:rFonts w:ascii="Times New Roman" w:hAnsi="Times New Roman" w:cs="Times New Roman"/>
                <w:i/>
                <w:iCs/>
                <w:color w:val="000000"/>
                <w:sz w:val="20"/>
                <w:szCs w:val="20"/>
              </w:rPr>
              <w:t>e</w:t>
            </w:r>
            <w:r w:rsidR="006827D1">
              <w:rPr>
                <w:rFonts w:ascii="Times New Roman" w:hAnsi="Times New Roman" w:cs="Times New Roman"/>
                <w:color w:val="000000"/>
                <w:sz w:val="20"/>
                <w:szCs w:val="20"/>
              </w:rPr>
              <w:t>-3</w:t>
            </w:r>
          </w:p>
        </w:tc>
        <w:tc>
          <w:tcPr>
            <w:tcW w:w="1254" w:type="dxa"/>
            <w:tcBorders>
              <w:top w:val="nil"/>
              <w:left w:val="nil"/>
              <w:bottom w:val="single" w:sz="18" w:space="0" w:color="auto"/>
              <w:right w:val="nil"/>
            </w:tcBorders>
            <w:vAlign w:val="center"/>
          </w:tcPr>
          <w:p w14:paraId="1F59B83F" w14:textId="651D7BDB"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 xml:space="preserve">0.08 </w:t>
            </w:r>
            <w:r w:rsidR="007343F7">
              <w:rPr>
                <w:rFonts w:ascii="Times New Roman" w:hAnsi="Times New Roman" w:cs="Times New Roman"/>
                <w:color w:val="000000"/>
                <w:sz w:val="20"/>
                <w:szCs w:val="20"/>
              </w:rPr>
              <w:t>1</w:t>
            </w:r>
            <w:r w:rsidR="007343F7" w:rsidRPr="001979F8">
              <w:rPr>
                <w:rFonts w:ascii="Times New Roman" w:hAnsi="Times New Roman" w:cs="Times New Roman"/>
                <w:i/>
                <w:iCs/>
                <w:color w:val="000000"/>
                <w:sz w:val="20"/>
                <w:szCs w:val="20"/>
              </w:rPr>
              <w:t>e</w:t>
            </w:r>
            <w:r w:rsidR="007343F7">
              <w:rPr>
                <w:rFonts w:ascii="Times New Roman" w:hAnsi="Times New Roman" w:cs="Times New Roman"/>
                <w:color w:val="000000"/>
                <w:sz w:val="20"/>
                <w:szCs w:val="20"/>
              </w:rPr>
              <w:t>-2</w:t>
            </w:r>
          </w:p>
        </w:tc>
        <w:tc>
          <w:tcPr>
            <w:tcW w:w="1008" w:type="dxa"/>
            <w:tcBorders>
              <w:top w:val="nil"/>
              <w:left w:val="nil"/>
              <w:bottom w:val="single" w:sz="18" w:space="0" w:color="auto"/>
              <w:right w:val="nil"/>
            </w:tcBorders>
          </w:tcPr>
          <w:p w14:paraId="4FFE011F" w14:textId="3EE74DF1"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sz w:val="20"/>
                <w:szCs w:val="20"/>
              </w:rPr>
              <w:t>infinite</w:t>
            </w:r>
          </w:p>
        </w:tc>
        <w:tc>
          <w:tcPr>
            <w:tcW w:w="1316" w:type="dxa"/>
            <w:tcBorders>
              <w:top w:val="nil"/>
              <w:left w:val="nil"/>
              <w:bottom w:val="single" w:sz="18" w:space="0" w:color="auto"/>
              <w:right w:val="nil"/>
            </w:tcBorders>
            <w:vAlign w:val="center"/>
          </w:tcPr>
          <w:p w14:paraId="5E7DD53E" w14:textId="7B6A8980" w:rsidR="00D61842" w:rsidRPr="00D61842" w:rsidRDefault="00D61842" w:rsidP="00D61842">
            <w:pPr>
              <w:jc w:val="center"/>
              <w:rPr>
                <w:rFonts w:ascii="Times New Roman" w:hAnsi="Times New Roman" w:cs="Times New Roman"/>
                <w:color w:val="000000"/>
                <w:sz w:val="20"/>
                <w:szCs w:val="20"/>
              </w:rPr>
            </w:pPr>
            <w:r w:rsidRPr="00D61842">
              <w:rPr>
                <w:rFonts w:ascii="Times New Roman" w:hAnsi="Times New Roman" w:cs="Times New Roman"/>
                <w:color w:val="000000"/>
                <w:sz w:val="20"/>
                <w:szCs w:val="20"/>
              </w:rPr>
              <w:t>8.9</w:t>
            </w:r>
          </w:p>
        </w:tc>
        <w:tc>
          <w:tcPr>
            <w:tcW w:w="1372" w:type="dxa"/>
            <w:tcBorders>
              <w:top w:val="nil"/>
              <w:left w:val="nil"/>
              <w:bottom w:val="single" w:sz="18" w:space="0" w:color="auto"/>
              <w:right w:val="nil"/>
            </w:tcBorders>
            <w:vAlign w:val="center"/>
          </w:tcPr>
          <w:p w14:paraId="1C6A9EEA" w14:textId="0A03CF04" w:rsidR="00D61842" w:rsidRPr="00D61842" w:rsidRDefault="00D61842" w:rsidP="00D61842">
            <w:pPr>
              <w:jc w:val="center"/>
              <w:rPr>
                <w:rFonts w:ascii="Times New Roman" w:hAnsi="Times New Roman" w:cs="Times New Roman"/>
                <w:sz w:val="20"/>
                <w:szCs w:val="20"/>
              </w:rPr>
            </w:pPr>
            <w:r w:rsidRPr="00D61842">
              <w:rPr>
                <w:rFonts w:ascii="Times New Roman" w:hAnsi="Times New Roman" w:cs="Times New Roman"/>
                <w:color w:val="000000"/>
                <w:sz w:val="20"/>
                <w:szCs w:val="20"/>
              </w:rPr>
              <w:t>5.4</w:t>
            </w:r>
          </w:p>
        </w:tc>
      </w:tr>
      <w:tr w:rsidR="006827D1" w:rsidRPr="005C0315" w14:paraId="7D9D943A" w14:textId="77777777" w:rsidTr="001979F8">
        <w:tc>
          <w:tcPr>
            <w:tcW w:w="1750" w:type="dxa"/>
            <w:tcBorders>
              <w:top w:val="single" w:sz="18" w:space="0" w:color="auto"/>
              <w:left w:val="nil"/>
              <w:bottom w:val="single" w:sz="18" w:space="0" w:color="auto"/>
              <w:right w:val="nil"/>
            </w:tcBorders>
          </w:tcPr>
          <w:p w14:paraId="7F1AF89B" w14:textId="608F1EF2" w:rsidR="00D61842" w:rsidRPr="00BF13D3" w:rsidRDefault="00D61842" w:rsidP="00D61842">
            <w:pPr>
              <w:jc w:val="center"/>
              <w:rPr>
                <w:rFonts w:ascii="Times New Roman" w:hAnsi="Times New Roman" w:cs="Times New Roman"/>
                <w:b/>
                <w:bCs/>
                <w:sz w:val="20"/>
                <w:szCs w:val="20"/>
              </w:rPr>
            </w:pPr>
            <w:r w:rsidRPr="00BF13D3">
              <w:rPr>
                <w:rFonts w:ascii="Times New Roman" w:hAnsi="Times New Roman" w:cs="Times New Roman"/>
                <w:b/>
                <w:bCs/>
                <w:sz w:val="20"/>
                <w:szCs w:val="20"/>
              </w:rPr>
              <w:t>4 multivariate DAPC clusters</w:t>
            </w:r>
          </w:p>
        </w:tc>
        <w:tc>
          <w:tcPr>
            <w:tcW w:w="444" w:type="dxa"/>
            <w:tcBorders>
              <w:top w:val="single" w:sz="18" w:space="0" w:color="auto"/>
              <w:left w:val="nil"/>
              <w:bottom w:val="single" w:sz="18" w:space="0" w:color="auto"/>
              <w:right w:val="nil"/>
            </w:tcBorders>
          </w:tcPr>
          <w:p w14:paraId="48C0538F" w14:textId="77777777" w:rsidR="00D61842" w:rsidRDefault="00D61842" w:rsidP="00D61842">
            <w:pPr>
              <w:jc w:val="center"/>
              <w:rPr>
                <w:rFonts w:ascii="Times New Roman" w:hAnsi="Times New Roman" w:cs="Times New Roman"/>
                <w:sz w:val="20"/>
                <w:szCs w:val="20"/>
              </w:rPr>
            </w:pPr>
          </w:p>
        </w:tc>
        <w:tc>
          <w:tcPr>
            <w:tcW w:w="1226" w:type="dxa"/>
            <w:tcBorders>
              <w:top w:val="single" w:sz="18" w:space="0" w:color="auto"/>
              <w:left w:val="nil"/>
              <w:bottom w:val="single" w:sz="18" w:space="0" w:color="auto"/>
              <w:right w:val="nil"/>
            </w:tcBorders>
          </w:tcPr>
          <w:p w14:paraId="15527B87" w14:textId="77777777" w:rsidR="00D61842" w:rsidRPr="005C0315" w:rsidRDefault="00D61842" w:rsidP="00D61842">
            <w:pPr>
              <w:jc w:val="center"/>
              <w:rPr>
                <w:rFonts w:ascii="Times New Roman" w:hAnsi="Times New Roman" w:cs="Times New Roman"/>
                <w:sz w:val="20"/>
                <w:szCs w:val="20"/>
              </w:rPr>
            </w:pPr>
          </w:p>
        </w:tc>
        <w:tc>
          <w:tcPr>
            <w:tcW w:w="990" w:type="dxa"/>
            <w:tcBorders>
              <w:top w:val="single" w:sz="18" w:space="0" w:color="auto"/>
              <w:left w:val="nil"/>
              <w:bottom w:val="single" w:sz="18" w:space="0" w:color="auto"/>
              <w:right w:val="nil"/>
            </w:tcBorders>
          </w:tcPr>
          <w:p w14:paraId="1859B712" w14:textId="77777777" w:rsidR="00D61842" w:rsidRPr="005C0315" w:rsidRDefault="00D61842" w:rsidP="00D61842">
            <w:pPr>
              <w:jc w:val="center"/>
              <w:rPr>
                <w:rFonts w:ascii="Times New Roman" w:hAnsi="Times New Roman" w:cs="Times New Roman"/>
                <w:sz w:val="20"/>
                <w:szCs w:val="20"/>
              </w:rPr>
            </w:pPr>
          </w:p>
        </w:tc>
        <w:tc>
          <w:tcPr>
            <w:tcW w:w="1254" w:type="dxa"/>
            <w:tcBorders>
              <w:top w:val="single" w:sz="18" w:space="0" w:color="auto"/>
              <w:left w:val="nil"/>
              <w:bottom w:val="single" w:sz="18" w:space="0" w:color="auto"/>
              <w:right w:val="nil"/>
            </w:tcBorders>
          </w:tcPr>
          <w:p w14:paraId="44D0FCE3" w14:textId="77777777" w:rsidR="00D61842" w:rsidRPr="005C0315" w:rsidRDefault="00D61842" w:rsidP="00D61842">
            <w:pPr>
              <w:jc w:val="center"/>
              <w:rPr>
                <w:rFonts w:ascii="Times New Roman" w:hAnsi="Times New Roman" w:cs="Times New Roman"/>
                <w:sz w:val="20"/>
                <w:szCs w:val="20"/>
              </w:rPr>
            </w:pPr>
          </w:p>
        </w:tc>
        <w:tc>
          <w:tcPr>
            <w:tcW w:w="1008" w:type="dxa"/>
            <w:tcBorders>
              <w:top w:val="single" w:sz="18" w:space="0" w:color="auto"/>
              <w:left w:val="nil"/>
              <w:bottom w:val="single" w:sz="18" w:space="0" w:color="auto"/>
              <w:right w:val="nil"/>
            </w:tcBorders>
          </w:tcPr>
          <w:p w14:paraId="20827805" w14:textId="77777777" w:rsidR="00D61842" w:rsidRPr="005C0315" w:rsidRDefault="00D61842" w:rsidP="00D61842">
            <w:pPr>
              <w:jc w:val="center"/>
              <w:rPr>
                <w:rFonts w:ascii="Times New Roman" w:hAnsi="Times New Roman" w:cs="Times New Roman"/>
                <w:sz w:val="20"/>
                <w:szCs w:val="20"/>
              </w:rPr>
            </w:pPr>
          </w:p>
        </w:tc>
        <w:tc>
          <w:tcPr>
            <w:tcW w:w="1316" w:type="dxa"/>
            <w:tcBorders>
              <w:top w:val="single" w:sz="18" w:space="0" w:color="auto"/>
              <w:left w:val="nil"/>
              <w:bottom w:val="single" w:sz="18" w:space="0" w:color="auto"/>
              <w:right w:val="nil"/>
            </w:tcBorders>
          </w:tcPr>
          <w:p w14:paraId="48430C57" w14:textId="77777777" w:rsidR="00D61842" w:rsidRPr="005C0315" w:rsidRDefault="00D61842" w:rsidP="00D61842">
            <w:pPr>
              <w:jc w:val="center"/>
              <w:rPr>
                <w:rFonts w:ascii="Times New Roman" w:hAnsi="Times New Roman" w:cs="Times New Roman"/>
                <w:sz w:val="20"/>
                <w:szCs w:val="20"/>
              </w:rPr>
            </w:pPr>
          </w:p>
        </w:tc>
        <w:tc>
          <w:tcPr>
            <w:tcW w:w="1372" w:type="dxa"/>
            <w:tcBorders>
              <w:top w:val="single" w:sz="18" w:space="0" w:color="auto"/>
              <w:left w:val="nil"/>
              <w:bottom w:val="single" w:sz="18" w:space="0" w:color="auto"/>
              <w:right w:val="nil"/>
            </w:tcBorders>
          </w:tcPr>
          <w:p w14:paraId="4F3D4C1B" w14:textId="77777777" w:rsidR="00D61842" w:rsidRPr="005C0315" w:rsidRDefault="00D61842" w:rsidP="00D61842">
            <w:pPr>
              <w:jc w:val="center"/>
              <w:rPr>
                <w:rFonts w:ascii="Times New Roman" w:hAnsi="Times New Roman" w:cs="Times New Roman"/>
                <w:sz w:val="20"/>
                <w:szCs w:val="20"/>
              </w:rPr>
            </w:pPr>
          </w:p>
        </w:tc>
      </w:tr>
      <w:tr w:rsidR="009A0768" w:rsidRPr="005C0315" w14:paraId="475B50ED" w14:textId="77777777" w:rsidTr="00453727">
        <w:tc>
          <w:tcPr>
            <w:tcW w:w="1750" w:type="dxa"/>
            <w:tcBorders>
              <w:top w:val="single" w:sz="18" w:space="0" w:color="auto"/>
              <w:left w:val="nil"/>
              <w:bottom w:val="nil"/>
              <w:right w:val="nil"/>
            </w:tcBorders>
          </w:tcPr>
          <w:p w14:paraId="20B0A28E" w14:textId="4B5008AE" w:rsidR="009A0768" w:rsidRPr="000720AC" w:rsidRDefault="009A0768" w:rsidP="009A0768">
            <w:pPr>
              <w:jc w:val="center"/>
              <w:rPr>
                <w:rFonts w:ascii="Times New Roman" w:hAnsi="Times New Roman" w:cs="Times New Roman"/>
                <w:i/>
                <w:iCs/>
                <w:sz w:val="20"/>
                <w:szCs w:val="20"/>
              </w:rPr>
            </w:pPr>
            <w:r w:rsidRPr="007E3C6E">
              <w:rPr>
                <w:rFonts w:ascii="Times New Roman" w:hAnsi="Times New Roman" w:cs="Times New Roman"/>
                <w:i/>
                <w:iCs/>
                <w:sz w:val="20"/>
                <w:szCs w:val="20"/>
              </w:rPr>
              <w:t xml:space="preserve">C. chapalae </w:t>
            </w:r>
            <w:proofErr w:type="spellStart"/>
            <w:r w:rsidRPr="007E3C6E">
              <w:rPr>
                <w:rFonts w:ascii="Times New Roman" w:hAnsi="Times New Roman" w:cs="Times New Roman"/>
                <w:i/>
                <w:iCs/>
                <w:sz w:val="20"/>
                <w:szCs w:val="20"/>
              </w:rPr>
              <w:t>group</w:t>
            </w:r>
            <w:r w:rsidRPr="007E3C6E">
              <w:rPr>
                <w:rFonts w:ascii="Times New Roman" w:hAnsi="Times New Roman" w:cs="Times New Roman"/>
                <w:i/>
                <w:iCs/>
                <w:sz w:val="20"/>
                <w:szCs w:val="20"/>
                <w:vertAlign w:val="superscript"/>
              </w:rPr>
              <w:t>a</w:t>
            </w:r>
            <w:proofErr w:type="spellEnd"/>
          </w:p>
        </w:tc>
        <w:tc>
          <w:tcPr>
            <w:tcW w:w="444" w:type="dxa"/>
            <w:tcBorders>
              <w:top w:val="single" w:sz="18" w:space="0" w:color="auto"/>
              <w:left w:val="nil"/>
              <w:bottom w:val="nil"/>
              <w:right w:val="nil"/>
            </w:tcBorders>
            <w:vAlign w:val="center"/>
          </w:tcPr>
          <w:p w14:paraId="3358EEEA" w14:textId="08C9A990"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17</w:t>
            </w:r>
          </w:p>
        </w:tc>
        <w:tc>
          <w:tcPr>
            <w:tcW w:w="1226" w:type="dxa"/>
            <w:tcBorders>
              <w:top w:val="single" w:sz="18" w:space="0" w:color="auto"/>
              <w:left w:val="nil"/>
              <w:bottom w:val="nil"/>
              <w:right w:val="nil"/>
            </w:tcBorders>
            <w:vAlign w:val="center"/>
          </w:tcPr>
          <w:p w14:paraId="75D24BDD" w14:textId="5F506CE8"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 xml:space="preserve">0.13 </w:t>
            </w:r>
            <w:r w:rsidR="00AD54EE">
              <w:rPr>
                <w:rFonts w:ascii="Times New Roman" w:hAnsi="Times New Roman" w:cs="Times New Roman"/>
                <w:color w:val="000000"/>
                <w:sz w:val="20"/>
                <w:szCs w:val="20"/>
              </w:rPr>
              <w:t>3</w:t>
            </w:r>
            <w:r w:rsidR="00AD54EE" w:rsidRPr="001979F8">
              <w:rPr>
                <w:rFonts w:ascii="Times New Roman" w:hAnsi="Times New Roman" w:cs="Times New Roman"/>
                <w:i/>
                <w:iCs/>
                <w:color w:val="000000"/>
                <w:sz w:val="20"/>
                <w:szCs w:val="20"/>
              </w:rPr>
              <w:t>e</w:t>
            </w:r>
            <w:r w:rsidR="00AD54EE">
              <w:rPr>
                <w:rFonts w:ascii="Times New Roman" w:hAnsi="Times New Roman" w:cs="Times New Roman"/>
                <w:color w:val="000000"/>
                <w:sz w:val="20"/>
                <w:szCs w:val="20"/>
              </w:rPr>
              <w:t>-3</w:t>
            </w:r>
          </w:p>
        </w:tc>
        <w:tc>
          <w:tcPr>
            <w:tcW w:w="990" w:type="dxa"/>
            <w:tcBorders>
              <w:top w:val="single" w:sz="18" w:space="0" w:color="auto"/>
              <w:left w:val="nil"/>
              <w:bottom w:val="nil"/>
              <w:right w:val="nil"/>
            </w:tcBorders>
            <w:vAlign w:val="center"/>
          </w:tcPr>
          <w:p w14:paraId="1FB55AB8" w14:textId="645D8B86"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0.1</w:t>
            </w:r>
            <w:r w:rsidR="00AD54EE">
              <w:rPr>
                <w:rFonts w:ascii="Times New Roman" w:hAnsi="Times New Roman" w:cs="Times New Roman"/>
                <w:color w:val="000000"/>
                <w:sz w:val="20"/>
                <w:szCs w:val="20"/>
              </w:rPr>
              <w:t>4</w:t>
            </w:r>
            <w:r w:rsidRPr="009A0768">
              <w:rPr>
                <w:rFonts w:ascii="Times New Roman" w:hAnsi="Times New Roman" w:cs="Times New Roman"/>
                <w:color w:val="000000"/>
                <w:sz w:val="20"/>
                <w:szCs w:val="20"/>
              </w:rPr>
              <w:t xml:space="preserve"> </w:t>
            </w:r>
            <w:r w:rsidR="00AD54EE">
              <w:rPr>
                <w:rFonts w:ascii="Times New Roman" w:hAnsi="Times New Roman" w:cs="Times New Roman"/>
                <w:color w:val="000000"/>
                <w:sz w:val="20"/>
                <w:szCs w:val="20"/>
              </w:rPr>
              <w:t>2</w:t>
            </w:r>
            <w:r w:rsidR="00AD54EE" w:rsidRPr="001979F8">
              <w:rPr>
                <w:rFonts w:ascii="Times New Roman" w:hAnsi="Times New Roman" w:cs="Times New Roman"/>
                <w:i/>
                <w:iCs/>
                <w:color w:val="000000"/>
                <w:sz w:val="20"/>
                <w:szCs w:val="20"/>
              </w:rPr>
              <w:t>e</w:t>
            </w:r>
            <w:r w:rsidR="00AD54EE">
              <w:rPr>
                <w:rFonts w:ascii="Times New Roman" w:hAnsi="Times New Roman" w:cs="Times New Roman"/>
                <w:color w:val="000000"/>
                <w:sz w:val="20"/>
                <w:szCs w:val="20"/>
              </w:rPr>
              <w:t>-3</w:t>
            </w:r>
          </w:p>
        </w:tc>
        <w:tc>
          <w:tcPr>
            <w:tcW w:w="1254" w:type="dxa"/>
            <w:tcBorders>
              <w:top w:val="single" w:sz="18" w:space="0" w:color="auto"/>
              <w:left w:val="nil"/>
              <w:bottom w:val="nil"/>
              <w:right w:val="nil"/>
            </w:tcBorders>
            <w:vAlign w:val="center"/>
          </w:tcPr>
          <w:p w14:paraId="0B65FB05" w14:textId="2E8ACA20"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0.0</w:t>
            </w:r>
            <w:r w:rsidR="00514002">
              <w:rPr>
                <w:rFonts w:ascii="Times New Roman" w:hAnsi="Times New Roman" w:cs="Times New Roman"/>
                <w:color w:val="000000"/>
                <w:sz w:val="20"/>
                <w:szCs w:val="20"/>
              </w:rPr>
              <w:t>8 7</w:t>
            </w:r>
            <w:r w:rsidR="00514002" w:rsidRPr="001979F8">
              <w:rPr>
                <w:rFonts w:ascii="Times New Roman" w:hAnsi="Times New Roman" w:cs="Times New Roman"/>
                <w:i/>
                <w:iCs/>
                <w:color w:val="000000"/>
                <w:sz w:val="20"/>
                <w:szCs w:val="20"/>
              </w:rPr>
              <w:t>e</w:t>
            </w:r>
            <w:r w:rsidR="00514002">
              <w:rPr>
                <w:rFonts w:ascii="Times New Roman" w:hAnsi="Times New Roman" w:cs="Times New Roman"/>
                <w:color w:val="000000"/>
                <w:sz w:val="20"/>
                <w:szCs w:val="20"/>
              </w:rPr>
              <w:t>-3</w:t>
            </w:r>
          </w:p>
        </w:tc>
        <w:tc>
          <w:tcPr>
            <w:tcW w:w="1008" w:type="dxa"/>
            <w:tcBorders>
              <w:top w:val="single" w:sz="18" w:space="0" w:color="auto"/>
              <w:left w:val="nil"/>
              <w:bottom w:val="nil"/>
              <w:right w:val="nil"/>
            </w:tcBorders>
          </w:tcPr>
          <w:p w14:paraId="625BAECE" w14:textId="27D64875" w:rsidR="009A0768" w:rsidRPr="009A0768" w:rsidRDefault="009A0768" w:rsidP="009A0768">
            <w:pPr>
              <w:jc w:val="center"/>
              <w:rPr>
                <w:rFonts w:ascii="Times New Roman" w:hAnsi="Times New Roman" w:cs="Times New Roman"/>
                <w:sz w:val="20"/>
                <w:szCs w:val="20"/>
              </w:rPr>
            </w:pPr>
            <w:r w:rsidRPr="00D61842">
              <w:rPr>
                <w:rFonts w:ascii="Times New Roman" w:hAnsi="Times New Roman" w:cs="Times New Roman"/>
                <w:sz w:val="20"/>
                <w:szCs w:val="20"/>
              </w:rPr>
              <w:t>infinite</w:t>
            </w:r>
          </w:p>
        </w:tc>
        <w:tc>
          <w:tcPr>
            <w:tcW w:w="1316" w:type="dxa"/>
            <w:tcBorders>
              <w:top w:val="single" w:sz="18" w:space="0" w:color="auto"/>
              <w:left w:val="nil"/>
              <w:bottom w:val="nil"/>
              <w:right w:val="nil"/>
            </w:tcBorders>
            <w:vAlign w:val="center"/>
          </w:tcPr>
          <w:p w14:paraId="724DF351" w14:textId="01E6BCBE" w:rsidR="009A0768" w:rsidRPr="009A0768" w:rsidRDefault="009A0768" w:rsidP="009A0768">
            <w:pPr>
              <w:jc w:val="center"/>
              <w:rPr>
                <w:rFonts w:ascii="Times New Roman" w:hAnsi="Times New Roman" w:cs="Times New Roman"/>
                <w:color w:val="000000"/>
                <w:sz w:val="20"/>
                <w:szCs w:val="20"/>
              </w:rPr>
            </w:pPr>
            <w:r w:rsidRPr="009A0768">
              <w:rPr>
                <w:rFonts w:ascii="Times New Roman" w:hAnsi="Times New Roman" w:cs="Times New Roman"/>
                <w:color w:val="000000"/>
                <w:sz w:val="20"/>
                <w:szCs w:val="20"/>
              </w:rPr>
              <w:t>24.7</w:t>
            </w:r>
          </w:p>
        </w:tc>
        <w:tc>
          <w:tcPr>
            <w:tcW w:w="1372" w:type="dxa"/>
            <w:tcBorders>
              <w:top w:val="single" w:sz="18" w:space="0" w:color="auto"/>
              <w:left w:val="nil"/>
              <w:bottom w:val="nil"/>
              <w:right w:val="nil"/>
            </w:tcBorders>
            <w:vAlign w:val="center"/>
          </w:tcPr>
          <w:p w14:paraId="337C6C81" w14:textId="21CDDF6D"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4.5</w:t>
            </w:r>
          </w:p>
        </w:tc>
      </w:tr>
      <w:tr w:rsidR="009A0768" w:rsidRPr="005C0315" w14:paraId="50A57232" w14:textId="77777777" w:rsidTr="00453727">
        <w:tc>
          <w:tcPr>
            <w:tcW w:w="1750" w:type="dxa"/>
            <w:tcBorders>
              <w:top w:val="nil"/>
              <w:left w:val="nil"/>
              <w:bottom w:val="nil"/>
              <w:right w:val="nil"/>
            </w:tcBorders>
          </w:tcPr>
          <w:p w14:paraId="153C798E" w14:textId="6512220D" w:rsidR="009A0768" w:rsidRPr="000720AC" w:rsidRDefault="009A0768" w:rsidP="009A0768">
            <w:pPr>
              <w:jc w:val="center"/>
              <w:rPr>
                <w:rFonts w:ascii="Times New Roman" w:hAnsi="Times New Roman" w:cs="Times New Roman"/>
                <w:i/>
                <w:iCs/>
                <w:sz w:val="20"/>
                <w:szCs w:val="20"/>
              </w:rPr>
            </w:pPr>
            <w:r w:rsidRPr="007E3C6E">
              <w:rPr>
                <w:rFonts w:ascii="Times New Roman" w:hAnsi="Times New Roman" w:cs="Times New Roman"/>
                <w:i/>
                <w:iCs/>
                <w:sz w:val="20"/>
                <w:szCs w:val="20"/>
              </w:rPr>
              <w:t>C. sphyraena</w:t>
            </w:r>
          </w:p>
        </w:tc>
        <w:tc>
          <w:tcPr>
            <w:tcW w:w="444" w:type="dxa"/>
            <w:tcBorders>
              <w:top w:val="nil"/>
              <w:left w:val="nil"/>
              <w:bottom w:val="nil"/>
              <w:right w:val="nil"/>
            </w:tcBorders>
            <w:vAlign w:val="center"/>
          </w:tcPr>
          <w:p w14:paraId="4C0FEDD0" w14:textId="3339ED9A"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24</w:t>
            </w:r>
          </w:p>
        </w:tc>
        <w:tc>
          <w:tcPr>
            <w:tcW w:w="1226" w:type="dxa"/>
            <w:tcBorders>
              <w:top w:val="nil"/>
              <w:left w:val="nil"/>
              <w:bottom w:val="nil"/>
              <w:right w:val="nil"/>
            </w:tcBorders>
            <w:vAlign w:val="center"/>
          </w:tcPr>
          <w:p w14:paraId="1A232B5E" w14:textId="09ECAED9"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0.1</w:t>
            </w:r>
            <w:r w:rsidR="00AD54EE">
              <w:rPr>
                <w:rFonts w:ascii="Times New Roman" w:hAnsi="Times New Roman" w:cs="Times New Roman"/>
                <w:color w:val="000000"/>
                <w:sz w:val="20"/>
                <w:szCs w:val="20"/>
              </w:rPr>
              <w:t>4</w:t>
            </w:r>
            <w:r w:rsidRPr="009A0768">
              <w:rPr>
                <w:rFonts w:ascii="Times New Roman" w:hAnsi="Times New Roman" w:cs="Times New Roman"/>
                <w:color w:val="000000"/>
                <w:sz w:val="20"/>
                <w:szCs w:val="20"/>
              </w:rPr>
              <w:t xml:space="preserve"> </w:t>
            </w:r>
            <w:r w:rsidR="00AD54EE">
              <w:rPr>
                <w:rFonts w:ascii="Times New Roman" w:hAnsi="Times New Roman" w:cs="Times New Roman"/>
                <w:color w:val="000000"/>
                <w:sz w:val="20"/>
                <w:szCs w:val="20"/>
              </w:rPr>
              <w:t>4</w:t>
            </w:r>
            <w:r w:rsidR="00AD54EE" w:rsidRPr="001979F8">
              <w:rPr>
                <w:rFonts w:ascii="Times New Roman" w:hAnsi="Times New Roman" w:cs="Times New Roman"/>
                <w:i/>
                <w:iCs/>
                <w:color w:val="000000"/>
                <w:sz w:val="20"/>
                <w:szCs w:val="20"/>
              </w:rPr>
              <w:t>e</w:t>
            </w:r>
            <w:r w:rsidR="00AD54EE">
              <w:rPr>
                <w:rFonts w:ascii="Times New Roman" w:hAnsi="Times New Roman" w:cs="Times New Roman"/>
                <w:color w:val="000000"/>
                <w:sz w:val="20"/>
                <w:szCs w:val="20"/>
              </w:rPr>
              <w:t>-3</w:t>
            </w:r>
          </w:p>
        </w:tc>
        <w:tc>
          <w:tcPr>
            <w:tcW w:w="990" w:type="dxa"/>
            <w:tcBorders>
              <w:top w:val="nil"/>
              <w:left w:val="nil"/>
              <w:bottom w:val="nil"/>
              <w:right w:val="nil"/>
            </w:tcBorders>
            <w:vAlign w:val="center"/>
          </w:tcPr>
          <w:p w14:paraId="524370B7" w14:textId="6BF49CA7"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 xml:space="preserve">0.12 </w:t>
            </w:r>
            <w:r w:rsidR="00AD54EE">
              <w:rPr>
                <w:rFonts w:ascii="Times New Roman" w:hAnsi="Times New Roman" w:cs="Times New Roman"/>
                <w:color w:val="000000"/>
                <w:sz w:val="20"/>
                <w:szCs w:val="20"/>
              </w:rPr>
              <w:t>3</w:t>
            </w:r>
            <w:r w:rsidR="00AD54EE" w:rsidRPr="001979F8">
              <w:rPr>
                <w:rFonts w:ascii="Times New Roman" w:hAnsi="Times New Roman" w:cs="Times New Roman"/>
                <w:i/>
                <w:iCs/>
                <w:color w:val="000000"/>
                <w:sz w:val="20"/>
                <w:szCs w:val="20"/>
              </w:rPr>
              <w:t>e</w:t>
            </w:r>
            <w:r w:rsidR="00AD54EE">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004805D5" w14:textId="31B4388C"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 xml:space="preserve">-0.08 </w:t>
            </w:r>
            <w:r w:rsidR="00514002">
              <w:rPr>
                <w:rFonts w:ascii="Times New Roman" w:hAnsi="Times New Roman" w:cs="Times New Roman"/>
                <w:color w:val="000000"/>
                <w:sz w:val="20"/>
                <w:szCs w:val="20"/>
              </w:rPr>
              <w:t>5</w:t>
            </w:r>
            <w:r w:rsidR="00514002" w:rsidRPr="001979F8">
              <w:rPr>
                <w:rFonts w:ascii="Times New Roman" w:hAnsi="Times New Roman" w:cs="Times New Roman"/>
                <w:i/>
                <w:iCs/>
                <w:color w:val="000000"/>
                <w:sz w:val="20"/>
                <w:szCs w:val="20"/>
              </w:rPr>
              <w:t>e</w:t>
            </w:r>
            <w:r w:rsidR="00514002">
              <w:rPr>
                <w:rFonts w:ascii="Times New Roman" w:hAnsi="Times New Roman" w:cs="Times New Roman"/>
                <w:color w:val="000000"/>
                <w:sz w:val="20"/>
                <w:szCs w:val="20"/>
              </w:rPr>
              <w:t>-3</w:t>
            </w:r>
          </w:p>
        </w:tc>
        <w:tc>
          <w:tcPr>
            <w:tcW w:w="1008" w:type="dxa"/>
            <w:tcBorders>
              <w:top w:val="nil"/>
              <w:left w:val="nil"/>
              <w:bottom w:val="nil"/>
              <w:right w:val="nil"/>
            </w:tcBorders>
          </w:tcPr>
          <w:p w14:paraId="66147EB0" w14:textId="2A49E150" w:rsidR="009A0768" w:rsidRPr="009A0768" w:rsidRDefault="009A0768" w:rsidP="009A0768">
            <w:pPr>
              <w:jc w:val="center"/>
              <w:rPr>
                <w:rFonts w:ascii="Times New Roman" w:hAnsi="Times New Roman" w:cs="Times New Roman"/>
                <w:sz w:val="20"/>
                <w:szCs w:val="20"/>
              </w:rPr>
            </w:pPr>
            <w:r w:rsidRPr="00D61842">
              <w:rPr>
                <w:rFonts w:ascii="Times New Roman" w:hAnsi="Times New Roman" w:cs="Times New Roman"/>
                <w:sz w:val="20"/>
                <w:szCs w:val="20"/>
              </w:rPr>
              <w:t>infinite</w:t>
            </w:r>
          </w:p>
        </w:tc>
        <w:tc>
          <w:tcPr>
            <w:tcW w:w="1316" w:type="dxa"/>
            <w:tcBorders>
              <w:top w:val="nil"/>
              <w:left w:val="nil"/>
              <w:bottom w:val="nil"/>
              <w:right w:val="nil"/>
            </w:tcBorders>
            <w:vAlign w:val="center"/>
          </w:tcPr>
          <w:p w14:paraId="3B4D1CA0" w14:textId="1AB059FE" w:rsidR="009A0768" w:rsidRPr="009A0768" w:rsidRDefault="009A0768" w:rsidP="009A0768">
            <w:pPr>
              <w:jc w:val="center"/>
              <w:rPr>
                <w:rFonts w:ascii="Times New Roman" w:hAnsi="Times New Roman" w:cs="Times New Roman"/>
                <w:color w:val="000000"/>
                <w:sz w:val="20"/>
                <w:szCs w:val="20"/>
              </w:rPr>
            </w:pPr>
            <w:r w:rsidRPr="009A0768">
              <w:rPr>
                <w:rFonts w:ascii="Times New Roman" w:hAnsi="Times New Roman" w:cs="Times New Roman"/>
                <w:color w:val="000000"/>
                <w:sz w:val="20"/>
                <w:szCs w:val="20"/>
              </w:rPr>
              <w:t>8.9</w:t>
            </w:r>
          </w:p>
        </w:tc>
        <w:tc>
          <w:tcPr>
            <w:tcW w:w="1372" w:type="dxa"/>
            <w:tcBorders>
              <w:top w:val="nil"/>
              <w:left w:val="nil"/>
              <w:bottom w:val="nil"/>
              <w:right w:val="nil"/>
            </w:tcBorders>
            <w:vAlign w:val="center"/>
          </w:tcPr>
          <w:p w14:paraId="18500390" w14:textId="37C7E899"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2.2</w:t>
            </w:r>
          </w:p>
        </w:tc>
      </w:tr>
      <w:tr w:rsidR="009A0768" w:rsidRPr="005C0315" w14:paraId="6160193C" w14:textId="77777777" w:rsidTr="00453727">
        <w:tc>
          <w:tcPr>
            <w:tcW w:w="1750" w:type="dxa"/>
            <w:tcBorders>
              <w:top w:val="nil"/>
              <w:left w:val="nil"/>
              <w:bottom w:val="nil"/>
              <w:right w:val="nil"/>
            </w:tcBorders>
          </w:tcPr>
          <w:p w14:paraId="761ABB8E" w14:textId="27874051" w:rsidR="009A0768" w:rsidRPr="000720AC" w:rsidRDefault="009A0768" w:rsidP="009A0768">
            <w:pPr>
              <w:jc w:val="center"/>
              <w:rPr>
                <w:rFonts w:ascii="Times New Roman" w:hAnsi="Times New Roman" w:cs="Times New Roman"/>
                <w:i/>
                <w:iCs/>
                <w:sz w:val="20"/>
                <w:szCs w:val="20"/>
              </w:rPr>
            </w:pPr>
            <w:r w:rsidRPr="007E3C6E">
              <w:rPr>
                <w:rFonts w:ascii="Times New Roman" w:hAnsi="Times New Roman" w:cs="Times New Roman"/>
                <w:i/>
                <w:iCs/>
                <w:sz w:val="20"/>
                <w:szCs w:val="20"/>
              </w:rPr>
              <w:t>C. humboldtianum sensu stricto</w:t>
            </w:r>
          </w:p>
        </w:tc>
        <w:tc>
          <w:tcPr>
            <w:tcW w:w="444" w:type="dxa"/>
            <w:tcBorders>
              <w:top w:val="nil"/>
              <w:left w:val="nil"/>
              <w:bottom w:val="nil"/>
              <w:right w:val="nil"/>
            </w:tcBorders>
            <w:vAlign w:val="center"/>
          </w:tcPr>
          <w:p w14:paraId="7A9A3D27" w14:textId="622E5468"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7</w:t>
            </w:r>
          </w:p>
        </w:tc>
        <w:tc>
          <w:tcPr>
            <w:tcW w:w="1226" w:type="dxa"/>
            <w:tcBorders>
              <w:top w:val="nil"/>
              <w:left w:val="nil"/>
              <w:bottom w:val="nil"/>
              <w:right w:val="nil"/>
            </w:tcBorders>
            <w:vAlign w:val="center"/>
          </w:tcPr>
          <w:p w14:paraId="0A290A11" w14:textId="26CF2AB2"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0.1</w:t>
            </w:r>
            <w:r w:rsidR="00AD54EE">
              <w:rPr>
                <w:rFonts w:ascii="Times New Roman" w:hAnsi="Times New Roman" w:cs="Times New Roman"/>
                <w:color w:val="000000"/>
                <w:sz w:val="20"/>
                <w:szCs w:val="20"/>
              </w:rPr>
              <w:t>3</w:t>
            </w:r>
            <w:r w:rsidRPr="009A0768">
              <w:rPr>
                <w:rFonts w:ascii="Times New Roman" w:hAnsi="Times New Roman" w:cs="Times New Roman"/>
                <w:color w:val="000000"/>
                <w:sz w:val="20"/>
                <w:szCs w:val="20"/>
              </w:rPr>
              <w:t xml:space="preserve"> </w:t>
            </w:r>
            <w:r w:rsidR="00AD54EE">
              <w:rPr>
                <w:rFonts w:ascii="Times New Roman" w:hAnsi="Times New Roman" w:cs="Times New Roman"/>
                <w:color w:val="000000"/>
                <w:sz w:val="20"/>
                <w:szCs w:val="20"/>
              </w:rPr>
              <w:t>3</w:t>
            </w:r>
            <w:r w:rsidR="00AD54EE" w:rsidRPr="001979F8">
              <w:rPr>
                <w:rFonts w:ascii="Times New Roman" w:hAnsi="Times New Roman" w:cs="Times New Roman"/>
                <w:i/>
                <w:iCs/>
                <w:color w:val="000000"/>
                <w:sz w:val="20"/>
                <w:szCs w:val="20"/>
              </w:rPr>
              <w:t>e</w:t>
            </w:r>
            <w:r w:rsidR="00AD54EE">
              <w:rPr>
                <w:rFonts w:ascii="Times New Roman" w:hAnsi="Times New Roman" w:cs="Times New Roman"/>
                <w:color w:val="000000"/>
                <w:sz w:val="20"/>
                <w:szCs w:val="20"/>
              </w:rPr>
              <w:t>-3</w:t>
            </w:r>
          </w:p>
        </w:tc>
        <w:tc>
          <w:tcPr>
            <w:tcW w:w="990" w:type="dxa"/>
            <w:tcBorders>
              <w:top w:val="nil"/>
              <w:left w:val="nil"/>
              <w:bottom w:val="nil"/>
              <w:right w:val="nil"/>
            </w:tcBorders>
            <w:vAlign w:val="center"/>
          </w:tcPr>
          <w:p w14:paraId="6373DC41" w14:textId="5A0E5AB7"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0.1</w:t>
            </w:r>
            <w:r w:rsidR="00AD54EE">
              <w:rPr>
                <w:rFonts w:ascii="Times New Roman" w:hAnsi="Times New Roman" w:cs="Times New Roman"/>
                <w:color w:val="000000"/>
                <w:sz w:val="20"/>
                <w:szCs w:val="20"/>
              </w:rPr>
              <w:t>2 3</w:t>
            </w:r>
            <w:r w:rsidR="00AD54EE" w:rsidRPr="001979F8">
              <w:rPr>
                <w:rFonts w:ascii="Times New Roman" w:hAnsi="Times New Roman" w:cs="Times New Roman"/>
                <w:i/>
                <w:iCs/>
                <w:color w:val="000000"/>
                <w:sz w:val="20"/>
                <w:szCs w:val="20"/>
              </w:rPr>
              <w:t>e</w:t>
            </w:r>
            <w:r w:rsidR="00AD54EE">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6ED59EA6" w14:textId="1C1CB964"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 xml:space="preserve">-0.06 </w:t>
            </w:r>
            <w:r w:rsidR="00514002">
              <w:rPr>
                <w:rFonts w:ascii="Times New Roman" w:hAnsi="Times New Roman" w:cs="Times New Roman"/>
                <w:color w:val="000000"/>
                <w:sz w:val="20"/>
                <w:szCs w:val="20"/>
              </w:rPr>
              <w:t>7</w:t>
            </w:r>
            <w:r w:rsidR="00514002" w:rsidRPr="001979F8">
              <w:rPr>
                <w:rFonts w:ascii="Times New Roman" w:hAnsi="Times New Roman" w:cs="Times New Roman"/>
                <w:i/>
                <w:iCs/>
                <w:color w:val="000000"/>
                <w:sz w:val="20"/>
                <w:szCs w:val="20"/>
              </w:rPr>
              <w:t>e</w:t>
            </w:r>
            <w:r w:rsidR="00514002">
              <w:rPr>
                <w:rFonts w:ascii="Times New Roman" w:hAnsi="Times New Roman" w:cs="Times New Roman"/>
                <w:color w:val="000000"/>
                <w:sz w:val="20"/>
                <w:szCs w:val="20"/>
              </w:rPr>
              <w:t>-3</w:t>
            </w:r>
          </w:p>
        </w:tc>
        <w:tc>
          <w:tcPr>
            <w:tcW w:w="1008" w:type="dxa"/>
            <w:tcBorders>
              <w:top w:val="nil"/>
              <w:left w:val="nil"/>
              <w:bottom w:val="nil"/>
              <w:right w:val="nil"/>
            </w:tcBorders>
          </w:tcPr>
          <w:p w14:paraId="14343BDF" w14:textId="416852F8" w:rsidR="009A0768" w:rsidRPr="009A0768" w:rsidRDefault="009A0768" w:rsidP="009A0768">
            <w:pPr>
              <w:jc w:val="center"/>
              <w:rPr>
                <w:rFonts w:ascii="Times New Roman" w:hAnsi="Times New Roman" w:cs="Times New Roman"/>
                <w:sz w:val="20"/>
                <w:szCs w:val="20"/>
              </w:rPr>
            </w:pPr>
            <w:r w:rsidRPr="00D61842">
              <w:rPr>
                <w:rFonts w:ascii="Times New Roman" w:hAnsi="Times New Roman" w:cs="Times New Roman"/>
                <w:sz w:val="20"/>
                <w:szCs w:val="20"/>
              </w:rPr>
              <w:t>infinite</w:t>
            </w:r>
          </w:p>
        </w:tc>
        <w:tc>
          <w:tcPr>
            <w:tcW w:w="1316" w:type="dxa"/>
            <w:tcBorders>
              <w:top w:val="nil"/>
              <w:left w:val="nil"/>
              <w:bottom w:val="nil"/>
              <w:right w:val="nil"/>
            </w:tcBorders>
            <w:vAlign w:val="center"/>
          </w:tcPr>
          <w:p w14:paraId="32E98D57" w14:textId="212CF550" w:rsidR="009A0768" w:rsidRPr="009A0768" w:rsidRDefault="009A0768" w:rsidP="009A0768">
            <w:pPr>
              <w:jc w:val="center"/>
              <w:rPr>
                <w:rFonts w:ascii="Times New Roman" w:hAnsi="Times New Roman" w:cs="Times New Roman"/>
                <w:sz w:val="20"/>
                <w:szCs w:val="20"/>
              </w:rPr>
            </w:pPr>
            <w:r w:rsidRPr="00D61842">
              <w:rPr>
                <w:rFonts w:ascii="Times New Roman" w:hAnsi="Times New Roman" w:cs="Times New Roman"/>
                <w:sz w:val="20"/>
                <w:szCs w:val="20"/>
              </w:rPr>
              <w:t>infinite</w:t>
            </w:r>
          </w:p>
        </w:tc>
        <w:tc>
          <w:tcPr>
            <w:tcW w:w="1372" w:type="dxa"/>
            <w:tcBorders>
              <w:top w:val="nil"/>
              <w:left w:val="nil"/>
              <w:bottom w:val="nil"/>
              <w:right w:val="nil"/>
            </w:tcBorders>
            <w:vAlign w:val="center"/>
          </w:tcPr>
          <w:p w14:paraId="44E00657" w14:textId="167C6F83"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3</w:t>
            </w:r>
          </w:p>
        </w:tc>
      </w:tr>
      <w:tr w:rsidR="009A0768" w:rsidRPr="005C0315" w14:paraId="0D139ADC" w14:textId="77777777" w:rsidTr="00453727">
        <w:tc>
          <w:tcPr>
            <w:tcW w:w="1750" w:type="dxa"/>
            <w:tcBorders>
              <w:top w:val="nil"/>
              <w:left w:val="nil"/>
              <w:bottom w:val="single" w:sz="18" w:space="0" w:color="auto"/>
              <w:right w:val="nil"/>
            </w:tcBorders>
          </w:tcPr>
          <w:p w14:paraId="3EB506A3" w14:textId="59A2BA8E" w:rsidR="009A0768" w:rsidRPr="000720AC" w:rsidRDefault="009A0768" w:rsidP="009A0768">
            <w:pPr>
              <w:jc w:val="center"/>
              <w:rPr>
                <w:rFonts w:ascii="Times New Roman" w:hAnsi="Times New Roman" w:cs="Times New Roman"/>
                <w:i/>
                <w:iCs/>
                <w:sz w:val="20"/>
                <w:szCs w:val="20"/>
              </w:rPr>
            </w:pPr>
            <w:r w:rsidRPr="007E3C6E">
              <w:rPr>
                <w:rFonts w:ascii="Times New Roman" w:hAnsi="Times New Roman" w:cs="Times New Roman"/>
                <w:i/>
                <w:iCs/>
                <w:sz w:val="20"/>
                <w:szCs w:val="20"/>
                <w:lang w:val="es-MX"/>
              </w:rPr>
              <w:t>C. estor group</w:t>
            </w:r>
            <w:r w:rsidRPr="007E3C6E">
              <w:rPr>
                <w:rFonts w:ascii="Times New Roman" w:hAnsi="Times New Roman" w:cs="Times New Roman"/>
                <w:i/>
                <w:iCs/>
                <w:sz w:val="20"/>
                <w:szCs w:val="20"/>
                <w:vertAlign w:val="superscript"/>
                <w:lang w:val="es-MX"/>
              </w:rPr>
              <w:t>b</w:t>
            </w:r>
          </w:p>
        </w:tc>
        <w:tc>
          <w:tcPr>
            <w:tcW w:w="444" w:type="dxa"/>
            <w:tcBorders>
              <w:top w:val="nil"/>
              <w:left w:val="nil"/>
              <w:bottom w:val="single" w:sz="18" w:space="0" w:color="auto"/>
              <w:right w:val="nil"/>
            </w:tcBorders>
            <w:vAlign w:val="center"/>
          </w:tcPr>
          <w:p w14:paraId="41CC6E03" w14:textId="0213AC11"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24</w:t>
            </w:r>
          </w:p>
        </w:tc>
        <w:tc>
          <w:tcPr>
            <w:tcW w:w="1226" w:type="dxa"/>
            <w:tcBorders>
              <w:top w:val="nil"/>
              <w:left w:val="nil"/>
              <w:bottom w:val="single" w:sz="18" w:space="0" w:color="auto"/>
              <w:right w:val="nil"/>
            </w:tcBorders>
            <w:vAlign w:val="center"/>
          </w:tcPr>
          <w:p w14:paraId="5AA537EA" w14:textId="74D89443"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 xml:space="preserve">0.10 </w:t>
            </w:r>
            <w:r w:rsidR="00AD54EE">
              <w:rPr>
                <w:rFonts w:ascii="Times New Roman" w:hAnsi="Times New Roman" w:cs="Times New Roman"/>
                <w:color w:val="000000"/>
                <w:sz w:val="20"/>
                <w:szCs w:val="20"/>
              </w:rPr>
              <w:t>3</w:t>
            </w:r>
            <w:r w:rsidR="00AD54EE" w:rsidRPr="001979F8">
              <w:rPr>
                <w:rFonts w:ascii="Times New Roman" w:hAnsi="Times New Roman" w:cs="Times New Roman"/>
                <w:i/>
                <w:iCs/>
                <w:color w:val="000000"/>
                <w:sz w:val="20"/>
                <w:szCs w:val="20"/>
              </w:rPr>
              <w:t>e</w:t>
            </w:r>
            <w:r w:rsidR="00AD54EE">
              <w:rPr>
                <w:rFonts w:ascii="Times New Roman" w:hAnsi="Times New Roman" w:cs="Times New Roman"/>
                <w:color w:val="000000"/>
                <w:sz w:val="20"/>
                <w:szCs w:val="20"/>
              </w:rPr>
              <w:t>-3</w:t>
            </w:r>
          </w:p>
        </w:tc>
        <w:tc>
          <w:tcPr>
            <w:tcW w:w="990" w:type="dxa"/>
            <w:tcBorders>
              <w:top w:val="nil"/>
              <w:left w:val="nil"/>
              <w:bottom w:val="single" w:sz="18" w:space="0" w:color="auto"/>
              <w:right w:val="nil"/>
            </w:tcBorders>
            <w:vAlign w:val="center"/>
          </w:tcPr>
          <w:p w14:paraId="0F5EE926" w14:textId="1BB3A9C2"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 xml:space="preserve">0.10 </w:t>
            </w:r>
            <w:r w:rsidR="00AD54EE">
              <w:rPr>
                <w:rFonts w:ascii="Times New Roman" w:hAnsi="Times New Roman" w:cs="Times New Roman"/>
                <w:color w:val="000000"/>
                <w:sz w:val="20"/>
                <w:szCs w:val="20"/>
              </w:rPr>
              <w:t>3</w:t>
            </w:r>
            <w:r w:rsidR="00AD54EE" w:rsidRPr="001979F8">
              <w:rPr>
                <w:rFonts w:ascii="Times New Roman" w:hAnsi="Times New Roman" w:cs="Times New Roman"/>
                <w:i/>
                <w:iCs/>
                <w:color w:val="000000"/>
                <w:sz w:val="20"/>
                <w:szCs w:val="20"/>
              </w:rPr>
              <w:t>e</w:t>
            </w:r>
            <w:r w:rsidR="00AD54EE">
              <w:rPr>
                <w:rFonts w:ascii="Times New Roman" w:hAnsi="Times New Roman" w:cs="Times New Roman"/>
                <w:color w:val="000000"/>
                <w:sz w:val="20"/>
                <w:szCs w:val="20"/>
              </w:rPr>
              <w:t>-3</w:t>
            </w:r>
          </w:p>
        </w:tc>
        <w:tc>
          <w:tcPr>
            <w:tcW w:w="1254" w:type="dxa"/>
            <w:tcBorders>
              <w:top w:val="nil"/>
              <w:left w:val="nil"/>
              <w:bottom w:val="single" w:sz="18" w:space="0" w:color="auto"/>
              <w:right w:val="nil"/>
            </w:tcBorders>
            <w:vAlign w:val="center"/>
          </w:tcPr>
          <w:p w14:paraId="472301D0" w14:textId="4AAF1B99"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0.10</w:t>
            </w:r>
            <w:r w:rsidR="00514002">
              <w:rPr>
                <w:rFonts w:ascii="Times New Roman" w:hAnsi="Times New Roman" w:cs="Times New Roman"/>
                <w:color w:val="000000"/>
                <w:sz w:val="20"/>
                <w:szCs w:val="20"/>
              </w:rPr>
              <w:t xml:space="preserve"> 8</w:t>
            </w:r>
            <w:r w:rsidR="00514002" w:rsidRPr="001979F8">
              <w:rPr>
                <w:rFonts w:ascii="Times New Roman" w:hAnsi="Times New Roman" w:cs="Times New Roman"/>
                <w:i/>
                <w:iCs/>
                <w:color w:val="000000"/>
                <w:sz w:val="20"/>
                <w:szCs w:val="20"/>
              </w:rPr>
              <w:t>e</w:t>
            </w:r>
            <w:r w:rsidR="00514002">
              <w:rPr>
                <w:rFonts w:ascii="Times New Roman" w:hAnsi="Times New Roman" w:cs="Times New Roman"/>
                <w:color w:val="000000"/>
                <w:sz w:val="20"/>
                <w:szCs w:val="20"/>
              </w:rPr>
              <w:t>-3</w:t>
            </w:r>
          </w:p>
        </w:tc>
        <w:tc>
          <w:tcPr>
            <w:tcW w:w="1008" w:type="dxa"/>
            <w:tcBorders>
              <w:top w:val="nil"/>
              <w:left w:val="nil"/>
              <w:bottom w:val="single" w:sz="18" w:space="0" w:color="auto"/>
              <w:right w:val="nil"/>
            </w:tcBorders>
          </w:tcPr>
          <w:p w14:paraId="25096C72" w14:textId="76291C87" w:rsidR="009A0768" w:rsidRPr="009A0768" w:rsidRDefault="009A0768" w:rsidP="009A0768">
            <w:pPr>
              <w:jc w:val="center"/>
              <w:rPr>
                <w:rFonts w:ascii="Times New Roman" w:hAnsi="Times New Roman" w:cs="Times New Roman"/>
                <w:sz w:val="20"/>
                <w:szCs w:val="20"/>
              </w:rPr>
            </w:pPr>
            <w:r w:rsidRPr="00D61842">
              <w:rPr>
                <w:rFonts w:ascii="Times New Roman" w:hAnsi="Times New Roman" w:cs="Times New Roman"/>
                <w:sz w:val="20"/>
                <w:szCs w:val="20"/>
              </w:rPr>
              <w:t>infinite</w:t>
            </w:r>
          </w:p>
        </w:tc>
        <w:tc>
          <w:tcPr>
            <w:tcW w:w="1316" w:type="dxa"/>
            <w:tcBorders>
              <w:top w:val="nil"/>
              <w:left w:val="nil"/>
              <w:bottom w:val="single" w:sz="18" w:space="0" w:color="auto"/>
              <w:right w:val="nil"/>
            </w:tcBorders>
            <w:vAlign w:val="center"/>
          </w:tcPr>
          <w:p w14:paraId="759209C2" w14:textId="28384C58" w:rsidR="009A0768" w:rsidRPr="009A0768" w:rsidRDefault="009A0768" w:rsidP="009A0768">
            <w:pPr>
              <w:jc w:val="center"/>
              <w:rPr>
                <w:rFonts w:ascii="Times New Roman" w:hAnsi="Times New Roman" w:cs="Times New Roman"/>
                <w:color w:val="000000"/>
                <w:sz w:val="20"/>
                <w:szCs w:val="20"/>
              </w:rPr>
            </w:pPr>
            <w:r w:rsidRPr="009A0768">
              <w:rPr>
                <w:rFonts w:ascii="Times New Roman" w:hAnsi="Times New Roman" w:cs="Times New Roman"/>
                <w:color w:val="000000"/>
                <w:sz w:val="20"/>
                <w:szCs w:val="20"/>
              </w:rPr>
              <w:t>106.4</w:t>
            </w:r>
          </w:p>
        </w:tc>
        <w:tc>
          <w:tcPr>
            <w:tcW w:w="1372" w:type="dxa"/>
            <w:tcBorders>
              <w:top w:val="nil"/>
              <w:left w:val="nil"/>
              <w:bottom w:val="single" w:sz="18" w:space="0" w:color="auto"/>
              <w:right w:val="nil"/>
            </w:tcBorders>
            <w:vAlign w:val="center"/>
          </w:tcPr>
          <w:p w14:paraId="7E8D4817" w14:textId="0911C2FE" w:rsidR="009A0768" w:rsidRPr="009A0768" w:rsidRDefault="009A0768" w:rsidP="009A0768">
            <w:pPr>
              <w:jc w:val="center"/>
              <w:rPr>
                <w:rFonts w:ascii="Times New Roman" w:hAnsi="Times New Roman" w:cs="Times New Roman"/>
                <w:sz w:val="20"/>
                <w:szCs w:val="20"/>
              </w:rPr>
            </w:pPr>
            <w:r w:rsidRPr="009A0768">
              <w:rPr>
                <w:rFonts w:ascii="Times New Roman" w:hAnsi="Times New Roman" w:cs="Times New Roman"/>
                <w:color w:val="000000"/>
                <w:sz w:val="20"/>
                <w:szCs w:val="20"/>
              </w:rPr>
              <w:t>4.4</w:t>
            </w:r>
          </w:p>
        </w:tc>
      </w:tr>
      <w:tr w:rsidR="009A0768" w:rsidRPr="005C0315" w14:paraId="42A6CC33" w14:textId="77777777" w:rsidTr="001979F8">
        <w:tc>
          <w:tcPr>
            <w:tcW w:w="1750" w:type="dxa"/>
            <w:tcBorders>
              <w:top w:val="single" w:sz="18" w:space="0" w:color="auto"/>
              <w:left w:val="nil"/>
              <w:bottom w:val="single" w:sz="18" w:space="0" w:color="auto"/>
              <w:right w:val="nil"/>
            </w:tcBorders>
          </w:tcPr>
          <w:p w14:paraId="4428B12E" w14:textId="3184B42F" w:rsidR="009A0768" w:rsidRPr="007E3C6E" w:rsidRDefault="009A0768" w:rsidP="009A0768">
            <w:pPr>
              <w:jc w:val="center"/>
              <w:rPr>
                <w:rFonts w:ascii="Times New Roman" w:hAnsi="Times New Roman" w:cs="Times New Roman"/>
                <w:b/>
                <w:bCs/>
                <w:sz w:val="20"/>
                <w:szCs w:val="20"/>
              </w:rPr>
            </w:pPr>
            <w:r>
              <w:rPr>
                <w:rFonts w:ascii="Times New Roman" w:hAnsi="Times New Roman" w:cs="Times New Roman"/>
                <w:b/>
                <w:bCs/>
                <w:sz w:val="20"/>
                <w:szCs w:val="20"/>
              </w:rPr>
              <w:t>Admixture clusters (K=3)</w:t>
            </w:r>
          </w:p>
        </w:tc>
        <w:tc>
          <w:tcPr>
            <w:tcW w:w="444" w:type="dxa"/>
            <w:tcBorders>
              <w:top w:val="single" w:sz="18" w:space="0" w:color="auto"/>
              <w:left w:val="nil"/>
              <w:bottom w:val="single" w:sz="18" w:space="0" w:color="auto"/>
              <w:right w:val="nil"/>
            </w:tcBorders>
          </w:tcPr>
          <w:p w14:paraId="68220195" w14:textId="77777777" w:rsidR="009A0768" w:rsidRDefault="009A0768" w:rsidP="009A0768">
            <w:pPr>
              <w:jc w:val="center"/>
              <w:rPr>
                <w:rFonts w:ascii="Times New Roman" w:hAnsi="Times New Roman" w:cs="Times New Roman"/>
                <w:sz w:val="20"/>
                <w:szCs w:val="20"/>
              </w:rPr>
            </w:pPr>
          </w:p>
        </w:tc>
        <w:tc>
          <w:tcPr>
            <w:tcW w:w="1226" w:type="dxa"/>
            <w:tcBorders>
              <w:top w:val="single" w:sz="18" w:space="0" w:color="auto"/>
              <w:left w:val="nil"/>
              <w:bottom w:val="single" w:sz="18" w:space="0" w:color="auto"/>
              <w:right w:val="nil"/>
            </w:tcBorders>
          </w:tcPr>
          <w:p w14:paraId="7BA3A317" w14:textId="77777777" w:rsidR="009A0768" w:rsidRPr="005C0315" w:rsidRDefault="009A0768" w:rsidP="009A0768">
            <w:pPr>
              <w:jc w:val="center"/>
              <w:rPr>
                <w:rFonts w:ascii="Times New Roman" w:hAnsi="Times New Roman" w:cs="Times New Roman"/>
                <w:sz w:val="20"/>
                <w:szCs w:val="20"/>
              </w:rPr>
            </w:pPr>
          </w:p>
        </w:tc>
        <w:tc>
          <w:tcPr>
            <w:tcW w:w="990" w:type="dxa"/>
            <w:tcBorders>
              <w:top w:val="single" w:sz="18" w:space="0" w:color="auto"/>
              <w:left w:val="nil"/>
              <w:bottom w:val="single" w:sz="18" w:space="0" w:color="auto"/>
              <w:right w:val="nil"/>
            </w:tcBorders>
          </w:tcPr>
          <w:p w14:paraId="4FB4B41F" w14:textId="77777777" w:rsidR="009A0768" w:rsidRPr="005C0315" w:rsidRDefault="009A0768" w:rsidP="009A0768">
            <w:pPr>
              <w:jc w:val="center"/>
              <w:rPr>
                <w:rFonts w:ascii="Times New Roman" w:hAnsi="Times New Roman" w:cs="Times New Roman"/>
                <w:sz w:val="20"/>
                <w:szCs w:val="20"/>
              </w:rPr>
            </w:pPr>
          </w:p>
        </w:tc>
        <w:tc>
          <w:tcPr>
            <w:tcW w:w="1254" w:type="dxa"/>
            <w:tcBorders>
              <w:top w:val="single" w:sz="18" w:space="0" w:color="auto"/>
              <w:left w:val="nil"/>
              <w:bottom w:val="single" w:sz="18" w:space="0" w:color="auto"/>
              <w:right w:val="nil"/>
            </w:tcBorders>
          </w:tcPr>
          <w:p w14:paraId="626EF262" w14:textId="77777777" w:rsidR="009A0768" w:rsidRPr="005C0315" w:rsidRDefault="009A0768" w:rsidP="009A0768">
            <w:pPr>
              <w:jc w:val="center"/>
              <w:rPr>
                <w:rFonts w:ascii="Times New Roman" w:hAnsi="Times New Roman" w:cs="Times New Roman"/>
                <w:sz w:val="20"/>
                <w:szCs w:val="20"/>
              </w:rPr>
            </w:pPr>
          </w:p>
        </w:tc>
        <w:tc>
          <w:tcPr>
            <w:tcW w:w="1008" w:type="dxa"/>
            <w:tcBorders>
              <w:top w:val="single" w:sz="18" w:space="0" w:color="auto"/>
              <w:left w:val="nil"/>
              <w:bottom w:val="single" w:sz="18" w:space="0" w:color="auto"/>
              <w:right w:val="nil"/>
            </w:tcBorders>
          </w:tcPr>
          <w:p w14:paraId="555593BC" w14:textId="77777777" w:rsidR="009A0768" w:rsidRPr="005C0315" w:rsidRDefault="009A0768" w:rsidP="009A0768">
            <w:pPr>
              <w:jc w:val="center"/>
              <w:rPr>
                <w:rFonts w:ascii="Times New Roman" w:hAnsi="Times New Roman" w:cs="Times New Roman"/>
                <w:sz w:val="20"/>
                <w:szCs w:val="20"/>
              </w:rPr>
            </w:pPr>
          </w:p>
        </w:tc>
        <w:tc>
          <w:tcPr>
            <w:tcW w:w="1316" w:type="dxa"/>
            <w:tcBorders>
              <w:top w:val="single" w:sz="18" w:space="0" w:color="auto"/>
              <w:left w:val="nil"/>
              <w:bottom w:val="single" w:sz="18" w:space="0" w:color="auto"/>
              <w:right w:val="nil"/>
            </w:tcBorders>
          </w:tcPr>
          <w:p w14:paraId="4F116FFC" w14:textId="77777777" w:rsidR="009A0768" w:rsidRPr="005C0315" w:rsidRDefault="009A0768" w:rsidP="009A0768">
            <w:pPr>
              <w:jc w:val="center"/>
              <w:rPr>
                <w:rFonts w:ascii="Times New Roman" w:hAnsi="Times New Roman" w:cs="Times New Roman"/>
                <w:sz w:val="20"/>
                <w:szCs w:val="20"/>
              </w:rPr>
            </w:pPr>
          </w:p>
        </w:tc>
        <w:tc>
          <w:tcPr>
            <w:tcW w:w="1372" w:type="dxa"/>
            <w:tcBorders>
              <w:top w:val="single" w:sz="18" w:space="0" w:color="auto"/>
              <w:left w:val="nil"/>
              <w:bottom w:val="single" w:sz="18" w:space="0" w:color="auto"/>
              <w:right w:val="nil"/>
            </w:tcBorders>
          </w:tcPr>
          <w:p w14:paraId="6B01E478" w14:textId="77777777" w:rsidR="009A0768" w:rsidRPr="005C0315" w:rsidRDefault="009A0768" w:rsidP="009A0768">
            <w:pPr>
              <w:jc w:val="center"/>
              <w:rPr>
                <w:rFonts w:ascii="Times New Roman" w:hAnsi="Times New Roman" w:cs="Times New Roman"/>
                <w:sz w:val="20"/>
                <w:szCs w:val="20"/>
              </w:rPr>
            </w:pPr>
          </w:p>
        </w:tc>
      </w:tr>
      <w:tr w:rsidR="00F44CD7" w:rsidRPr="005C0315" w14:paraId="5A2F8A35" w14:textId="77777777" w:rsidTr="001E2215">
        <w:tc>
          <w:tcPr>
            <w:tcW w:w="1750" w:type="dxa"/>
            <w:tcBorders>
              <w:top w:val="single" w:sz="18" w:space="0" w:color="auto"/>
              <w:left w:val="nil"/>
              <w:bottom w:val="nil"/>
              <w:right w:val="nil"/>
            </w:tcBorders>
          </w:tcPr>
          <w:p w14:paraId="13F49D11" w14:textId="15D6C240" w:rsidR="00F44CD7" w:rsidRPr="000720AC" w:rsidRDefault="00F44CD7" w:rsidP="00F44CD7">
            <w:pPr>
              <w:jc w:val="center"/>
              <w:rPr>
                <w:rFonts w:ascii="Times New Roman" w:hAnsi="Times New Roman" w:cs="Times New Roman"/>
                <w:i/>
                <w:iCs/>
                <w:sz w:val="20"/>
                <w:szCs w:val="20"/>
              </w:rPr>
            </w:pPr>
            <w:r w:rsidRPr="00061A71">
              <w:rPr>
                <w:rFonts w:ascii="Times New Roman" w:hAnsi="Times New Roman" w:cs="Times New Roman"/>
                <w:i/>
                <w:iCs/>
                <w:sz w:val="20"/>
                <w:szCs w:val="20"/>
              </w:rPr>
              <w:t>C. chapalae-sphyraena groups</w:t>
            </w:r>
          </w:p>
        </w:tc>
        <w:tc>
          <w:tcPr>
            <w:tcW w:w="444" w:type="dxa"/>
            <w:tcBorders>
              <w:top w:val="single" w:sz="18" w:space="0" w:color="auto"/>
              <w:left w:val="nil"/>
              <w:bottom w:val="nil"/>
              <w:right w:val="nil"/>
            </w:tcBorders>
            <w:vAlign w:val="center"/>
          </w:tcPr>
          <w:p w14:paraId="2A3A552B" w14:textId="34B24377"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41</w:t>
            </w:r>
          </w:p>
        </w:tc>
        <w:tc>
          <w:tcPr>
            <w:tcW w:w="1226" w:type="dxa"/>
            <w:tcBorders>
              <w:top w:val="single" w:sz="18" w:space="0" w:color="auto"/>
              <w:left w:val="nil"/>
              <w:bottom w:val="nil"/>
              <w:right w:val="nil"/>
            </w:tcBorders>
            <w:vAlign w:val="center"/>
          </w:tcPr>
          <w:p w14:paraId="1AE20ABF" w14:textId="11CDF5A0"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0.1</w:t>
            </w:r>
            <w:r w:rsidR="00A96969">
              <w:rPr>
                <w:rFonts w:ascii="Times New Roman" w:hAnsi="Times New Roman" w:cs="Times New Roman"/>
                <w:color w:val="000000"/>
                <w:sz w:val="20"/>
                <w:szCs w:val="20"/>
              </w:rPr>
              <w:t>4 4</w:t>
            </w:r>
            <w:r w:rsidR="00A96969" w:rsidRPr="001979F8">
              <w:rPr>
                <w:rFonts w:ascii="Times New Roman" w:hAnsi="Times New Roman" w:cs="Times New Roman"/>
                <w:i/>
                <w:iCs/>
                <w:color w:val="000000"/>
                <w:sz w:val="20"/>
                <w:szCs w:val="20"/>
              </w:rPr>
              <w:t>e</w:t>
            </w:r>
            <w:r w:rsidR="00A96969">
              <w:rPr>
                <w:rFonts w:ascii="Times New Roman" w:hAnsi="Times New Roman" w:cs="Times New Roman"/>
                <w:color w:val="000000"/>
                <w:sz w:val="20"/>
                <w:szCs w:val="20"/>
              </w:rPr>
              <w:t>-3</w:t>
            </w:r>
          </w:p>
        </w:tc>
        <w:tc>
          <w:tcPr>
            <w:tcW w:w="990" w:type="dxa"/>
            <w:tcBorders>
              <w:top w:val="single" w:sz="18" w:space="0" w:color="auto"/>
              <w:left w:val="nil"/>
              <w:bottom w:val="nil"/>
              <w:right w:val="nil"/>
            </w:tcBorders>
            <w:vAlign w:val="center"/>
          </w:tcPr>
          <w:p w14:paraId="6CC2F6BC" w14:textId="7B06A272"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0.1</w:t>
            </w:r>
            <w:r w:rsidR="00A96969">
              <w:rPr>
                <w:rFonts w:ascii="Times New Roman" w:hAnsi="Times New Roman" w:cs="Times New Roman"/>
                <w:color w:val="000000"/>
                <w:sz w:val="20"/>
                <w:szCs w:val="20"/>
              </w:rPr>
              <w:t>4 8</w:t>
            </w:r>
            <w:r w:rsidR="00A96969" w:rsidRPr="001979F8">
              <w:rPr>
                <w:rFonts w:ascii="Times New Roman" w:hAnsi="Times New Roman" w:cs="Times New Roman"/>
                <w:i/>
                <w:iCs/>
                <w:color w:val="000000"/>
                <w:sz w:val="20"/>
                <w:szCs w:val="20"/>
              </w:rPr>
              <w:t>e</w:t>
            </w:r>
            <w:r w:rsidR="00A96969">
              <w:rPr>
                <w:rFonts w:ascii="Times New Roman" w:hAnsi="Times New Roman" w:cs="Times New Roman"/>
                <w:color w:val="000000"/>
                <w:sz w:val="20"/>
                <w:szCs w:val="20"/>
              </w:rPr>
              <w:t>-3</w:t>
            </w:r>
          </w:p>
        </w:tc>
        <w:tc>
          <w:tcPr>
            <w:tcW w:w="1254" w:type="dxa"/>
            <w:tcBorders>
              <w:top w:val="single" w:sz="18" w:space="0" w:color="auto"/>
              <w:left w:val="nil"/>
              <w:bottom w:val="nil"/>
              <w:right w:val="nil"/>
            </w:tcBorders>
            <w:vAlign w:val="center"/>
          </w:tcPr>
          <w:p w14:paraId="0E8070BA" w14:textId="4B11F2B8"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0.0</w:t>
            </w:r>
            <w:r w:rsidR="00A96969">
              <w:rPr>
                <w:rFonts w:ascii="Times New Roman" w:hAnsi="Times New Roman" w:cs="Times New Roman"/>
                <w:color w:val="000000"/>
                <w:sz w:val="20"/>
                <w:szCs w:val="20"/>
              </w:rPr>
              <w:t>9</w:t>
            </w:r>
            <w:r w:rsidRPr="00F44CD7">
              <w:rPr>
                <w:rFonts w:ascii="Times New Roman" w:hAnsi="Times New Roman" w:cs="Times New Roman"/>
                <w:color w:val="000000"/>
                <w:sz w:val="20"/>
                <w:szCs w:val="20"/>
              </w:rPr>
              <w:t xml:space="preserve"> </w:t>
            </w:r>
            <w:r w:rsidR="00A96969">
              <w:rPr>
                <w:rFonts w:ascii="Times New Roman" w:hAnsi="Times New Roman" w:cs="Times New Roman"/>
                <w:color w:val="000000"/>
                <w:sz w:val="20"/>
                <w:szCs w:val="20"/>
              </w:rPr>
              <w:t>6</w:t>
            </w:r>
            <w:r w:rsidR="00A96969" w:rsidRPr="001979F8">
              <w:rPr>
                <w:rFonts w:ascii="Times New Roman" w:hAnsi="Times New Roman" w:cs="Times New Roman"/>
                <w:i/>
                <w:iCs/>
                <w:color w:val="000000"/>
                <w:sz w:val="20"/>
                <w:szCs w:val="20"/>
              </w:rPr>
              <w:t xml:space="preserve"> e</w:t>
            </w:r>
            <w:r w:rsidR="00A96969">
              <w:rPr>
                <w:rFonts w:ascii="Times New Roman" w:hAnsi="Times New Roman" w:cs="Times New Roman"/>
                <w:color w:val="000000"/>
                <w:sz w:val="20"/>
                <w:szCs w:val="20"/>
              </w:rPr>
              <w:t>-3</w:t>
            </w:r>
          </w:p>
        </w:tc>
        <w:tc>
          <w:tcPr>
            <w:tcW w:w="1008" w:type="dxa"/>
            <w:tcBorders>
              <w:top w:val="single" w:sz="18" w:space="0" w:color="auto"/>
              <w:left w:val="nil"/>
              <w:bottom w:val="nil"/>
              <w:right w:val="nil"/>
            </w:tcBorders>
            <w:vAlign w:val="center"/>
          </w:tcPr>
          <w:p w14:paraId="70714EBB" w14:textId="5FF83549" w:rsidR="00F44CD7" w:rsidRPr="00F44CD7" w:rsidRDefault="00F44CD7" w:rsidP="00F44CD7">
            <w:pPr>
              <w:jc w:val="center"/>
              <w:rPr>
                <w:rFonts w:ascii="Times New Roman" w:hAnsi="Times New Roman" w:cs="Times New Roman"/>
                <w:color w:val="000000"/>
                <w:sz w:val="20"/>
                <w:szCs w:val="20"/>
              </w:rPr>
            </w:pPr>
            <w:r w:rsidRPr="00F44CD7">
              <w:rPr>
                <w:rFonts w:ascii="Times New Roman" w:hAnsi="Times New Roman" w:cs="Times New Roman"/>
                <w:color w:val="000000"/>
                <w:sz w:val="20"/>
                <w:szCs w:val="20"/>
              </w:rPr>
              <w:t>86.9</w:t>
            </w:r>
          </w:p>
        </w:tc>
        <w:tc>
          <w:tcPr>
            <w:tcW w:w="1316" w:type="dxa"/>
            <w:tcBorders>
              <w:top w:val="single" w:sz="18" w:space="0" w:color="auto"/>
              <w:left w:val="nil"/>
              <w:bottom w:val="nil"/>
              <w:right w:val="nil"/>
            </w:tcBorders>
            <w:vAlign w:val="center"/>
          </w:tcPr>
          <w:p w14:paraId="45E660DB" w14:textId="071074CD" w:rsidR="00F44CD7" w:rsidRPr="00F44CD7" w:rsidRDefault="00F44CD7" w:rsidP="00F44CD7">
            <w:pPr>
              <w:jc w:val="center"/>
              <w:rPr>
                <w:rFonts w:ascii="Times New Roman" w:hAnsi="Times New Roman" w:cs="Times New Roman"/>
                <w:color w:val="000000"/>
                <w:sz w:val="20"/>
                <w:szCs w:val="20"/>
              </w:rPr>
            </w:pPr>
            <w:r w:rsidRPr="00F44CD7">
              <w:rPr>
                <w:rFonts w:ascii="Times New Roman" w:hAnsi="Times New Roman" w:cs="Times New Roman"/>
                <w:color w:val="000000"/>
                <w:sz w:val="20"/>
                <w:szCs w:val="20"/>
              </w:rPr>
              <w:t>317</w:t>
            </w:r>
          </w:p>
        </w:tc>
        <w:tc>
          <w:tcPr>
            <w:tcW w:w="1372" w:type="dxa"/>
            <w:tcBorders>
              <w:top w:val="single" w:sz="18" w:space="0" w:color="auto"/>
              <w:left w:val="nil"/>
              <w:bottom w:val="nil"/>
              <w:right w:val="nil"/>
            </w:tcBorders>
            <w:vAlign w:val="center"/>
          </w:tcPr>
          <w:p w14:paraId="321E9464" w14:textId="7F491A31"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4.2</w:t>
            </w:r>
          </w:p>
        </w:tc>
      </w:tr>
      <w:tr w:rsidR="00F44CD7" w:rsidRPr="005C0315" w14:paraId="781E028E" w14:textId="77777777" w:rsidTr="00411D2D">
        <w:tc>
          <w:tcPr>
            <w:tcW w:w="1750" w:type="dxa"/>
            <w:tcBorders>
              <w:top w:val="nil"/>
              <w:left w:val="nil"/>
              <w:bottom w:val="nil"/>
              <w:right w:val="nil"/>
            </w:tcBorders>
          </w:tcPr>
          <w:p w14:paraId="6CD5F0D6" w14:textId="0957CA22" w:rsidR="00F44CD7" w:rsidRPr="000720AC" w:rsidRDefault="00F44CD7" w:rsidP="00F44CD7">
            <w:pPr>
              <w:jc w:val="center"/>
              <w:rPr>
                <w:rFonts w:ascii="Times New Roman" w:hAnsi="Times New Roman" w:cs="Times New Roman"/>
                <w:i/>
                <w:iCs/>
                <w:sz w:val="20"/>
                <w:szCs w:val="20"/>
              </w:rPr>
            </w:pPr>
            <w:r w:rsidRPr="00061A71">
              <w:rPr>
                <w:rFonts w:ascii="Times New Roman" w:hAnsi="Times New Roman" w:cs="Times New Roman"/>
                <w:i/>
                <w:iCs/>
                <w:sz w:val="20"/>
                <w:szCs w:val="20"/>
              </w:rPr>
              <w:t>C. humboldtianum sensu stricto group</w:t>
            </w:r>
          </w:p>
        </w:tc>
        <w:tc>
          <w:tcPr>
            <w:tcW w:w="444" w:type="dxa"/>
            <w:tcBorders>
              <w:top w:val="nil"/>
              <w:left w:val="nil"/>
              <w:bottom w:val="nil"/>
              <w:right w:val="nil"/>
            </w:tcBorders>
            <w:vAlign w:val="center"/>
          </w:tcPr>
          <w:p w14:paraId="66853CEC" w14:textId="7F9AD7FA"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7</w:t>
            </w:r>
          </w:p>
        </w:tc>
        <w:tc>
          <w:tcPr>
            <w:tcW w:w="1226" w:type="dxa"/>
            <w:tcBorders>
              <w:top w:val="nil"/>
              <w:left w:val="nil"/>
              <w:bottom w:val="nil"/>
              <w:right w:val="nil"/>
            </w:tcBorders>
            <w:vAlign w:val="center"/>
          </w:tcPr>
          <w:p w14:paraId="207F1B41" w14:textId="2BBF39BD"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0.1</w:t>
            </w:r>
            <w:r w:rsidR="00A96969">
              <w:rPr>
                <w:rFonts w:ascii="Times New Roman" w:hAnsi="Times New Roman" w:cs="Times New Roman"/>
                <w:color w:val="000000"/>
                <w:sz w:val="20"/>
                <w:szCs w:val="20"/>
              </w:rPr>
              <w:t>3</w:t>
            </w:r>
            <w:r w:rsidRPr="00F44CD7">
              <w:rPr>
                <w:rFonts w:ascii="Times New Roman" w:hAnsi="Times New Roman" w:cs="Times New Roman"/>
                <w:color w:val="000000"/>
                <w:sz w:val="20"/>
                <w:szCs w:val="20"/>
              </w:rPr>
              <w:t xml:space="preserve"> 3</w:t>
            </w:r>
            <w:r w:rsidR="00A96969" w:rsidRPr="001979F8">
              <w:rPr>
                <w:rFonts w:ascii="Times New Roman" w:hAnsi="Times New Roman" w:cs="Times New Roman"/>
                <w:i/>
                <w:iCs/>
                <w:color w:val="000000"/>
                <w:sz w:val="20"/>
                <w:szCs w:val="20"/>
              </w:rPr>
              <w:t>e</w:t>
            </w:r>
            <w:r w:rsidR="00A96969">
              <w:rPr>
                <w:rFonts w:ascii="Times New Roman" w:hAnsi="Times New Roman" w:cs="Times New Roman"/>
                <w:color w:val="000000"/>
                <w:sz w:val="20"/>
                <w:szCs w:val="20"/>
              </w:rPr>
              <w:t>-3</w:t>
            </w:r>
          </w:p>
        </w:tc>
        <w:tc>
          <w:tcPr>
            <w:tcW w:w="990" w:type="dxa"/>
            <w:tcBorders>
              <w:top w:val="nil"/>
              <w:left w:val="nil"/>
              <w:bottom w:val="nil"/>
              <w:right w:val="nil"/>
            </w:tcBorders>
            <w:vAlign w:val="center"/>
          </w:tcPr>
          <w:p w14:paraId="47454735" w14:textId="520F6E65"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0.1</w:t>
            </w:r>
            <w:r w:rsidR="00A96969">
              <w:rPr>
                <w:rFonts w:ascii="Times New Roman" w:hAnsi="Times New Roman" w:cs="Times New Roman"/>
                <w:color w:val="000000"/>
                <w:sz w:val="20"/>
                <w:szCs w:val="20"/>
              </w:rPr>
              <w:t>2</w:t>
            </w:r>
            <w:r w:rsidRPr="00F44CD7">
              <w:rPr>
                <w:rFonts w:ascii="Times New Roman" w:hAnsi="Times New Roman" w:cs="Times New Roman"/>
                <w:color w:val="000000"/>
                <w:sz w:val="20"/>
                <w:szCs w:val="20"/>
              </w:rPr>
              <w:t xml:space="preserve"> </w:t>
            </w:r>
            <w:r w:rsidR="00A96969">
              <w:rPr>
                <w:rFonts w:ascii="Times New Roman" w:hAnsi="Times New Roman" w:cs="Times New Roman"/>
                <w:color w:val="000000"/>
                <w:sz w:val="20"/>
                <w:szCs w:val="20"/>
              </w:rPr>
              <w:t>3</w:t>
            </w:r>
            <w:r w:rsidR="00A96969" w:rsidRPr="001979F8">
              <w:rPr>
                <w:rFonts w:ascii="Times New Roman" w:hAnsi="Times New Roman" w:cs="Times New Roman"/>
                <w:i/>
                <w:iCs/>
                <w:color w:val="000000"/>
                <w:sz w:val="20"/>
                <w:szCs w:val="20"/>
              </w:rPr>
              <w:t>e</w:t>
            </w:r>
            <w:r w:rsidR="00A96969">
              <w:rPr>
                <w:rFonts w:ascii="Times New Roman" w:hAnsi="Times New Roman" w:cs="Times New Roman"/>
                <w:color w:val="000000"/>
                <w:sz w:val="20"/>
                <w:szCs w:val="20"/>
              </w:rPr>
              <w:t>-3</w:t>
            </w:r>
          </w:p>
        </w:tc>
        <w:tc>
          <w:tcPr>
            <w:tcW w:w="1254" w:type="dxa"/>
            <w:tcBorders>
              <w:top w:val="nil"/>
              <w:left w:val="nil"/>
              <w:bottom w:val="nil"/>
              <w:right w:val="nil"/>
            </w:tcBorders>
            <w:vAlign w:val="center"/>
          </w:tcPr>
          <w:p w14:paraId="47C997BE" w14:textId="01F4A5BD"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-0.06</w:t>
            </w:r>
            <w:r w:rsidR="00A96969">
              <w:rPr>
                <w:rFonts w:ascii="Times New Roman" w:hAnsi="Times New Roman" w:cs="Times New Roman"/>
                <w:color w:val="000000"/>
                <w:sz w:val="20"/>
                <w:szCs w:val="20"/>
              </w:rPr>
              <w:t xml:space="preserve"> 7</w:t>
            </w:r>
            <w:r w:rsidR="00A96969" w:rsidRPr="001979F8">
              <w:rPr>
                <w:rFonts w:ascii="Times New Roman" w:hAnsi="Times New Roman" w:cs="Times New Roman"/>
                <w:i/>
                <w:iCs/>
                <w:color w:val="000000"/>
                <w:sz w:val="20"/>
                <w:szCs w:val="20"/>
              </w:rPr>
              <w:t>e</w:t>
            </w:r>
            <w:r w:rsidR="00A96969">
              <w:rPr>
                <w:rFonts w:ascii="Times New Roman" w:hAnsi="Times New Roman" w:cs="Times New Roman"/>
                <w:color w:val="000000"/>
                <w:sz w:val="20"/>
                <w:szCs w:val="20"/>
              </w:rPr>
              <w:t>-3</w:t>
            </w:r>
          </w:p>
        </w:tc>
        <w:tc>
          <w:tcPr>
            <w:tcW w:w="1008" w:type="dxa"/>
            <w:tcBorders>
              <w:top w:val="nil"/>
              <w:left w:val="nil"/>
              <w:bottom w:val="nil"/>
              <w:right w:val="nil"/>
            </w:tcBorders>
            <w:vAlign w:val="center"/>
          </w:tcPr>
          <w:p w14:paraId="1BCF258C" w14:textId="65D6AE15" w:rsidR="00F44CD7" w:rsidRPr="00F44CD7" w:rsidRDefault="00F44CD7" w:rsidP="00F44CD7">
            <w:pPr>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r w:rsidRPr="00F44CD7">
              <w:rPr>
                <w:rFonts w:ascii="Times New Roman" w:hAnsi="Times New Roman" w:cs="Times New Roman"/>
                <w:color w:val="000000"/>
                <w:sz w:val="20"/>
                <w:szCs w:val="20"/>
              </w:rPr>
              <w:t>nfinite</w:t>
            </w:r>
          </w:p>
        </w:tc>
        <w:tc>
          <w:tcPr>
            <w:tcW w:w="1316" w:type="dxa"/>
            <w:tcBorders>
              <w:top w:val="nil"/>
              <w:left w:val="nil"/>
              <w:bottom w:val="nil"/>
              <w:right w:val="nil"/>
            </w:tcBorders>
            <w:vAlign w:val="center"/>
          </w:tcPr>
          <w:p w14:paraId="74E0374F" w14:textId="07F0163B" w:rsidR="00F44CD7" w:rsidRPr="00F44CD7" w:rsidRDefault="00F44CD7" w:rsidP="00F44CD7">
            <w:pPr>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r w:rsidRPr="00F44CD7">
              <w:rPr>
                <w:rFonts w:ascii="Times New Roman" w:hAnsi="Times New Roman" w:cs="Times New Roman"/>
                <w:color w:val="000000"/>
                <w:sz w:val="20"/>
                <w:szCs w:val="20"/>
              </w:rPr>
              <w:t>nfinite</w:t>
            </w:r>
          </w:p>
        </w:tc>
        <w:tc>
          <w:tcPr>
            <w:tcW w:w="1372" w:type="dxa"/>
            <w:tcBorders>
              <w:top w:val="nil"/>
              <w:left w:val="nil"/>
              <w:bottom w:val="nil"/>
              <w:right w:val="nil"/>
            </w:tcBorders>
            <w:vAlign w:val="center"/>
          </w:tcPr>
          <w:p w14:paraId="58B6CE87" w14:textId="3080719C"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3</w:t>
            </w:r>
          </w:p>
        </w:tc>
      </w:tr>
      <w:tr w:rsidR="00F44CD7" w:rsidRPr="005C0315" w14:paraId="1B059F67" w14:textId="77777777" w:rsidTr="00411D2D">
        <w:tc>
          <w:tcPr>
            <w:tcW w:w="1750" w:type="dxa"/>
            <w:tcBorders>
              <w:top w:val="nil"/>
              <w:left w:val="nil"/>
              <w:bottom w:val="single" w:sz="18" w:space="0" w:color="auto"/>
              <w:right w:val="nil"/>
            </w:tcBorders>
          </w:tcPr>
          <w:p w14:paraId="4821433C" w14:textId="4C97D70E" w:rsidR="00F44CD7" w:rsidRPr="005C0315" w:rsidRDefault="00F44CD7" w:rsidP="00F44CD7">
            <w:pPr>
              <w:jc w:val="center"/>
              <w:rPr>
                <w:rFonts w:ascii="Times New Roman" w:hAnsi="Times New Roman" w:cs="Times New Roman"/>
                <w:sz w:val="20"/>
                <w:szCs w:val="20"/>
              </w:rPr>
            </w:pPr>
            <w:r w:rsidRPr="00061A71">
              <w:rPr>
                <w:rFonts w:ascii="Times New Roman" w:hAnsi="Times New Roman" w:cs="Times New Roman"/>
                <w:i/>
                <w:iCs/>
                <w:sz w:val="20"/>
                <w:szCs w:val="20"/>
              </w:rPr>
              <w:t>C. estor group</w:t>
            </w:r>
          </w:p>
        </w:tc>
        <w:tc>
          <w:tcPr>
            <w:tcW w:w="444" w:type="dxa"/>
            <w:tcBorders>
              <w:top w:val="nil"/>
              <w:left w:val="nil"/>
              <w:bottom w:val="single" w:sz="18" w:space="0" w:color="auto"/>
              <w:right w:val="nil"/>
            </w:tcBorders>
            <w:vAlign w:val="center"/>
          </w:tcPr>
          <w:p w14:paraId="3F1D41F8" w14:textId="4500E6DD"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24</w:t>
            </w:r>
          </w:p>
        </w:tc>
        <w:tc>
          <w:tcPr>
            <w:tcW w:w="1226" w:type="dxa"/>
            <w:tcBorders>
              <w:top w:val="nil"/>
              <w:left w:val="nil"/>
              <w:bottom w:val="single" w:sz="18" w:space="0" w:color="auto"/>
              <w:right w:val="nil"/>
            </w:tcBorders>
            <w:vAlign w:val="center"/>
          </w:tcPr>
          <w:p w14:paraId="60789385" w14:textId="4C78BABE"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0.10</w:t>
            </w:r>
            <w:r w:rsidR="00A96969">
              <w:rPr>
                <w:rFonts w:ascii="Times New Roman" w:hAnsi="Times New Roman" w:cs="Times New Roman"/>
                <w:color w:val="000000"/>
                <w:sz w:val="20"/>
                <w:szCs w:val="20"/>
              </w:rPr>
              <w:t xml:space="preserve"> 3</w:t>
            </w:r>
            <w:r w:rsidR="00A96969" w:rsidRPr="001979F8">
              <w:rPr>
                <w:rFonts w:ascii="Times New Roman" w:hAnsi="Times New Roman" w:cs="Times New Roman"/>
                <w:i/>
                <w:iCs/>
                <w:color w:val="000000"/>
                <w:sz w:val="20"/>
                <w:szCs w:val="20"/>
              </w:rPr>
              <w:t>e</w:t>
            </w:r>
            <w:r w:rsidR="00A96969">
              <w:rPr>
                <w:rFonts w:ascii="Times New Roman" w:hAnsi="Times New Roman" w:cs="Times New Roman"/>
                <w:color w:val="000000"/>
                <w:sz w:val="20"/>
                <w:szCs w:val="20"/>
              </w:rPr>
              <w:t>-3</w:t>
            </w:r>
          </w:p>
        </w:tc>
        <w:tc>
          <w:tcPr>
            <w:tcW w:w="990" w:type="dxa"/>
            <w:tcBorders>
              <w:top w:val="nil"/>
              <w:left w:val="nil"/>
              <w:bottom w:val="single" w:sz="18" w:space="0" w:color="auto"/>
              <w:right w:val="nil"/>
            </w:tcBorders>
            <w:vAlign w:val="center"/>
          </w:tcPr>
          <w:p w14:paraId="0CC039A6" w14:textId="6FC018BD"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 xml:space="preserve">0.10 </w:t>
            </w:r>
            <w:r w:rsidR="00A96969">
              <w:rPr>
                <w:rFonts w:ascii="Times New Roman" w:hAnsi="Times New Roman" w:cs="Times New Roman"/>
                <w:color w:val="000000"/>
                <w:sz w:val="20"/>
                <w:szCs w:val="20"/>
              </w:rPr>
              <w:t>3</w:t>
            </w:r>
            <w:r w:rsidR="00A96969" w:rsidRPr="001979F8">
              <w:rPr>
                <w:rFonts w:ascii="Times New Roman" w:hAnsi="Times New Roman" w:cs="Times New Roman"/>
                <w:i/>
                <w:iCs/>
                <w:color w:val="000000"/>
                <w:sz w:val="20"/>
                <w:szCs w:val="20"/>
              </w:rPr>
              <w:t>e</w:t>
            </w:r>
            <w:r w:rsidR="00A96969">
              <w:rPr>
                <w:rFonts w:ascii="Times New Roman" w:hAnsi="Times New Roman" w:cs="Times New Roman"/>
                <w:color w:val="000000"/>
                <w:sz w:val="20"/>
                <w:szCs w:val="20"/>
              </w:rPr>
              <w:t>-3</w:t>
            </w:r>
          </w:p>
        </w:tc>
        <w:tc>
          <w:tcPr>
            <w:tcW w:w="1254" w:type="dxa"/>
            <w:tcBorders>
              <w:top w:val="nil"/>
              <w:left w:val="nil"/>
              <w:bottom w:val="single" w:sz="18" w:space="0" w:color="auto"/>
              <w:right w:val="nil"/>
            </w:tcBorders>
            <w:vAlign w:val="center"/>
          </w:tcPr>
          <w:p w14:paraId="45705119" w14:textId="442B8D37"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0.10</w:t>
            </w:r>
            <w:r w:rsidR="00A96969">
              <w:rPr>
                <w:rFonts w:ascii="Times New Roman" w:hAnsi="Times New Roman" w:cs="Times New Roman"/>
                <w:color w:val="000000"/>
                <w:sz w:val="20"/>
                <w:szCs w:val="20"/>
              </w:rPr>
              <w:t xml:space="preserve"> 8</w:t>
            </w:r>
            <w:r w:rsidR="00A96969" w:rsidRPr="001979F8">
              <w:rPr>
                <w:rFonts w:ascii="Times New Roman" w:hAnsi="Times New Roman" w:cs="Times New Roman"/>
                <w:i/>
                <w:iCs/>
                <w:color w:val="000000"/>
                <w:sz w:val="20"/>
                <w:szCs w:val="20"/>
              </w:rPr>
              <w:t>e</w:t>
            </w:r>
            <w:r w:rsidR="00A96969">
              <w:rPr>
                <w:rFonts w:ascii="Times New Roman" w:hAnsi="Times New Roman" w:cs="Times New Roman"/>
                <w:color w:val="000000"/>
                <w:sz w:val="20"/>
                <w:szCs w:val="20"/>
              </w:rPr>
              <w:t>-3</w:t>
            </w:r>
          </w:p>
        </w:tc>
        <w:tc>
          <w:tcPr>
            <w:tcW w:w="1008" w:type="dxa"/>
            <w:tcBorders>
              <w:top w:val="nil"/>
              <w:left w:val="nil"/>
              <w:bottom w:val="single" w:sz="18" w:space="0" w:color="auto"/>
              <w:right w:val="nil"/>
            </w:tcBorders>
            <w:vAlign w:val="center"/>
          </w:tcPr>
          <w:p w14:paraId="00E403FA" w14:textId="79BEC7DD" w:rsidR="00F44CD7" w:rsidRPr="00F44CD7" w:rsidRDefault="00F44CD7" w:rsidP="00F44CD7">
            <w:pPr>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r w:rsidRPr="00F44CD7">
              <w:rPr>
                <w:rFonts w:ascii="Times New Roman" w:hAnsi="Times New Roman" w:cs="Times New Roman"/>
                <w:color w:val="000000"/>
                <w:sz w:val="20"/>
                <w:szCs w:val="20"/>
              </w:rPr>
              <w:t>nfinite</w:t>
            </w:r>
          </w:p>
        </w:tc>
        <w:tc>
          <w:tcPr>
            <w:tcW w:w="1316" w:type="dxa"/>
            <w:tcBorders>
              <w:top w:val="nil"/>
              <w:left w:val="nil"/>
              <w:bottom w:val="single" w:sz="18" w:space="0" w:color="auto"/>
              <w:right w:val="nil"/>
            </w:tcBorders>
            <w:vAlign w:val="center"/>
          </w:tcPr>
          <w:p w14:paraId="467943C5" w14:textId="289D7291" w:rsidR="00F44CD7" w:rsidRPr="00F44CD7" w:rsidRDefault="00F44CD7" w:rsidP="00F44CD7">
            <w:pPr>
              <w:jc w:val="center"/>
              <w:rPr>
                <w:rFonts w:ascii="Times New Roman" w:hAnsi="Times New Roman" w:cs="Times New Roman"/>
                <w:color w:val="000000"/>
                <w:sz w:val="20"/>
                <w:szCs w:val="20"/>
              </w:rPr>
            </w:pPr>
            <w:r w:rsidRPr="00F44CD7">
              <w:rPr>
                <w:rFonts w:ascii="Times New Roman" w:hAnsi="Times New Roman" w:cs="Times New Roman"/>
                <w:color w:val="000000"/>
                <w:sz w:val="20"/>
                <w:szCs w:val="20"/>
              </w:rPr>
              <w:t>106.4</w:t>
            </w:r>
          </w:p>
        </w:tc>
        <w:tc>
          <w:tcPr>
            <w:tcW w:w="1372" w:type="dxa"/>
            <w:tcBorders>
              <w:top w:val="nil"/>
              <w:left w:val="nil"/>
              <w:bottom w:val="single" w:sz="18" w:space="0" w:color="auto"/>
              <w:right w:val="nil"/>
            </w:tcBorders>
            <w:vAlign w:val="center"/>
          </w:tcPr>
          <w:p w14:paraId="3529AE04" w14:textId="6452061A" w:rsidR="00F44CD7" w:rsidRPr="00F44CD7" w:rsidRDefault="00F44CD7" w:rsidP="00F44CD7">
            <w:pPr>
              <w:jc w:val="center"/>
              <w:rPr>
                <w:rFonts w:ascii="Times New Roman" w:hAnsi="Times New Roman" w:cs="Times New Roman"/>
                <w:sz w:val="20"/>
                <w:szCs w:val="20"/>
              </w:rPr>
            </w:pPr>
            <w:r w:rsidRPr="00F44CD7">
              <w:rPr>
                <w:rFonts w:ascii="Times New Roman" w:hAnsi="Times New Roman" w:cs="Times New Roman"/>
                <w:color w:val="000000"/>
                <w:sz w:val="20"/>
                <w:szCs w:val="20"/>
              </w:rPr>
              <w:t>4.4</w:t>
            </w:r>
          </w:p>
        </w:tc>
      </w:tr>
      <w:tr w:rsidR="00F44CD7" w:rsidRPr="005C0315" w14:paraId="24E93E32" w14:textId="77777777" w:rsidTr="000720AC">
        <w:tc>
          <w:tcPr>
            <w:tcW w:w="9360" w:type="dxa"/>
            <w:gridSpan w:val="8"/>
            <w:tcBorders>
              <w:top w:val="single" w:sz="18" w:space="0" w:color="auto"/>
              <w:left w:val="nil"/>
              <w:bottom w:val="nil"/>
              <w:right w:val="nil"/>
            </w:tcBorders>
          </w:tcPr>
          <w:p w14:paraId="41C104FD" w14:textId="7277AB60" w:rsidR="00F44CD7" w:rsidRPr="005C0315" w:rsidRDefault="00F44CD7" w:rsidP="00F44CD7">
            <w:pPr>
              <w:jc w:val="both"/>
              <w:rPr>
                <w:rFonts w:ascii="Times New Roman" w:hAnsi="Times New Roman" w:cs="Times New Roman"/>
                <w:sz w:val="20"/>
                <w:szCs w:val="20"/>
              </w:rPr>
            </w:pPr>
            <w:r w:rsidRPr="00822411">
              <w:rPr>
                <w:rFonts w:ascii="Times New Roman" w:hAnsi="Times New Roman" w:cs="Times New Roman"/>
                <w:i/>
                <w:iCs/>
                <w:sz w:val="20"/>
                <w:szCs w:val="20"/>
              </w:rPr>
              <w:t>N</w:t>
            </w:r>
            <w:r w:rsidRPr="00822411">
              <w:rPr>
                <w:rFonts w:ascii="Times New Roman" w:hAnsi="Times New Roman" w:cs="Times New Roman"/>
                <w:sz w:val="20"/>
                <w:szCs w:val="20"/>
              </w:rPr>
              <w:t xml:space="preserve"> number of individuals analyzed per group, observed (</w:t>
            </w:r>
            <w:r w:rsidRPr="00822411">
              <w:rPr>
                <w:rFonts w:ascii="Times New Roman" w:hAnsi="Times New Roman" w:cs="Times New Roman"/>
                <w:i/>
                <w:iCs/>
                <w:sz w:val="20"/>
                <w:szCs w:val="20"/>
              </w:rPr>
              <w:t>H</w:t>
            </w:r>
            <w:r w:rsidRPr="00822411">
              <w:rPr>
                <w:rFonts w:ascii="Times New Roman" w:hAnsi="Times New Roman" w:cs="Times New Roman"/>
                <w:i/>
                <w:iCs/>
                <w:sz w:val="20"/>
                <w:szCs w:val="20"/>
                <w:vertAlign w:val="subscript"/>
              </w:rPr>
              <w:t>O</w:t>
            </w:r>
            <w:r w:rsidRPr="00822411">
              <w:rPr>
                <w:rFonts w:ascii="Times New Roman" w:hAnsi="Times New Roman" w:cs="Times New Roman"/>
                <w:sz w:val="20"/>
                <w:szCs w:val="20"/>
              </w:rPr>
              <w:t>) and expected (</w:t>
            </w:r>
            <w:r w:rsidRPr="00822411">
              <w:rPr>
                <w:rFonts w:ascii="Times New Roman" w:hAnsi="Times New Roman" w:cs="Times New Roman"/>
                <w:i/>
                <w:iCs/>
                <w:sz w:val="20"/>
                <w:szCs w:val="20"/>
              </w:rPr>
              <w:t>H</w:t>
            </w:r>
            <w:r w:rsidRPr="00822411">
              <w:rPr>
                <w:rFonts w:ascii="Times New Roman" w:hAnsi="Times New Roman" w:cs="Times New Roman"/>
                <w:i/>
                <w:iCs/>
                <w:sz w:val="20"/>
                <w:szCs w:val="20"/>
                <w:vertAlign w:val="subscript"/>
              </w:rPr>
              <w:t>E</w:t>
            </w:r>
            <w:r w:rsidRPr="00822411">
              <w:rPr>
                <w:rFonts w:ascii="Times New Roman" w:hAnsi="Times New Roman" w:cs="Times New Roman"/>
                <w:sz w:val="20"/>
                <w:szCs w:val="20"/>
              </w:rPr>
              <w:t>) heterozygosity, fixation index coefficient (</w:t>
            </w:r>
            <w:r w:rsidRPr="00822411">
              <w:rPr>
                <w:rFonts w:ascii="Times New Roman" w:hAnsi="Times New Roman" w:cs="Times New Roman"/>
                <w:i/>
                <w:iCs/>
                <w:sz w:val="20"/>
                <w:szCs w:val="20"/>
              </w:rPr>
              <w:t>F</w:t>
            </w:r>
            <w:r w:rsidRPr="00822411">
              <w:rPr>
                <w:rFonts w:ascii="Times New Roman" w:hAnsi="Times New Roman" w:cs="Times New Roman"/>
                <w:sz w:val="20"/>
                <w:szCs w:val="20"/>
              </w:rPr>
              <w:t>), linkage disequilibrium effective (</w:t>
            </w:r>
            <w:proofErr w:type="spellStart"/>
            <w:r w:rsidRPr="00822411">
              <w:rPr>
                <w:rFonts w:ascii="Times New Roman" w:hAnsi="Times New Roman" w:cs="Times New Roman"/>
                <w:i/>
                <w:iCs/>
                <w:sz w:val="20"/>
                <w:szCs w:val="20"/>
              </w:rPr>
              <w:t>LDNe</w:t>
            </w:r>
            <w:proofErr w:type="spellEnd"/>
            <w:r w:rsidRPr="00822411">
              <w:rPr>
                <w:rFonts w:ascii="Times New Roman" w:hAnsi="Times New Roman" w:cs="Times New Roman"/>
                <w:sz w:val="20"/>
                <w:szCs w:val="20"/>
              </w:rPr>
              <w:t>), heterozygote-excess (</w:t>
            </w:r>
            <w:proofErr w:type="spellStart"/>
            <w:r w:rsidRPr="00822411">
              <w:rPr>
                <w:rFonts w:ascii="Times New Roman" w:hAnsi="Times New Roman" w:cs="Times New Roman"/>
                <w:i/>
                <w:iCs/>
                <w:sz w:val="20"/>
                <w:szCs w:val="20"/>
              </w:rPr>
              <w:t>HetExcessNe</w:t>
            </w:r>
            <w:proofErr w:type="spellEnd"/>
            <w:r w:rsidRPr="00822411">
              <w:rPr>
                <w:rFonts w:ascii="Times New Roman" w:hAnsi="Times New Roman" w:cs="Times New Roman"/>
                <w:sz w:val="20"/>
                <w:szCs w:val="20"/>
              </w:rPr>
              <w:t xml:space="preserve">), and molecular </w:t>
            </w:r>
            <w:proofErr w:type="spellStart"/>
            <w:r w:rsidRPr="00822411">
              <w:rPr>
                <w:rFonts w:ascii="Times New Roman" w:hAnsi="Times New Roman" w:cs="Times New Roman"/>
                <w:sz w:val="20"/>
                <w:szCs w:val="20"/>
              </w:rPr>
              <w:t>coancestry</w:t>
            </w:r>
            <w:proofErr w:type="spellEnd"/>
            <w:r w:rsidRPr="00822411">
              <w:rPr>
                <w:rFonts w:ascii="Times New Roman" w:hAnsi="Times New Roman" w:cs="Times New Roman"/>
                <w:sz w:val="20"/>
                <w:szCs w:val="20"/>
              </w:rPr>
              <w:t xml:space="preserve"> (</w:t>
            </w:r>
            <w:proofErr w:type="spellStart"/>
            <w:r w:rsidRPr="00822411">
              <w:rPr>
                <w:rFonts w:ascii="Times New Roman" w:hAnsi="Times New Roman" w:cs="Times New Roman"/>
                <w:i/>
                <w:iCs/>
                <w:sz w:val="20"/>
                <w:szCs w:val="20"/>
              </w:rPr>
              <w:t>CoancestryNe</w:t>
            </w:r>
            <w:proofErr w:type="spellEnd"/>
            <w:r w:rsidRPr="00822411">
              <w:rPr>
                <w:rFonts w:ascii="Times New Roman" w:hAnsi="Times New Roman" w:cs="Times New Roman"/>
                <w:sz w:val="20"/>
                <w:szCs w:val="20"/>
              </w:rPr>
              <w:t xml:space="preserve">) population size estimators. SD= standard deviation; CI= confidence intervals. The grey shading in the cells indicates the highest values of genetic diversity. </w:t>
            </w:r>
            <w:proofErr w:type="spellStart"/>
            <w:r w:rsidRPr="00822411">
              <w:rPr>
                <w:rFonts w:ascii="Times New Roman" w:hAnsi="Times New Roman" w:cs="Times New Roman"/>
                <w:sz w:val="20"/>
                <w:szCs w:val="20"/>
                <w:vertAlign w:val="superscript"/>
              </w:rPr>
              <w:t>a</w:t>
            </w:r>
            <w:r w:rsidRPr="00822411">
              <w:rPr>
                <w:rFonts w:ascii="Times New Roman" w:hAnsi="Times New Roman" w:cs="Times New Roman"/>
                <w:i/>
                <w:iCs/>
                <w:sz w:val="20"/>
                <w:szCs w:val="20"/>
              </w:rPr>
              <w:t>C</w:t>
            </w:r>
            <w:r w:rsidRPr="00822411">
              <w:rPr>
                <w:rFonts w:ascii="Times New Roman" w:hAnsi="Times New Roman" w:cs="Times New Roman"/>
                <w:sz w:val="20"/>
                <w:szCs w:val="20"/>
              </w:rPr>
              <w:t>.</w:t>
            </w:r>
            <w:proofErr w:type="spellEnd"/>
            <w:r w:rsidRPr="00822411">
              <w:rPr>
                <w:rFonts w:ascii="Times New Roman" w:hAnsi="Times New Roman" w:cs="Times New Roman"/>
                <w:sz w:val="20"/>
                <w:szCs w:val="20"/>
              </w:rPr>
              <w:t xml:space="preserve"> c</w:t>
            </w:r>
            <w:r w:rsidRPr="00822411">
              <w:rPr>
                <w:rFonts w:ascii="Times New Roman" w:hAnsi="Times New Roman" w:cs="Times New Roman"/>
                <w:i/>
                <w:iCs/>
                <w:sz w:val="20"/>
                <w:szCs w:val="20"/>
              </w:rPr>
              <w:t>hapalae</w:t>
            </w:r>
            <w:r w:rsidRPr="00822411">
              <w:rPr>
                <w:rFonts w:ascii="Times New Roman" w:hAnsi="Times New Roman" w:cs="Times New Roman"/>
                <w:sz w:val="20"/>
                <w:szCs w:val="20"/>
              </w:rPr>
              <w:t xml:space="preserve"> group conformed by </w:t>
            </w:r>
            <w:r w:rsidRPr="00822411">
              <w:rPr>
                <w:rFonts w:ascii="Times New Roman" w:hAnsi="Times New Roman" w:cs="Times New Roman"/>
                <w:i/>
                <w:iCs/>
                <w:sz w:val="20"/>
                <w:szCs w:val="20"/>
              </w:rPr>
              <w:t>C. chapalae, C. consocium, C. lucius,</w:t>
            </w:r>
            <w:r w:rsidRPr="00822411">
              <w:rPr>
                <w:rFonts w:ascii="Times New Roman" w:hAnsi="Times New Roman" w:cs="Times New Roman"/>
                <w:sz w:val="20"/>
                <w:szCs w:val="20"/>
              </w:rPr>
              <w:t xml:space="preserve"> and</w:t>
            </w:r>
            <w:r w:rsidRPr="00822411">
              <w:rPr>
                <w:rFonts w:ascii="Times New Roman" w:hAnsi="Times New Roman" w:cs="Times New Roman"/>
                <w:i/>
                <w:iCs/>
                <w:sz w:val="20"/>
                <w:szCs w:val="20"/>
              </w:rPr>
              <w:t xml:space="preserve"> C. promelas</w:t>
            </w:r>
            <w:r w:rsidRPr="00822411">
              <w:rPr>
                <w:rFonts w:ascii="Times New Roman" w:hAnsi="Times New Roman" w:cs="Times New Roman"/>
                <w:sz w:val="20"/>
                <w:szCs w:val="20"/>
              </w:rPr>
              <w:t xml:space="preserve">. </w:t>
            </w:r>
            <w:proofErr w:type="spellStart"/>
            <w:r w:rsidRPr="00822411">
              <w:rPr>
                <w:rFonts w:ascii="Times New Roman" w:hAnsi="Times New Roman" w:cs="Times New Roman"/>
                <w:sz w:val="20"/>
                <w:szCs w:val="20"/>
                <w:vertAlign w:val="superscript"/>
              </w:rPr>
              <w:t>b</w:t>
            </w:r>
            <w:r w:rsidRPr="00822411">
              <w:rPr>
                <w:rFonts w:ascii="Times New Roman" w:hAnsi="Times New Roman" w:cs="Times New Roman"/>
                <w:i/>
                <w:iCs/>
                <w:sz w:val="20"/>
                <w:szCs w:val="20"/>
              </w:rPr>
              <w:t>C</w:t>
            </w:r>
            <w:proofErr w:type="spellEnd"/>
            <w:r w:rsidRPr="00822411">
              <w:rPr>
                <w:rFonts w:ascii="Times New Roman" w:hAnsi="Times New Roman" w:cs="Times New Roman"/>
                <w:i/>
                <w:iCs/>
                <w:sz w:val="20"/>
                <w:szCs w:val="20"/>
              </w:rPr>
              <w:t>. estor</w:t>
            </w:r>
            <w:r w:rsidRPr="00822411">
              <w:rPr>
                <w:rFonts w:ascii="Times New Roman" w:hAnsi="Times New Roman" w:cs="Times New Roman"/>
                <w:sz w:val="20"/>
                <w:szCs w:val="20"/>
              </w:rPr>
              <w:t xml:space="preserve"> group represented by </w:t>
            </w:r>
            <w:r w:rsidRPr="00822411">
              <w:rPr>
                <w:rFonts w:ascii="Times New Roman" w:hAnsi="Times New Roman" w:cs="Times New Roman"/>
                <w:i/>
                <w:iCs/>
                <w:sz w:val="20"/>
                <w:szCs w:val="20"/>
              </w:rPr>
              <w:t>C. e.</w:t>
            </w:r>
            <w:r w:rsidRPr="00822411">
              <w:rPr>
                <w:rFonts w:ascii="Times New Roman" w:hAnsi="Times New Roman" w:cs="Times New Roman"/>
                <w:sz w:val="20"/>
                <w:szCs w:val="20"/>
              </w:rPr>
              <w:t xml:space="preserve"> estor, </w:t>
            </w:r>
            <w:r w:rsidRPr="00822411">
              <w:rPr>
                <w:rFonts w:ascii="Times New Roman" w:hAnsi="Times New Roman" w:cs="Times New Roman"/>
                <w:i/>
                <w:iCs/>
                <w:sz w:val="20"/>
                <w:szCs w:val="20"/>
              </w:rPr>
              <w:t>C. e. copandaro, C. grandocule</w:t>
            </w:r>
            <w:r w:rsidRPr="00822411">
              <w:rPr>
                <w:rFonts w:ascii="Times New Roman" w:hAnsi="Times New Roman" w:cs="Times New Roman"/>
                <w:sz w:val="20"/>
                <w:szCs w:val="20"/>
              </w:rPr>
              <w:t>, and</w:t>
            </w:r>
            <w:r w:rsidRPr="00822411">
              <w:rPr>
                <w:rFonts w:ascii="Times New Roman" w:hAnsi="Times New Roman" w:cs="Times New Roman"/>
                <w:i/>
                <w:iCs/>
                <w:sz w:val="20"/>
                <w:szCs w:val="20"/>
              </w:rPr>
              <w:t xml:space="preserve"> C. patzcuaro</w:t>
            </w:r>
            <w:r w:rsidRPr="00171117">
              <w:rPr>
                <w:rFonts w:ascii="Times New Roman" w:hAnsi="Times New Roman" w:cs="Times New Roman"/>
                <w:sz w:val="20"/>
                <w:szCs w:val="20"/>
              </w:rPr>
              <w:t>.</w:t>
            </w:r>
          </w:p>
        </w:tc>
      </w:tr>
    </w:tbl>
    <w:p w14:paraId="7D828736" w14:textId="77777777" w:rsidR="00FA25A1" w:rsidRDefault="00FA25A1" w:rsidP="00370CB9">
      <w:pPr>
        <w:jc w:val="both"/>
        <w:rPr>
          <w:rFonts w:asciiTheme="majorBidi" w:hAnsiTheme="majorBidi" w:cstheme="majorBidi"/>
          <w:b/>
          <w:bCs/>
          <w:sz w:val="28"/>
          <w:szCs w:val="28"/>
        </w:rPr>
      </w:pPr>
    </w:p>
    <w:p w14:paraId="324787FD" w14:textId="77777777" w:rsidR="00FA25A1" w:rsidRDefault="00FA25A1" w:rsidP="00370CB9">
      <w:pPr>
        <w:jc w:val="both"/>
        <w:rPr>
          <w:rFonts w:asciiTheme="majorBidi" w:hAnsiTheme="majorBidi" w:cstheme="majorBidi"/>
          <w:b/>
          <w:bCs/>
          <w:sz w:val="28"/>
          <w:szCs w:val="28"/>
        </w:rPr>
      </w:pPr>
    </w:p>
    <w:p w14:paraId="07914B3A" w14:textId="77777777" w:rsidR="00FA25A1" w:rsidRDefault="00FA25A1" w:rsidP="00370CB9">
      <w:pPr>
        <w:jc w:val="both"/>
        <w:rPr>
          <w:rFonts w:asciiTheme="majorBidi" w:hAnsiTheme="majorBidi" w:cstheme="majorBidi"/>
          <w:b/>
          <w:bCs/>
          <w:sz w:val="28"/>
          <w:szCs w:val="28"/>
        </w:rPr>
      </w:pPr>
    </w:p>
    <w:p w14:paraId="4A2378AB" w14:textId="77777777" w:rsidR="00FA25A1" w:rsidRDefault="00FA25A1" w:rsidP="00370CB9">
      <w:pPr>
        <w:jc w:val="both"/>
        <w:rPr>
          <w:rFonts w:asciiTheme="majorBidi" w:hAnsiTheme="majorBidi" w:cstheme="majorBidi"/>
          <w:b/>
          <w:bCs/>
          <w:sz w:val="28"/>
          <w:szCs w:val="28"/>
        </w:rPr>
      </w:pPr>
    </w:p>
    <w:p w14:paraId="1B64DE1C" w14:textId="77777777" w:rsidR="00FA25A1" w:rsidRDefault="00FA25A1" w:rsidP="00370CB9">
      <w:pPr>
        <w:jc w:val="both"/>
        <w:rPr>
          <w:rFonts w:asciiTheme="majorBidi" w:hAnsiTheme="majorBidi" w:cstheme="majorBidi"/>
          <w:b/>
          <w:bCs/>
          <w:sz w:val="28"/>
          <w:szCs w:val="28"/>
        </w:rPr>
      </w:pPr>
    </w:p>
    <w:p w14:paraId="24AFA841" w14:textId="611F3B7C" w:rsidR="00CD779B" w:rsidRPr="007911AC" w:rsidRDefault="00CD779B" w:rsidP="00CD779B">
      <w:pPr>
        <w:pStyle w:val="ListParagraph"/>
        <w:numPr>
          <w:ilvl w:val="1"/>
          <w:numId w:val="3"/>
        </w:numPr>
        <w:rPr>
          <w:rFonts w:asciiTheme="majorBidi" w:hAnsiTheme="majorBidi" w:cstheme="majorBidi"/>
          <w:b/>
          <w:bCs/>
          <w:sz w:val="32"/>
          <w:szCs w:val="32"/>
        </w:rPr>
      </w:pPr>
      <w:r>
        <w:rPr>
          <w:rFonts w:asciiTheme="majorBidi" w:hAnsiTheme="majorBidi" w:cstheme="majorBidi"/>
          <w:b/>
          <w:bCs/>
          <w:sz w:val="32"/>
          <w:szCs w:val="32"/>
        </w:rPr>
        <w:lastRenderedPageBreak/>
        <w:t>Discussion</w:t>
      </w:r>
    </w:p>
    <w:p w14:paraId="4E2A4965" w14:textId="77777777" w:rsidR="00CD779B" w:rsidRPr="00CD779B" w:rsidRDefault="00CD779B" w:rsidP="00CD779B">
      <w:pPr>
        <w:jc w:val="both"/>
        <w:rPr>
          <w:rFonts w:asciiTheme="majorBidi" w:hAnsiTheme="majorBidi" w:cstheme="majorBidi"/>
          <w:bCs/>
          <w:sz w:val="24"/>
          <w:szCs w:val="24"/>
        </w:rPr>
      </w:pPr>
      <w:r w:rsidRPr="00CD779B">
        <w:rPr>
          <w:rFonts w:asciiTheme="majorBidi" w:hAnsiTheme="majorBidi" w:cstheme="majorBidi"/>
          <w:bCs/>
          <w:sz w:val="24"/>
          <w:szCs w:val="24"/>
        </w:rPr>
        <w:t xml:space="preserve">In this study, we used ~1,800 to ~33,000 SNPs to test the morphological- (nine nominal species) and </w:t>
      </w:r>
      <w:r w:rsidRPr="00CD779B">
        <w:rPr>
          <w:rFonts w:asciiTheme="majorBidi" w:hAnsiTheme="majorBidi" w:cstheme="majorBidi"/>
          <w:bCs/>
          <w:i/>
          <w:iCs/>
          <w:sz w:val="24"/>
          <w:szCs w:val="24"/>
        </w:rPr>
        <w:t>mt</w:t>
      </w:r>
      <w:r w:rsidRPr="00CD779B">
        <w:rPr>
          <w:rFonts w:asciiTheme="majorBidi" w:hAnsiTheme="majorBidi" w:cstheme="majorBidi"/>
          <w:bCs/>
          <w:sz w:val="24"/>
          <w:szCs w:val="24"/>
        </w:rPr>
        <w:t xml:space="preserve">DNA-based (five haplogroups) hypotheses to elucidate the number and boundaries of species in the </w:t>
      </w:r>
      <w:r w:rsidRPr="00CD779B">
        <w:rPr>
          <w:rFonts w:asciiTheme="majorBidi" w:hAnsiTheme="majorBidi" w:cstheme="majorBidi"/>
          <w:bCs/>
          <w:i/>
          <w:iCs/>
          <w:sz w:val="24"/>
          <w:szCs w:val="24"/>
        </w:rPr>
        <w:t xml:space="preserve">humboldtianum </w:t>
      </w:r>
      <w:r w:rsidRPr="00CD779B">
        <w:rPr>
          <w:rFonts w:asciiTheme="majorBidi" w:hAnsiTheme="majorBidi" w:cstheme="majorBidi"/>
          <w:bCs/>
          <w:sz w:val="24"/>
          <w:szCs w:val="24"/>
        </w:rPr>
        <w:t xml:space="preserve">group. Our results consistently identified four independently evolving lineages organized in three well-differentiated clades: </w:t>
      </w:r>
      <w:r w:rsidRPr="00CD779B">
        <w:rPr>
          <w:rFonts w:asciiTheme="majorBidi" w:hAnsiTheme="majorBidi" w:cstheme="majorBidi"/>
          <w:bCs/>
          <w:i/>
          <w:iCs/>
          <w:sz w:val="24"/>
          <w:szCs w:val="24"/>
        </w:rPr>
        <w:t>chapalae</w:t>
      </w:r>
      <w:r w:rsidRPr="00CD779B">
        <w:rPr>
          <w:rFonts w:asciiTheme="majorBidi" w:hAnsiTheme="majorBidi" w:cstheme="majorBidi"/>
          <w:bCs/>
          <w:sz w:val="24"/>
          <w:szCs w:val="24"/>
        </w:rPr>
        <w:t>-</w:t>
      </w:r>
      <w:r w:rsidRPr="00CD779B">
        <w:rPr>
          <w:rFonts w:asciiTheme="majorBidi" w:hAnsiTheme="majorBidi" w:cstheme="majorBidi"/>
          <w:bCs/>
          <w:i/>
          <w:iCs/>
          <w:sz w:val="24"/>
          <w:szCs w:val="24"/>
        </w:rPr>
        <w:t xml:space="preserve">sphyraena </w:t>
      </w:r>
      <w:r w:rsidRPr="00CD779B">
        <w:rPr>
          <w:rFonts w:asciiTheme="majorBidi" w:hAnsiTheme="majorBidi" w:cstheme="majorBidi"/>
          <w:bCs/>
          <w:sz w:val="24"/>
          <w:szCs w:val="24"/>
        </w:rPr>
        <w:t xml:space="preserve">in Lake Chapala, </w:t>
      </w:r>
      <w:r w:rsidRPr="00CD779B">
        <w:rPr>
          <w:rFonts w:asciiTheme="majorBidi" w:hAnsiTheme="majorBidi" w:cstheme="majorBidi"/>
          <w:bCs/>
          <w:i/>
          <w:iCs/>
          <w:sz w:val="24"/>
          <w:szCs w:val="24"/>
        </w:rPr>
        <w:t xml:space="preserve">humboldtianum sensu stricto </w:t>
      </w:r>
      <w:r w:rsidRPr="00CD779B">
        <w:rPr>
          <w:rFonts w:asciiTheme="majorBidi" w:hAnsiTheme="majorBidi" w:cstheme="majorBidi"/>
          <w:bCs/>
          <w:sz w:val="24"/>
          <w:szCs w:val="24"/>
        </w:rPr>
        <w:t xml:space="preserve">in Lake Zacapu and dams, and </w:t>
      </w:r>
      <w:r w:rsidRPr="00CD779B">
        <w:rPr>
          <w:rFonts w:asciiTheme="majorBidi" w:hAnsiTheme="majorBidi" w:cstheme="majorBidi"/>
          <w:bCs/>
          <w:i/>
          <w:iCs/>
          <w:sz w:val="24"/>
          <w:szCs w:val="24"/>
        </w:rPr>
        <w:t xml:space="preserve">estor </w:t>
      </w:r>
      <w:r w:rsidRPr="00CD779B">
        <w:rPr>
          <w:rFonts w:asciiTheme="majorBidi" w:hAnsiTheme="majorBidi" w:cstheme="majorBidi"/>
          <w:bCs/>
          <w:sz w:val="24"/>
          <w:szCs w:val="24"/>
        </w:rPr>
        <w:t xml:space="preserve">in Lakes Pátzcuaro and Zirahuén. The genomic clusters obtained were not in agreement with the morphospecies scenario but rather with biogeographic concordance reflecting ancient isolation events in central Mexico. This scenario suggests that the geologic history of the Lerma-Chapala hydrologic system has played a major role in driving divergence in this species complex. Our analyses also revealed an intra-lake cladogenetic event where </w:t>
      </w:r>
      <w:r w:rsidRPr="00CD779B">
        <w:rPr>
          <w:rFonts w:asciiTheme="majorBidi" w:hAnsiTheme="majorBidi" w:cstheme="majorBidi"/>
          <w:bCs/>
          <w:i/>
          <w:iCs/>
          <w:sz w:val="24"/>
          <w:szCs w:val="24"/>
        </w:rPr>
        <w:t>C. sphyraena</w:t>
      </w:r>
      <w:r w:rsidRPr="00CD779B">
        <w:rPr>
          <w:rFonts w:asciiTheme="majorBidi" w:hAnsiTheme="majorBidi" w:cstheme="majorBidi"/>
          <w:bCs/>
          <w:sz w:val="24"/>
          <w:szCs w:val="24"/>
        </w:rPr>
        <w:t xml:space="preserve"> (‘pez blanco’) is distinguished from its sympatric counterparts (‘peces blancos’ and ‘charales’) in Lake Chapala. Although body size in </w:t>
      </w:r>
      <w:r w:rsidRPr="00CD779B">
        <w:rPr>
          <w:rFonts w:asciiTheme="majorBidi" w:hAnsiTheme="majorBidi" w:cstheme="majorBidi"/>
          <w:bCs/>
          <w:i/>
          <w:iCs/>
          <w:sz w:val="24"/>
          <w:szCs w:val="24"/>
        </w:rPr>
        <w:t xml:space="preserve">Chirostoma </w:t>
      </w:r>
      <w:r w:rsidRPr="00CD779B">
        <w:rPr>
          <w:rFonts w:asciiTheme="majorBidi" w:hAnsiTheme="majorBidi" w:cstheme="majorBidi"/>
          <w:bCs/>
          <w:sz w:val="24"/>
          <w:szCs w:val="24"/>
        </w:rPr>
        <w:t xml:space="preserve">species in Lake Chapala has been suggested as a promoter of ecological niche partitioning for this species complex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Atherinidae)","type":"article-journal","volume":"18"},"uris":["http://www.mendeley.com/documents/?uuid=5ae7b2f8-3c62-418e-8ebf-c77decd522ca"]},{"id":"ITEM-2","itemData":{"DOI":"10.1590/1982-0224-20140079","ISSN":"19820224","abstract":"We explore the trophic role that a diverse sympatric group of fishes in the genus Chirostoma play in a large, shallow lake in central Mexico, Lake Chapala. We use δ13C and δ15N stable isotope – based food web analyses to explore how they relate to other components of the Lake Chapala ecosystem. We find five Chirostoma species in top trophic levels of the Chapala food web compared to other fishes, relying on a combination of zooplankton, fish and benthic resources as energy sources. Food web metric analyses showed generally overlapping trophic niches for members of Chirostoma, especially in terms of δ13C. However, C. jordani had lower mean δ15N isotopic values than C. promelas. As a group, “pescados blancos” (C. sphyraena and C. promelas) also had higher δ15N signatures than “charales” (C. consocium, C. jordani and C. labarcae) reflecting greater piscivory, but these differences were not strong for all food web metrics used. Trophic overlap among species of Chirostoma in Lake Chapala raises questions about the forces that might have led to a morphologically diverse but functionally similar and monophyletic group of species.","author":[{"dropping-particle":"","family":"Mercado-Silva","given":"Norman","non-dropping-particle":"","parse-names":false,"suffix":""},{"dropping-particle":"","family":"Lyons","given":"John","non-dropping-particle":"","parse-names":false,"suffix":""},{"dropping-particle":"","family":"Moncayo-Estrada","given":"Rodrigo","non-dropping-particle":"","parse-names":false,"suffix":""},{"dropping-particle":"","family":"Gesundheit","given":"Pablo","non-dropping-particle":"","parse-names":false,"suffix":""},{"dropping-particle":"","family":"Krabbenhoft","given":"Trevor J.","non-dropping-particle":"","parse-names":false,"suffix":""},{"dropping-particle":"","family":"Powell","given":"Daniel L.","non-dropping-particle":"","parse-names":false,"suffix":""},{"dropping-particle":"","family":"Piller","given":"Kyle R.","non-dropping-particle":"","parse-names":false,"suffix":""}],"container-title":"Neotropical Ichthyology","id":"ITEM-2","issue":"2","issued":{"date-parts":[["2015"]]},"page":"389-400","title":"Stable isotope evidence for trophic overlap of sympatric Mexican Lake Chapala silversides (Teleostei: Atherinopsidae: Chirostoma spp.)","type":"article-journal","volume":"13"},"uris":["http://www.mendeley.com/documents/?uuid=7c3bab97-b0a3-43bd-85dd-2cbe54de8912"]}],"mendeley":{"formattedCitation":"[10, 21]","plainTextFormattedCitation":"[10, 21]","previouslyFormattedCitation":"[10, 21]"},"properties":{"noteIndex":0},"schema":"https://github.com/citation-style-language/schema/raw/master/csl-citation.json"}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[10, 21]</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we did not find evidence of genetic structure related to the ‘peces blancos’ and ‘charales’ ecotypes.</w:t>
      </w:r>
    </w:p>
    <w:p w14:paraId="2A8E0056" w14:textId="474E9802" w:rsidR="00CD779B" w:rsidRDefault="00CD779B" w:rsidP="00CD779B">
      <w:pPr>
        <w:jc w:val="both"/>
        <w:rPr>
          <w:rFonts w:asciiTheme="majorBidi" w:hAnsiTheme="majorBidi" w:cstheme="majorBidi"/>
          <w:bCs/>
          <w:sz w:val="24"/>
          <w:szCs w:val="24"/>
        </w:rPr>
      </w:pPr>
      <w:r w:rsidRPr="00CD779B">
        <w:rPr>
          <w:rFonts w:asciiTheme="majorBidi" w:hAnsiTheme="majorBidi" w:cstheme="majorBidi"/>
          <w:bCs/>
          <w:sz w:val="24"/>
          <w:szCs w:val="24"/>
        </w:rPr>
        <w:t xml:space="preserve">Herein, the use of genome-wide data provided an unprecedented resolution that had not been achieved using scant genes to test species delimitation scenarios within the </w:t>
      </w:r>
      <w:r w:rsidRPr="00CD779B">
        <w:rPr>
          <w:rFonts w:asciiTheme="majorBidi" w:hAnsiTheme="majorBidi" w:cstheme="majorBidi"/>
          <w:bCs/>
          <w:i/>
          <w:iCs/>
          <w:sz w:val="24"/>
          <w:szCs w:val="24"/>
        </w:rPr>
        <w:t>humboldtianum</w:t>
      </w:r>
      <w:r w:rsidRPr="00CD779B">
        <w:rPr>
          <w:rFonts w:asciiTheme="majorBidi" w:hAnsiTheme="majorBidi" w:cstheme="majorBidi"/>
          <w:bCs/>
          <w:sz w:val="24"/>
          <w:szCs w:val="24"/>
        </w:rPr>
        <w:t xml:space="preserve"> group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{"citationItems":[{"id":"ITEM-1","itemData":{"DOI":"10.1643/CI-07-151","ISSN":"00458511","abstract":"The silverside fish tribe Menidiini (Teleostei: Atherinopsidae) consists of four genera, Menldia, Labidesthes, Poblana, and Chirostoma, that are distributed along the Atlantic coast of North America, throughout the Gulf of Mexico, insular United States, and the Mesa Central of México. It has been suggested that Chirostoma, Poblana, and Menidia should be recognized as a single genus under the nominal Menidia. To test this hypothesis, phylogenetic relationships within the tribe Menidiini were assessed using the mitochondrially encoded ND2 gene. Monophyly of the Menidiini tribe was supported. Results also failed to support monophyly for the genera Menidia and Chirostoma as currently recognized. A central Mexican clade, inclusive of Chirostoma and Poblana, was recovered as monophyletic and strongly supported. Relationships within the Mesa Central clade support a previously recognized \"humboldtianum\" clade and the paraphyly of Chirostoma with respect to Poblana. © 2009 by the American Society of Ichthyologists and Herpetologists.","author":[{"dropping-particle":"","family":"Bloom","given":"Devin D.","non-dropping-particle":"","parse-names":false,"suffix":""},{"dropping-particle":"","family":"Piller","given":"Kyle R.","non-dropping-particle":"","parse-names":false,"suffix":""},{"dropping-particle":"","family":"Lyons","given":"John","non-dropping-particle":"","parse-names":false,"suffix":""},{"dropping-particle":"","family":"Mercado-Silva","given":"Norman","non-dropping-particle":"","parse-names":false,"suffix":""},{"dropping-particle":"","family":"Medina-Nava","given":"Martina","non-dropping-particle":"","parse-names":false,"suffix":""}],"container-title":"Copeia","id":"ITEM-1","issue":"2","issued":{"date-parts":[["2009"]]},"page":"408-417","title":"Systematics and biogeography of the silverside tribe menidiini (Teleostomi: Atherinopsidae) based on the mitochondrial ND2 gene","type":"article-journal"},"uris":["http://www.mendeley.com/documents/?uuid=59dc923f-802e-469c-a3de-db909e970a8e"]},{"id":"ITEM-2","itemData":{"DOI":"10.1007/s13127-019-00419-x","ISBN":"1312701900","ISSN":"16181077","abstract":"The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Evolution","id":"ITEM-2","issue":"2","issued":{"date-parts":[["2020"]]},"page":"313-330","publisher":"Organisms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 18]","plainTextFormattedCitation":"[11, 18]","previouslyFormattedCitation":"[11, 18]"},"properties":{"noteIndex":0},"schema":"https://github.com/citation-style-language/schema/raw/master/csl-citation.json"}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[11, 18]</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xml:space="preserve">. While species delimitation studies examining thousands of genetic loci often unveil cryptic diversity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{"citationItems":[{"id":"ITEM-1","itemData":{"DOI":"10.1093/sysbio/syz048","ISSN":"1076836X","PMID":"31372642","abstract":"Morphologically cryptic taxa have proved to be a long-standing challenge for taxonomists. Lineages that show strong genomic structuring across the landscape but are phenotypically similar pose a conundrum, with traditional morphological analyses of these cryptic lineages struggling to keep up with species delimitation advances. Micro X-ray computed tomography (CT) combined with geometric morphometric analyses provides a promising avenue for identification of morphologically cryptic taxa, given its ability to detect subtle differences in anatomical structures. However, this approach has yet to be used in combination with genomic data in a comparative analytical framework to distinguish cryptic taxa. We present an integrative approach incorporating genomic and geometric morphometric evidence to assess the species delimitation of grassland earless dragons (Tympanocryptis spp.) in north-eastern Australia. Using mitochondrial and nuclear genes (ND2 and RAG1, respectively), along with &gt;8500 SNPs (nuclear single nucleotide polymorphisms), we assess the evolutionary independence of target lineages and several closely related species. We then integrate phylogenomic data with osteological cranial variation between lineages using landmark-based analyses of three-dimensional CT models. High levels of genomic differentiation between the three target lineages were uncovered, also supported by significant osteological differences. By incorporating multiple lines of evidence, we provide strong support for three undescribed cryptic lineages of Tympanocryptis in north-eastern Australia that warrant taxonomic review. Our approach demonstrates the successful application of CT with integrative taxonomic approaches for cryptic species delimitation, which is broadly applicable across vertebrates containing morphologically similar yet genetically distinct lineages. Additionally, we provide a review of recent integrative taxonomic approaches for cryptic species delimitation and an assessment of how our approach can value-add to taxonomic research.","author":[{"dropping-particle":"","family":"Chaplin","given":"Kirilee","non-dropping-particle":"","parse-names":false,"suffix":""},{"dropping-particle":"","family":"Sumner","given":"Joanna","non-dropping-particle":"","parse-names":false,"suffix":""},{"dropping-particle":"","family":"Hipsley","given":"Christy A.","non-dropping-particle":"","parse-names":false,"suffix":""},{"dropping-particle":"","family":"Melville","given":"Jane","non-dropping-particle":"","parse-names":false,"suffix":""}],"container-title":"Systematic Biology","id":"ITEM-1","issue":"2","issued":{"date-parts":[["2020"]]},"page":"294-307","title":"An Integrative Approach Using Phylogenomics and High-Resolution X-Ray Computed Tomography for Species Delimitation in Cryptic Taxa","type":"article-journal","volume":"69"},"uris":["http://www.mendeley.com/documents/?uuid=1b03d99c-967b-49a7-b5a1-a26f5f9011c9"]},{"id":"ITEM-2","itemData":{"DOI":"10.1111/mec.15683","ISSN":"1365294X","PMID":"33164287","abstract":"Practical biodiversity conservation relies on delineation of biologically meaningful units. Manta and devil rays (Mobulidae) are threatened worldwide, yet morphological similarities and a succession of recent taxonomic changes impede the development of an effective conservation strategy. Here, we generate genome-wide single nucleotide polymorphism (SNP) data from a geographically and taxonomically representative set of manta and devil ray samples to reconstruct phylogenetic relationships and evaluate species boundaries under the general lineage concept. We show that nominal species units supported by alternative data sources constitute independently evolving lineages, and find robust evidence for a putative new species of manta ray in the Gulf of Mexico. Additionally, we uncover substantial incomplete lineage sorting indicating that rapid speciation together with standing variation in ancestral populations has driven phylogenetic uncertainty within Mobulidae. Finally, we detect cryptic diversity in geographically distinct populations, demonstrating that management below the species level may be warranted in certain species. Overall, our study provides a framework for molecular genetic species delimitation that is relevant to wide-ranging taxa of conservation concern, and highlights the potential for genomic data to support effective management, conservation and law enforcement strategies.","author":[{"dropping-particle":"","family":"Hosegood","given":"Jane","non-dropping-particle":"","parse-names":false,"suffix":""},{"dropping-particle":"","family":"Humble","given":"Emily","non-dropping-particle":"","parse-names":false,"suffix":""},{"dropping-particle":"","family":"Ogden","given":"Rob","non-dropping-particle":"","parse-names":false,"suffix":""},{"dropping-particle":"","family":"Bruyn","given":"Mark","non-dropping-particle":"de","parse-names":false,"suffix":""},{"dropping-particle":"","family":"Creer","given":"Simon","non-dropping-particle":"","parse-names":false,"suffix":""},{"dropping-particle":"","family":"Stevens","given":"Guy M.W.","non-dropping-particle":"","parse-names":false,"suffix":""},{"dropping-particle":"","family":"Abudaya","given":"Mohammed","non-dropping-particle":"","parse-names":false,"suffix":""},{"dropping-particle":"","family":"Bassos-Hull","given":"Kim","non-dropping-particle":"","parse-names":false,"suffix":""},{"dropping-particle":"","family":"Bonfil","given":"Ramon","non-dropping-particle":"","parse-names":false,"suffix":""},{"dropping-particle":"","family":"Fernando","given":"Daniel","non-dropping-particle":"","parse-names":false,"suffix":""},{"dropping-particle":"","family":"Foote","given":"Andrew D.","non-dropping-particle":"","parse-names":false,"suffix":""},{"dropping-particle":"","family":"Hipperson","given":"Helen","non-dropping-particle":"","parse-names":false,"suffix":""},{"dropping-particle":"","family":"Jabado","given":"Rima W.","non-dropping-particle":"","parse-names":false,"suffix":""},{"dropping-particle":"","family":"Kaden","given":"Jennifer","non-dropping-particle":"","parse-names":false,"suffix":""},{"dropping-particle":"","family":"Moazzam","given":"Muhammad","non-dropping-particle":"","parse-names":false,"suffix":""},{"dropping-particle":"","family":"Peel","given":"Lauren R.","non-dropping-particle":"","parse-names":false,"suffix":""},{"dropping-particle":"","family":"Pollett","given":"Stephen","non-dropping-particle":"","parse-names":false,"suffix":""},{"dropping-particle":"","family":"Ponzo","given":"Alessandro","non-dropping-particle":"","parse-names":false,"suffix":""},{"dropping-particle":"","family":"Poortvliet","given":"Marloes","non-dropping-particle":"","parse-names":false,"suffix":""},{"dropping-particle":"","family":"Salah","given":"Jehad","non-dropping-particle":"","parse-names":false,"suffix":""},{"dropping-particle":"","family":"Senn","given":"Helen","non-dropping-particle":"","parse-names":false,"suffix":""},{"dropping-particle":"","family":"Stewart","given":"Joshua D.","non-dropping-particle":"","parse-names":false,"suffix":""},{"dropping-particle":"","family":"Wintner","given":"Sabine","non-dropping-particle":"","parse-names":false,"suffix":""},{"dropping-particle":"","family":"Carvalho","given":"Gary","non-dropping-particle":"","parse-names":false,"suffix":""}],"container-title":"Molecular Ecology","id":"ITEM-2","issue":"24","issued":{"date-parts":[["2020"]]},"page":"4783-4796","title":"Phylogenomics and species delimitation for effective conservation of manta and devil rays","type":"article-journal","volume":"29"},"uris":["http://www.mendeley.com/documents/?uuid=c4dca903-0cf9-43f1-971f-4858cb837ae8"]},{"id":"ITEM-3","itemData":{"DOI":"10.1016/j.ympev.2016.09.001","ISSN":"10959513","PMID":"27720785","abstract":"Middle American knob-scaled lizards of the genus Xenosaurus are a unique radiation of viviparous species that are generally characterized by a flattened body shape and a crevice-dwelling ecology. Only eight species of Xenosaurus, one of them with five subspecies (X. grandis), have been formally described. However, species limits within Xenosaurus have never been examined using molecular data, and no complete phylogeny of the genus has been published. Here, we used ddRADseq data from all of the described and potentially undescribed taxa of Xenosaurus to investigate species limits, and to obtain a phylogenetic hypothesis for the genus. We analyzed the data using a variety of phylogenetic models, and were able to reconstruct a well-resolved and generally well-supported phylogeny for this group. We found Xenosaurus to be composed of four major, allopatric clades concordant with geography. The first and second clades that branch off the tree are distributed on the Atlantic slopes of the Sierra Madre Oriental and are composed of X. mendozai, X. platyceps, and X. newmanorum, and X. tzacualtipantecus and an undescribed species from Puebla, respectively. The third clade is distributed from the Atlantic slopes of the Mexican Transvolcanic Belt in west-central Veracruz south to the Pacific slopes of the Sierra Madre del Sur in Guerrero and Oaxaca, and is composed of X. g. grandis, X. rectocollaris, X. phalaroanthereon, X. g. agrenon, X. penai, and four undescribed species from Oaxaca. The last clade is composed of the four taxa that are geographically closest to the Isthmus of Tehuantepec (X. g. arboreus, X. g. rackhami, X. g. sanmartinensis, and an undescribed species from Oaxaca). We also utilized a variety of molecular species delimitation approaches, including analyses with GMYC, PTP, BPP, and BFD</w:instrText>
      </w:r>
      <w:r w:rsidRPr="00CD779B">
        <w:rPr>
          <w:rFonts w:ascii="Cambria Math" w:hAnsi="Cambria Math" w:cs="Cambria Math"/>
          <w:bCs/>
          <w:sz w:val="24"/>
          <w:szCs w:val="24"/>
        </w:rPr>
        <w:instrText>∗</w:instrText>
      </w:r>
      <w:r w:rsidRPr="00CD779B">
        <w:rPr>
          <w:rFonts w:asciiTheme="majorBidi" w:hAnsiTheme="majorBidi" w:cstheme="majorBidi"/>
          <w:bCs/>
          <w:sz w:val="24"/>
          <w:szCs w:val="24"/>
        </w:rPr>
        <w:instrText>, which suggested that species diversity in Xenosaurus is at least 30% higher than currently estimated.","author":[{"dropping-particle":"","family":"Nieto-Montes de Oca","given":"Adrián","non-dropping-particle":"","parse-names":false,"suffix":""},{"dropping-particle":"","family":"Barley","given":"Anthony J.","non-dropping-particle":"","parse-names":false,"suffix":""},{"dropping-particle":"","family":"Meza-Lázaro","given":"Rubi N.","non-dropping-particle":"","parse-names":false,"suffix":""},{"dropping-particle":"","family":"García-Vázquez","given":"Uri O.","non-dropping-particle":"","parse-names":false,"suffix":""},{"dropping-particle":"","family":"Zamora-Abrego","given":"Joan G.","non-dropping-particle":"","parse-names":false,"suffix":""},{"dropping-particle":"","family":"Thomson","given":"Robert C.","non-dropping-particle":"","parse-names":false,"suffix":""},{"dropping-particle":"","family":"Leaché","given":"Adam D.","non-dropping-particle":"","parse-names":false,"suffix":""}],"container-title":"Molecular Phylogenetics and Evolution","id":"ITEM-3","issued":{"date-parts":[["2017"]]},"page":"241-253","title":"Phylogenomics and species delimitation in the knob-scaled lizards of the genus Xenosaurus (Squamata: Xenosauridae) using ddRADseq data reveal a substantial underestimation of diversity","type":"article-journal","volume":"106"},"uris":["http://www.mendeley.com/documents/?uuid=edf7f16f-6372-4cd4-af47-d2903f07f3ae"]},{"id":"ITEM-4","itemData":{"DOI":"10.1098/rspb.2010.0662","abstract":"Genealogical data are an important source of evidence for delimiting species, yet few statistical methods are available for calculating the probabilities associated with different species delimitations. Bayesian species delimitation uses reversible-jump Markov chain Monte Carlo (rjMCMC) in conjunction with a user-specified guide tree to estimate the posterior distribution for species delimitation models containing different numbers of species. We apply Bayesian species delimitation to investigate the speciation history of forest geckos (Hemidactylus fasciatus) from tropical West Africa using five nuclear loci (and mtDNA) for 51 specimens representing 10 populations. We find that species diversity in H. fasciatus is currently under-estimated, and describe three new species to reflect the most conservative estimate for the number of species in this complex. We examine the impact of the guide tree, and the prior distributions on ancestral population sizes (u) and root age (t 0), on the posterior probabilities for species delimitation. Mis-specification of the guide tree or the prior distribution for u can result in strong support for models containing more species. We describe a new statistic for summarizing the posterior distribution of species delimitation models, called speciation probabilities, which summarize the posterior support for each speciation event on the starting guide tree.","author":[{"dropping-particle":"","family":"Leaché","given":"Adam D","non-dropping-particle":"","parse-names":false,"suffix":""},{"dropping-particle":"","family":"Fujita","given":"Matthew K","non-dropping-particle":"","parse-names":false,"suffix":""}],"container-title":"Proceedings of the Royal Society B: Biological Sciences","id":"ITEM-4","issued":{"date-parts":[["2010"]]},"page":"3071-3077","title":"Bayesian species delimitation in West African forest geckos (Hemidactylus fasciatus)","type":"article-journal","volume":"277"},"uris":["http://www.mendeley.com/documents/?uuid=8f72df69-902e-3956-8e0d-de62775dd794"]}],"mendeley":{"formattedCitation":"[22–25]","plainTextFormattedCitation":"[22–25]","previouslyFormattedCitation":"[22–25]"},"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[22–25]</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xml:space="preserve">, our study represents one of the few cases where the use of genome-wide SNP data and MSC approaches provide evidence of taxonomic over-splitting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{"citationItems":[{"id":"ITEM-1","itemData":{"DOI":"10.1093/sysbio/syz042","ISSN":"1076836X","PMID":"31180508","abstract":"—Many recent species delimitation studies rely exclusively on limited analyses of genetic data analyzed under the multispecies coalescent (MSC) model, and results from these studies often are regarded as conclusive support for taxonomic changes. However, most MSC-based species delimitation methods have well-known and often unmet assumptions. Uncritical application of these genetic-based approaches (without due consideration of sampling design, the effects of a priori group designations, isolation by distance, cytoplasmic–nuclear mismatch, and population structure) can lead to over-splitting of species. Here, we argue that in many common biological scenarios, researchers must be particularly cautious regarding these limitations, especially in cases of well-studied, geographically variable, and parapatrically distributed species complexes. We consider these points with respect to a historically controversial species group, the American milksnakes (Lampropeltis triangulum complex), using genetic data from a recent analysis (Ruane et al. 2014). We show that over-reliance on the program Bayesian Phylogenetics and Phylogeography, without adequate consideration of its assumptions and of sampling limitations, resulted in over-splitting of species in this study. Several of the hypothesized species of milksnakes instead appear to represent arbitrary slices of continuous geographic clines. We conclude that the best available evidence supports three, rather than seven, species within this complex. More generally, we recommend that coalescent-based species delimitation studies incorporate thorough analyses of geographic variation and carefully examine putative contact zones among delimited species before making taxonomic changes.","author":[{"dropping-particle":"","family":"Chambers","given":"E. Anne","non-dropping-particle":"","parse-names":false,"suffix":""},{"dropping-particle":"","family":"Hillis","given":"David M.","non-dropping-particle":"","parse-names":false,"suffix":""}],"container-title":"Systematic Biology","id":"ITEM-1","issue":"1","issued":{"date-parts":[["2020"]]},"page":"184-193","title":"The multispecies coalescent over-splits species in the case of geographically widespread taxa","type":"article-journal","volume":"69"},"uris":["http://www.mendeley.com/documents/?uuid=186c2a36-b5b4-4bba-9ec4-2e24033c53b3"]},{"id":"ITEM-2","itemData":{"DOI":"10.1093/sysbio/syab057","ISSN":"1063-5157","abstract":"Application of genetic data to species delimitation often builds confidence in delimitations previously hypothesized using morphological, ecological, and geographic data and frequently yields recognition of previously undescribed cryptic diversity. However, a recent critique of genomic data-based species delimitation approaches is that they have the potential to conflate population structure with species diversity, resulting in taxonomic oversplitting. The need for an integrative approach to species delimitation, in which molecular, morphological, ecological, and geographic lines of evidence are evaluated together, is becoming increasingly apparent. Here, we integrate phylogenetic, population genetic, and coalescent analyses of genome-wide sequence data with investigation of variation in multiple morphological traits to delimit species within the Antarctic barbeled plunderfishes (Artedidraconidae: Pogonophryne). Pogonophryne currently comprises 29 valid species, most of which are distinguished solely by variation in the ornamentation of the mental barbel that projects from the lower jaw, a structure previously shown to vary widely within a single species. However, our genomic and phenotypic analyses result in a dramatic reduction in the number of distinct species recognized within the clade, providing evidence to support the recognition of no more than six species. We propose to synonymize 24 of the currently recognized species with five species of Pogonophryne. We find genomic and phenotypic evidence for a new species of Pogonophryne from specimens collected in the Ross Sea. Our findings represent a rare example in which the application of molecular data provides evidence of taxonomic oversplitting on the basis of morphology, clearly demonstrating the utility of an integrative species delimitation framework.[ddRADseq; multispecies coalescent; Notothenioidei; SNPs; Southern Ocean.]","author":[{"dropping-particle":"","family":"Parker","given":"Elyse","non-dropping-particle":"","parse-names":false,"suffix":""},{"dropping-particle":"","family":"Dornburg","given":"Alex","non-dropping-particle":"","parse-names":false,"suffix":""},{"dropping-particle":"","family":"Struthers","given":"Carl D","non-dropping-particle":"","parse-names":false,"suffix":""},{"dropping-particle":"","family":"Jones","given":"Christopher D","non-dropping-particle":"","parse-names":false,"suffix":""},{"dropping-particle":"","family":"Near","given":"Thomas J","non-dropping-particle":"","parse-names":false,"suffix":""}],"container-title":"Systematic Biology","id":"ITEM-2","issue":"0","issued":{"date-parts":[["2021"]]},"page":"1-20","title":"Phylogenomic Species Delimitation Dramatically Reduces Species Diversity in an Antarctic Adaptive Radiation","type":"article-journal","volume":"0"},"uris":["http://www.mendeley.com/documents/?uuid=bdc63850-888c-42d2-b89b-dbf15b492f75"]},{"id":"ITEM-3","itemData":{"DOI":"10.1093/sysbio/syaa053","ISSN":"1076836X","PMID":"32642760","abstract":"Mouse lemurs (Microcebus) are a radiation of morphologically cryptic primates distributed throughout Madagascar for which the number of recognized species has exploded in the past two decades. This taxonomic revision has prompted understandable concern that there has been substantial oversplitting in the mouse lemur clade. Here, we investigate mouse lemur diversity in a region in northeastern Madagascar with high levels of microendemism and predicted habitat loss. We analyzed RADseq data with multispecies coalescent (MSC) species delimitation methods for two pairs of sister lineages that include three named species and an undescribed lineage previously identified to have divergent mtDNA. Marked differences in effective population sizes, levels of gene flow, patterns of isolation-by-distance, and species delimitation results were found among the two pairs of lineages. Whereas all tests support the recognition of the presently undescribed lineage as a separate species, the species-level distinction of two previously described species, M. mittermeieri and M. lehilahytsara is not supported - a result that is particularly striking when using the genealogical discordance index (gdi). Nonsister lineages occur sympatrically in two of the localities sampled for this study, despite an estimated divergence time of less than 1 Ma. This suggests rapid evolution of reproductive isolation in the focal lineages and in the mouse lemur clade generally. The divergence time estimates reported here are based on the MSC calibrated with pedigree-based mutation rates and are considerably more recent than previously published fossil-calibrated relaxed-clock estimates. We discuss the possible explanations for this discrepancy, noting that there are theoretical justifications for preferring the MSC estimates in this case.","author":[{"dropping-particle":"","family":"Poelstra","given":"Jelmer W.","non-dropping-particle":"","parse-names":false,"suffix":""},{"dropping-particle":"","family":"Salmona","given":"Jordi","non-dropping-particle":"","parse-names":false,"suffix":""},{"dropping-particle":"","family":"Tiley","given":"George P.","non-dropping-particle":"","parse-names":false,"suffix":""},{"dropping-particle":"","family":"Schüßler","given":"Dominik","non-dropping-particle":"","parse-names":false,"suffix":""},{"dropping-particle":"","family":"Blanco","given":"Marina B.","non-dropping-particle":"","parse-names":false,"suffix":""},{"dropping-particle":"","family":"Andriambeloson","given":"Jean B.","non-dropping-particle":"","parse-names":false,"suffix":""},{"dropping-particle":"","family":"Bouchez","given":"Olivier","non-dropping-particle":"","parse-names":false,"suffix":""},{"dropping-particle":"","family":"Campbell","given":"C. Ryan","non-dropping-particle":"","parse-names":false,"suffix":""},{"dropping-particle":"","family":"Etter","given":"Paul D.","non-dropping-particle":"","parse-names":false,"suffix":""},{"dropping-particle":"","family":"Hohenlohe","given":"Paul A.","non-dropping-particle":"","parse-names":false,"suffix":""},{"dropping-particle":"","family":"Hunnicutt","given":"Kelsie E.","non-dropping-particle":"","parse-names":false,"suffix":""},{"dropping-particle":"","family":"Iribar","given":"Amaia","non-dropping-particle":"","parse-names":false,"suffix":""},{"dropping-particle":"","family":"Johnson","given":"Eric A.","non-dropping-particle":"","parse-names":false,"suffix":""},{"dropping-particle":"","family":"Kappeler","given":"Peter M.","non-dropping-particle":"","parse-names":false,"suffix":""},{"dropping-particle":"","family":"Larsen","given":"Peter A.","non-dropping-particle":"","parse-names":false,"suffix":""},{"dropping-particle":"","family":"Manzi","given":"Sophie","non-dropping-particle":"","parse-names":false,"suffix":""},{"dropping-particle":"","family":"Ralison","given":"JosÉ M.","non-dropping-particle":"","parse-names":false,"suffix":""},{"dropping-particle":"","family":"Randrianambinina","given":"Blanchard","non-dropping-particle":"","parse-names":false,"suffix":""},{"dropping-particle":"","family":"Rasoloarison","given":"Rodin M.","non-dropping-particle":"","parse-names":false,"suffix":""},{"dropping-particle":"","family":"Rasolofoson","given":"David W.","non-dropping-particle":"","parse-names":false,"suffix":""},{"dropping-particle":"","family":"Stahlke","given":"Amanda R.","non-dropping-particle":"","parse-names":false,"suffix":""},{"dropping-particle":"","family":"Weisrock","given":"David W.","non-dropping-particle":"","parse-names":false,"suffix":""},{"dropping-particle":"","family":"Williams","given":"Rachel C.","non-dropping-particle":"","parse-names":false,"suffix":""},{"dropping-particle":"","family":"Chikhi","given":"LounÈs","non-dropping-particle":"","parse-names":false,"suffix":""},{"dropping-particle":"","family":"Louis","given":"Edward E.","non-dropping-particle":"","parse-names":false,"suffix":""},{"dropping-particle":"","family":"Radespiel","given":"Ute","non-dropping-particle":"","parse-names":false,"suffix":""},{"dropping-particle":"","family":"Yoder","given":"Anne D.","non-dropping-particle":"","parse-names":false,"suffix":""}],"container-title":"Systematic Biology","id":"ITEM-3","issue":"2","issued":{"date-parts":[["2021"]]},"page":"203-218","title":"Cryptic Patterns of Speciation in Cryptic Primates: Microendemic Mouse Lemurs and the Multispecies Coalescent","type":"article-journal","volume":"70"},"uris":["http://www.mendeley.com/documents/?uuid=204c34c2-6423-4dc2-9393-1673dca59b95"]}],"mendeley":{"formattedCitation":"[2, 5, 26]","plainTextFormattedCitation":"[2, 5, 26]","previouslyFormattedCitation":"[2, 5, 26]"},"properties":{"noteIndex":0},"schema":"https://github.com/citation-style-language/schema/raw/master/csl-citation.json"}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[2, 5, 26]</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xml:space="preserve">. Recently,  it has been recently recognized that the MSC model can potentially confound population structure with species boundaries—particularly when major sampling gaps near the range of distribution exist—, leading to an over-estimation of the number of species due to the high statistical power of genome-wide data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{"citationItems":[{"id":"ITEM-1","itemData":{"DOI":"10.1073/pnas.1607921114","ISSN":"10916490","PMID":"28137871","abstract":"The multispecies coalescent model underlies many approaches used for species delimitation. In previous work assessing the performance of species delimitation under this model, speciation was treated as an instantaneous event rather than as an extended process involving distinct phases of speciation initiation (structuring) and completion. Here, we use data under simulations that explicitly model speciation as an extended process rather than an instantaneous event and carry out species delimitation inference on these data under the multispecies coalescent. We show that the multispecies coalescent diagnoses genetic structure, not species, and that it does not statistically distinguish structure associated with population isolation vs. species boundaries. Because of the misidentification of population structure as putative species, our work raises questions about the practice of genome-based species discovery, with cascading consequences in other fields. Specifically, all fields that rely on species as units of analysis, from conservation biology to studies of macroevolutionary dynamics, will be impacted by inflated estimates of the number of species, especially as genomic resources provide unprecedented power for detecting increasingly finer-scaled genetic structure under the multispecies coalescent. As such, our work also represents a general call for systematic study to reconsider a reliance on genomic data alone. Until new methods are developed that can discriminate between structure due to population-level processes and that due to species boundaries, genomic-based results should only be considered a hypothesis that requires validation of delimited species with multiple data types, such as phenotypic and ecological information.","author":[{"dropping-particle":"","family":"Sukumaran","given":"Jeet","non-dropping-particle":"","parse-names":false,"suffix":""},{"dropping-particle":"","family":"Knowles","given":"L. Lacey","non-dropping-particle":"","parse-names":false,"suffix":""}],"container-title":"Proceedings of the National Academy of Sciences of the United States of America","id":"ITEM-1","issue":"7","issued":{"date-parts":[["2017"]]},"page":"1607-1611","title":"Multispecies coalescent delimits structure, not species","type":"article-journal","volume":"114"},"uris":["http://www.mendeley.com/documents/?uuid=42aeb9da-52aa-4c50-a651-cad46cefc07b"]},{"id":"ITEM-2","itemData":{"DOI":"10.1093/sysbio/syz042","ISSN":"1076836X","PMID":"31180508","abstract":"—Many recent species delimitation studies rely exclusively on limited analyses of genetic data analyzed under the multispecies coalescent (MSC) model, and results from these studies often are regarded as conclusive support for taxonomic changes. However, most MSC-based species delimitation methods have well-known and often unmet assumptions. Uncritical application of these genetic-based approaches (without due consideration of sampling design, the effects of a priori group designations, isolation by distance, cytoplasmic–nuclear mismatch, and population structure) can lead to over-splitting of species. Here, we argue that in many common biological scenarios, researchers must be particularly cautious regarding these limitations, especially in cases of well-studied, geographically variable, and parapatrically distributed species complexes. We consider these points with respect to a historically controversial species group, the American milksnakes (Lampropeltis triangulum complex), using genetic data from a recent analysis (Ruane et al. 2014). We show that over-reliance on the program Bayesian Phylogenetics and Phylogeography, without adequate consideration of its assumptions and of sampling limitations, resulted in over-splitting of species in this study. Several of the hypothesized species of milksnakes instead appear to represent arbitrary slices of continuous geographic clines. We conclude that the best available evidence supports three, rather than seven, species within this complex. More generally, we recommend that coalescent-based species delimitation studies incorporate thorough analyses of geographic variation and carefully examine putative contact zones among delimited species before making taxonomic changes.","author":[{"dropping-particle":"","family":"Chambers","given":"E. Anne","non-dropping-particle":"","parse-names":false,"suffix":""},{"dropping-particle":"","family":"Hillis","given":"David M.","non-dropping-particle":"","parse-names":false,"suffix":""}],"container-title":"Systematic Biology","id":"ITEM-2","issue":"1","issued":{"date-parts":[["2020"]]},"page":"184-193","title":"The multispecies coalescent over-splits species in the case of geographically widespread taxa","type":"article-journal","volume":"69"},"uris":["http://www.mendeley.com/documents/?uuid=80f4838e-8847-4abf-8210-b135f6706ae8"]},{"id":"ITEM-3","itemData":{"DOI":"10.1643/h2021082","ISSN":"27661520","abstract":"Over the last two decades, mitochondrial DNA (mtDNA) sequence data, as well as analyses of nuclear DNA based on the multispecies coalescent model, have increasingly been used to delimit species, sometimes based on limited sampling and without other supporting evidence. We have argued elsewhere that the uncritical use of these approaches has resulted in unnecessary and unwarranted taxonomic changes that have real and long-lasting consequences for science and society. Unfortunately, these arguments have been misrepresented by Burbrink and Ruane's Point of View on \"contemporary\"species delimitation in this issue. Here, we discuss the role of models in species delimitation research, and again argue that careful consideration of model assumptions (and their potential violation) is necessary when inferring population history and delimiting species. We echo recent calls for targeted, thorough geographic sampling across contact zones and into parapatric ranges to test for reproductive isolation and draw inferences about the evolutionary independence (or lack thereof) of populations that exchange genes. Finally, despite our very different views on how best to identify species and when to make taxonomic changes, we end by highlighting areas where we agree with Burbrink and Ruane's Point of View and offer suggestions for future research.","author":[{"dropping-particle":"","family":"Hillis","given":"David M.","non-dropping-particle":"","parse-names":false,"suffix":""},{"dropping-particle":"","family":"Chambers","given":"E. Anne","non-dropping-particle":"","parse-names":false,"suffix":""},{"dropping-particle":"","family":"Devitt","given":"Thomas J.","non-dropping-particle":"","parse-names":false,"suffix":""}],"container-title":"Ichthyology &amp; Herpetology","id":"ITEM-3","issue":"3","issued":{"date-parts":[["2021"]]},"page":"895-903","title":"Contemporary Methods and Evidence for Species Delimitation","type":"article-journal","volume":"109"},"uris":["http://www.mendeley.com/documents/?uuid=8dd2a216-f6cc-4171-86c5-dd0fd9c46730"]}],"mendeley":{"formattedCitation":"[4–6]","plainTextFormattedCitation":"[4–6]","previouslyFormattedCitation":"[4–6]"},"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[4–6]</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xml:space="preserve">. However, in this study by evaluating our analyses in a framework that examines all nominal species in the </w:t>
      </w:r>
      <w:r w:rsidRPr="00CD779B">
        <w:rPr>
          <w:rFonts w:asciiTheme="majorBidi" w:hAnsiTheme="majorBidi" w:cstheme="majorBidi"/>
          <w:bCs/>
          <w:i/>
          <w:iCs/>
          <w:sz w:val="24"/>
          <w:szCs w:val="24"/>
        </w:rPr>
        <w:t>humboldtianum</w:t>
      </w:r>
      <w:r w:rsidRPr="00CD779B">
        <w:rPr>
          <w:rFonts w:asciiTheme="majorBidi" w:hAnsiTheme="majorBidi" w:cstheme="majorBidi"/>
          <w:bCs/>
          <w:sz w:val="24"/>
          <w:szCs w:val="24"/>
        </w:rPr>
        <w:t xml:space="preserve"> group</w:t>
      </w:r>
      <w:r w:rsidRPr="00CD779B" w:rsidDel="00B8792B">
        <w:rPr>
          <w:rFonts w:asciiTheme="majorBidi" w:hAnsiTheme="majorBidi" w:cstheme="majorBidi"/>
          <w:bCs/>
          <w:sz w:val="24"/>
          <w:szCs w:val="24"/>
        </w:rPr>
        <w:t xml:space="preserve"> </w:t>
      </w:r>
      <w:r w:rsidRPr="00CD779B">
        <w:rPr>
          <w:rFonts w:asciiTheme="majorBidi" w:hAnsiTheme="majorBidi" w:cstheme="majorBidi"/>
          <w:bCs/>
          <w:sz w:val="24"/>
          <w:szCs w:val="24"/>
        </w:rPr>
        <w:t xml:space="preserve">from across their distribution ranges in the Lerma-Chapala hydrologic system, and under the light of morphological and ecological lines of evidence, we overcome these caveats and provide a robust analysis to assess the number of species within the </w:t>
      </w:r>
      <w:r w:rsidRPr="00CD779B">
        <w:rPr>
          <w:rFonts w:asciiTheme="majorBidi" w:hAnsiTheme="majorBidi" w:cstheme="majorBidi"/>
          <w:bCs/>
          <w:i/>
          <w:iCs/>
          <w:sz w:val="24"/>
          <w:szCs w:val="24"/>
        </w:rPr>
        <w:t>humboldtianum</w:t>
      </w:r>
      <w:r w:rsidRPr="00CD779B">
        <w:rPr>
          <w:rFonts w:asciiTheme="majorBidi" w:hAnsiTheme="majorBidi" w:cstheme="majorBidi"/>
          <w:bCs/>
          <w:sz w:val="24"/>
          <w:szCs w:val="24"/>
        </w:rPr>
        <w:t xml:space="preserve"> group and also to examine the group’s evolutionary history.</w:t>
      </w:r>
    </w:p>
    <w:p w14:paraId="7391F98E" w14:textId="77777777" w:rsidR="00CD779B" w:rsidRPr="00CD779B" w:rsidRDefault="00CD779B" w:rsidP="00CD779B">
      <w:pPr>
        <w:jc w:val="both"/>
        <w:rPr>
          <w:rFonts w:asciiTheme="majorBidi" w:hAnsiTheme="majorBidi" w:cstheme="majorBidi"/>
          <w:b/>
          <w:bCs/>
          <w:sz w:val="28"/>
          <w:szCs w:val="28"/>
        </w:rPr>
      </w:pPr>
      <w:r w:rsidRPr="00CD779B">
        <w:rPr>
          <w:rFonts w:asciiTheme="majorBidi" w:hAnsiTheme="majorBidi" w:cstheme="majorBidi"/>
          <w:b/>
          <w:bCs/>
          <w:sz w:val="28"/>
          <w:szCs w:val="28"/>
        </w:rPr>
        <w:t>Inter-lacustrine divergences</w:t>
      </w:r>
    </w:p>
    <w:p w14:paraId="6E63F293" w14:textId="77777777" w:rsidR="00CD779B" w:rsidRPr="00CD779B" w:rsidRDefault="00CD779B" w:rsidP="00CD779B">
      <w:pPr>
        <w:jc w:val="both"/>
        <w:rPr>
          <w:rFonts w:asciiTheme="majorBidi" w:hAnsiTheme="majorBidi" w:cstheme="majorBidi"/>
          <w:bCs/>
          <w:sz w:val="24"/>
          <w:szCs w:val="24"/>
        </w:rPr>
      </w:pPr>
      <w:r w:rsidRPr="00CD779B">
        <w:rPr>
          <w:rFonts w:asciiTheme="majorBidi" w:hAnsiTheme="majorBidi" w:cstheme="majorBidi"/>
          <w:bCs/>
          <w:sz w:val="24"/>
          <w:szCs w:val="24"/>
        </w:rPr>
        <w:t xml:space="preserve">Our results suggest that vicariance events during the Pleistocene influenced the early divergence within the </w:t>
      </w:r>
      <w:r w:rsidRPr="00CD779B">
        <w:rPr>
          <w:rFonts w:asciiTheme="majorBidi" w:hAnsiTheme="majorBidi" w:cstheme="majorBidi"/>
          <w:bCs/>
          <w:i/>
          <w:iCs/>
          <w:sz w:val="24"/>
          <w:szCs w:val="24"/>
        </w:rPr>
        <w:t>humboltianum</w:t>
      </w:r>
      <w:r w:rsidRPr="00CD779B">
        <w:rPr>
          <w:rFonts w:asciiTheme="majorBidi" w:hAnsiTheme="majorBidi" w:cstheme="majorBidi"/>
          <w:bCs/>
          <w:sz w:val="24"/>
          <w:szCs w:val="24"/>
        </w:rPr>
        <w:t xml:space="preserve"> group. Speciation within this group appear to be strongly related to the complex geologic history of volcanism, tectonism, and climatic events that promoted the connection and disconnection of the Lerma-Chapala hydrological system, and surrounding tributaries—including several lakes and paleolakes such as Chapala, Cuitzeo, Zacapu, Pátzcuaro, and Zirahuén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[10]","plainTextFormattedCitation":"[10]","previouslyFormattedCitation":"[10]"},"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[10]</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w:t>
      </w:r>
    </w:p>
    <w:p w14:paraId="0B5DF056" w14:textId="77777777" w:rsidR="00CD779B" w:rsidRPr="00CD779B" w:rsidRDefault="00CD779B" w:rsidP="00CD779B">
      <w:pPr>
        <w:ind w:firstLine="720"/>
        <w:jc w:val="both"/>
        <w:rPr>
          <w:rFonts w:asciiTheme="majorBidi" w:hAnsiTheme="majorBidi" w:cstheme="majorBidi"/>
          <w:bCs/>
          <w:sz w:val="24"/>
          <w:szCs w:val="24"/>
        </w:rPr>
      </w:pPr>
      <w:r w:rsidRPr="00CD779B">
        <w:rPr>
          <w:rFonts w:asciiTheme="majorBidi" w:hAnsiTheme="majorBidi" w:cstheme="majorBidi"/>
          <w:bCs/>
          <w:sz w:val="24"/>
          <w:szCs w:val="24"/>
        </w:rPr>
        <w:t xml:space="preserve">Although our phylogenetic results are somewhat incongruent with those previously estimated by Betancourt-Resendes et al.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[11]</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xml:space="preserve"> among the genetic groups (</w:t>
      </w:r>
      <w:r w:rsidRPr="00CD779B">
        <w:rPr>
          <w:rFonts w:asciiTheme="majorBidi" w:hAnsiTheme="majorBidi" w:cstheme="majorBidi"/>
          <w:bCs/>
          <w:i/>
          <w:iCs/>
          <w:sz w:val="24"/>
          <w:szCs w:val="24"/>
        </w:rPr>
        <w:t>chapalae</w:t>
      </w:r>
      <w:r w:rsidRPr="00CD779B">
        <w:rPr>
          <w:rFonts w:asciiTheme="majorBidi" w:hAnsiTheme="majorBidi" w:cstheme="majorBidi"/>
          <w:bCs/>
          <w:sz w:val="24"/>
          <w:szCs w:val="24"/>
        </w:rPr>
        <w:t xml:space="preserve">, </w:t>
      </w:r>
      <w:r w:rsidRPr="00CD779B">
        <w:rPr>
          <w:rFonts w:asciiTheme="majorBidi" w:hAnsiTheme="majorBidi" w:cstheme="majorBidi"/>
          <w:bCs/>
          <w:i/>
          <w:iCs/>
          <w:sz w:val="24"/>
          <w:szCs w:val="24"/>
        </w:rPr>
        <w:t>sphyraena</w:t>
      </w:r>
      <w:r w:rsidRPr="00CD779B">
        <w:rPr>
          <w:rFonts w:asciiTheme="majorBidi" w:hAnsiTheme="majorBidi" w:cstheme="majorBidi"/>
          <w:bCs/>
          <w:sz w:val="24"/>
          <w:szCs w:val="24"/>
        </w:rPr>
        <w:t xml:space="preserve">, </w:t>
      </w:r>
      <w:r w:rsidRPr="00CD779B">
        <w:rPr>
          <w:rFonts w:asciiTheme="majorBidi" w:hAnsiTheme="majorBidi" w:cstheme="majorBidi"/>
          <w:bCs/>
          <w:i/>
          <w:iCs/>
          <w:sz w:val="24"/>
          <w:szCs w:val="24"/>
        </w:rPr>
        <w:t>estor</w:t>
      </w:r>
      <w:r w:rsidRPr="00CD779B">
        <w:rPr>
          <w:rFonts w:asciiTheme="majorBidi" w:hAnsiTheme="majorBidi" w:cstheme="majorBidi"/>
          <w:bCs/>
          <w:sz w:val="24"/>
          <w:szCs w:val="24"/>
        </w:rPr>
        <w:t xml:space="preserve">, and </w:t>
      </w:r>
      <w:r w:rsidRPr="00CD779B">
        <w:rPr>
          <w:rFonts w:asciiTheme="majorBidi" w:hAnsiTheme="majorBidi" w:cstheme="majorBidi"/>
          <w:bCs/>
          <w:i/>
          <w:iCs/>
          <w:sz w:val="24"/>
          <w:szCs w:val="24"/>
        </w:rPr>
        <w:t>humboldtianum sensu stricto</w:t>
      </w:r>
      <w:r w:rsidRPr="00CD779B">
        <w:rPr>
          <w:rFonts w:asciiTheme="majorBidi" w:hAnsiTheme="majorBidi" w:cstheme="majorBidi"/>
          <w:bCs/>
          <w:sz w:val="24"/>
          <w:szCs w:val="24"/>
        </w:rPr>
        <w:t xml:space="preserve"> groups), their divergence time analyses provide a rough estimate of the timing of divergence in the group, placing the origin of independent evolutionary lineages within the </w:t>
      </w:r>
      <w:r w:rsidRPr="00CD779B">
        <w:rPr>
          <w:rFonts w:asciiTheme="majorBidi" w:hAnsiTheme="majorBidi" w:cstheme="majorBidi"/>
          <w:bCs/>
          <w:i/>
          <w:iCs/>
          <w:sz w:val="24"/>
          <w:szCs w:val="24"/>
        </w:rPr>
        <w:t>humboldtianum</w:t>
      </w:r>
      <w:r w:rsidRPr="00CD779B">
        <w:rPr>
          <w:rFonts w:asciiTheme="majorBidi" w:hAnsiTheme="majorBidi" w:cstheme="majorBidi"/>
          <w:bCs/>
          <w:sz w:val="24"/>
          <w:szCs w:val="24"/>
        </w:rPr>
        <w:t xml:space="preserve"> group during the Pleistocene &lt;1 Ma (0.58–0.13 Ma). There are </w:t>
      </w:r>
      <w:r w:rsidRPr="00CD779B">
        <w:rPr>
          <w:rFonts w:asciiTheme="majorBidi" w:hAnsiTheme="majorBidi" w:cstheme="majorBidi"/>
          <w:bCs/>
          <w:sz w:val="24"/>
          <w:szCs w:val="24"/>
        </w:rPr>
        <w:lastRenderedPageBreak/>
        <w:t xml:space="preserve">two main biogeographic processes that are synchronous and congruent with the observed genetic patterns recovered in this study, for which we suggest that these events played an important role as the main drivers of diversification in the </w:t>
      </w:r>
      <w:r w:rsidRPr="00CD779B">
        <w:rPr>
          <w:rFonts w:asciiTheme="majorBidi" w:hAnsiTheme="majorBidi" w:cstheme="majorBidi"/>
          <w:bCs/>
          <w:i/>
          <w:iCs/>
          <w:sz w:val="24"/>
          <w:szCs w:val="24"/>
        </w:rPr>
        <w:t>humboldtianum</w:t>
      </w:r>
      <w:r w:rsidRPr="00CD779B">
        <w:rPr>
          <w:rFonts w:asciiTheme="majorBidi" w:hAnsiTheme="majorBidi" w:cstheme="majorBidi"/>
          <w:bCs/>
          <w:sz w:val="24"/>
          <w:szCs w:val="24"/>
        </w:rPr>
        <w:t xml:space="preserve"> group. First, the allopatric fragmentation of clade I (Lake Chapala) from II-III (Lake Zacapu-Lakes Pátzcuaro and Zirahuén) may correspond to a biogeographical barrier promoted by the geologic activity of the Penjamillo Graben and the formation of the Tarascan corridor, which started much earlier during the Late Miocene–Early Pliocene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{"citationItems":[{"id":"ITEM-1","itemData":{"DOI":"10.18268/bsgm2000v53n1a5","ISSN":"1405-3322","abstract":"Resumen La Faja Volcánica Transmexicana (FVTM). el arco volcánico construido sobre la margen meridional de la Placa Norteamericana, presenta caracterfsticas peculiares tal como una gran variabilidad del estilo volcánico y de la composición qu(mica de sus productos, la oblicuidad de su parte central y oriental con la trinchera y la notable variación del ancho del arco. En esta reseña se sintetizan las principales contribuciones en campo geológico, geoquímico y geofísico sobre este arco volcánico según los artículos publicados durante la década de los noventa. Los mayores avances lo constituyen la reconstrucción de la estructura del sistema de subducción, el establecimiento de la edad y la evolución geológico-tectónica de la FVTM; la reconstrucción de la historia volcánica de los centros activos y la evaluación de su riesgo; y el esclarecimiento de la petrogénesis de los magmas. Sin embargo, a pesar de los avances, no se ha aclarado completamente el origen y la evolución de la FVTM. En el futuro, las investigaciones que pueden contribuir a solucionar los problemas de interpretación de la FVTM tendrán que enfocarse al conocimiento detallado de la geolog(a del arco volcánico y de la estructura f(sico-qu(mica de la corteza y el manto por debajo de él. Abstraet The Trans-Mexican Volcanic Belt (TMVB), the volcanic are built on the southem edge of the North America plate, presents several peculiar fea tu res such as large are parallel variation in volcanic style and chemical composition, a slight obliquity with respect to the trench and a significant variation in the are width. In this review I synthesize the main geologic, geophysics and geochemical contributions on this are based on papers published during the last decade. Significant advances in this respect were the reconstruction of the structure of the subduction system; the establishment of the age and geologic evolution of the TMVB; the reconstruction of the volcanic history of the active centers, the volcanic hazard assessment; and the deeper insight into the petrogenesis of the magmas. Despite these advances, the origin and the evolution of the TMVB is not completely understood ye/. In the future, detailed geologic and tectonic studies of the are and","author":[{"dropping-particle":"","family":"Ferrari Pedraglio","given":"Luca","non-dropping-particle":"","parse-names":false,"suffix":""}],"container-title":"Boletín de la Sociedad Geológica Mexicana","id":"ITEM-1","issue":"1","issued":{"date-parts":[["2000"]]},"page":"84-92","title":"Avances en el conocimiento de la Faja Volcánica Transmexicana durante la última década","type":"article-journal","volume":"53"},"uris":["http://www.mendeley.com/documents/?uuid=96bb930b-2203-4ff5-af04-ba8eee9d99cb"]},{"id":"ITEM-2","itemData":{"DOI":"10.18268/bsgm2002v55n1a1","ISSN":"1405-3322","abstract":"El análisis estructural de fallas potencialmente activas comprende el estudio de las deformaciones recientes y está relacionado con la aplicación de los métodos y fines de la neotectónica. Esta disciplina aplica métodos propios al establecimiento\\nde una cronología fina de las deformaciones actuales en la corteza superior, siempre asociados a eventos tectónicos. En este trabajo se presentan algunos métodos que se utilizan para el estudio de las fallas activas y para ilustrarlo se utilizaron ejemplos en la parte central de Faja Volcánica Transmexicana. En particular, se destaca el papel que juegan en la geotectónica las estructuras regionales, simples y menores. Además, se presentan algunos métodos para el cálculo de los tensores de esfuerzo a partir de datos de fallas.","author":[{"dropping-particle":"","family":"Quintero-Legorreta","given":"Odranoel","non-dropping-particle":"","parse-names":false,"suffix":""}],"container-title":"Boletín de la Sociedad Geológica Mexicana","id":"ITEM-2","issue":"1","issued":{"date-parts":[["2002"]]},"page":"12-29","title":"Análisis estructural de fallas potencialmente activas","type":"article-journal","volume":"55"},"uris":["http://www.mendeley.com/documents/?uuid=8b8c64af-b4a7-449b-a293-bc1c1ea51191"]}],"mendeley":{"formattedCitation":"[27, 28]","plainTextFormattedCitation":"[27, 28]","previouslyFormattedCitation":"[27, 28]"},"properties":{"noteIndex":0},"schema":"https://github.com/citation-style-language/schema/raw/master/csl-citation.json"}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[27, 28]</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xml:space="preserve">. These geological events separated the ancient corridors between the paleo Lerma-Chapala system and the Cuitzeo paleolake plus adjacent tributaries that connected Lakes Zacapu, Pátzcuaro, and Zirahuén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id":"ITEM-2","itemData":{"author":[{"dropping-particle":"","family":"Israde-Alcántara","given":"Isabel","non-dropping-particle":"","parse-names":false,"suffix":""},{"dropping-particle":"","family":"Velázquez-Durán","given":"Rodrigo","non-dropping-particle":"","parse-names":false,"suffix":""},{"dropping-particle":"","family":"Lozano-García","given":"M. S.","non-dropping-particle":"","parse-names":false,"suffix":""},{"dropping-particle":"","family":"BischoffJ.","given":"","non-dropping-particle":"","parse-names":false,"suffix":""},{"dropping-particle":"","family":"Domínguez-Vázquez","given":"Gabriela","non-dropping-particle":"","parse-names":false,"suffix":""},{"dropping-particle":"","family":"Victor Hugo","given":"Garduño Monroy","non-dropping-particle":"","parse-names":false,"suffix":""}],"container-title":"Boletín de la Sociedad Geológica Mexicana","id":"ITEM-2","issue":"3","issued":{"date-parts":[["2010"]]},"page":"345-357","title":"Evolución Paleolimnológica del Lago Cuitzeo , Michoacán durante el Pleistoceno-Holoceno","type":"article-journal","volume":"62"},"uris":["http://www.mendeley.com/documents/?uuid=c3dc92df-dc8f-4067-93fe-c6f4b4560fe7"]}],"mendeley":{"formattedCitation":"[10, 29]","plainTextFormattedCitation":"[10, 29]","previouslyFormattedCitation":"[10, 29]"},"properties":{"noteIndex":0},"schema":"https://github.com/citation-style-language/schema/raw/master/csl-citation.json"}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[10, 29]</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xml:space="preserve">. The separation of these hydrologic regions experienced its highest peak during the Early Pleistocene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author":[{"dropping-particle":"","family":"Israde-Alcántara","given":"Isabel","non-dropping-particle":"","parse-names":false,"suffix":""},{"dropping-particle":"","family":"Velázquez-Durán","given":"Rodrigo","non-dropping-particle":"","parse-names":false,"suffix":""},{"dropping-particle":"","family":"Lozano-García","given":"M. S.","non-dropping-particle":"","parse-names":false,"suffix":""},{"dropping-particle":"","family":"BischoffJ.","given":"","non-dropping-particle":"","parse-names":false,"suffix":""},{"dropping-particle":"","family":"Domínguez-Vázquez","given":"Gabriela","non-dropping-particle":"","parse-names":false,"suffix":""},{"dropping-particle":"","family":"Victor Hugo","given":"Garduño Monroy","non-dropping-particle":"","parse-names":false,"suffix":""}],"container-title":"Boletín de la Sociedad Geológica Mexicana","id":"ITEM-1","issue":"3","issued":{"date-parts":[["2010"]]},"page":"345-357","title":"Evolución Paleolimnológica del Lago Cuitzeo , Michoacán durante el Pleistoceno-Holoceno","type":"article-journal","volume":"62"},"uris":["http://www.mendeley.com/documents/?uuid=c3dc92df-dc8f-4067-93fe-c6f4b4560fe7"]}],"mendeley":{"formattedCitation":"[29]","plainTextFormattedCitation":"[29]","previouslyFormattedCitation":"[29]"},"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[29]</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xml:space="preserve">, where severe climatic fluctuations promoted a series of connection and disconnection events of small water bodies, with the last dry episode starting </w:t>
      </w:r>
      <w:r w:rsidRPr="00CD779B">
        <w:rPr>
          <w:rFonts w:asciiTheme="majorBidi" w:hAnsiTheme="majorBidi" w:cstheme="majorBidi"/>
          <w:bCs/>
          <w:i/>
          <w:iCs/>
          <w:sz w:val="24"/>
          <w:szCs w:val="24"/>
        </w:rPr>
        <w:t>ca.</w:t>
      </w:r>
      <w:r w:rsidRPr="00CD779B">
        <w:rPr>
          <w:rFonts w:asciiTheme="majorBidi" w:hAnsiTheme="majorBidi" w:cstheme="majorBidi"/>
          <w:bCs/>
          <w:sz w:val="24"/>
          <w:szCs w:val="24"/>
        </w:rPr>
        <w:t xml:space="preserve"> 0.12 Ma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id":"ITEM-2","itemData":{"author":[{"dropping-particle":"","family":"Israde-Alcántara","given":"Isabel","non-dropping-particle":"","parse-names":false,"suffix":""},{"dropping-particle":"","family":"Velázquez-Durán","given":"Rodrigo","non-dropping-particle":"","parse-names":false,"suffix":""},{"dropping-particle":"","family":"Lozano-García","given":"M. S.","non-dropping-particle":"","parse-names":false,"suffix":""},{"dropping-particle":"","family":"BischoffJ.","given":"","non-dropping-particle":"","parse-names":false,"suffix":""},{"dropping-particle":"","family":"Domínguez-Vázquez","given":"Gabriela","non-dropping-particle":"","parse-names":false,"suffix":""},{"dropping-particle":"","family":"Victor Hugo","given":"Garduño Monroy","non-dropping-particle":"","parse-names":false,"suffix":""}],"container-title":"Boletín de la Sociedad Geológica Mexicana","id":"ITEM-2","issue":"3","issued":{"date-parts":[["2010"]]},"page":"345-357","title":"Evolución Paleolimnológica del Lago Cuitzeo , Michoacán durante el Pleistoceno-Holoceno","type":"article-journal","volume":"62"},"uris":["http://www.mendeley.com/documents/?uuid=c3dc92df-dc8f-4067-93fe-c6f4b4560fe7"]}],"mendeley":{"formattedCitation":"[10, 29]","plainTextFormattedCitation":"[10, 29]","previouslyFormattedCitation":"[10, 29]"},"properties":{"noteIndex":0},"schema":"https://github.com/citation-style-language/schema/raw/master/csl-citation.json"}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[10, 29]</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The second biogeographic event is the fragmentation of the ancestral Villa Morelos and Chucandiro-Huaniqueo corridors, also during the Pleistocene. This episode,</w:t>
      </w:r>
      <w:r w:rsidRPr="00CD779B" w:rsidDel="0065560A">
        <w:rPr>
          <w:rFonts w:asciiTheme="majorBidi" w:hAnsiTheme="majorBidi" w:cstheme="majorBidi"/>
          <w:bCs/>
          <w:sz w:val="24"/>
          <w:szCs w:val="24"/>
        </w:rPr>
        <w:t xml:space="preserve"> </w:t>
      </w:r>
      <w:r w:rsidRPr="00CD779B">
        <w:rPr>
          <w:rFonts w:asciiTheme="majorBidi" w:hAnsiTheme="majorBidi" w:cstheme="majorBidi"/>
          <w:bCs/>
          <w:sz w:val="24"/>
          <w:szCs w:val="24"/>
        </w:rPr>
        <w:t xml:space="preserve">promoted by the geologic activity of the Northeast-Southwest fault system </w:t>
      </w:r>
      <w:r w:rsidRPr="00CD779B">
        <w:rPr>
          <w:rFonts w:asciiTheme="majorBidi" w:hAnsiTheme="majorBidi" w:cstheme="majorBidi"/>
          <w:bCs/>
          <w:i/>
          <w:iCs/>
          <w:sz w:val="24"/>
          <w:szCs w:val="24"/>
        </w:rPr>
        <w:t>ca.</w:t>
      </w:r>
      <w:r w:rsidRPr="00CD779B">
        <w:rPr>
          <w:rFonts w:asciiTheme="majorBidi" w:hAnsiTheme="majorBidi" w:cstheme="majorBidi"/>
          <w:bCs/>
          <w:sz w:val="24"/>
          <w:szCs w:val="24"/>
        </w:rPr>
        <w:t xml:space="preserve"> 0.7 to 0.5 Ma, separated Lake Zacapu from Lakes Cuitzeo-Pátzcuaro-Zirahuén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ADDIN CSL_CITATION {"citationItems":[{"id":"ITEM-1","itemData":{"author":[{"dropping-particle":"","family":"Israde-Alcantara","given":"I.","non-dropping-particle":"","parse-names":false,"suffix":""},{"dropping-particle":"","family":"Garduño-Monroy","given":"V. H.","non-dropping-particle":"","parse-names":false,"suffix":""}],"container-title":"Palaeogeography, Palaeoclimatology, Palaeoecology","id":"ITEM-1","issued":{"date-parts":[["1999"]]},"page":"209-227","title":"Lacustrine record in a volcanic intra-arc setting: the evolution of the Late Neogene Cuitzeo basin system (central- western mexico, Michoacán)","type":"article-journal","volume":"151"},"uris":["http://www.mendeley.com/documents/?uuid=e347e65e-626f-4756-8498-eaa7a19dfe9e"]},{"id":"ITEM-2","itemData":{"author":[{"dropping-particle":"","family":"Israde-Alcántara","given":"Isabel","non-dropping-particle":"","parse-names":false,"suffix":""}],"container-title":"Carta Geológica de Michoacán Escala 1:250000","editor":[{"dropping-particle":"","family":"Garduño-Monroy","given":"V. H.","non-dropping-particle":"","parse-names":false,"suffix":""},{"dropping-particle":"","family":"Corona-Chávez","given":"P.","non-dropping-particle":"","parse-names":false,"suffix":""},{"dropping-particle":"","family":"Israde-Alcántara","given":"Isabel","non-dropping-particle":"","parse-names":false,"suffix":""},{"dropping-particle":"","family":"Menella","given":"L","non-dropping-particle":"","parse-names":false,"suffix":""},{"dropping-particle":"","family":"Arreygue","given":"E","non-dropping-particle":"","parse-names":false,"suffix":""},{"dropping-particle":"","family":"B","given":"Bigioggero","non-dropping-particle":"","parse-names":false,"suffix":""},{"dropping-particle":"","family":"Chiesa","given":"S","non-dropping-particle":"","parse-names":false,"suffix":""}],"id":"ITEM-2","issued":{"date-parts":[["1999"]]},"page":"45-72","publisher":"Universidad Michoacana de San Nicolás de Hidalgo","title":"Lagos Volcánicos y Tectónicos de Michoacán","type":"chapter"},"uris":["http://www.mendeley.com/documents/?uuid=75c6a691-f3a7-4259-802d-68ed0372b43a"]}],"mendeley":{"formattedCitation":"[30, 31]","plainTextFormattedCitation":"[30, 31]","previouslyFormattedCitation":"[30, 31]"},"properties":{"noteIndex":0},"schema":"https://github.com/citation-style-language/schema/raw/master/csl-citation.json"}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[30, 31]</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 correlating with the genetic patterns of divergence between clade II (Lake Zacapu) and III (Lakes Pátzcuaro and Zirahuén).</w:t>
      </w:r>
    </w:p>
    <w:p w14:paraId="7D879BF7" w14:textId="2DD9BB55" w:rsidR="00CD779B" w:rsidRDefault="00CD779B" w:rsidP="00CD779B">
      <w:pPr>
        <w:ind w:firstLine="720"/>
        <w:jc w:val="both"/>
        <w:rPr>
          <w:rFonts w:asciiTheme="majorBidi" w:hAnsiTheme="majorBidi" w:cstheme="majorBidi"/>
          <w:bCs/>
          <w:sz w:val="24"/>
          <w:szCs w:val="24"/>
        </w:rPr>
      </w:pPr>
      <w:r w:rsidRPr="00CD779B">
        <w:rPr>
          <w:rFonts w:asciiTheme="majorBidi" w:hAnsiTheme="majorBidi" w:cstheme="majorBidi"/>
          <w:bCs/>
          <w:sz w:val="24"/>
          <w:szCs w:val="24"/>
        </w:rPr>
        <w:t xml:space="preserve">The same cladogenetic patterns, in agreement with the aforementioned biogeographic events, have been observed in goodeid freshwater species endemic to central Mexico, including the divergence between the sister species </w:t>
      </w:r>
      <w:r w:rsidRPr="00CD779B">
        <w:rPr>
          <w:rFonts w:asciiTheme="majorBidi" w:hAnsiTheme="majorBidi" w:cstheme="majorBidi"/>
          <w:bCs/>
          <w:i/>
          <w:iCs/>
          <w:sz w:val="24"/>
          <w:szCs w:val="24"/>
        </w:rPr>
        <w:t>Skiffia multipunctata</w:t>
      </w:r>
      <w:r w:rsidRPr="00CD779B">
        <w:rPr>
          <w:rFonts w:asciiTheme="majorBidi" w:hAnsiTheme="majorBidi" w:cstheme="majorBidi"/>
          <w:bCs/>
          <w:sz w:val="24"/>
          <w:szCs w:val="24"/>
        </w:rPr>
        <w:t xml:space="preserve"> and </w:t>
      </w:r>
      <w:r w:rsidRPr="00CD779B">
        <w:rPr>
          <w:rFonts w:asciiTheme="majorBidi" w:hAnsiTheme="majorBidi" w:cstheme="majorBidi"/>
          <w:bCs/>
          <w:i/>
          <w:iCs/>
          <w:sz w:val="24"/>
          <w:szCs w:val="24"/>
        </w:rPr>
        <w:t>S. lermae</w:t>
      </w:r>
      <w:r w:rsidRPr="00CD779B">
        <w:rPr>
          <w:rFonts w:asciiTheme="majorBidi" w:hAnsiTheme="majorBidi" w:cstheme="majorBidi"/>
          <w:bCs/>
          <w:sz w:val="24"/>
          <w:szCs w:val="24"/>
        </w:rPr>
        <w:t xml:space="preserve"> and the split of the </w:t>
      </w:r>
      <w:r w:rsidRPr="00CD779B">
        <w:rPr>
          <w:rFonts w:asciiTheme="majorBidi" w:hAnsiTheme="majorBidi" w:cstheme="majorBidi"/>
          <w:bCs/>
          <w:i/>
          <w:iCs/>
          <w:sz w:val="24"/>
          <w:szCs w:val="24"/>
        </w:rPr>
        <w:t>Allotoca diazi</w:t>
      </w:r>
      <w:r w:rsidRPr="00CD779B">
        <w:rPr>
          <w:rFonts w:asciiTheme="majorBidi" w:hAnsiTheme="majorBidi" w:cstheme="majorBidi"/>
          <w:bCs/>
          <w:sz w:val="24"/>
          <w:szCs w:val="24"/>
        </w:rPr>
        <w:t xml:space="preserve"> complex from </w:t>
      </w:r>
      <w:r w:rsidRPr="00CD779B">
        <w:rPr>
          <w:rFonts w:asciiTheme="majorBidi" w:hAnsiTheme="majorBidi" w:cstheme="majorBidi"/>
          <w:bCs/>
          <w:i/>
          <w:iCs/>
          <w:sz w:val="24"/>
          <w:szCs w:val="24"/>
        </w:rPr>
        <w:t>A. zacapuensis</w:t>
      </w:r>
      <w:r w:rsidRPr="00CD779B">
        <w:rPr>
          <w:rFonts w:asciiTheme="majorBidi" w:hAnsiTheme="majorBidi" w:cstheme="majorBidi"/>
          <w:bCs/>
          <w:sz w:val="24"/>
          <w:szCs w:val="24"/>
        </w:rPr>
        <w:t xml:space="preserve">, although the diversification events do not appear to have occurred in synchrony </w:t>
      </w:r>
      <w:r w:rsidRPr="00CD779B">
        <w:rPr>
          <w:rFonts w:asciiTheme="majorBidi" w:hAnsiTheme="majorBidi" w:cstheme="majorBidi"/>
          <w:bCs/>
          <w:sz w:val="24"/>
          <w:szCs w:val="24"/>
        </w:rPr>
        <w:fldChar w:fldCharType="begin" w:fldLock="1"/>
      </w:r>
      <w:r w:rsidRPr="00CD779B">
        <w:rPr>
          <w:rFonts w:asciiTheme="majorBidi" w:hAnsiTheme="majorBidi" w:cstheme="majorBidi"/>
          <w:bCs/>
          <w:sz w:val="24"/>
          <w:szCs w:val="24"/>
        </w:rPr>
        <w:instrText xml:space="preserve">ADDIN CSL_CITATION {"citationItems":[{"id":"ITEM-1","itemData":{"DOI":"10.1186/1471-2148-8-161","ISSN":"14712148","PMID":"18503717","abstract":"Background. Tectonic, volcanic and climatic events that produce changes in hydrographic systems are the main causes of diversification and speciation of freshwater fishes. Elucidate the evolutionary history of freshwater fishes permits to infer theories on the biotic and geological evolution of a region, which can further be applied to understand processes of population divergence, speciation and for conservation purposes. The freshwater ecosystems in Central Mexico are characterized by their genesis dynamism, destruction, and compartmentalization induced by intense geologic activity and climatic changes since the early Miocene. The endangered goodeid Zoogoneticus quitzeoensis is widely distributed across Central México, thus making it a good model for phylogeographic analyses in this area. Results. We addressed the phylogeography, evolutionary history and genetic structure of populations of Z. quitzeoensis through a sequential approach, based on both microsatellite and mitochondrial cytochrome b sequences. Most haplotypes were private to particular locations. All the populations analysed showed a remarkable number of haplotypes. The level of gene diversity within populations was H̄d= 0.987 (0.714 - 1.00). However, in general the nucleotide diversity was low, π = 0.0173 (0.0015 - 0.0049). Significant genetic structure was found among populations at the mitochondrial and nuclear level (ΦST= 0.836 and FST= 0.262, respectively). We distinguished two well-defined mitochondrial lineages that were separated ca. 3.3 million years ago (Mya). The time since expansion was ca. 1.5 × 106 years ago for Lineage I and ca. 860,000 years ago for Lineage II. Also, genetic patterns of differentiation, between and within lineages, are described at different historical timescales. Conclusion. Our mtDNA data indicates that the evolution of the different genetic groups is more related to ancient geological and climatic events (Middle Pliocene, ca. 3.3 Mya) than to the current hydrographic configuration of the basins. In general, mitochondrial and nuclear data supported the same relationships between populations, with the exception of some reduced populations in highly polluted basins (Lower Lerma River), where the effects of genetic drift are suggested by the different analyses at the nuclear and mitochondrial level. Further, our findings are of special interest for the conservation of this endangered species. © 2008 Domínguez-Domínguez et al; licensee BioMed Central Ltd.","author":[{"dropping-particle":"","family":"Domínguez-Domínguez","given":"Omar","non-dropping-particle":"","parse-names":false,"suffix":""},{"dropping-particle":"","family":"Alda","given":"Fernando","non-dropping-particle":"","parse-names":false,"suffix":""},{"dropping-particle":"","family":"León","given":"Gerardo Pérez Ponce","non-dropping-particle":"De","parse-names":false,"suffix":""},{"dropping-particle":"","family":"García-Garitagoitia","given":"José Luis","non-dropping-particle":"","parse-names":false,"suffix":""},{"dropping-particle":"","family":"Doadrio","given":"Ignacio","non-dropping-particle":"","parse-names":false,"suffix":""}],"container-title":"BMC Evolutionary Biology","id":"ITEM-1","issue":"1","issued":{"date-parts":[["2008"]]},"page":"1-19","title":"Evolutionary history of the endangered fish Zoogoneticus quitzeoensis (Bean, 1898) (Cyprinodontiformes: Goodeidae) using a sequential approach to phylogeography based on mitochondrial and nuclear DNA data","type":"article-journal","volume":"8"},"uris":["http://www.mendeley.com/documents/?uuid=82857a04-1d63-4969-951d-80f3f969f3dd"]},{"id":"ITEM-2","itemData":{"DOI":"10.1016/j.ympev.2003.08.022","ISSN":"10557903","PMID":"15062784","abstract":"A phylogeny of the species in the family Goodeidae was constructed based on the complete mitochondrial cytochrome b gene (1140 bp). Molecular phylogeny was used to revise current systematic of this group, to characterize the evolution of reproductive characters, and to infer a biogeographical model for the Mesa Central of Mexico during the Cenozoic period. We confirmed the monophyly of the subfamily Goodeinae and defined five different lineages within Goodeinae: Chapalichthyini, Girardinichthyini, Goodiini, Ilyodontini, and Charachontini. The morphology of trophotaeniae widely used to infer phylogenetic relationships within goodeids appears to be homoplasious. In a primitive condition, trophotaeniae seem to be very simple structure as occurs in the Charachontini lineage. There is an evolutionary trend to increase trophotaeniae surface via an increase in the number of branches (ribbon type) or branch widening (rosette type). Goodeidae originated in the middle Miocene and it was in the Pliocene when they radied their highest diversity during a dry period that caused basin splitting in the Mesa Central of Mexico. © 2003 Elsevier Inc. All rights reserved.","author":[{"dropping-particle":"","family":"Doadrio","given":"Ignacio","non-dropping-particle":"","parse-names":false,"suffix":""},{"dropping-particle":"","family":"Domínguez","given":"Omar","non-dropping-particle":"","parse-names":false,"suffix":""}],"container-title":"Molecular Phylogenetics and Evolution","id":"ITEM-2","issue":"2","issued":{"date-parts":[["2004"]]},"page":"416-430","title":"Phylogenetic relationships within the fish family Goodeidae based on cytochrome b sequence data","type":"article-journal","volume":"31"},"uris":["http://www.mendeley.com/documents/?uuid=b42d902c-a0c3-45b6-83bc-7626399e1042"]},{"id":"ITEM-3","itemData":{"DOI":"10.1371/journal.pone.0124138","ISSN":"19326203","PMID":"25946217","abstract":"The evolutionary history of Mexican ichthyofauna has been strongly linked to natural events, and the impact of pre-Hispanic cultures is little known. The live-bearing fish species Allotoca diazi, Allotoca meeki and Allotoca catarinae occur in areas of biological, cultural and economic importance in central Mexico: Pátzcuaro basin, Zirahuén basin, and the Cupatitzio River, respectively. The species are closely related genetically and morphologically, and hypotheses have attempted to explain their systematics and biogeography. Mitochondrial DNA and microsatellite markers were used to investigate the evolutionary history of the complex. The species complex shows minimal genetic differentiation. The separation of A. diazi and A. meeki was dated to 400-7000 years ago, explained by geological and climate events. A bottleneck and reduction of genetic diversity in Allotoca diazi was detected, attributed to recent climate fluctuations and anthropogenic activity. The isolation of A. catarinae occurred </w:instrText>
      </w:r>
      <w:r w:rsidRPr="00CD779B">
        <w:rPr>
          <w:rFonts w:ascii="Cambria Math" w:hAnsi="Cambria Math" w:cs="Cambria Math"/>
          <w:bCs/>
          <w:sz w:val="24"/>
          <w:szCs w:val="24"/>
        </w:rPr>
        <w:instrText>∼</w:instrText>
      </w:r>
      <w:r w:rsidRPr="00CD779B">
        <w:rPr>
          <w:rFonts w:asciiTheme="majorBidi" w:hAnsiTheme="majorBidi" w:cstheme="majorBidi"/>
          <w:bCs/>
          <w:sz w:val="24"/>
          <w:szCs w:val="24"/>
        </w:rPr>
        <w:instrText>1900 years ago. No geological events are documented in the area during this period, but the date is contemporary with P'urhépecha culture settlements. This founder effect represents the first evidence of fish species translocation by a pre-Hispanic culture of Mexico. The response of the complex to climate fluctuation, geological changes and human activity in the past and the future according to the ecological niches predictions indicates areas of vulnerability and important information for conservation. The new genetic information showed that the Allotoca diazi complex consist of two genetic groups with an incomplete lineage sorting pattern: Pátzcuaro and Zirahuén lakes, and an introduced population in the Cupatitzio River.","author":[{"dropping-particle":"","family":"Corona-Santiago","given":"Diushi Keri","non-dropping-particle":"","parse-names":false,"suffix":""},{"dropping-particle":"","family":"Doadrio","given":"Ignacio","non-dropping-particle":"","parse-names":false,"suffix":""},{"dropping-particle":"","family":"Domínguez-Domínguez","given":"Omar","non-dropping-particle":"","parse-names":false,"suffix":""}],"container-title":"PLoS ONE","id":"ITEM-3","issue":"5","issued":{"date-parts":[["2015"]]},"page":"1-21","title":"Evolutionary history of the live-bearing endemic Allotoca diazi species complex (Actinopterygii, Goodeinae): Evidence of founder effect events in the Mexican pre-Hispanic period","type":"article-journal","volume":"10"},"uris":["http://www.mendeley.com/documents/?uuid=50a1b8f5-12d4-4518-8b75-408d6f1d28ef"]},{"id":"ITEM-4","itemData":{"DOI":"10.1007/s00334-018-0685-8","ISBN":"0033401806858","ISSN":"09396314","abstract":"To investigate the changes in the structure and composition of the vegetation during the Pleistocene–Holocene transition, pollen and macrocharcoal analyses were carried out on samples of sediments taken from a 14.5 m core from Hoya Rincón de Parangueo, a crater lake (maar) in Guanajuato, Mexico. Fossil pollen data from the core suggest that during the last glacial maximum (LGM) the climate in central Mexico was very wet and cold, and the vegetation was open cloud forest, and fires did not occur. During the Pleistocene–Holocene transition, vegetation diversity was high in the study area, but disturbance to vegetation was observed, indicating an open habitat with fewer trees. There was an abrupt change in the composition of the vegetation during the later Holocene, likely signalling a strong change in climate. During the early Holocene the area remained wet, but there was a trend toward drier conditions that became well established at the end of the middle Holocene and into the late Holocene. As a consequence, the structure of the vegetation changed, with more taxa suggesting dryer environments, lasting until the late Holocene, when human disturbance became an important factor affecting vegetation in the area.","author":[{"dropping-particle":"","family":"Domínguez-Vázquez","given":"Gabriela","non-dropping-particle":"","parse-names":false,"suffix":""},{"dropping-particle":"","family":"Osuna-Vallejo","given":"Verónica","non-dropping-particle":"","parse-names":false,"suffix":""},{"dropping-particle":"","family":"Castro-López","given":"Valerio","non-dropping-particle":"","parse-names":false,"suffix":""},{"dropping-particle":"","family":"Israde-Alcántara","given":"Isabel","non-dropping-particle":"","parse-names":false,"suffix":""},{"dropping-particle":"","family":"Bischoff","given":"James A.","non-dropping-particle":"","parse-names":false,"suffix":""}],"container-title":"Vegetation History and Archaeobotany","id":"ITEM-4","issue":"1","issued":{"date-parts":[["2019"]]},"page":"81-91","publisher":"Springer Berlin Heidelberg","title":"Changes in vegetation structure during the Pleistocene–Holocene transition in Guanajuato, central Mexico","type":"article-journal","volume":"28"},"uris":["http://www.mendeley.com/documents/?uuid=58e55e9d-4fc3-415a-8f27-9d36ad4e439b"]}],"mendeley":{"formattedCitation":"[32–35]","plainTextFormattedCitation":"[32–35]","previouslyFormattedCitation":"[32–35]"},"properties":{"noteIndex":0},"schema":"https://github.com/citation-style-language/schema/raw/master/csl-citation.json"}</w:instrText>
      </w:r>
      <w:r w:rsidRPr="00CD779B">
        <w:rPr>
          <w:rFonts w:asciiTheme="majorBidi" w:hAnsiTheme="majorBidi" w:cstheme="majorBidi"/>
          <w:bCs/>
          <w:sz w:val="24"/>
          <w:szCs w:val="24"/>
        </w:rPr>
        <w:fldChar w:fldCharType="separate"/>
      </w:r>
      <w:r w:rsidRPr="00CD779B">
        <w:rPr>
          <w:rFonts w:asciiTheme="majorBidi" w:hAnsiTheme="majorBidi" w:cstheme="majorBidi"/>
          <w:bCs/>
          <w:sz w:val="24"/>
          <w:szCs w:val="24"/>
        </w:rPr>
        <w:t>[32–35]</w:t>
      </w:r>
      <w:r w:rsidRPr="00CD779B">
        <w:rPr>
          <w:rFonts w:asciiTheme="majorBidi" w:hAnsiTheme="majorBidi" w:cstheme="majorBidi"/>
          <w:bCs/>
          <w:sz w:val="24"/>
          <w:szCs w:val="24"/>
        </w:rPr>
        <w:fldChar w:fldCharType="end"/>
      </w:r>
      <w:r w:rsidRPr="00CD779B">
        <w:rPr>
          <w:rFonts w:asciiTheme="majorBidi" w:hAnsiTheme="majorBidi" w:cstheme="majorBidi"/>
          <w:bCs/>
          <w:sz w:val="24"/>
          <w:szCs w:val="24"/>
        </w:rPr>
        <w:t>.</w:t>
      </w:r>
    </w:p>
    <w:p w14:paraId="220D8FE2" w14:textId="76DA496C" w:rsidR="008C7F69" w:rsidRPr="00CD779B" w:rsidRDefault="008C7F69" w:rsidP="008C7F69">
      <w:pPr>
        <w:jc w:val="both"/>
        <w:rPr>
          <w:rFonts w:asciiTheme="majorBidi" w:hAnsiTheme="majorBidi" w:cstheme="majorBidi"/>
          <w:b/>
          <w:bCs/>
          <w:sz w:val="28"/>
          <w:szCs w:val="28"/>
        </w:rPr>
      </w:pPr>
      <w:r w:rsidRPr="00CD779B">
        <w:rPr>
          <w:rFonts w:asciiTheme="majorBidi" w:hAnsiTheme="majorBidi" w:cstheme="majorBidi"/>
          <w:b/>
          <w:bCs/>
          <w:sz w:val="28"/>
          <w:szCs w:val="28"/>
        </w:rPr>
        <w:t>Int</w:t>
      </w:r>
      <w:r>
        <w:rPr>
          <w:rFonts w:asciiTheme="majorBidi" w:hAnsiTheme="majorBidi" w:cstheme="majorBidi"/>
          <w:b/>
          <w:bCs/>
          <w:sz w:val="28"/>
          <w:szCs w:val="28"/>
        </w:rPr>
        <w:t>ra</w:t>
      </w:r>
      <w:r w:rsidRPr="00CD779B">
        <w:rPr>
          <w:rFonts w:asciiTheme="majorBidi" w:hAnsiTheme="majorBidi" w:cstheme="majorBidi"/>
          <w:b/>
          <w:bCs/>
          <w:sz w:val="28"/>
          <w:szCs w:val="28"/>
        </w:rPr>
        <w:t>-lacustrine divergences</w:t>
      </w:r>
    </w:p>
    <w:p w14:paraId="096F5816" w14:textId="6D0F5BF1" w:rsidR="008C7F69" w:rsidRPr="008C7F69" w:rsidRDefault="008C7F69" w:rsidP="008C7F69">
      <w:pPr>
        <w:jc w:val="both"/>
        <w:rPr>
          <w:rFonts w:asciiTheme="majorBidi" w:hAnsiTheme="majorBidi" w:cstheme="majorBidi"/>
          <w:bCs/>
          <w:sz w:val="24"/>
          <w:szCs w:val="24"/>
        </w:rPr>
      </w:pPr>
      <w:r w:rsidRPr="008C7F69">
        <w:rPr>
          <w:rFonts w:asciiTheme="majorBidi" w:hAnsiTheme="majorBidi" w:cstheme="majorBidi"/>
          <w:bCs/>
          <w:sz w:val="24"/>
          <w:szCs w:val="24"/>
        </w:rPr>
        <w:t>Our genome-wide data revealed the presence of two genetic clusters in Lake Chapala (</w:t>
      </w:r>
      <w:r w:rsidRPr="008C7F69">
        <w:rPr>
          <w:rFonts w:asciiTheme="majorBidi" w:hAnsiTheme="majorBidi" w:cstheme="majorBidi"/>
          <w:bCs/>
          <w:i/>
          <w:iCs/>
          <w:sz w:val="24"/>
          <w:szCs w:val="24"/>
        </w:rPr>
        <w:t>sphyraena</w:t>
      </w:r>
      <w:r w:rsidRPr="008C7F69">
        <w:rPr>
          <w:rFonts w:asciiTheme="majorBidi" w:hAnsiTheme="majorBidi" w:cstheme="majorBidi"/>
          <w:bCs/>
          <w:sz w:val="24"/>
          <w:szCs w:val="24"/>
        </w:rPr>
        <w:t xml:space="preserve"> and </w:t>
      </w:r>
      <w:r w:rsidRPr="008C7F69">
        <w:rPr>
          <w:rFonts w:asciiTheme="majorBidi" w:hAnsiTheme="majorBidi" w:cstheme="majorBidi"/>
          <w:bCs/>
          <w:i/>
          <w:iCs/>
          <w:sz w:val="24"/>
          <w:szCs w:val="24"/>
        </w:rPr>
        <w:t>chapalae</w:t>
      </w:r>
      <w:r w:rsidRPr="008C7F69">
        <w:rPr>
          <w:rFonts w:asciiTheme="majorBidi" w:hAnsiTheme="majorBidi" w:cstheme="majorBidi"/>
          <w:bCs/>
          <w:sz w:val="24"/>
          <w:szCs w:val="24"/>
        </w:rPr>
        <w:t xml:space="preserve"> groups), as suggested by Betancourt-Resendes et al.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[11]</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 using mitochondrial sequences. The evolutionary processes segregating these populations seem to be related to ecological speciation—divergent specializations promoted by ecological opportunity following reproductive isolation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{"citationItems":[{"id":"ITEM-1","itemData":{"DOI":"10.1146/annurev-ecolsys-120213-091818","ISSN":"15452069","abstract":"The extraordinary species richness of freshwater fishes has attracted much research on mechanisms and modes of speciation. We here review research on speciation in freshwater fishes in light of speciation theory, and place this in a context of broad-scale diversity patterns in freshwater fishes. We discuss several major repeated themes in freshwater fish speciation and the speciation mechanisms they are frequently associated with. These include transitions between marine and freshwater habitats, transitions between discrete freshwater habitats, and ecological transitions within habitats, as well as speciation without distinct niche shifts. Major research directions in the years to come include understanding the transition from extrinsic environment-dependent to intrinsic reproductive isolation and its influences on species persistence and understanding the extrinsic and intrinsic constraints to speciation and how these relate to broad-scale diversification patterns through time.","author":[{"dropping-particle":"","family":"Seehausen","given":"Ole","non-dropping-particle":"","parse-names":false,"suffix":""},{"dropping-particle":"","family":"Wagner","given":"Catherine E.","non-dropping-particle":"","parse-names":false,"suffix":""}],"container-title":"Annual Review of Ecology, Evolution, and Systematics","id":"ITEM-1","issue":"November","issued":{"date-parts":[["2014"]]},"page":"621-651","title":"Speciation in freshwater fishes","type":"article-journal","volume":"45"},"uris":["http://www.mendeley.com/documents/?uuid=656df4d0-c4c8-499f-b570-8a32ca2ddca1"]},{"id":"ITEM-2","itemData":{"author":[{"dropping-particle":"","family":"Mayr","given":"E.","non-dropping-particle":"","parse-names":false,"suffix":""}],"id":"ITEM-2","issued":{"date-parts":[["1942"]]},"publisher":"Columbia University Press","publisher-place":"New York","title":"Systematics and the origin of species","type":"book"},"uris":["http://www.mendeley.com/documents/?uuid=9b4ce0f5-f524-4317-9d8c-3619d13f0db3"]}],"mendeley":{"formattedCitation":"[36, 37]","plainTextFormattedCitation":"[36, 37]","previouslyFormattedCitation":"[36, 37]"},"properties":{"noteIndex":0},"schema":"https://github.com/citation-style-language/schema/raw/master/csl-citation.json"}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[36, 37]</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—which represents one of the major drivers of sympatric evolution in lakes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{"citationItems":[{"id":"ITEM-1","itemData":{"DOI":"10.1111/j.1461-0248.2004.00715.x","ISSN":"1461023X","abstract":"Ecological processes are central to the formation of new species when barriers to gene flow (reproductive isolation) evolve between populations as a result of ecologically-based divergent selection. Although laboratory and field studies provide evidence that 'ecological speciation' can occur, our understanding of the details of the process is incomplete. Here we review ecological speciation by considering its constituent components: an ecological source of divergent selection, a form of reproductive isolation, and a genetic mechanism linking the two. Sources of divergent selection include differences in environment or niche, certain forms of sexual selection, and the ecological interaction of populations. We explore the evidence for the contribution of each to ecological speciation. Forms of reproductive isolation are diverse and we discuss the likelihood that each may be involved in ecological speciation. Divergent selection on genes affecting ecological traits can be transmitted directly (via pleiotropy) or indirectly (via linkage disequilibrium) to genes causing reproductive isolation and we explore the consequences of both. Along with these components, we also discuss the geography and the genetic basis of ecological speciation. Throughout, we provide examples from nature, critically evaluate their quality, and highlight areas where more work is required. ©2005 Blackwell Publishing Ltd/CNRS.","author":[{"dropping-particle":"","family":"Rundle","given":"Howard D.","non-dropping-particle":"","parse-names":false,"suffix":""},{"dropping-particle":"","family":"Nosil","given":"Patrik","non-dropping-particle":"","parse-names":false,"suffix":""}],"container-title":"Ecology Letters","id":"ITEM-1","issue":"3","issued":{"date-parts":[["2005"]]},"page":"336-352","title":"Ecological speciation","type":"article-journal","volume":"8"},"uris":["http://www.mendeley.com/documents/?uuid=6e356150-cbf4-4204-befe-b27089c1f9af"]},{"id":"ITEM-2","itemData":{"DOI":"10.1111/mec.12494","ISSN":"09621083","PMID":"24118417","abstract":"The field of speciation has seen much renewed interest in the past few years, with theoretical and empirical advances that have moved it from a descriptive field to a predictive and testable one. The goal of this review is to provide a general background on research on speciation as it pertains to fishes. Three major components to the question are first discussed: the spatial, ecological and sexual factors that influence speciation mechanisms. We then move to the latest developments in the field of speciation genomics. Affordable and rapidly available, massively parallel sequencing data allow speciation studies to converge into a single comprehensive line of investigation, where the focus has shifted to the search for speciation genes and genomic islands of speciation. We argue that fish present a very diverse array of scenarios, making them an ideal model to study speciation processes. © 2013 John Wiley &amp; Sons Ltd.","author":[{"dropping-particle":"","family":"Bernardi","given":"Giacomo","non-dropping-particle":"","parse-names":false,"suffix":""}],"container-title":"Molecular Ecology","id":"ITEM-2","issue":"22","issued":{"date-parts":[["2013"]]},"page":"5487-5502","title":"Speciation in fishes","type":"article-journal","volume":"22"},"uris":["http://www.mendeley.com/documents/?uuid=a112af00-3afb-4995-b518-1c7817f9ff16"]},{"id":"ITEM-3","itemData":{"DOI":"10.1146/annurev-ecolsys-120213-091818","ISSN":"15452069","abstract":"The extraordinary species richness of freshwater fishes has attracted much research on mechanisms and modes of speciation. We here review research on speciation in freshwater fishes in light of speciation theory, and place this in a context of broad-scale diversity patterns in freshwater fishes. We discuss several major repeated themes in freshwater fish speciation and the speciation mechanisms they are frequently associated with. These include transitions between marine and freshwater habitats, transitions between discrete freshwater habitats, and ecological transitions within habitats, as well as speciation without distinct niche shifts. Major research directions in the years to come include understanding the transition from extrinsic environment-dependent to intrinsic reproductive isolation and its influences on species persistence and understanding the extrinsic and intrinsic constraints to speciation and how these relate to broad-scale diversification patterns through time.","author":[{"dropping-particle":"","family":"Seehausen","given":"Ole","non-dropping-particle":"","parse-names":false,"suffix":""},{"dropping-particle":"","family":"Wagner","given":"Catherine E.","non-dropping-particle":"","parse-names":false,"suffix":""}],"container-title":"Annual Review of Ecology, Evolution, and Systematics","id":"ITEM-3","issue":"November","issued":{"date-parts":[["2014"]]},"page":"621-651","title":"Speciation in freshwater fishes","type":"article-journal","volume":"45"},"uris":["http://www.mendeley.com/documents/?uuid=656df4d0-c4c8-499f-b570-8a32ca2ddca1"]}],"mendeley":{"formattedCitation":"[36, 38, 39]","plainTextFormattedCitation":"[36, 38, 39]","previouslyFormattedCitation":"[36, 38, 39]"},"properties":{"noteIndex":0},"schema":"https://github.com/citation-style-language/schema/raw/master/csl-citation.json"}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[36, 38, 39]</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 The most iconic examples of ecological speciation are depicted by South American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 xml:space="preserve">ADDIN CSL_CITATION {"citationItems":[{"id":"ITEM-1","itemData":{"DOI":"10.1038/nature04325","ISSN":"14764687","PMID":"16467837","abstract":"Sympatric speciation, the formation of species in the absence of geographical barriers, remains one of the most contentious concepts in evolutionary biology. Although speciation under sympatric conditions seems theoretically possible1-5, empirical studies are scarce and only a few credible examples of sympatric speciation exist6. Here we present a convincing case of sympatric speciation in the Midas cichlid species complex (Amphilophus sp.) in a young and small volcanic crater lake in Nicaragua. Our study includes phylogeographic, population-genetic (based on mitochondrial DNA, microsatellites and amplified fragment length polymorphisms), morphometric and ecological analyses. We find, first, that crater Lake Apoyo was seeded only once by the ancestral high-bodied benthic species Amphilophus citrinellus, the most common cichlid species in the area; second, that a new elongated limnetic species (Amphilophus zaliosus) evolved in Lake Apoyo from the ancestral species (A. citrinellus) within less than </w:instrText>
      </w:r>
      <w:r w:rsidRPr="008C7F69">
        <w:rPr>
          <w:rFonts w:ascii="Cambria Math" w:hAnsi="Cambria Math" w:cs="Cambria Math"/>
          <w:bCs/>
          <w:sz w:val="24"/>
          <w:szCs w:val="24"/>
        </w:rPr>
        <w:instrText>∼</w:instrText>
      </w:r>
      <w:r w:rsidRPr="008C7F69">
        <w:rPr>
          <w:rFonts w:asciiTheme="majorBidi" w:hAnsiTheme="majorBidi" w:cstheme="majorBidi"/>
          <w:bCs/>
          <w:sz w:val="24"/>
          <w:szCs w:val="24"/>
        </w:rPr>
        <w:instrText>10,000 yr; third, that the two species in Lake Apoyo are reproductively isolated; and fourth, that the two species are eco-morphologically distinct. © 2006 Nature Publishing Group.","author":[{"dropping-particle":"","family":"Barluenga","given":"Marta","non-dropping-particle":"","parse-names":false,"suffix":""},{"dropping-particle":"","family":"Stölting","given":"Kai N.","non-dropping-particle":"","parse-names":false,"suffix":""},{"dropping-particle":"","family":"Salzburger","given":"Walter","non-dropping-particle":"","parse-names":false,"suffix":""},{"dropping-particle":"","family":"Muschick","given":"Moritz","non-dropping-particle":"","parse-names":false,"suffix":""},{"dropping-particle":"","family":"Meyer","given":"Axel","non-dropping-particle":"","parse-names":false,"suffix":""}],"container-title":"Nature","id":"ITEM-1","issue":"7077","issued":{"date-parts":[["2006"]]},"page":"719-723","title":"Sympatric speciation in Nicaraguan crater lake cichlid fish","type":"article-journal","volume":"439"},"uris":["http://www.mendeley.com/documents/?uuid=195d0092-ece4-4418-ab14-299d6af00cde"]},{"id":"ITEM-2","itemData":{"DOI":"10.1038/ncomms6168","ISSN":"20411723","PMID":"25346277","abstract":"Fundamental to understanding how biodiversity arises and adapts is whether evolution is predictable in the face of stochastic genetic and demographic factors. Here we show rapid parallel evolution across two closely related but geographically isolated radiations of Nicaraguan crater lake cichlid fishes. We find significant morphological, ecological and genetic differentiation between ecomorphs in sympatry, reflected primarily in elongated versus high-bodied shape, differential ecological niche use and genetic differentiation. These eco-morphological divergences are significantly parallel across radiations. Based on 442,644 genome-wide single nucleotide polymorphisms, we identify strong support for the monophyly of, and subsequent sympatric divergence within, each radiation. However, the order of speciation differs across radiations; in one lake the limnetic ecomorph diverged first while in the other a benthic ecomorph. Overall our results demonstrate that complex parallel phenotypes can evolve very rapidly and repeatedly in similar environments, probably due to natural selection, yet this evolution can proceed along different evolutionary genetic routes.","author":[{"dropping-particle":"","family":"Elmer","given":"Kathryn R.","non-dropping-particle":"","parse-names":false,"suffix":""},{"dropping-particle":"","family":"Fan","given":"Shaohua","non-dropping-particle":"","parse-names":false,"suffix":""},{"dropping-particle":"","family":"Kusche","given":"Henrik","non-dropping-particle":"","parse-names":false,"suffix":""},{"dropping-particle":"","family":"Luise Spreitzer","given":"Maria","non-dropping-particle":"","parse-names":false,"suffix":""},{"dropping-particle":"","family":"Kautt","given":"Andreas F.","non-dropping-particle":"","parse-names":false,"suffix":""},{"dropping-particle":"","family":"Franchini","given":"Paolo","non-dropping-particle":"","parse-names":false,"suffix":""},{"dropping-particle":"","family":"Meyer","given":"Axel","non-dropping-particle":"","parse-names":false,"suffix":""}],"container-title":"Nature Communications","id":"ITEM-2","issued":{"date-parts":[["2014"]]},"publisher":"Nature Publishing Group","title":"Parallel evolution of Nicaraguan crater lake cichlid fishes via non-parallel routes","type":"article-journal","volume":"5"},"uris":["http://www.mendeley.com/documents/?uuid=d9ffab28-01b7-4df5-bab9-8eef280249b3"]},{"id":"ITEM-3","itemData":{"DOI":"10.1111/1365-2656.12457","ISSN":"13652656","PMID":"26476003","abstract":"Innovations can facilitate bursts of diversification by increasing access to novel resources and the attainment of novel functional designs. Pharyngognathy, exhibited by highly diverse groups such as wrasses and cichlid fishes, is hypothesized to increase foraging capacity and efficiency. Here, I test the hypothesis that pharyngeal jaw shape and tooth morphology are adaptive in an ecologically diverse radiation of Neotropical cichlid fishes that spans North, Central and South America. I partitioned species into generalized trophic guilds using published stomach content analyses and quantified shape variation of the lower pharyngeal jaw (LPJ) using geometric morphometrics. Additionally, I tested for convergence in LPJ shape and trophic guild by mapping the phylogeny onto the principal components and testing for shifts towards similar evolutionary regimes. Major LPJ shape variation included the length and orientation (i.e. narrow or wide) of the lateral processes and length of the medial process, which varied based on the proportion of fishes and plants consumed. Pharyngeal tooth number, diversity and the frequency of tooth types were not evenly distributed among trophic guilds. There were seven distinct evolutionary regimes that converged upon four optima. Pharyngeal jaw diversification is associated with the exploitation of novel resources among Neotropical cichlids such that pharyngeal specialization has increased access to otherwise poorly accessible resources, such as resources that are difficult to crush (e.g. hard-shelled organisms) and assimilate (e.g. algae).","author":[{"dropping-particle":"","family":"Burress","given":"Edward D.","non-dropping-particle":"","parse-names":false,"suffix":""}],"container-title":"Journal of Animal Ecology","id":"ITEM-3","issue":"1","issued":{"date-parts":[["2016"]]},"page":"302-313","title":"Ecological diversification associated with the pharyngeal jaw diversity of Neotropical cichlid fishes","type":"article-journal","volume":"85"},"uris":["http://www.mendeley.com/documents/?uuid=ebfb7807-f049-404f-a6ad-4122fb37ca6a"]}],"mendeley":{"formattedCitation":"[40–42]","plainTextFormattedCitation":"[40–42]","previouslyFormattedCitation":"[40–42]"},"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[40–42]</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 and African cichlids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{"citationItems":[{"id":"ITEM-1","itemData":{"DOI":"10.1038/s41576-018-0043-9","ISSN":"14710064","PMID":"30111830","abstract":"Owing to their taxonomic, phenotypic, ecological and behavioural diversity and propensity for explosive diversification, the assemblages of cichlid fish in the East African Great Lakes Victoria, Malawi and Tanganyika are important role models in evolutionary biology. With the release of five reference genomes and many additional genomic resources, as well as the establishment of functional genomic tools, the cichlid system has fully entered the genomic era. The in-depth genomic exploration of the East African cichlid fauna — in combination with the examination of their ecology, morphology and behaviour — permits novel insights into the way organisms diversify.","author":[{"dropping-particle":"","family":"Salzburger","given":"Walter","non-dropping-particle":"","parse-names":false,"suffix":""}],"container-title":"Nature Reviews Genetics","id":"ITEM-1","issue":"11","issued":{"date-parts":[["2018"]]},"page":"705-717","publisher":"Springer US","title":"Understanding explosive diversification through cichlid fish genomics","type":"article-journal","volume":"19"},"uris":["http://www.mendeley.com/documents/?uuid=4fee9afd-748b-472c-a5d0-ab7cc258075c"]},{"id":"ITEM-2","itemData":{"DOI":"10.1007/978-94-024-2080-7_19","ISBN":"978-94-024-2080-7","abstract":"Among the ancient Great Lakes of East Africa, Lake TanganyikaLake Tanganyikais the oldest and possesses about 250 species of cichlid fishes. Most are endemic species and have rapidly evolved with high diversification in morphology, behavior, and ecology through adaptive radiation into novel habitats. Cichlids are distributed from the shallow margins to the deep area in the lake, while the assemblages of the cichlid community indicate higher density and diversity in the shallow rocky regions in which some cichlid species that utilize similar diet niches coexist. In this chapter, I summarize research about feeding ecology, morphological traits in relation to foraging behavior and diet utilization, and food web structure in the cichlid community of Lake TanganyikaLake Tanganyika. Furthermore, I point out future directions in terms of current novel approaches that would contribute to understanding sympatric speciation with expanding novel diet/feeding niches, the diversification of species, food web constructions, and mechanisms for coexistance; including evo-devo, symbiosis with microorganisms in guts, stable isotope analysis, and behavioral syndrome/personality studies for the Lake TanganyikaLake Tanganyikacichlids. The integration of these studies will help us understand the ecological and evolutionary insights of feeding ecology and provide new aspects of adaptive radiation and sympatric speciation in Lake TanganyikaLake Tanganyikacichlids.","author":[{"dropping-particle":"","family":"Takeyama","given":"Tomohiro","non-dropping-particle":"","parse-names":false,"suffix":""}],"container-title":"The Behavior, Ecology and Evolution of Cichlid Fishes","editor":[{"dropping-particle":"","family":"Abate","given":"Maria E","non-dropping-particle":"","parse-names":false,"suffix":""},{"dropping-particle":"","family":"Noakes","given":"David L G","non-dropping-particle":"","parse-names":false,"suffix":""}],"id":"ITEM-2","issued":{"date-parts":[["2021"]]},"page":"715-751","publisher":"Springer Netherlands","publisher-place":"Dordrecht","title":"Feeding Ecology of Lake Tanganyika Cichlids","type":"chapter"},"uris":["http://www.mendeley.com/documents/?uuid=f7b01f89-b917-44c9-b68f-8a68b344f0f3"]}],"mendeley":{"formattedCitation":"[43, 44]","plainTextFormattedCitation":"[43, 44]","previouslyFormattedCitation":"[43, 44]"},"properties":{"noteIndex":0},"schema":"https://github.com/citation-style-language/schema/raw/master/csl-citation.json"}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[43, 44]</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 and sticklebacks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{"citationItems":[{"id":"ITEM-1","itemData":{"DOI":"10.1111/mec.15746","ISSN":"1365294X","PMID":"33222348","abstract":"The repeated occurrence of similar phenotypes in independent lineages (i.e., parallel evolution) in response to similar ecological conditions can provide compelling insights into the process of adaptive evolution. An intriguing question is to what extent repeated phenotypic changes are underlain by repeated changes at the genomic level and whether patterns of genomic divergence differ with the geographic context in which populations evolve. Here, we combined genomic, morphological and ecological data sets to investigate the genomic signatures of divergence across populations of threespine stickleback (Gasterosteus aculeatus) that adapted to contrasting ecological niches (benthic or limnetic) in either sympatry or allopatry. We found that genome-wide differentiation (FST) was an order of magnitude higher and substantially more repeatable for sympatric benthic and limnetic specialists compared to allopatric populations with similar levels of ecological divergence. We identified genomic regions consistently differentiated between sympatric ecotypes that were also differentiated between or associated with benthic vs. limnetic niche in allopatric populations. These candidate regions were enriched on three chromosomes known to be involved in the benthic-limnetic divergence of threespine stickleback. Some candidate regions overlapped with QTL for body shape and trophic traits such as gill raker number, traits that strongly differ between benthic and limnetic ecotypes. In summary, our study shows that magnitude and repeatability of genomic signatures of ecological divergence in threespine stickleback highly depend on the geographic context. The identified candidate regions provide starting points to identify functionally important genes for the adaptation to benthic and limnetic niches.","author":[{"dropping-particle":"","family":"Härer","given":"Andreas","non-dropping-particle":"","parse-names":false,"suffix":""},{"dropping-particle":"","family":"Bolnick","given":"Daniel I.","non-dropping-particle":"","parse-names":false,"suffix":""},{"dropping-particle":"","family":"Rennison","given":"Diana J.","non-dropping-particle":"","parse-names":false,"suffix":""}],"container-title":"Molecular Ecology","id":"ITEM-1","issue":"2","issued":{"date-parts":[["2021"]]},"page":"451-463","title":"The genomic signature of ecological divergence along the benthic-limnetic axis in allopatric and sympatric threespine stickleback","type":"article-journal","volume":"30"},"uris":["http://www.mendeley.com/documents/?uuid=68380967-842e-40c6-80ff-4d274a31aa47"]},{"id":"ITEM-2","itemData":{"DOI":"10.1038/nature10944","ISSN":"00280836","PMID":"22481358","abstract":"Marine stickleback fish have colonized and adapted to thousands of streams and lakes formed since the last ice age, providing an exceptional opportunity to characterize genomic mechanisms underlying repeated ecological adaptation in nature. Here we develop a high-quality reference genome assembly for threespine sticklebacks. By sequencing the genomes of twenty additional individuals from a global set of marine and freshwater populations, we identify a genome-wide set of loci that are consistently associated with marine-freshwater divergence. Our results indicate that reuse of globally shared standing genetic variation, including chromosomal inversions, has an important role in repeated evolution of distinct marine and freshwater sticklebacks, and in the maintenance of divergent ecotypes during early stages of reproductive isolation. Both coding and regulatory changes occur in the set of loci underlying marine-freshwater evolution, but regulatory changes appear to predominate in this well known example of repeated adaptive evolution in nature. © 2012 Macmillan Publishers Limited. All rights reserved.","author":[{"dropping-particle":"","family":"Jones","given":"Felicity C.","non-dropping-particle":"","parse-names":false,"suffix":""},{"dropping-particle":"","family":"Grabherr","given":"Manfred G.","non-dropping-particle":"","parse-names":false,"suffix":""},{"dropping-particle":"","family":"Chan","given":"Yingguang Frank","non-dropping-particle":"","parse-names":false,"suffix":""},{"dropping-particle":"","family":"Russell","given":"Pamela","non-dropping-particle":"","parse-names":false,"suffix":""},{"dropping-particle":"","family":"Mauceli","given":"Evan","non-dropping-particle":"","parse-names":false,"suffix":""},{"dropping-particle":"","family":"Johnson","given":"Jeremy","non-dropping-particle":"","parse-names":false,"suffix":""},{"dropping-particle":"","family":"Swofford","given":"Ross","non-dropping-particle":"","parse-names":false,"suffix":""},{"dropping-particle":"","family":"Pirun","given":"Mono","non-dropping-particle":"","parse-names":false,"suffix":""},{"dropping-particle":"","family":"Zody","given":"Michael C.","non-dropping-particle":"","parse-names":false,"suffix":""},{"dropping-particle":"","family":"White","given":"Simon","non-dropping-particle":"","parse-names":false,"suffix":""},{"dropping-particle":"","family":"Birney","given":"Ewan","non-dropping-particle":"","parse-names":false,"suffix":""},{"dropping-particle":"","family":"Searle","given":"Stephen","non-dropping-particle":"","parse-names":false,"suffix":""},{"dropping-particle":"","family":"Schmutz","given":"Jeremy","non-dropping-particle":"","parse-names":false,"suffix":""},{"dropping-particle":"","family":"Grimwood","given":"Jane","non-dropping-particle":"","parse-names":false,"suffix":""},{"dropping-particle":"","family":"Dickson","given":"Mark C.","non-dropping-particle":"","parse-names":false,"suffix":""},{"dropping-particle":"","family":"Myers","given":"Richard M.","non-dropping-particle":"","parse-names":false,"suffix":""},{"dropping-particle":"","family":"Miller","given":"Craig T.","non-dropping-particle":"","parse-names":false,"suffix":""},{"dropping-particle":"","family":"Summers","given":"Brian R.","non-dropping-particle":"","parse-names":false,"suffix":""},{"dropping-particle":"","family":"Knecht","given":"Anne K.","non-dropping-particle":"","parse-names":false,"suffix":""},{"dropping-particle":"","family":"Brady","given":"Shannon D.","non-dropping-particle":"","parse-names":false,"suffix":""},{"dropping-particle":"","family":"Zhang","given":"Haili","non-dropping-particle":"","parse-names":false,"suffix":""},{"dropping-particle":"","family":"Pollen","given":"Alex A.","non-dropping-particle":"","parse-names":false,"suffix":""},{"dropping-particle":"","family":"Howes","given":"Timothy","non-dropping-particle":"","parse-names":false,"suffix":""},{"dropping-particle":"","family":"Amemiya","given":"Chris","non-dropping-particle":"","parse-names":false,"suffix":""},{"dropping-particle":"","family":"Baldwin","given":"Jen","non-dropping-particle":"","parse-names":false,"suffix":""},{"dropping-particle":"","family":"Bloom","given":"Toby","non-dropping-particle":"","parse-names":false,"suffix":""},{"dropping-particle":"","family":"Jaffe","given":"David B.","non-dropping-particle":"","parse-names":false,"suffix":""},{"dropping-particle":"","family":"Nicol","given":"Robert","non-dropping-particle":"","parse-names":false,"suffix":""},{"dropping-particle":"","family":"Wilkinson","given":"Jane","non-dropping-particle":"","parse-names":false,"suffix":""},{"dropping-particle":"","family":"Lander","given":"Eric S.","non-dropping-particle":"","parse-names":false,"suffix":""},{"dropping-particle":"","family":"Palma","given":"Federica","non-dropping-particle":"Di","parse-names":false,"suffix":""},{"dropping-particle":"","family":"Lindblad-Toh","given":"Kerstin","non-dropping-particle":"","parse-names":false,"suffix":""},{"dropping-particle":"","family":"Kingsley","given":"David M.","non-dropping-particle":"","parse-names":false,"suffix":""}],"container-title":"Nature","id":"ITEM-2","issue":"7392","issued":{"date-parts":[["2012"]]},"page":"55-61","title":"The genomic basis of adaptive evolution in threespine sticklebacks","type":"article-journal","volume":"484"},"uris":["http://www.mendeley.com/documents/?uuid=50d5dd01-440e-4fbe-814d-9c24da69b5c0"]}],"mendeley":{"formattedCitation":"[45, 46]","plainTextFormattedCitation":"[45, 46]","previouslyFormattedCitation":"[45, 46]"},"properties":{"noteIndex":0},"schema":"https://github.com/citation-style-language/schema/raw/master/csl-citation.json"}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[45, 46]</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where patterns of morphological divergence are associated with trophic partitioning. For example, preference for soft mobile (</w:t>
      </w:r>
      <w:r w:rsidRPr="008C7F69">
        <w:rPr>
          <w:rFonts w:asciiTheme="majorBidi" w:hAnsiTheme="majorBidi" w:cstheme="majorBidi"/>
          <w:bCs/>
          <w:i/>
          <w:iCs/>
          <w:sz w:val="24"/>
          <w:szCs w:val="24"/>
        </w:rPr>
        <w:t>e.g.,</w:t>
      </w:r>
      <w:r w:rsidRPr="008C7F69">
        <w:rPr>
          <w:rFonts w:asciiTheme="majorBidi" w:hAnsiTheme="majorBidi" w:cstheme="majorBidi"/>
          <w:bCs/>
          <w:sz w:val="24"/>
          <w:szCs w:val="24"/>
        </w:rPr>
        <w:t xml:space="preserve"> copepods) compared to hard sessile preys (</w:t>
      </w:r>
      <w:r w:rsidRPr="008C7F69">
        <w:rPr>
          <w:rFonts w:asciiTheme="majorBidi" w:hAnsiTheme="majorBidi" w:cstheme="majorBidi"/>
          <w:bCs/>
          <w:i/>
          <w:iCs/>
          <w:sz w:val="24"/>
          <w:szCs w:val="24"/>
        </w:rPr>
        <w:t>e.g.,</w:t>
      </w:r>
      <w:r w:rsidRPr="008C7F69">
        <w:rPr>
          <w:rFonts w:asciiTheme="majorBidi" w:hAnsiTheme="majorBidi" w:cstheme="majorBidi"/>
          <w:bCs/>
          <w:sz w:val="24"/>
          <w:szCs w:val="24"/>
        </w:rPr>
        <w:t xml:space="preserve"> gastropods) can lead to disruptive selection on skull morphology and body shape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{"citationItems":[{"id":"ITEM-1","itemData":{"DOI":"10.1111/j.1095-8649.2009.02358.x","author":[{"dropping-particle":"","family":"Puebla","given":"O","non-dropping-particle":"","parse-names":false,"suffix":""}],"container-title":"Journal of Fish Biology","id":"ITEM-1","issued":{"date-parts":[["2009"]]},"page":"960-996","title":"Ecological speciation in marine v . freshwater fishes","type":"article-journal","volume":"75"},"uris":["http://www.mendeley.com/documents/?uuid=ca333f31-cd08-49bb-9402-fe111ce32369"]}],"mendeley":{"formattedCitation":"[47]","plainTextFormattedCitation":"[47]","previouslyFormattedCitation":"[47]"},"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[47]</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where body size can be crucial to succeed in the related foraging mode (</w:t>
      </w:r>
      <w:r w:rsidRPr="008C7F69">
        <w:rPr>
          <w:rFonts w:asciiTheme="majorBidi" w:hAnsiTheme="majorBidi" w:cstheme="majorBidi"/>
          <w:bCs/>
          <w:i/>
          <w:iCs/>
          <w:sz w:val="24"/>
          <w:szCs w:val="24"/>
        </w:rPr>
        <w:t>e.g.,</w:t>
      </w:r>
      <w:r w:rsidRPr="008C7F69">
        <w:rPr>
          <w:rFonts w:asciiTheme="majorBidi" w:hAnsiTheme="majorBidi" w:cstheme="majorBidi"/>
          <w:bCs/>
          <w:sz w:val="24"/>
          <w:szCs w:val="24"/>
        </w:rPr>
        <w:t xml:space="preserve"> benthic </w:t>
      </w:r>
      <w:r w:rsidRPr="008C7F69">
        <w:rPr>
          <w:rFonts w:asciiTheme="majorBidi" w:hAnsiTheme="majorBidi" w:cstheme="majorBidi"/>
          <w:bCs/>
          <w:i/>
          <w:iCs/>
          <w:sz w:val="24"/>
          <w:szCs w:val="24"/>
        </w:rPr>
        <w:t>vs.</w:t>
      </w:r>
      <w:r w:rsidRPr="008C7F69">
        <w:rPr>
          <w:rFonts w:asciiTheme="majorBidi" w:hAnsiTheme="majorBidi" w:cstheme="majorBidi"/>
          <w:bCs/>
          <w:sz w:val="24"/>
          <w:szCs w:val="24"/>
        </w:rPr>
        <w:t xml:space="preserve"> limnetic in </w:t>
      </w:r>
      <w:r w:rsidRPr="008C7F69">
        <w:rPr>
          <w:rFonts w:asciiTheme="majorBidi" w:hAnsiTheme="majorBidi" w:cstheme="majorBidi"/>
          <w:bCs/>
          <w:i/>
          <w:iCs/>
          <w:sz w:val="24"/>
          <w:szCs w:val="24"/>
        </w:rPr>
        <w:t>Gasterosteus</w:t>
      </w:r>
      <w:r w:rsidRPr="008C7F69">
        <w:rPr>
          <w:rFonts w:asciiTheme="majorBidi" w:hAnsiTheme="majorBidi" w:cstheme="majorBidi"/>
          <w:bCs/>
          <w:sz w:val="24"/>
          <w:szCs w:val="24"/>
        </w:rPr>
        <w:t xml:space="preserve"> spp;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author":[{"dropping-particle":"","family":"Nagel","given":"Laura","non-dropping-particle":"","parse-names":false,"suffix":""},{"dropping-particle":"","family":"Schluter","given":"Dolph","non-dropping-particle":"","parse-names":false,"suffix":""}],"container-title":"Evolution","id":"ITEM-1","issue":"1","issued":{"date-parts":[["1998"]]},"page":"209-218","title":"Body Size, Natural Selection, and Speciation in Sticklebacks","type":"article-journal","volume":"52"},"uris":["http://www.mendeley.com/documents/?uuid=93096ca1-0a87-477e-80ec-c827493d827f"]},{"id":"ITEM-2","itemData":{"DOI":"10.1016/j.cub.2017.09.037","ISSN":"09609822","PMID":"29056455","abstract":"Ecological speciation with gene flow is widespread in nature [1], but it presents a conundrum: how are associations between traits under divergent natural selection and traits that contribute to assortative mating maintained? Theoretical models suggest that genetic mechanisms inhibiting free recombination between loci underlying these two types of traits (hereafter, “genetic coupling”) can facilitate speciation [2–4]. Here, we perform a direct test for genetic coupling by mapping both divergent traits and female mate choice in a classic model of ecological speciation: sympatric benthic and limnetic threespine stickleback (Gasterosteus aculeatus). By measuring mate choice in F2 hybrid females, we allowed for recombination between loci underlying assortative mating and those under divergent ecological selection. In semi-natural mating arenas in which females had access to both benthic and limnetic males, we found that F2 females mated with males similar to themselves in body size and shape. In addition, we found two quantitative trait loci (QTLs) associated with female mate choice that also predicted female morphology along the benthic-limnetic trait axis. Furthermore, a polygenic genetic model that explains adaptation to contrasting benthic and limnetic feeding niches [5] also predicted F2 female mate choice. Together, these results provide empirical evidence that genetic coupling of assortative mating with traits under divergent ecological selection helps maintain species in the face of gene flow, despite a polygenic basis for adaptation to divergent environments. By testing the mate choice of benthic-limnetic stickleback F2 hybrid females in a semi-natural pond experiment, Bay et al. provide empirical evidence to support the long-standing theoretical prediction that genetic coupling between assortative mating and traits under divergent selection can facilitate speciation in the face of gene flow.","author":[{"dropping-particle":"","family":"Bay","given":"Rachael A.","non-dropping-particle":"","parse-names":false,"suffix":""},{"dropping-particle":"","family":"Arnegard","given":"Matthew E.","non-dropping-particle":"","parse-names":false,"suffix":""},{"dropping-particle":"","family":"Conte","given":"Gina L.","non-dropping-particle":"","parse-names":false,"suffix":""},{"dropping-particle":"","family":"Best","given":"Jacob","non-dropping-particle":"","parse-names":false,"suffix":""},{"dropping-particle":"","family":"Bedford","given":"Nicole L.","non-dropping-particle":"","parse-names":false,"suffix":""},{"dropping-particle":"","family":"McCann","given":"Shaugnessy R.","non-dropping-particle":"","parse-names":false,"suffix":""},{"dropping-particle":"","family":"Dubin","given":"Matthew E.","non-dropping-particle":"","parse-names":false,"suffix":""},{"dropping-particle":"","family":"Chan","given":"Yingguang Frank","non-dropping-particle":"","parse-names":false,"suffix":""},{"dropping-particle":"","family":"Jones","given":"Felicity C.","non-dropping-particle":"","parse-names":false,"suffix":""},{"dropping-particle":"","family":"Kingsley","given":"David M.","non-dropping-particle":"","parse-names":false,"suffix":""},{"dropping-particle":"","family":"Schluter","given":"Dolph","non-dropping-particle":"","parse-names":false,"suffix":""},{"dropping-particle":"","family":"Peichel","given":"Catherine L.","non-dropping-particle":"","parse-names":false,"suffix":""}],"container-title":"Current Biology","id":"ITEM-2","issue":"21","issued":{"date-parts":[["2017"]]},"page":"3344-3349.e4","publisher":"Elsevier Ltd.","title":"Genetic Coupling of Female Mate Choice with Polygenic Ecological Divergence Facilitates Stickleback Speciation","type":"article-journal","volume":"27"},"uris":["http://www.mendeley.com/documents/?uuid=ec2ccb3d-1586-47c5-b16d-10e75ab305cf"]}],"mendeley":{"formattedCitation":"[48, 49]","plainTextFormattedCitation":"[48, 49]","previouslyFormattedCitation":"[48, 49]"},"properties":{"noteIndex":0},"schema":"https://github.com/citation-style-language/schema/raw/master/csl-citation.json"}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[48, 49]</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w:t>
      </w:r>
    </w:p>
    <w:p w14:paraId="0F930CFA" w14:textId="77777777" w:rsidR="008C7F69" w:rsidRPr="008C7F69" w:rsidRDefault="008C7F69" w:rsidP="008C7F69">
      <w:pPr>
        <w:jc w:val="both"/>
        <w:rPr>
          <w:rFonts w:asciiTheme="majorBidi" w:hAnsiTheme="majorBidi" w:cstheme="majorBidi"/>
          <w:bCs/>
          <w:sz w:val="24"/>
          <w:szCs w:val="24"/>
        </w:rPr>
      </w:pPr>
      <w:r w:rsidRPr="008C7F69">
        <w:rPr>
          <w:rFonts w:asciiTheme="majorBidi" w:hAnsiTheme="majorBidi" w:cstheme="majorBidi"/>
          <w:bCs/>
          <w:sz w:val="24"/>
          <w:szCs w:val="24"/>
        </w:rPr>
        <w:tab/>
        <w:t xml:space="preserve">In the case of species of the </w:t>
      </w:r>
      <w:r w:rsidRPr="008C7F69">
        <w:rPr>
          <w:rFonts w:asciiTheme="majorBidi" w:hAnsiTheme="majorBidi" w:cstheme="majorBidi"/>
          <w:bCs/>
          <w:i/>
          <w:iCs/>
          <w:sz w:val="24"/>
          <w:szCs w:val="24"/>
        </w:rPr>
        <w:t>humboldtianum</w:t>
      </w:r>
      <w:r w:rsidRPr="008C7F69">
        <w:rPr>
          <w:rFonts w:asciiTheme="majorBidi" w:hAnsiTheme="majorBidi" w:cstheme="majorBidi"/>
          <w:bCs/>
          <w:sz w:val="24"/>
          <w:szCs w:val="24"/>
        </w:rPr>
        <w:t xml:space="preserve"> group occurring within the Lake Chapala (</w:t>
      </w:r>
      <w:r w:rsidRPr="008C7F69">
        <w:rPr>
          <w:rFonts w:asciiTheme="majorBidi" w:hAnsiTheme="majorBidi" w:cstheme="majorBidi"/>
          <w:bCs/>
          <w:i/>
          <w:iCs/>
          <w:sz w:val="24"/>
          <w:szCs w:val="24"/>
        </w:rPr>
        <w:t>C. sphyraena</w:t>
      </w:r>
      <w:r w:rsidRPr="008C7F69">
        <w:rPr>
          <w:rFonts w:asciiTheme="majorBidi" w:hAnsiTheme="majorBidi" w:cstheme="majorBidi"/>
          <w:bCs/>
          <w:sz w:val="24"/>
          <w:szCs w:val="24"/>
        </w:rPr>
        <w:t xml:space="preserve">, </w:t>
      </w:r>
      <w:r w:rsidRPr="008C7F69">
        <w:rPr>
          <w:rFonts w:asciiTheme="majorBidi" w:hAnsiTheme="majorBidi" w:cstheme="majorBidi"/>
          <w:bCs/>
          <w:i/>
          <w:iCs/>
          <w:sz w:val="24"/>
          <w:szCs w:val="24"/>
        </w:rPr>
        <w:t>C. promelas</w:t>
      </w:r>
      <w:r w:rsidRPr="008C7F69">
        <w:rPr>
          <w:rFonts w:asciiTheme="majorBidi" w:hAnsiTheme="majorBidi" w:cstheme="majorBidi"/>
          <w:bCs/>
          <w:sz w:val="24"/>
          <w:szCs w:val="24"/>
        </w:rPr>
        <w:t xml:space="preserve">, </w:t>
      </w:r>
      <w:r w:rsidRPr="008C7F69">
        <w:rPr>
          <w:rFonts w:asciiTheme="majorBidi" w:hAnsiTheme="majorBidi" w:cstheme="majorBidi"/>
          <w:bCs/>
          <w:i/>
          <w:iCs/>
          <w:sz w:val="24"/>
          <w:szCs w:val="24"/>
        </w:rPr>
        <w:t>C. consocium</w:t>
      </w:r>
      <w:r w:rsidRPr="008C7F69">
        <w:rPr>
          <w:rFonts w:asciiTheme="majorBidi" w:hAnsiTheme="majorBidi" w:cstheme="majorBidi"/>
          <w:bCs/>
          <w:sz w:val="24"/>
          <w:szCs w:val="24"/>
        </w:rPr>
        <w:t xml:space="preserve">, and </w:t>
      </w:r>
      <w:r w:rsidRPr="008C7F69">
        <w:rPr>
          <w:rFonts w:asciiTheme="majorBidi" w:hAnsiTheme="majorBidi" w:cstheme="majorBidi"/>
          <w:bCs/>
          <w:i/>
          <w:iCs/>
          <w:sz w:val="24"/>
          <w:szCs w:val="24"/>
        </w:rPr>
        <w:t>C. lucius</w:t>
      </w:r>
      <w:r w:rsidRPr="008C7F69">
        <w:rPr>
          <w:rFonts w:asciiTheme="majorBidi" w:hAnsiTheme="majorBidi" w:cstheme="majorBidi"/>
          <w:bCs/>
          <w:sz w:val="24"/>
          <w:szCs w:val="24"/>
        </w:rPr>
        <w:t>), several hypotheses of ecological speciation suggest the coexistence of ecotypes in agreement with a differentiation of morphological traits (</w:t>
      </w:r>
      <w:r w:rsidRPr="008C7F69">
        <w:rPr>
          <w:rFonts w:asciiTheme="majorBidi" w:hAnsiTheme="majorBidi" w:cstheme="majorBidi"/>
          <w:bCs/>
          <w:i/>
          <w:iCs/>
          <w:sz w:val="24"/>
          <w:szCs w:val="24"/>
        </w:rPr>
        <w:t>e.g.</w:t>
      </w:r>
      <w:r w:rsidRPr="008C7F69">
        <w:rPr>
          <w:rFonts w:asciiTheme="majorBidi" w:hAnsiTheme="majorBidi" w:cstheme="majorBidi"/>
          <w:bCs/>
          <w:sz w:val="24"/>
          <w:szCs w:val="24"/>
        </w:rPr>
        <w:t xml:space="preserve">, jaw shape, head length, oral gape, and gill raker structure) related to feeding habitats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Atherinidae)","type":"article-journal","volume":"18"},"uris":["http://www.mendeley.com/documents/?uuid=5ae7b2f8-3c62-418e-8ebf-c77decd522ca"]},{"id":"ITEM-2","itemData":{"ISBN":"9780226526041","author":[{"dropping-particle":"","family":"Miller","given":"R R","non-dropping-particle":"","parse-names":false,"suffix":""},{"dropping-particle":"","family":"Minckley","given":"W L","non-dropping-particle":"","parse-names":false,"suffix":""},{"dropping-particle":"","family":"Norris","given":"S M","non-dropping-particle":"","parse-names":false,"suffix":""},{"dropping-particle":"","family":"of Michigan. Museum of Zoology","given":"University","non-dropping-particle":"","parse-names":false,"suffix":""}],"id":"ITEM-2","issued":{"date-parts":[["2005"]]},"publisher":"University of Chicago Press","title":"Freshwater Fishes of México","type":"book"},"uris":["http://www.mendeley.com/documents/?uuid=ec34a980-e2a1-438e-b384-69fd0429827d"]}],"mendeley":{"formattedCitation":"[10, 50]","plainTextFormattedCitation":"[10, 50]","previouslyFormattedCitation":"[10, 50]"},"properties":{"noteIndex":0},"schema":"https://github.com/citation-style-language/schema/raw/master/csl-citation.json"}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[10, 50]</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 or an ecological partition in correlation to the body size of the species (larger ‘peces blancos’ </w:t>
      </w:r>
      <w:r w:rsidRPr="008C7F69">
        <w:rPr>
          <w:rFonts w:asciiTheme="majorBidi" w:hAnsiTheme="majorBidi" w:cstheme="majorBidi"/>
          <w:bCs/>
          <w:i/>
          <w:iCs/>
          <w:sz w:val="24"/>
          <w:szCs w:val="24"/>
        </w:rPr>
        <w:t>vs</w:t>
      </w:r>
      <w:r w:rsidRPr="008C7F69">
        <w:rPr>
          <w:rFonts w:asciiTheme="majorBidi" w:hAnsiTheme="majorBidi" w:cstheme="majorBidi"/>
          <w:bCs/>
          <w:sz w:val="24"/>
          <w:szCs w:val="24"/>
        </w:rPr>
        <w:t xml:space="preserve"> smaller ‘charales’)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{"citationItems":[{"id":"ITEM-1","itemData":{"DOI":"10.1590/1982-0224-20140079","ISSN":"19820224","abstract":"We explore the trophic role that a diverse sympatric group of fishes in the genus Chirostoma play in a large, shallow lake in central Mexico, Lake Chapala. We use δ13C and δ15N stable isotope – based food web analyses to explore how they relate to other components of the Lake Chapala ecosystem. We find five Chirostoma species in top trophic levels of the Chapala food web compared to other fishes, relying on a combination of zooplankton, fish and benthic resources as energy sources. Food web metric analyses showed generally overlapping trophic niches for members of Chirostoma, especially in terms of δ13C. However, C. jordani had lower mean δ15N isotopic values than C. promelas. As a group, “pescados blancos” (C. sphyraena and C. promelas) also had higher δ15N signatures than “charales” (C. consocium, C. jordani and C. labarcae) reflecting greater piscivory, but these differences were not strong for all food web metrics used. Trophic overlap among species of Chirostoma in Lake Chapala raises questions about the forces that might have led to a morphologically diverse but functionally similar and monophyletic group of species.","author":[{"dropping-particle":"","family":"Mercado-Silva","given":"Norman","non-dropping-particle":"","parse-names":false,"suffix":""},{"dropping-particle":"","family":"Lyons","given":"John","non-dropping-particle":"","parse-names":false,"suffix":""},{"dropping-particle":"","family":"Moncayo-Estrada","given":"Rodrigo","non-dropping-particle":"","parse-names":false,"suffix":""},{"dropping-particle":"","family":"Gesundheit","given":"Pablo","non-dropping-particle":"","parse-names":false,"suffix":""},{"dropping-particle":"","family":"Krabbenhoft","given":"Trevor J.","non-dropping-particle":"","parse-names":false,"suffix":""},{"dropping-particle":"","family":"Powell","given":"Daniel L.","non-dropping-particle":"","parse-names":false,"suffix":""},{"dropping-particle":"","family":"Piller","given":"Kyle R.","non-dropping-particle":"","parse-names":false,"suffix":""}],"container-title":"Neotropical Ichthyology","id":"ITEM-1","issue":"2","issued":{"date-parts":[["2015"]]},"page":"389-400","title":"Stable isotope evidence for trophic overlap of sympatric Mexican Lake Chapala silversides (Teleostei: Atherinopsidae: Chirostoma spp.)","type":"article-journal","volume":"13"},"uris":["http://www.mendeley.com/documents/?uuid=7c3bab97-b0a3-43bd-85dd-2cbe54de8912"]},{"id":"ITEM-2","itemData":{"ISSN":"00347744","PMID":"12298246","abstract":"The Chirostoma \"humboldtianum\" group includes seven silverside species considered as a monophyletic assemblage because of their high genetic and morphological similarities. The group includes five moderately large species, \"peces blancos\" (117-300 mm standard length - SL) and two smaller species, \"charales\" (70-142 mm SL). These species are of great economical, cultural and ichthyological interest for local populations, and their management practices are controversial. We investigated the morphometric, meristic and allozyme variations of the seven species (13 populations) and related the variations with life history, habitat and management procedures. Nineteen morphometric variables, eight meristic variables (by multivariate analysis) and 23 allozyme loci of the seven species and populations of Chirostoma were compared. Principal component analysis (PC) of morphometric and meristic data indicate that both sets of data provided information to differentiate among the seven species. The variables that accounted for most of this differentiation were head length (HL), predorsal 1 length (P1L) and length of pelvic fin base (PfbL). PC and Discriminant Analysis (DA) with morphometric data also suggested the differentiation of populations within C. grandocule (83% correctly classified organisms), whereas PC and DA with meristic data differentiated populations of C. humboldtianum (80% correctly classified organisms). The most important morphometric variables for the differentiation were anal fin height (AfH), length of anal fin base (AfbL) and predorsal 2 length (P2L) and the meristic variables D2fR, PdS and AfR. The genetic variability data indicate changes in values of some of the species in relation to previously reported data. The present populations of C. grandocule show a reduction in He (0.002 vs. 0.009). Other species showed an increase; for instance, C. consocium consocium, C. humboldtianum, C. lucius, C. promelas and C. sphyraena averaged He = 0.069 vs. 0.027. θ indicated significant genetic differentiation among the analysed species (0.247, S.D. 0.159) and θs supported the morphological data that suggest intra-specific differentiation (0.360, S.D. 0.154).","author":[{"dropping-particle":"","family":"Los Angeles Barriga-Sosa","given":"Irene","non-dropping-particle":"De","parse-names":false,"suffix":""},{"dropping-particle":"","family":"Ibáñez-Aguirre","given":"Ana Laura","non-dropping-particle":"","parse-names":false,"suffix":""},{"dropping-particle":"","family":"Arredondo-Figueroa","given":"José Luis","non-dropping-particle":"","parse-names":false,"suffix":""}],"container-title":"Revista de Biologia Tropical","id":"ITEM-2","issue":"1","issued":{"date-parts":[["2002"]]},"page":"199-216","title":"Morphological and genetic variation in seven species of the endangered Chirostoma \"humboldtianum species group\" (Atheriniformes: Atherinopsidae)","type":"article-journal","volume":"50"},"uris":["http://www.mendeley.com/documents/?uuid=294ad54c-6962-46c4-a9e0-8c5f02b42cc5"]},{"id":"ITEM-3","itemData":{"author":[{"dropping-particle":"","family":"Barbour","given":"Clyde D","non-dropping-particle":"","parse-names":false,"suffix":""}],"container-title":"Tulane studies in zoology and botany.","id":"ITEM-3","issued":{"date-parts":[["1973"]]},"page":"97-141","publisher":"New Orleans :Tulane University,[1968-","title":"The systematics and evolution of the genus Chirostoma Swainson (Pisces, Atherinidae)","type":"article-journal","volume":"18"},"uris":["http://www.mendeley.com/documents/?uuid=5ae7b2f8-3c62-418e-8ebf-c77decd522ca"]}],"mendeley":{"formattedCitation":"[10, 16, 21]","plainTextFormattedCitation":"[10, 16, 21]","previouslyFormattedCitation":"[10, 16, 21]"},"properties":{"noteIndex":0},"schema":"https://github.com/citation-style-language/schema/raw/master/csl-citation.json"}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[10, 16, 21]</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 However, no strong evidence showing clear patterns of differentiation between morphospecies or ecotypes has been documented to date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{"citationItems":[{"id":"ITEM-1","itemData":{"DOI":"10.1590/1982-0224-20140079","ISSN":"19820224","abstract":"We explore the trophic role that a diverse sympatric group of fishes in the genus Chirostoma play in a large, shallow lake in central Mexico, Lake Chapala. We use δ13C and δ15N stable isotope – based food web analyses to explore how they relate to other components of the Lake Chapala ecosystem. We find five Chirostoma species in top trophic levels of the Chapala food web compared to other fishes, relying on a combination of zooplankton, fish and benthic resources as energy sources. Food web metric analyses showed generally overlapping trophic niches for members of Chirostoma, especially in terms of δ13C. However, C. jordani had lower mean δ15N isotopic values than C. promelas. As a group, “pescados blancos” (C. sphyraena and C. promelas) also had higher δ15N signatures than “charales” (C. consocium, C. jordani and C. labarcae) reflecting greater piscivory, but these differences were not strong for all food web metrics used. Trophic overlap among species of Chirostoma in Lake Chapala raises questions about the forces that might have led to a morphologically diverse but functionally similar and monophyletic group of species.","author":[{"dropping-particle":"","family":"Mercado-Silva","given":"Norman","non-dropping-particle":"","parse-names":false,"suffix":""},{"dropping-particle":"","family":"Lyons","given":"John","non-dropping-particle":"","parse-names":false,"suffix":""},{"dropping-particle":"","family":"Moncayo-Estrada","given":"Rodrigo","non-dropping-particle":"","parse-names":false,"suffix":""},{"dropping-particle":"","family":"Gesundheit","given":"Pablo","non-dropping-particle":"","parse-names":false,"suffix":""},{"dropping-particle":"","family":"Krabbenhoft","given":"Trevor J.","non-dropping-particle":"","parse-names":false,"suffix":""},{"dropping-particle":"","family":"Powell","given":"Daniel L.","non-dropping-particle":"","parse-names":false,"suffix":""},{"dropping-particle":"","family":"Piller","given":"Kyle R.","non-dropping-particle":"","parse-names":false,"suffix":""}],"container-title":"Neotropical Ichthyology","id":"ITEM-1","issue":"2","issued":{"date-parts":[["2015"]]},"page":"389-400","title":"Stable isotope evidence for trophic overlap of sympatric Mexican Lake Chapala silversides (Teleostei: Atherinopsidae: Chirostoma spp.)","type":"article-journal","volume":"13"},"uris":["http://www.mendeley.com/documents/?uuid=7c3bab97-b0a3-43bd-85dd-2cbe54de8912"]}],"mendeley":{"formattedCitation":"[21]","plainTextFormattedCitation":"[21]","previouslyFormattedCitation":"[21]"},"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[21]</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w:t>
      </w:r>
    </w:p>
    <w:p w14:paraId="17658327" w14:textId="1EF15BB0" w:rsidR="008C7F69" w:rsidRPr="008C7F69" w:rsidRDefault="008C7F69" w:rsidP="001B2940">
      <w:pPr>
        <w:ind w:firstLine="720"/>
        <w:jc w:val="both"/>
        <w:rPr>
          <w:rFonts w:asciiTheme="majorBidi" w:hAnsiTheme="majorBidi" w:cstheme="majorBidi"/>
          <w:bCs/>
          <w:sz w:val="24"/>
          <w:szCs w:val="24"/>
        </w:rPr>
      </w:pPr>
      <w:r w:rsidRPr="008C7F69">
        <w:rPr>
          <w:rFonts w:asciiTheme="majorBidi" w:hAnsiTheme="majorBidi" w:cstheme="majorBidi"/>
          <w:bCs/>
          <w:sz w:val="24"/>
          <w:szCs w:val="24"/>
        </w:rPr>
        <w:lastRenderedPageBreak/>
        <w:t xml:space="preserve">Herein, we evaluated the hypothesis from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[10]","plainTextFormattedCitation":"[10]","previouslyFormattedCitation":"[10]"},"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[10]</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 that differentiation in body length would allow the co-occurrence of different species as they feed on distinct prey sizes. Although signals of trophic specialization separating ‘peces blancos’ and ‘charales’ have been documented by Mercado-Silva et al.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{"citationItems":[{"id":"ITEM-1","itemData":{"DOI":"10.1590/1982-0224-20140079","ISSN":"19820224","abstract":"We explore the trophic role that a diverse sympatric group of fishes in the genus Chirostoma play in a large, shallow lake in central Mexico, Lake Chapala. We use δ13C and δ15N stable isotope – based food web analyses to explore how they relate to other components of the Lake Chapala ecosystem. We find five Chirostoma species in top trophic levels of the Chapala food web compared to other fishes, relying on a combination of zooplankton, fish and benthic resources as energy sources. Food web metric analyses showed generally overlapping trophic niches for members of Chirostoma, especially in terms of δ13C. However, C. jordani had lower mean δ15N isotopic values than C. promelas. As a group, “pescados blancos” (C. sphyraena and C. promelas) also had higher δ15N signatures than “charales” (C. consocium, C. jordani and C. labarcae) reflecting greater piscivory, but these differences were not strong for all food web metrics used. Trophic overlap among species of Chirostoma in Lake Chapala raises questions about the forces that might have led to a morphologically diverse but functionally similar and monophyletic group of species.","author":[{"dropping-particle":"","family":"Mercado-Silva","given":"Norman","non-dropping-particle":"","parse-names":false,"suffix":""},{"dropping-particle":"","family":"Lyons","given":"John","non-dropping-particle":"","parse-names":false,"suffix":""},{"dropping-particle":"","family":"Moncayo-Estrada","given":"Rodrigo","non-dropping-particle":"","parse-names":false,"suffix":""},{"dropping-particle":"","family":"Gesundheit","given":"Pablo","non-dropping-particle":"","parse-names":false,"suffix":""},{"dropping-particle":"","family":"Krabbenhoft","given":"Trevor J.","non-dropping-particle":"","parse-names":false,"suffix":""},{"dropping-particle":"","family":"Powell","given":"Daniel L.","non-dropping-particle":"","parse-names":false,"suffix":""},{"dropping-particle":"","family":"Piller","given":"Kyle R.","non-dropping-particle":"","parse-names":false,"suffix":""}],"container-title":"Neotropical Ichthyology","id":"ITEM-1","issue":"2","issued":{"date-parts":[["2015"]]},"page":"389-400","title":"Stable isotope evidence for trophic overlap of sympatric Mexican Lake Chapala silversides (Teleostei: Atherinopsidae: Chirostoma spp.)","type":"article-journal","volume":"13"},"uris":["http://www.mendeley.com/documents/?uuid=7c3bab97-b0a3-43bd-85dd-2cbe54de8912"]}],"mendeley":{"formattedCitation":"[21]","plainTextFormattedCitation":"[21]","previouslyFormattedCitation":"[21]"},"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[21]</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 for three species in Lake Chapala, no analysis conducted here (PCAs, DAPCs, inter- and intra-lake admixture, and phylogenetic trees; Figs. </w:t>
      </w:r>
      <w:r w:rsidR="005C4C7F">
        <w:rPr>
          <w:rFonts w:asciiTheme="majorBidi" w:hAnsiTheme="majorBidi" w:cstheme="majorBidi"/>
          <w:bCs/>
          <w:sz w:val="24"/>
          <w:szCs w:val="24"/>
        </w:rPr>
        <w:t>2.</w:t>
      </w:r>
      <w:r w:rsidRPr="008C7F69">
        <w:rPr>
          <w:rFonts w:asciiTheme="majorBidi" w:hAnsiTheme="majorBidi" w:cstheme="majorBidi"/>
          <w:bCs/>
          <w:sz w:val="24"/>
          <w:szCs w:val="24"/>
        </w:rPr>
        <w:t>2–</w:t>
      </w:r>
      <w:r w:rsidR="005C4C7F">
        <w:rPr>
          <w:rFonts w:asciiTheme="majorBidi" w:hAnsiTheme="majorBidi" w:cstheme="majorBidi"/>
          <w:bCs/>
          <w:sz w:val="24"/>
          <w:szCs w:val="24"/>
        </w:rPr>
        <w:t>2.</w:t>
      </w:r>
      <w:r w:rsidRPr="008C7F69">
        <w:rPr>
          <w:rFonts w:asciiTheme="majorBidi" w:hAnsiTheme="majorBidi" w:cstheme="majorBidi"/>
          <w:bCs/>
          <w:sz w:val="24"/>
          <w:szCs w:val="24"/>
        </w:rPr>
        <w:t xml:space="preserve">3, and S1–S9) provide support for a scenario of diversification related to body size. However, our multivariate and </w:t>
      </w:r>
      <w:r w:rsidRPr="008C7F69">
        <w:rPr>
          <w:rFonts w:asciiTheme="majorBidi" w:hAnsiTheme="majorBidi" w:cstheme="majorBidi"/>
          <w:bCs/>
          <w:i/>
          <w:iCs/>
          <w:sz w:val="24"/>
          <w:szCs w:val="24"/>
        </w:rPr>
        <w:t>F</w:t>
      </w:r>
      <w:r w:rsidRPr="008C7F69">
        <w:rPr>
          <w:rFonts w:asciiTheme="majorBidi" w:hAnsiTheme="majorBidi" w:cstheme="majorBidi"/>
          <w:bCs/>
          <w:sz w:val="24"/>
          <w:szCs w:val="24"/>
          <w:vertAlign w:val="subscript"/>
        </w:rPr>
        <w:t>ST</w:t>
      </w:r>
      <w:r w:rsidRPr="008C7F69">
        <w:rPr>
          <w:rFonts w:asciiTheme="majorBidi" w:hAnsiTheme="majorBidi" w:cstheme="majorBidi"/>
          <w:bCs/>
          <w:sz w:val="24"/>
          <w:szCs w:val="24"/>
        </w:rPr>
        <w:t xml:space="preserve"> analyses (Figs. 2</w:t>
      </w:r>
      <w:r w:rsidR="005C4C7F">
        <w:rPr>
          <w:rFonts w:asciiTheme="majorBidi" w:hAnsiTheme="majorBidi" w:cstheme="majorBidi"/>
          <w:bCs/>
          <w:sz w:val="24"/>
          <w:szCs w:val="24"/>
        </w:rPr>
        <w:t>.2</w:t>
      </w:r>
      <w:r w:rsidRPr="008C7F69">
        <w:rPr>
          <w:rFonts w:asciiTheme="majorBidi" w:hAnsiTheme="majorBidi" w:cstheme="majorBidi"/>
          <w:bCs/>
          <w:sz w:val="24"/>
          <w:szCs w:val="24"/>
        </w:rPr>
        <w:t>a, 2</w:t>
      </w:r>
      <w:r w:rsidR="005C4C7F">
        <w:rPr>
          <w:rFonts w:asciiTheme="majorBidi" w:hAnsiTheme="majorBidi" w:cstheme="majorBidi"/>
          <w:bCs/>
          <w:sz w:val="24"/>
          <w:szCs w:val="24"/>
        </w:rPr>
        <w:t>.2</w:t>
      </w:r>
      <w:r w:rsidRPr="008C7F69">
        <w:rPr>
          <w:rFonts w:asciiTheme="majorBidi" w:hAnsiTheme="majorBidi" w:cstheme="majorBidi"/>
          <w:bCs/>
          <w:sz w:val="24"/>
          <w:szCs w:val="24"/>
        </w:rPr>
        <w:t xml:space="preserve">b, S1, S2, S4 and Tables S4-S6) clearly demonstrate that the </w:t>
      </w:r>
      <w:r w:rsidRPr="008C7F69">
        <w:rPr>
          <w:rFonts w:asciiTheme="majorBidi" w:hAnsiTheme="majorBidi" w:cstheme="majorBidi"/>
          <w:bCs/>
          <w:i/>
          <w:iCs/>
          <w:sz w:val="24"/>
          <w:szCs w:val="24"/>
        </w:rPr>
        <w:t>sphyraena</w:t>
      </w:r>
      <w:r w:rsidRPr="008C7F69">
        <w:rPr>
          <w:rFonts w:asciiTheme="majorBidi" w:hAnsiTheme="majorBidi" w:cstheme="majorBidi"/>
          <w:bCs/>
          <w:sz w:val="24"/>
          <w:szCs w:val="24"/>
        </w:rPr>
        <w:t xml:space="preserve"> group—the only entity previously resolved as monophyletic based on a scant number of mitochondrial and nuclear markers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[11]</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—represents a separate genetic cluster with almost no gene flow shared with other members in the </w:t>
      </w:r>
      <w:r w:rsidRPr="008C7F69">
        <w:rPr>
          <w:rFonts w:asciiTheme="majorBidi" w:hAnsiTheme="majorBidi" w:cstheme="majorBidi"/>
          <w:bCs/>
          <w:i/>
          <w:iCs/>
          <w:sz w:val="24"/>
          <w:szCs w:val="24"/>
        </w:rPr>
        <w:t xml:space="preserve">chapalae </w:t>
      </w:r>
      <w:r w:rsidRPr="008C7F69">
        <w:rPr>
          <w:rFonts w:asciiTheme="majorBidi" w:hAnsiTheme="majorBidi" w:cstheme="majorBidi"/>
          <w:bCs/>
          <w:sz w:val="24"/>
          <w:szCs w:val="24"/>
        </w:rPr>
        <w:t>group.</w:t>
      </w:r>
      <w:r w:rsidRPr="008C7F69">
        <w:rPr>
          <w:rFonts w:asciiTheme="majorBidi" w:hAnsiTheme="majorBidi" w:cstheme="majorBidi"/>
          <w:bCs/>
          <w:i/>
          <w:iCs/>
          <w:sz w:val="24"/>
          <w:szCs w:val="24"/>
        </w:rPr>
        <w:t xml:space="preserve"> </w:t>
      </w:r>
      <w:r w:rsidRPr="008C7F69">
        <w:rPr>
          <w:rFonts w:asciiTheme="majorBidi" w:hAnsiTheme="majorBidi" w:cstheme="majorBidi"/>
          <w:bCs/>
          <w:sz w:val="24"/>
          <w:szCs w:val="24"/>
        </w:rPr>
        <w:t xml:space="preserve">Based on this evidence, and the fact that </w:t>
      </w:r>
      <w:r w:rsidRPr="008C7F69">
        <w:rPr>
          <w:rFonts w:asciiTheme="majorBidi" w:hAnsiTheme="majorBidi" w:cstheme="majorBidi"/>
          <w:bCs/>
          <w:i/>
          <w:iCs/>
          <w:sz w:val="24"/>
          <w:szCs w:val="24"/>
        </w:rPr>
        <w:t xml:space="preserve">C. sphyraena </w:t>
      </w:r>
      <w:r w:rsidRPr="008C7F69">
        <w:rPr>
          <w:rFonts w:asciiTheme="majorBidi" w:hAnsiTheme="majorBidi" w:cstheme="majorBidi"/>
          <w:bCs/>
          <w:sz w:val="24"/>
          <w:szCs w:val="24"/>
        </w:rPr>
        <w:t xml:space="preserve">is the most taxonomically differentiated nominal species (particularly at characters commonly related to prey preferences;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[10]","plainTextFormattedCitation":"[10]","previouslyFormattedCitation":"[10]"},"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[10]</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 we hypothesize that </w:t>
      </w:r>
      <w:r w:rsidRPr="008C7F69">
        <w:rPr>
          <w:rFonts w:asciiTheme="majorBidi" w:hAnsiTheme="majorBidi" w:cstheme="majorBidi"/>
          <w:bCs/>
          <w:i/>
          <w:iCs/>
          <w:sz w:val="24"/>
          <w:szCs w:val="24"/>
        </w:rPr>
        <w:t>C. sphyraena</w:t>
      </w:r>
      <w:r w:rsidRPr="008C7F69">
        <w:rPr>
          <w:rFonts w:asciiTheme="majorBidi" w:hAnsiTheme="majorBidi" w:cstheme="majorBidi"/>
          <w:bCs/>
          <w:sz w:val="24"/>
          <w:szCs w:val="24"/>
        </w:rPr>
        <w:t xml:space="preserve"> is in its early stages of ecological speciation. We note, however, that species-specific habitats are unknown for most of the </w:t>
      </w:r>
      <w:r w:rsidRPr="008C7F69">
        <w:rPr>
          <w:rFonts w:asciiTheme="majorBidi" w:hAnsiTheme="majorBidi" w:cstheme="majorBidi"/>
          <w:bCs/>
          <w:i/>
          <w:iCs/>
          <w:sz w:val="24"/>
          <w:szCs w:val="24"/>
        </w:rPr>
        <w:t>Chirostoma</w:t>
      </w:r>
      <w:r w:rsidRPr="008C7F69">
        <w:rPr>
          <w:rFonts w:asciiTheme="majorBidi" w:hAnsiTheme="majorBidi" w:cstheme="majorBidi"/>
          <w:bCs/>
          <w:sz w:val="24"/>
          <w:szCs w:val="24"/>
        </w:rPr>
        <w:t xml:space="preserve"> species </w:t>
      </w:r>
      <w:r w:rsidRPr="008C7F69">
        <w:rPr>
          <w:rFonts w:asciiTheme="majorBidi" w:hAnsiTheme="majorBidi" w:cstheme="majorBidi"/>
          <w:bCs/>
          <w:sz w:val="24"/>
          <w:szCs w:val="24"/>
        </w:rPr>
        <w:fldChar w:fldCharType="begin" w:fldLock="1"/>
      </w:r>
      <w:r w:rsidRPr="008C7F69">
        <w:rPr>
          <w:rFonts w:asciiTheme="majorBidi" w:hAnsiTheme="majorBidi" w:cstheme="majorBidi"/>
          <w:bCs/>
          <w:sz w:val="24"/>
          <w:szCs w:val="24"/>
        </w:rPr>
        <w:instrText>ADDIN CSL_CITATION {"citationItems":[{"id":"ITEM-1","itemData":{"DOI":"10.1590/1982-0224-20140079","ISSN":"19820224","abstract":"We explore the trophic role that a diverse sympatric group of fishes in the genus Chirostoma play in a large, shallow lake in central Mexico, Lake Chapala. We use δ13C and δ15N stable isotope – based food web analyses to explore how they relate to other components of the Lake Chapala ecosystem. We find five Chirostoma species in top trophic levels of the Chapala food web compared to other fishes, relying on a combination of zooplankton, fish and benthic resources as energy sources. Food web metric analyses showed generally overlapping trophic niches for members of Chirostoma, especially in terms of δ13C. However, C. jordani had lower mean δ15N isotopic values than C. promelas. As a group, “pescados blancos” (C. sphyraena and C. promelas) also had higher δ15N signatures than “charales” (C. consocium, C. jordani and C. labarcae) reflecting greater piscivory, but these differences were not strong for all food web metrics used. Trophic overlap among species of Chirostoma in Lake Chapala raises questions about the forces that might have led to a morphologically diverse but functionally similar and monophyletic group of species.","author":[{"dropping-particle":"","family":"Mercado-Silva","given":"Norman","non-dropping-particle":"","parse-names":false,"suffix":""},{"dropping-particle":"","family":"Lyons","given":"John","non-dropping-particle":"","parse-names":false,"suffix":""},{"dropping-particle":"","family":"Moncayo-Estrada","given":"Rodrigo","non-dropping-particle":"","parse-names":false,"suffix":""},{"dropping-particle":"","family":"Gesundheit","given":"Pablo","non-dropping-particle":"","parse-names":false,"suffix":""},{"dropping-particle":"","family":"Krabbenhoft","given":"Trevor J.","non-dropping-particle":"","parse-names":false,"suffix":""},{"dropping-particle":"","family":"Powell","given":"Daniel L.","non-dropping-particle":"","parse-names":false,"suffix":""},{"dropping-particle":"","family":"Piller","given":"Kyle R.","non-dropping-particle":"","parse-names":false,"suffix":""}],"container-title":"Neotropical Ichthyology","id":"ITEM-1","issue":"2","issued":{"date-parts":[["2015"]]},"page":"389-400","title":"Stable isotope evidence for trophic overlap of sympatric Mexican Lake Chapala silversides (Teleostei: Atherinopsidae: Chirostoma spp.)","type":"article-journal","volume":"13"},"uris":["http://www.mendeley.com/documents/?uuid=7c3bab97-b0a3-43bd-85dd-2cbe54de8912"]}],"mendeley":{"formattedCitation":"[21]","plainTextFormattedCitation":"[21]","previouslyFormattedCitation":"[21]"},"properties":{"noteIndex":0},"schema":"https://github.com/citation-style-language/schema/raw/master/csl-citation.json"}</w:instrText>
      </w:r>
      <w:r w:rsidRPr="008C7F69">
        <w:rPr>
          <w:rFonts w:asciiTheme="majorBidi" w:hAnsiTheme="majorBidi" w:cstheme="majorBidi"/>
          <w:bCs/>
          <w:sz w:val="24"/>
          <w:szCs w:val="24"/>
        </w:rPr>
        <w:fldChar w:fldCharType="separate"/>
      </w:r>
      <w:r w:rsidRPr="008C7F69">
        <w:rPr>
          <w:rFonts w:asciiTheme="majorBidi" w:hAnsiTheme="majorBidi" w:cstheme="majorBidi"/>
          <w:bCs/>
          <w:sz w:val="24"/>
          <w:szCs w:val="24"/>
        </w:rPr>
        <w:t>[21]</w:t>
      </w:r>
      <w:r w:rsidRPr="008C7F69">
        <w:rPr>
          <w:rFonts w:asciiTheme="majorBidi" w:hAnsiTheme="majorBidi" w:cstheme="majorBidi"/>
          <w:bCs/>
          <w:sz w:val="24"/>
          <w:szCs w:val="24"/>
        </w:rPr>
        <w:fldChar w:fldCharType="end"/>
      </w:r>
      <w:r w:rsidRPr="008C7F69">
        <w:rPr>
          <w:rFonts w:asciiTheme="majorBidi" w:hAnsiTheme="majorBidi" w:cstheme="majorBidi"/>
          <w:bCs/>
          <w:sz w:val="24"/>
          <w:szCs w:val="24"/>
        </w:rPr>
        <w:t xml:space="preserve">, and thus further ecological studies are necessary to better understand the evolutionary history of the </w:t>
      </w:r>
      <w:r w:rsidRPr="008C7F69">
        <w:rPr>
          <w:rFonts w:asciiTheme="majorBidi" w:hAnsiTheme="majorBidi" w:cstheme="majorBidi"/>
          <w:bCs/>
          <w:i/>
          <w:iCs/>
          <w:sz w:val="24"/>
          <w:szCs w:val="24"/>
        </w:rPr>
        <w:t>chapalae</w:t>
      </w:r>
      <w:r w:rsidRPr="008C7F69">
        <w:rPr>
          <w:rFonts w:asciiTheme="majorBidi" w:hAnsiTheme="majorBidi" w:cstheme="majorBidi"/>
          <w:bCs/>
          <w:sz w:val="24"/>
          <w:szCs w:val="24"/>
        </w:rPr>
        <w:t xml:space="preserve"> and </w:t>
      </w:r>
      <w:r w:rsidRPr="008C7F69">
        <w:rPr>
          <w:rFonts w:asciiTheme="majorBidi" w:hAnsiTheme="majorBidi" w:cstheme="majorBidi"/>
          <w:bCs/>
          <w:i/>
          <w:iCs/>
          <w:sz w:val="24"/>
          <w:szCs w:val="24"/>
        </w:rPr>
        <w:t>sphyraena</w:t>
      </w:r>
      <w:r w:rsidRPr="008C7F69">
        <w:rPr>
          <w:rFonts w:asciiTheme="majorBidi" w:hAnsiTheme="majorBidi" w:cstheme="majorBidi"/>
          <w:bCs/>
          <w:sz w:val="24"/>
          <w:szCs w:val="24"/>
        </w:rPr>
        <w:t xml:space="preserve"> groups.</w:t>
      </w:r>
    </w:p>
    <w:p w14:paraId="499ED05E" w14:textId="77777777" w:rsidR="00F51A6B" w:rsidRPr="00F51A6B" w:rsidRDefault="00F51A6B" w:rsidP="00F51A6B">
      <w:pPr>
        <w:jc w:val="both"/>
        <w:rPr>
          <w:rFonts w:asciiTheme="majorBidi" w:hAnsiTheme="majorBidi" w:cstheme="majorBidi"/>
          <w:b/>
          <w:bCs/>
          <w:sz w:val="28"/>
          <w:szCs w:val="28"/>
        </w:rPr>
      </w:pPr>
      <w:r w:rsidRPr="00F51A6B">
        <w:rPr>
          <w:rFonts w:asciiTheme="majorBidi" w:hAnsiTheme="majorBidi" w:cstheme="majorBidi"/>
          <w:b/>
          <w:bCs/>
          <w:sz w:val="28"/>
          <w:szCs w:val="28"/>
        </w:rPr>
        <w:t>Species delimitation and taxonomic implications</w:t>
      </w:r>
    </w:p>
    <w:p w14:paraId="388E6C1E" w14:textId="6899AB5A" w:rsidR="00F51A6B" w:rsidRPr="00F51A6B" w:rsidRDefault="00F51A6B" w:rsidP="00F51A6B">
      <w:pPr>
        <w:jc w:val="both"/>
        <w:rPr>
          <w:rFonts w:asciiTheme="majorBidi" w:hAnsiTheme="majorBidi" w:cstheme="majorBidi"/>
          <w:bCs/>
          <w:sz w:val="24"/>
          <w:szCs w:val="24"/>
        </w:rPr>
      </w:pPr>
      <w:r w:rsidRPr="00F51A6B">
        <w:rPr>
          <w:rFonts w:asciiTheme="majorBidi" w:hAnsiTheme="majorBidi" w:cstheme="majorBidi"/>
          <w:bCs/>
          <w:sz w:val="24"/>
          <w:szCs w:val="24"/>
        </w:rPr>
        <w:t xml:space="preserve">The BFD* species delimitation analyses provided strong support for four- and five-species delimitation scenarios (Table 1), while the coalescent-based species tree identified three major monophyletic groups (Fig. </w:t>
      </w:r>
      <w:r w:rsidR="00811AEC">
        <w:rPr>
          <w:rFonts w:asciiTheme="majorBidi" w:hAnsiTheme="majorBidi" w:cstheme="majorBidi"/>
          <w:bCs/>
          <w:sz w:val="24"/>
          <w:szCs w:val="24"/>
        </w:rPr>
        <w:t>2.</w:t>
      </w:r>
      <w:r w:rsidRPr="00F51A6B">
        <w:rPr>
          <w:rFonts w:asciiTheme="majorBidi" w:hAnsiTheme="majorBidi" w:cstheme="majorBidi"/>
          <w:bCs/>
          <w:sz w:val="24"/>
          <w:szCs w:val="24"/>
        </w:rPr>
        <w:t xml:space="preserve">3b). Recent simulation studies that evaluated the efficiency of MSC methods suggest that this model tends to confound population structure with species boundaries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{"citationItems":[{"id":"ITEM-1","itemData":{"DOI":"10.1073/pnas.1607921114","ISSN":"10916490","PMID":"28137871","abstract":"The multispecies coalescent model underlies many approaches used for species delimitation. In previous work assessing the performance of species delimitation under this model, speciation was treated as an instantaneous event rather than as an extended process involving distinct phases of speciation initiation (structuring) and completion. Here, we use data under simulations that explicitly model speciation as an extended process rather than an instantaneous event and carry out species delimitation inference on these data under the multispecies coalescent. We show that the multispecies coalescent diagnoses genetic structure, not species, and that it does not statistically distinguish structure associated with population isolation vs. species boundaries. Because of the misidentification of population structure as putative species, our work raises questions about the practice of genome-based species discovery, with cascading consequences in other fields. Specifically, all fields that rely on species as units of analysis, from conservation biology to studies of macroevolutionary dynamics, will be impacted by inflated estimates of the number of species, especially as genomic resources provide unprecedented power for detecting increasingly finer-scaled genetic structure under the multispecies coalescent. As such, our work also represents a general call for systematic study to reconsider a reliance on genomic data alone. Until new methods are developed that can discriminate between structure due to population-level processes and that due to species boundaries, genomic-based results should only be considered a hypothesis that requires validation of delimited species with multiple data types, such as phenotypic and ecological information.","author":[{"dropping-particle":"","family":"Sukumaran","given":"Jeet","non-dropping-particle":"","parse-names":false,"suffix":""},{"dropping-particle":"","family":"Knowles","given":"L. Lacey","non-dropping-particle":"","parse-names":false,"suffix":""}],"container-title":"Proceedings of the National Academy of Sciences of the United States of America","id":"ITEM-1","issue":"7","issued":{"date-parts":[["2017"]]},"page":"1607-1611","title":"Multispecies coalescent delimits structure, not species","type":"article-journal","volume":"114"},"uris":["http://www.mendeley.com/documents/?uuid=42aeb9da-52aa-4c50-a651-cad46cefc07b"]},{"id":"ITEM-2","itemData":{"DOI":"10.1093/sysbio/syz042","ISSN":"1076836X","PMID":"31180508","abstract":"—Many recent species delimitation studies rely exclusively on limited analyses of genetic data analyzed under the multispecies coalescent (MSC) model, and results from these studies often are regarded as conclusive support for taxonomic changes. However, most MSC-based species delimitation methods have well-known and often unmet assumptions. Uncritical application of these genetic-based approaches (without due consideration of sampling design, the effects of a priori group designations, isolation by distance, cytoplasmic–nuclear mismatch, and population structure) can lead to over-splitting of species. Here, we argue that in many common biological scenarios, researchers must be particularly cautious regarding these limitations, especially in cases of well-studied, geographically variable, and parapatrically distributed species complexes. We consider these points with respect to a historically controversial species group, the American milksnakes (Lampropeltis triangulum complex), using genetic data from a recent analysis (Ruane et al. 2014). We show that over-reliance on the program Bayesian Phylogenetics and Phylogeography, without adequate consideration of its assumptions and of sampling limitations, resulted in over-splitting of species in this study. Several of the hypothesized species of milksnakes instead appear to represent arbitrary slices of continuous geographic clines. We conclude that the best available evidence supports three, rather than seven, species within this complex. More generally, we recommend that coalescent-based species delimitation studies incorporate thorough analyses of geographic variation and carefully examine putative contact zones among delimited species before making taxonomic changes.","author":[{"dropping-particle":"","family":"Chambers","given":"E. Anne","non-dropping-particle":"","parse-names":false,"suffix":""},{"dropping-particle":"","family":"Hillis","given":"David M.","non-dropping-particle":"","parse-names":false,"suffix":""}],"container-title":"Systematic Biology","id":"ITEM-2","issue":"1","issued":{"date-parts":[["2020"]]},"page":"184-193","title":"The multispecies coalescent over-splits species in the case of geographically widespread taxa","type":"article-journal","volume":"69"},"uris":["http://www.mendeley.com/documents/?uuid=80f4838e-8847-4abf-8210-b135f6706ae8"]},{"id":"ITEM-3","itemData":{"DOI":"10.1643/h2021082","ISSN":"27661520","abstract":"Over the last two decades, mitochondrial DNA (mtDNA) sequence data, as well as analyses of nuclear DNA based on the multispecies coalescent model, have increasingly been used to delimit species, sometimes based on limited sampling and without other supporting evidence. We have argued elsewhere that the uncritical use of these approaches has resulted in unnecessary and unwarranted taxonomic changes that have real and long-lasting consequences for science and society. Unfortunately, these arguments have been misrepresented by Burbrink and Ruane's Point of View on \"contemporary\"species delimitation in this issue. Here, we discuss the role of models in species delimitation research, and again argue that careful consideration of model assumptions (and their potential violation) is necessary when inferring population history and delimiting species. We echo recent calls for targeted, thorough geographic sampling across contact zones and into parapatric ranges to test for reproductive isolation and draw inferences about the evolutionary independence (or lack thereof) of populations that exchange genes. Finally, despite our very different views on how best to identify species and when to make taxonomic changes, we end by highlighting areas where we agree with Burbrink and Ruane's Point of View and offer suggestions for future research.","author":[{"dropping-particle":"","family":"Hillis","given":"David M.","non-dropping-particle":"","parse-names":false,"suffix":""},{"dropping-particle":"","family":"Chambers","given":"E. Anne","non-dropping-particle":"","parse-names":false,"suffix":""},{"dropping-particle":"","family":"Devitt","given":"Thomas J.","non-dropping-particle":"","parse-names":false,"suffix":""}],"container-title":"Ichthyology &amp; Herpetology","id":"ITEM-3","issue":"3","issued":{"date-parts":[["2021"]]},"page":"895-903","title":"Contemporary Methods and Evidence for Species Delimitation","type":"article-journal","volume":"109"},"uris":["http://www.mendeley.com/documents/?uuid=8dd2a216-f6cc-4171-86c5-dd0fd9c46730"]}],"mendeley":{"formattedCitation":"[4–6]","plainTextFormattedCitation":"[4–6]","previouslyFormattedCitation":"[4–6]"},"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[4–6]</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This becomes particularly problematic in recently-diverged and closely-related species, such as the</w:t>
      </w:r>
      <w:r w:rsidRPr="00F51A6B">
        <w:rPr>
          <w:rFonts w:asciiTheme="majorBidi" w:hAnsiTheme="majorBidi" w:cstheme="majorBidi"/>
          <w:bCs/>
          <w:i/>
          <w:iCs/>
          <w:sz w:val="24"/>
          <w:szCs w:val="24"/>
        </w:rPr>
        <w:t xml:space="preserve"> humboldtianum</w:t>
      </w:r>
      <w:r w:rsidRPr="00F51A6B">
        <w:rPr>
          <w:rFonts w:asciiTheme="majorBidi" w:hAnsiTheme="majorBidi" w:cstheme="majorBidi"/>
          <w:bCs/>
          <w:sz w:val="24"/>
          <w:szCs w:val="24"/>
        </w:rPr>
        <w:t xml:space="preserve"> group, where processes promoting differentiation lie at the intersection between population structure and species divergence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{"citationItems":[{"id":"ITEM-1","itemData":{"DOI":"10.1073/pnas.1607921114","ISSN":"10916490","PMID":"28137871","abstract":"The multispecies coalescent model underlies many approaches used for species delimitation. In previous work assessing the performance of species delimitation under this model, speciation was treated as an instantaneous event rather than as an extended process involving distinct phases of speciation initiation (structuring) and completion. Here, we use data under simulations that explicitly model speciation as an extended process rather than an instantaneous event and carry out species delimitation inference on these data under the multispecies coalescent. We show that the multispecies coalescent diagnoses genetic structure, not species, and that it does not statistically distinguish structure associated with population isolation vs. species boundaries. Because of the misidentification of population structure as putative species, our work raises questions about the practice of genome-based species discovery, with cascading consequences in other fields. Specifically, all fields that rely on species as units of analysis, from conservation biology to studies of macroevolutionary dynamics, will be impacted by inflated estimates of the number of species, especially as genomic resources provide unprecedented power for detecting increasingly finer-scaled genetic structure under the multispecies coalescent. As such, our work also represents a general call for systematic study to reconsider a reliance on genomic data alone. Until new methods are developed that can discriminate between structure due to population-level processes and that due to species boundaries, genomic-based results should only be considered a hypothesis that requires validation of delimited species with multiple data types, such as phenotypic and ecological information.","author":[{"dropping-particle":"","family":"Sukumaran","given":"Jeet","non-dropping-particle":"","parse-names":false,"suffix":""},{"dropping-particle":"","family":"Knowles","given":"L. Lacey","non-dropping-particle":"","parse-names":false,"suffix":""}],"container-title":"Proceedings of the National Academy of Sciences of the United States of America","id":"ITEM-1","issue":"7","issued":{"date-parts":[["2017"]]},"page":"1607-1611","title":"Multispecies coalescent delimits structure, not species","type":"article-journal","volume":"114"},"uris":["http://www.mendeley.com/documents/?uuid=42aeb9da-52aa-4c50-a651-cad46cefc07b"]}],"mendeley":{"formattedCitation":"[4]","plainTextFormattedCitation":"[4]","previouslyFormattedCitation":"[4]"},"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[4]</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xml:space="preserve">, generating gene trees with short branches and with multi coalescent histories that make species tree inference challenging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{"citationItems":[{"id":"ITEM-1","itemData":{"DOI":"10.1073/pnas.0913022107","abstract":"In the absence of recent admixture between species, bipartitions of individuals in gene trees that are shared across loci can potentially be used to infer the presence of two or more species. This approach to species delimitation via molecular sequence data has been constrained by the fact that genealogies for individual loci are often poorly resolved and that ancestral lineage sorting, hybridization, and other population genetic processes can lead to discordant gene trees. Here we use a Bayesian modeling approach to generate the posterior probabilities of species assignments taking account of uncertainties due to unknown gene trees and the ancestral coalescent process. For tractability, we rely on a user-specified guide tree to avoid integrating over all possible species delimitations. The statistical performance of the method is exam-ined using simulations, and the method is illustrated by analyzing sequence data from rotifers, fence lizards, and human populations. Bayesian phylogenetic inference | biological species concept | coalescent | Markov chain Monte Carlo | reversible jump A ccurate species delimitations are of critical importance in many areas of biology, such as conservation biology (des-ignating endangered species), epidemiology (identifying novel pathogens), and evolutionary biology (describing patterns of di-versification). Traditionally, species have been identified and described using morphological traits. However, morphological characters (e.g., coloration or feeding morphology) may often be undergoing convergent evolution as they are under similar se-lective pressure. Use of morphological data alone may thus un-derestimate the number of species and, in particular, may fail to identify cryptic species. Molecular genetic data can provide ad-ditional information about many factors related to species identification, including population identities (1), levels of recent (2, 3) or ancient (4) gene flow, degree of hybridization (5), and phylogenetic relationships among prospective species (6). Spe-cies barcoding methods assign newly sampled individuals to a set of existing species using a single-locus diagnostic sequence (7, 8). Population assignment programs use information present in multilocus genotype data to identify groups of genetically iso-lated individuals and infer levels of migration between groups (1–3). The groups identified by such programs are only potential species because such methods detect recent genetic isolation (over a…","author":[{"dropping-particle":"","family":"Yang","given":"Ziheng","non-dropping-particle":"","parse-names":false,"suffix":""},{"dropping-particle":"","family":"Rannala","given":"Bruce","non-dropping-particle":"","parse-names":false,"suffix":""}],"container-title":"Proceedings of the National Academy of Sciences","id":"ITEM-1","issue":"20","issued":{"date-parts":[["2010"]]},"page":"9264-9269","title":"Bayesian species delimitation using multilocus sequence data","type":"article-journal","volume":"107"},"uris":["http://www.mendeley.com/documents/?uuid=8d7986fb-2e5e-3134-b758-560779196636"]},{"id":"ITEM-2","itemData":{"author":[{"dropping-particle":"","family":"Rannala","given":"Bruce","non-dropping-particle":"","parse-names":false,"suffix":""},{"dropping-particle":"V","family":"Edwards","given":"Scott V S","non-dropping-particle":"","parse-names":false,"suffix":""},{"dropping-particle":"","family":"Leaché","given":"Adam","non-dropping-particle":"","parse-names":false,"suffix":""},{"dropping-particle":"","family":"Yang","given":"Ziheng","non-dropping-particle":"","parse-names":false,"suffix":""}],"container-title":"Phylogenetics in the Genomic Era","editor":[{"dropping-particle":"","family":"Scornavacca","given":"Celine","non-dropping-particle":"","parse-names":false,"suffix":""},{"dropping-particle":"","family":"Delsuc","given":"Frédéric","non-dropping-particle":"","parse-names":false,"suffix":""},{"dropping-particle":"","family":"Galtier","given":"Nicolas","non-dropping-particle":"","parse-names":false,"suffix":""}],"id":"ITEM-2","issued":{"date-parts":[["2020"]]},"page":"3.3:1--3.3:21","publisher":"No commercial publisher | Authors open access book","title":"The Multi-species Coalescent Model and Species Tree Inference","type":"chapter"},"uris":["http://www.mendeley.com/documents/?uuid=7ea4743c-6798-40a6-8156-f08d16eacc62"]}],"mendeley":{"formattedCitation":"[51, 52]","plainTextFormattedCitation":"[51, 52]","previouslyFormattedCitation":"[51, 52]"},"properties":{"noteIndex":0},"schema":"https://github.com/citation-style-language/schema/raw/master/csl-citation.json"}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[51, 52]</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xml:space="preserve">. This is not the case in the </w:t>
      </w:r>
      <w:r w:rsidRPr="00F51A6B">
        <w:rPr>
          <w:rFonts w:asciiTheme="majorBidi" w:hAnsiTheme="majorBidi" w:cstheme="majorBidi"/>
          <w:bCs/>
          <w:i/>
          <w:iCs/>
          <w:sz w:val="24"/>
          <w:szCs w:val="24"/>
        </w:rPr>
        <w:t xml:space="preserve">humboldtianum </w:t>
      </w:r>
      <w:r w:rsidRPr="00F51A6B">
        <w:rPr>
          <w:rFonts w:asciiTheme="majorBidi" w:hAnsiTheme="majorBidi" w:cstheme="majorBidi"/>
          <w:bCs/>
          <w:sz w:val="24"/>
          <w:szCs w:val="24"/>
        </w:rPr>
        <w:t xml:space="preserve">group, a recent species complex that diverged less than 1 Ma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[11]</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where the genetic structure detected fewer species than traditional taxonomy.</w:t>
      </w:r>
    </w:p>
    <w:p w14:paraId="4AD686F3" w14:textId="028E1629" w:rsidR="00F51A6B" w:rsidRPr="00F51A6B" w:rsidRDefault="00F51A6B" w:rsidP="00F51A6B">
      <w:pPr>
        <w:ind w:firstLine="720"/>
        <w:jc w:val="both"/>
        <w:rPr>
          <w:rFonts w:asciiTheme="majorBidi" w:hAnsiTheme="majorBidi" w:cstheme="majorBidi"/>
          <w:bCs/>
          <w:sz w:val="24"/>
          <w:szCs w:val="24"/>
        </w:rPr>
      </w:pPr>
      <w:r w:rsidRPr="00F51A6B">
        <w:rPr>
          <w:rFonts w:asciiTheme="majorBidi" w:hAnsiTheme="majorBidi" w:cstheme="majorBidi"/>
          <w:bCs/>
          <w:sz w:val="24"/>
          <w:szCs w:val="24"/>
        </w:rPr>
        <w:t xml:space="preserve">The finer genetic structure recovered for the </w:t>
      </w:r>
      <w:r w:rsidRPr="00F51A6B">
        <w:rPr>
          <w:rFonts w:asciiTheme="majorBidi" w:hAnsiTheme="majorBidi" w:cstheme="majorBidi"/>
          <w:bCs/>
          <w:i/>
          <w:iCs/>
          <w:sz w:val="24"/>
          <w:szCs w:val="24"/>
        </w:rPr>
        <w:t>sphyraena</w:t>
      </w:r>
      <w:r w:rsidRPr="00F51A6B">
        <w:rPr>
          <w:rFonts w:asciiTheme="majorBidi" w:hAnsiTheme="majorBidi" w:cstheme="majorBidi"/>
          <w:bCs/>
          <w:sz w:val="24"/>
          <w:szCs w:val="24"/>
        </w:rPr>
        <w:t xml:space="preserve"> group and the sub-species </w:t>
      </w:r>
      <w:r w:rsidRPr="00F51A6B">
        <w:rPr>
          <w:rFonts w:asciiTheme="majorBidi" w:hAnsiTheme="majorBidi" w:cstheme="majorBidi"/>
          <w:bCs/>
          <w:i/>
          <w:iCs/>
          <w:sz w:val="24"/>
          <w:szCs w:val="24"/>
        </w:rPr>
        <w:t xml:space="preserve">C. e. copandaro </w:t>
      </w:r>
      <w:r w:rsidRPr="00F51A6B">
        <w:rPr>
          <w:rFonts w:asciiTheme="majorBidi" w:hAnsiTheme="majorBidi" w:cstheme="majorBidi"/>
          <w:bCs/>
          <w:sz w:val="24"/>
          <w:szCs w:val="24"/>
        </w:rPr>
        <w:t xml:space="preserve">favor the selection of models of four and five species over a three species scheme. In this scenario, under a strict reciprocal monophyly criterion, none of the </w:t>
      </w:r>
      <w:r w:rsidRPr="00F51A6B">
        <w:rPr>
          <w:rFonts w:asciiTheme="majorBidi" w:hAnsiTheme="majorBidi" w:cstheme="majorBidi"/>
          <w:bCs/>
          <w:i/>
          <w:iCs/>
          <w:sz w:val="24"/>
          <w:szCs w:val="24"/>
        </w:rPr>
        <w:t>C. sphyraena</w:t>
      </w:r>
      <w:r w:rsidRPr="00F51A6B">
        <w:rPr>
          <w:rFonts w:asciiTheme="majorBidi" w:hAnsiTheme="majorBidi" w:cstheme="majorBidi"/>
          <w:bCs/>
          <w:sz w:val="24"/>
          <w:szCs w:val="24"/>
        </w:rPr>
        <w:t xml:space="preserve"> or the  sub-species </w:t>
      </w:r>
      <w:r w:rsidRPr="00F51A6B">
        <w:rPr>
          <w:rFonts w:asciiTheme="majorBidi" w:hAnsiTheme="majorBidi" w:cstheme="majorBidi"/>
          <w:bCs/>
          <w:i/>
          <w:iCs/>
          <w:sz w:val="24"/>
          <w:szCs w:val="24"/>
        </w:rPr>
        <w:t>C. e. copandaro</w:t>
      </w:r>
      <w:r w:rsidRPr="00F51A6B">
        <w:rPr>
          <w:rFonts w:asciiTheme="majorBidi" w:hAnsiTheme="majorBidi" w:cstheme="majorBidi"/>
          <w:bCs/>
          <w:sz w:val="24"/>
          <w:szCs w:val="24"/>
        </w:rPr>
        <w:t xml:space="preserve"> lineages would represent a species (phylogenetic species concept, PSC;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{"citationItems":[{"id":"ITEM-1","itemData":{"DOI":"10.1080/10635150701701083","author":[{"dropping-particle":"","family":"Queiroz","given":"Kevin","non-dropping-particle":"De","parse-names":false,"suffix":""}],"container-title":"Systematic Biology","id":"ITEM-1","issue":"6","issued":{"date-parts":[["2007"]]},"page":"879-886","title":"Species Concepts and Species Delimitation","type":"article-journal","volume":"56"},"uris":["http://www.mendeley.com/documents/?uuid=a1be9678-150a-4fe7-97b9-209b3ffc22ed"]}],"mendeley":{"formattedCitation":"[1]","plainTextFormattedCitation":"[1]","previouslyFormattedCitation":"[1]"},"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[1]</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xml:space="preserve">). However, our intra-lake admixture analyses suggest that there is no gene structure among </w:t>
      </w:r>
      <w:r w:rsidRPr="00F51A6B">
        <w:rPr>
          <w:rFonts w:asciiTheme="majorBidi" w:hAnsiTheme="majorBidi" w:cstheme="majorBidi"/>
          <w:bCs/>
          <w:i/>
          <w:iCs/>
          <w:sz w:val="24"/>
          <w:szCs w:val="24"/>
        </w:rPr>
        <w:t>sphyraena</w:t>
      </w:r>
      <w:r w:rsidRPr="00F51A6B">
        <w:rPr>
          <w:rFonts w:asciiTheme="majorBidi" w:hAnsiTheme="majorBidi" w:cstheme="majorBidi"/>
          <w:bCs/>
          <w:sz w:val="24"/>
          <w:szCs w:val="24"/>
        </w:rPr>
        <w:t xml:space="preserve"> and </w:t>
      </w:r>
      <w:r w:rsidRPr="00F51A6B">
        <w:rPr>
          <w:rFonts w:asciiTheme="majorBidi" w:hAnsiTheme="majorBidi" w:cstheme="majorBidi"/>
          <w:bCs/>
          <w:i/>
          <w:iCs/>
          <w:sz w:val="24"/>
          <w:szCs w:val="24"/>
        </w:rPr>
        <w:t>chapalae</w:t>
      </w:r>
      <w:r w:rsidRPr="00F51A6B">
        <w:rPr>
          <w:rFonts w:asciiTheme="majorBidi" w:hAnsiTheme="majorBidi" w:cstheme="majorBidi"/>
          <w:bCs/>
          <w:sz w:val="24"/>
          <w:szCs w:val="24"/>
        </w:rPr>
        <w:t xml:space="preserve"> groups (one of the requirements to be considered a species under the biological species concept, BSC;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{"citationItems":[{"id":"ITEM-1","itemData":{"DOI":"10.1080/10635150701701083","author":[{"dropping-particle":"","family":"Queiroz","given":"Kevin","non-dropping-particle":"De","parse-names":false,"suffix":""}],"container-title":"Systematic Biology","id":"ITEM-1","issue":"6","issued":{"date-parts":[["2007"]]},"page":"879-886","title":"Species Concepts and Species Delimitation","type":"article-journal","volume":"56"},"uris":["http://www.mendeley.com/documents/?uuid=a1be9678-150a-4fe7-97b9-209b3ffc22ed"]}],"mendeley":{"formattedCitation":"[1]","plainTextFormattedCitation":"[1]","previouslyFormattedCitation":"[1]"},"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[1]</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xml:space="preserve">). We estimated the intra-lake admixture analyses with the intention to evaluate if including the rest of the </w:t>
      </w:r>
      <w:r w:rsidRPr="00F51A6B">
        <w:rPr>
          <w:rFonts w:asciiTheme="majorBidi" w:hAnsiTheme="majorBidi" w:cstheme="majorBidi"/>
          <w:bCs/>
          <w:i/>
          <w:iCs/>
          <w:sz w:val="24"/>
          <w:szCs w:val="24"/>
        </w:rPr>
        <w:t>humboldtianum</w:t>
      </w:r>
      <w:r w:rsidRPr="00F51A6B">
        <w:rPr>
          <w:rFonts w:asciiTheme="majorBidi" w:hAnsiTheme="majorBidi" w:cstheme="majorBidi"/>
          <w:bCs/>
          <w:sz w:val="24"/>
          <w:szCs w:val="24"/>
        </w:rPr>
        <w:t xml:space="preserve"> group species was covering finer genetic structure within each lake. Our results demonstrated that the best model for each lake is represented by only one population (Fig. S7). These results, combined with the admixture analyses that included all individuals (matrices A-E; Figs. </w:t>
      </w:r>
      <w:r w:rsidR="005C4C7F">
        <w:rPr>
          <w:rFonts w:asciiTheme="majorBidi" w:hAnsiTheme="majorBidi" w:cstheme="majorBidi"/>
          <w:bCs/>
          <w:sz w:val="24"/>
          <w:szCs w:val="24"/>
        </w:rPr>
        <w:t>2.</w:t>
      </w:r>
      <w:r w:rsidRPr="00F51A6B">
        <w:rPr>
          <w:rFonts w:asciiTheme="majorBidi" w:hAnsiTheme="majorBidi" w:cstheme="majorBidi"/>
          <w:bCs/>
          <w:sz w:val="24"/>
          <w:szCs w:val="24"/>
        </w:rPr>
        <w:t xml:space="preserve">2c and S6), phylogenetic trees (Fig. </w:t>
      </w:r>
      <w:r w:rsidR="005C4C7F">
        <w:rPr>
          <w:rFonts w:asciiTheme="majorBidi" w:hAnsiTheme="majorBidi" w:cstheme="majorBidi"/>
          <w:bCs/>
          <w:sz w:val="24"/>
          <w:szCs w:val="24"/>
        </w:rPr>
        <w:t>2.</w:t>
      </w:r>
      <w:r w:rsidRPr="00F51A6B">
        <w:rPr>
          <w:rFonts w:asciiTheme="majorBidi" w:hAnsiTheme="majorBidi" w:cstheme="majorBidi"/>
          <w:bCs/>
          <w:sz w:val="24"/>
          <w:szCs w:val="24"/>
        </w:rPr>
        <w:t xml:space="preserve">3a and S8), and the species tree (Fig. </w:t>
      </w:r>
      <w:r w:rsidR="005C4C7F">
        <w:rPr>
          <w:rFonts w:asciiTheme="majorBidi" w:hAnsiTheme="majorBidi" w:cstheme="majorBidi"/>
          <w:bCs/>
          <w:sz w:val="24"/>
          <w:szCs w:val="24"/>
        </w:rPr>
        <w:t>2.</w:t>
      </w:r>
      <w:r w:rsidRPr="00F51A6B">
        <w:rPr>
          <w:rFonts w:asciiTheme="majorBidi" w:hAnsiTheme="majorBidi" w:cstheme="majorBidi"/>
          <w:bCs/>
          <w:sz w:val="24"/>
          <w:szCs w:val="24"/>
        </w:rPr>
        <w:t xml:space="preserve">3b) suggest that </w:t>
      </w:r>
      <w:r w:rsidRPr="00F51A6B">
        <w:rPr>
          <w:rFonts w:asciiTheme="majorBidi" w:hAnsiTheme="majorBidi" w:cstheme="majorBidi"/>
          <w:bCs/>
          <w:i/>
          <w:iCs/>
          <w:sz w:val="24"/>
          <w:szCs w:val="24"/>
        </w:rPr>
        <w:t>sphyraena</w:t>
      </w:r>
      <w:r w:rsidRPr="00F51A6B">
        <w:rPr>
          <w:rFonts w:asciiTheme="majorBidi" w:hAnsiTheme="majorBidi" w:cstheme="majorBidi"/>
          <w:bCs/>
          <w:sz w:val="24"/>
          <w:szCs w:val="24"/>
        </w:rPr>
        <w:t xml:space="preserve"> and </w:t>
      </w:r>
      <w:r w:rsidRPr="00F51A6B">
        <w:rPr>
          <w:rFonts w:asciiTheme="majorBidi" w:hAnsiTheme="majorBidi" w:cstheme="majorBidi"/>
          <w:bCs/>
          <w:i/>
          <w:iCs/>
          <w:sz w:val="24"/>
          <w:szCs w:val="24"/>
        </w:rPr>
        <w:t>chapalae</w:t>
      </w:r>
      <w:r w:rsidRPr="00F51A6B">
        <w:rPr>
          <w:rFonts w:asciiTheme="majorBidi" w:hAnsiTheme="majorBidi" w:cstheme="majorBidi"/>
          <w:bCs/>
          <w:sz w:val="24"/>
          <w:szCs w:val="24"/>
        </w:rPr>
        <w:t xml:space="preserve"> represent the same genetic clade where sphyraena is an incipient species, as proposed by the multivariate analyses (Figs. </w:t>
      </w:r>
      <w:r w:rsidR="005C4C7F">
        <w:rPr>
          <w:rFonts w:asciiTheme="majorBidi" w:hAnsiTheme="majorBidi" w:cstheme="majorBidi"/>
          <w:bCs/>
          <w:sz w:val="24"/>
          <w:szCs w:val="24"/>
        </w:rPr>
        <w:t>2.</w:t>
      </w:r>
      <w:r w:rsidRPr="00F51A6B">
        <w:rPr>
          <w:rFonts w:asciiTheme="majorBidi" w:hAnsiTheme="majorBidi" w:cstheme="majorBidi"/>
          <w:bCs/>
          <w:sz w:val="24"/>
          <w:szCs w:val="24"/>
        </w:rPr>
        <w:t xml:space="preserve">2a, 2b, S2, and S4), and pairwise </w:t>
      </w:r>
      <w:r w:rsidRPr="00F51A6B">
        <w:rPr>
          <w:rFonts w:asciiTheme="majorBidi" w:hAnsiTheme="majorBidi" w:cstheme="majorBidi"/>
          <w:bCs/>
          <w:i/>
          <w:iCs/>
          <w:sz w:val="24"/>
          <w:szCs w:val="24"/>
        </w:rPr>
        <w:t>F</w:t>
      </w:r>
      <w:r w:rsidRPr="00F51A6B">
        <w:rPr>
          <w:rFonts w:asciiTheme="majorBidi" w:hAnsiTheme="majorBidi" w:cstheme="majorBidi"/>
          <w:bCs/>
          <w:sz w:val="24"/>
          <w:szCs w:val="24"/>
          <w:vertAlign w:val="subscript"/>
        </w:rPr>
        <w:t>ST</w:t>
      </w:r>
      <w:r w:rsidRPr="00F51A6B">
        <w:rPr>
          <w:rFonts w:asciiTheme="majorBidi" w:hAnsiTheme="majorBidi" w:cstheme="majorBidi"/>
          <w:bCs/>
          <w:sz w:val="24"/>
          <w:szCs w:val="24"/>
        </w:rPr>
        <w:t xml:space="preserve"> (Tables S4-S7). We suggest that subject to further evidence (</w:t>
      </w:r>
      <w:r w:rsidRPr="00F51A6B">
        <w:rPr>
          <w:rFonts w:asciiTheme="majorBidi" w:hAnsiTheme="majorBidi" w:cstheme="majorBidi"/>
          <w:bCs/>
          <w:i/>
          <w:iCs/>
          <w:sz w:val="24"/>
          <w:szCs w:val="24"/>
        </w:rPr>
        <w:t>e.g.</w:t>
      </w:r>
      <w:r w:rsidRPr="00F51A6B">
        <w:rPr>
          <w:rFonts w:asciiTheme="majorBidi" w:hAnsiTheme="majorBidi" w:cstheme="majorBidi"/>
          <w:bCs/>
          <w:sz w:val="24"/>
          <w:szCs w:val="24"/>
        </w:rPr>
        <w:t xml:space="preserve">, ecological or ethological), the </w:t>
      </w:r>
      <w:r w:rsidRPr="00F51A6B">
        <w:rPr>
          <w:rFonts w:asciiTheme="majorBidi" w:hAnsiTheme="majorBidi" w:cstheme="majorBidi"/>
          <w:bCs/>
          <w:i/>
          <w:iCs/>
          <w:sz w:val="24"/>
          <w:szCs w:val="24"/>
        </w:rPr>
        <w:t>sphyraena</w:t>
      </w:r>
      <w:r w:rsidRPr="00F51A6B">
        <w:rPr>
          <w:rFonts w:asciiTheme="majorBidi" w:hAnsiTheme="majorBidi" w:cstheme="majorBidi"/>
          <w:bCs/>
          <w:sz w:val="24"/>
          <w:szCs w:val="24"/>
        </w:rPr>
        <w:t xml:space="preserve"> group and the sub-species of </w:t>
      </w:r>
      <w:r w:rsidRPr="00F51A6B">
        <w:rPr>
          <w:rFonts w:asciiTheme="majorBidi" w:hAnsiTheme="majorBidi" w:cstheme="majorBidi"/>
          <w:bCs/>
          <w:i/>
          <w:iCs/>
          <w:sz w:val="24"/>
          <w:szCs w:val="24"/>
        </w:rPr>
        <w:t xml:space="preserve">C. e. </w:t>
      </w:r>
      <w:r w:rsidRPr="00F51A6B">
        <w:rPr>
          <w:rFonts w:asciiTheme="majorBidi" w:hAnsiTheme="majorBidi" w:cstheme="majorBidi"/>
          <w:bCs/>
          <w:i/>
          <w:iCs/>
          <w:sz w:val="24"/>
          <w:szCs w:val="24"/>
        </w:rPr>
        <w:lastRenderedPageBreak/>
        <w:t>copandaro</w:t>
      </w:r>
      <w:r w:rsidRPr="00F51A6B">
        <w:rPr>
          <w:rFonts w:asciiTheme="majorBidi" w:hAnsiTheme="majorBidi" w:cstheme="majorBidi"/>
          <w:bCs/>
          <w:sz w:val="24"/>
          <w:szCs w:val="24"/>
        </w:rPr>
        <w:t xml:space="preserve"> should not be considered species </w:t>
      </w:r>
      <w:r w:rsidRPr="00F51A6B">
        <w:rPr>
          <w:rFonts w:asciiTheme="majorBidi" w:hAnsiTheme="majorBidi" w:cstheme="majorBidi"/>
          <w:bCs/>
          <w:i/>
          <w:iCs/>
          <w:sz w:val="24"/>
          <w:szCs w:val="24"/>
        </w:rPr>
        <w:t>per se</w:t>
      </w:r>
      <w:r w:rsidRPr="00F51A6B">
        <w:rPr>
          <w:rFonts w:asciiTheme="majorBidi" w:hAnsiTheme="majorBidi" w:cstheme="majorBidi"/>
          <w:bCs/>
          <w:sz w:val="24"/>
          <w:szCs w:val="24"/>
        </w:rPr>
        <w:t xml:space="preserve"> as their ancestral polymorphism has not been fully sorted by genetic drift. Hence, taking into account multiple lines of evidence (population genomics, phylogenomics, morphology, biogeography, and ecology), we propose that</w:t>
      </w:r>
      <w:r w:rsidRPr="00F51A6B">
        <w:rPr>
          <w:rFonts w:asciiTheme="majorBidi" w:hAnsiTheme="majorBidi" w:cstheme="majorBidi"/>
          <w:bCs/>
          <w:i/>
          <w:iCs/>
          <w:sz w:val="24"/>
          <w:szCs w:val="24"/>
        </w:rPr>
        <w:t xml:space="preserve"> estor</w:t>
      </w:r>
      <w:r w:rsidRPr="00F51A6B">
        <w:rPr>
          <w:rFonts w:asciiTheme="majorBidi" w:hAnsiTheme="majorBidi" w:cstheme="majorBidi"/>
          <w:bCs/>
          <w:sz w:val="24"/>
          <w:szCs w:val="24"/>
        </w:rPr>
        <w:t xml:space="preserve">, </w:t>
      </w:r>
      <w:r w:rsidRPr="00F51A6B">
        <w:rPr>
          <w:rFonts w:asciiTheme="majorBidi" w:hAnsiTheme="majorBidi" w:cstheme="majorBidi"/>
          <w:bCs/>
          <w:i/>
          <w:iCs/>
          <w:sz w:val="24"/>
          <w:szCs w:val="24"/>
        </w:rPr>
        <w:t xml:space="preserve">humboldtianum, </w:t>
      </w:r>
      <w:r w:rsidRPr="00F51A6B">
        <w:rPr>
          <w:rFonts w:asciiTheme="majorBidi" w:hAnsiTheme="majorBidi" w:cstheme="majorBidi"/>
          <w:bCs/>
          <w:sz w:val="24"/>
          <w:szCs w:val="24"/>
        </w:rPr>
        <w:t xml:space="preserve">and </w:t>
      </w:r>
      <w:r w:rsidRPr="00F51A6B">
        <w:rPr>
          <w:rFonts w:asciiTheme="majorBidi" w:hAnsiTheme="majorBidi" w:cstheme="majorBidi"/>
          <w:bCs/>
          <w:i/>
          <w:iCs/>
          <w:sz w:val="24"/>
          <w:szCs w:val="24"/>
        </w:rPr>
        <w:t>chapalae</w:t>
      </w:r>
      <w:r w:rsidRPr="00F51A6B">
        <w:rPr>
          <w:rFonts w:asciiTheme="majorBidi" w:hAnsiTheme="majorBidi" w:cstheme="majorBidi"/>
          <w:bCs/>
          <w:sz w:val="24"/>
          <w:szCs w:val="24"/>
        </w:rPr>
        <w:t xml:space="preserve"> groups constitute three well-differentiated species (</w:t>
      </w:r>
      <w:r w:rsidRPr="00F51A6B">
        <w:rPr>
          <w:rFonts w:asciiTheme="majorBidi" w:hAnsiTheme="majorBidi" w:cstheme="majorBidi"/>
          <w:bCs/>
          <w:i/>
          <w:iCs/>
          <w:sz w:val="24"/>
          <w:szCs w:val="24"/>
        </w:rPr>
        <w:t>C. estor</w:t>
      </w:r>
      <w:r w:rsidRPr="00F51A6B">
        <w:rPr>
          <w:rFonts w:asciiTheme="majorBidi" w:hAnsiTheme="majorBidi" w:cstheme="majorBidi"/>
          <w:bCs/>
          <w:sz w:val="24"/>
          <w:szCs w:val="24"/>
        </w:rPr>
        <w:t xml:space="preserve">, </w:t>
      </w:r>
      <w:r w:rsidRPr="00F51A6B">
        <w:rPr>
          <w:rFonts w:asciiTheme="majorBidi" w:hAnsiTheme="majorBidi" w:cstheme="majorBidi"/>
          <w:bCs/>
          <w:i/>
          <w:iCs/>
          <w:sz w:val="24"/>
          <w:szCs w:val="24"/>
        </w:rPr>
        <w:t>C. humboldtianum sensu stricto</w:t>
      </w:r>
      <w:r w:rsidRPr="00F51A6B">
        <w:rPr>
          <w:rFonts w:asciiTheme="majorBidi" w:hAnsiTheme="majorBidi" w:cstheme="majorBidi"/>
          <w:bCs/>
          <w:sz w:val="24"/>
          <w:szCs w:val="24"/>
        </w:rPr>
        <w:t xml:space="preserve">, and </w:t>
      </w:r>
      <w:r w:rsidRPr="00F51A6B">
        <w:rPr>
          <w:rFonts w:asciiTheme="majorBidi" w:hAnsiTheme="majorBidi" w:cstheme="majorBidi"/>
          <w:bCs/>
          <w:i/>
          <w:iCs/>
          <w:sz w:val="24"/>
          <w:szCs w:val="24"/>
        </w:rPr>
        <w:t>C. chapalae</w:t>
      </w:r>
      <w:r w:rsidRPr="00F51A6B">
        <w:rPr>
          <w:rFonts w:asciiTheme="majorBidi" w:hAnsiTheme="majorBidi" w:cstheme="majorBidi"/>
          <w:bCs/>
          <w:sz w:val="24"/>
          <w:szCs w:val="24"/>
        </w:rPr>
        <w:t xml:space="preserve"> respectively).</w:t>
      </w:r>
    </w:p>
    <w:p w14:paraId="23040021" w14:textId="5B3897B3" w:rsidR="00F51A6B" w:rsidRPr="00F51A6B" w:rsidRDefault="00F51A6B" w:rsidP="00F51A6B">
      <w:pPr>
        <w:ind w:firstLine="720"/>
        <w:jc w:val="both"/>
        <w:rPr>
          <w:rFonts w:asciiTheme="majorBidi" w:hAnsiTheme="majorBidi" w:cstheme="majorBidi"/>
          <w:bCs/>
          <w:sz w:val="24"/>
          <w:szCs w:val="24"/>
        </w:rPr>
      </w:pPr>
      <w:r w:rsidRPr="00F51A6B">
        <w:rPr>
          <w:rFonts w:asciiTheme="majorBidi" w:hAnsiTheme="majorBidi" w:cstheme="majorBidi"/>
          <w:bCs/>
          <w:sz w:val="24"/>
          <w:szCs w:val="24"/>
        </w:rPr>
        <w:t xml:space="preserve">The observed discordance between our genomic analyses, which resolved individuals from each lake as monophyletic, and previous studies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history","type":"article-journal","volume":"20"},"uris":["http://www.mendeley.com/documents/?uuid=cc68eb5c-b121-4f35-8adb-94c0252acdfc"]},{"id":"ITEM-2","itemData":{"DOI":"10.1643/CI-07-151","ISSN":"00458511","abstract":"The silverside fish tribe Menidiini (Teleostei: Atherinopsidae) consists of four genera, Menldia, Labidesthes, Poblana, and Chirostoma, that are distributed along the Atlantic coast of North America, throughout the Gulf of Mexico, insular United States, and the Mesa Central of México. It has been suggested that Chirostoma, Poblana, and Menidia should be recognized as a single genus under the nominal Menidia. To test this hypothesis, phylogenetic relationships within the tribe Menidiini were assessed using the mitochondrially encoded ND2 gene. Monophyly of the Menidiini tribe was supported. Results also failed to support monophyly for the genera Menidia and Chirostoma as currently recognized. A central Mexican clade, inclusive of Chirostoma and Poblana, was recovered as monophyletic and strongly supported. Relationships within the Mesa Central clade support a previously recognized \"humboldtianum\" clade and the paraphyly of Chirostoma with respect to Poblana. © 2009 by the American Society of Ichthyologists and Herpetologists.","author":[{"dropping-particle":"","family":"Bloom","given":"Devin D.","non-dropping-particle":"","parse-names":false,"suffix":""},{"dropping-particle":"","family":"Piller","given":"Kyle R.","non-dropping-particle":"","parse-names":false,"suffix":""},{"dropping-particle":"","family":"Lyons","given":"John","non-dropping-particle":"","parse-names":false,"suffix":""},{"dropping-particle":"","family":"Mercado-Silva","given":"Norman","non-dropping-particle":"","parse-names":false,"suffix":""},{"dropping-particle":"","family":"Medina-Nava","given":"Martina","non-dropping-particle":"","parse-names":false,"suffix":""}],"container-title":"Copeia","id":"ITEM-2","issue":"2","issued":{"date-parts":[["2009"]]},"page":"408-417","title":"Systematics and biogeography of the silverside tribe menidiini (Teleostomi: Atherinopsidae) based on the mitochondrial ND2 gene","type":"article-journal"},"uris":["http://www.mendeley.com/documents/?uuid=59dc923f-802e-469c-a3de-db909e970a8e"]}],"mendeley":{"formattedCitation":"[11, 18]","plainTextFormattedCitation":"[11, 18]","previouslyFormattedCitation":"[11, 18]"},"properties":{"noteIndex":0},"schema":"https://github.com/citation-style-language/schema/raw/master/csl-citation.json"}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[11, 18]</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xml:space="preserve"> where clades are not so cohesively clustered by geography, suggests that few mitochondrial and nuclear markers do not have sufficient statistical power to resolve the phylogenetic relationships of this recently diverged group. Here, we demonstrate that the use of thousands of SNP loci collectively provide strong power to detect phylogenetic signal while reducing the probability of stochastic error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DOI":"10.1093/sysbio/syt073","ISSN":"1076836X","PMID":"24293251","author":[{"dropping-particle":"","family":"Betancur","given":"Ricardo","non-dropping-particle":"","parse-names":false,"suffix":""},{"dropping-particle":"","family":"Naylor","given":"Gavin J.P.","non-dropping-particle":"","parse-names":false,"suffix":""},{"dropping-particle":"","family":"Ortí","given":"Guillermo","non-dropping-particle":"","parse-names":false,"suffix":""}],"container-title":"Systematic Biology","id":"ITEM-1","issue":"2","issued":{"date-parts":[["2014"]]},"page":"257-262","title":"Conserved genes, sampling error, and phylogenomic inference","type":"article-journal","volume":"63"},"uris":["http://www.mendeley.com/documents/?uuid=6bb61a74-cb30-4c66-8156-28ec7a8d5d6e"]}],"mendeley":{"formattedCitation":"[53]","plainTextFormattedCitation":"[53]","previouslyFormattedCitation":"[53]"},"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[53]</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xml:space="preserve">, as has also been demonstrated in several species of freshwater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{"citationItems":[{"id":"ITEM-1","itemData":{"DOI":"10.1098/rspb.2011.1552","ISSN":"14712970","abstract":"Understanding the genetics of adaptation is a central focus in evolutionary biology. Here, we use a population genomics approach to examine striking parallel morphological divergences of parapatric stream-lake ecotypes of threespine stickleback fish in three watersheds on the Haida Gwaii archipelago, western Canada. Genome-wide variation at greater than 1000 single nucleotide polymorphism loci indicate separate origin of giant lake and small-bodied stream fish within each watershed (mean FST between watersheds = 0.244 and within = 0.114). Genome scans within watersheds identified a total of 21 genomic regions that are highly differentiated between ecotypes and are probably subject to directional selection. Most outliers were watershed-specific, but genomic regions undergoing parallel genetic changes in multiple watersheds were also identified. Interestingly, several of the stream-lake outlier regions match those previously identified in marine-freshwater and benthic-limnetic genome scans, indicating reuse of the same genetic loci in different adaptive scenarios. We also identified multiple new outlier loci, which may contribute to unique aspects of differentiation in stream-lake environments. Overall, our data emphasize the important role of ecological boundaries in driving both local and broadly occurring parallel genetic changes during adaptation. © 2011 The Royal Society.","author":[{"dropping-particle":"","family":"Deagle","given":"Bruce E.","non-dropping-particle":"","parse-names":false,"suffix":""},{"dropping-particle":"","family":"Jones","given":"Felicity C.","non-dropping-particle":"","parse-names":false,"suffix":""},{"dropping-particle":"","family":"Chan","given":"Yingguang F.","non-dropping-particle":"","parse-names":false,"suffix":""},{"dropping-particle":"","family":"Absher","given":"Devin M.","non-dropping-particle":"","parse-names":false,"suffix":""},{"dropping-particle":"","family":"Kingsley","given":"David M.","non-dropping-particle":"","parse-names":false,"suffix":""},{"dropping-particle":"","family":"Reimchen","given":"Thomas E.","non-dropping-particle":"","parse-names":false,"suffix":""}],"container-title":"Proceedings of the Royal Society B: Biological Sciences","id":"ITEM-1","issue":"1732","issued":{"date-parts":[["2012"]]},"page":"1277-1286","title":"Population genomics of parallel phenotypic evolution in stickleback across stream-lake ecological transitions","type":"article-journal","volume":"279"},"uris":["http://www.mendeley.com/documents/?uuid=b5c86a82-37cf-4049-88a2-c03db96ec933"]},{"id":"ITEM-2","itemData":{"DOI":"10.1016/j.aquaculture.2021.736432","ISSN":"00448486","abstract":"For the last three decades, Nile tilapia Oreochromis niloticus (Linnaeus, 1758) is considered as one of the most productive and internationally traded food fish. Although economically important, our knowledge on the genetic structure of natural and farmed populations is scarce, especially in Africa. Sustainable aquaculture however requires integrating genetic information to elaborate appropriate management practices. The aims of the present study were: (i) to characterize the genetic structure and diversity of several O. niloticus wild populations collected in four drainage basins: Mono, Niger, Ouémé and Volta in Benin; (ii) to compare the identified genetic profiles of these wild populations with domesticated strains bred in two Beninese fish farms and one Belgian aquaculture research center; (iii) and finally to use the data as a tool to improve management of wild genetic resources and domesticated farmed strains. In order to characterize the genetic structure of the thirteen sampled populations of O. niloticus 2.950 SNPs were used to perform a clustering analysis and investigate the genetic diversities and population differentiations. Our results showed that, populations of O. niloticus collected in different basin and farms in Benin showed low to moderate genetic differentiation (Fst from 0.018 to 0.143) with the exception of the Nangbéto population of Mono basin, which is genetically more differentiated (Fst from 0.091 to 0.278). Compared to wild populations, there is a greater genetic proximity between the breeding populations of CRIAB and the Pendjari river population (Fst = 0.0 47), and between the Yohan-Esteve farm populations and the Gbassa population (Fst from 0.045 to 0.055). In view of the low level of inbreeding and the good growth and reproductive performance of the Togbadji population in the Mono basin, it would be a potential candidate for the development of a local strain of O. niloticus for aquaculture in Benin.","author":[{"dropping-particle":"","family":"Fagbémi","given":"Mohammed Nambyl A.","non-dropping-particle":"","parse-names":false,"suffix":""},{"dropping-particle":"","family":"Pigneur","given":"Lise Marie","non-dropping-particle":"","parse-names":false,"suffix":""},{"dropping-particle":"","family":"André","given":"Adrien","non-dropping-particle":"","parse-names":false,"suffix":""},{"dropping-particle":"","family":"Smitz","given":"Nathalie","non-dropping-particle":"","parse-names":false,"suffix":""},{"dropping-particle":"","family":"Gennotte","given":"Vincent","non-dropping-particle":"","parse-names":false,"suffix":""},{"dropping-particle":"","family":"Michaux","given":"Johan R.","non-dropping-particle":"","parse-names":false,"suffix":""},{"dropping-particle":"","family":"Mélard","given":"Charles","non-dropping-particle":"","parse-names":false,"suffix":""},{"dropping-particle":"","family":"Lalèyè","given":"Philippe A.","non-dropping-particle":"","parse-names":false,"suffix":""},{"dropping-particle":"","family":"Rougeot","given":"Carole","non-dropping-particle":"","parse-names":false,"suffix":""}],"container-title":"Aquaculture","id":"ITEM-2","issue":"January","issued":{"date-parts":[["2021"]]},"title":"Genetic structure of wild and farmed Nile tilapia (Oreochromis niloticus) populations in Benin based on genome wide SNP technology","type":"article-journal","volume":"535"},"uris":["http://www.mendeley.com/documents/?uuid=ca8f8f21-e386-4fb7-962c-f7da1dbe30c4"]},{"id":"ITEM-3","itemData":{"DOI":"10.1038/nature10944","ISSN":"00280836","PMID":"22481358","abstract":"Marine stickleback fish have colonized and adapted to thousands of streams and lakes formed since the last ice age, providing an exceptional opportunity to characterize genomic mechanisms underlying repeated ecological adaptation in nature. Here we develop a high-quality reference genome assembly for threespine sticklebacks. By sequencing the genomes of twenty additional individuals from a global set of marine and freshwater populations, we identify a genome-wide set of loci that are consistently associated with marine-freshwater divergence. Our results indicate that reuse of globally shared standing genetic variation, including chromosomal inversions, has an important role in repeated evolution of distinct marine and freshwater sticklebacks, and in the maintenance of divergent ecotypes during early stages of reproductive isolation. Both coding and regulatory changes occur in the set of loci underlying marine-freshwater evolution, but regulatory changes appear to predominate in this well known example of repeated adaptive evolution in nature. © 2012 Macmillan Publishers Limited. All rights reserved.","author":[{"dropping-particle":"","family":"Jones","given":"Felicity C.","non-dropping-particle":"","parse-names":false,"suffix":""},{"dropping-particle":"","family":"Grabherr","given":"Manfred G.","non-dropping-particle":"","parse-names":false,"suffix":""},{"dropping-particle":"","family":"Chan","given":"Yingguang Frank","non-dropping-particle":"","parse-names":false,"suffix":""},{"dropping-particle":"","family":"Russell","given":"Pamela","non-dropping-particle":"","parse-names":false,"suffix":""},{"dropping-particle":"","family":"Mauceli","given":"Evan","non-dropping-particle":"","parse-names":false,"suffix":""},{"dropping-particle":"","family":"Johnson","given":"Jeremy","non-dropping-particle":"","parse-names":false,"suffix":""},{"dropping-particle":"","family":"Swofford","given":"Ross","non-dropping-particle":"","parse-names":false,"suffix":""},{"dropping-particle":"","family":"Pirun","given":"Mono","non-dropping-particle":"","parse-names":false,"suffix":""},{"dropping-particle":"","family":"Zody","given":"Michael C.","non-dropping-particle":"","parse-names":false,"suffix":""},{"dropping-particle":"","family":"White","given":"Simon","non-dropping-particle":"","parse-names":false,"suffix":""},{"dropping-particle":"","family":"Birney","given":"Ewan","non-dropping-particle":"","parse-names":false,"suffix":""},{"dropping-particle":"","family":"Searle","given":"Stephen","non-dropping-particle":"","parse-names":false,"suffix":""},{"dropping-particle":"","family":"Schmutz","given":"Jeremy","non-dropping-particle":"","parse-names":false,"suffix":""},{"dropping-particle":"","family":"Grimwood","given":"Jane","non-dropping-particle":"","parse-names":false,"suffix":""},{"dropping-particle":"","family":"Dickson","given":"Mark C.","non-dropping-particle":"","parse-names":false,"suffix":""},{"dropping-particle":"","family":"Myers","given":"Richard M.","non-dropping-particle":"","parse-names":false,"suffix":""},{"dropping-particle":"","family":"Miller","given":"Craig T.","non-dropping-particle":"","parse-names":false,"suffix":""},{"dropping-particle":"","family":"Summers","given":"Brian R.","non-dropping-particle":"","parse-names":false,"suffix":""},{"dropping-particle":"","family":"Knecht","given":"Anne K.","non-dropping-particle":"","parse-names":false,"suffix":""},{"dropping-particle":"","family":"Brady","given":"Shannon D.","non-dropping-particle":"","parse-names":false,"suffix":""},{"dropping-particle":"","family":"Zhang","given":"Haili","non-dropping-particle":"","parse-names":false,"suffix":""},{"dropping-particle":"","family":"Pollen","given":"Alex A.","non-dropping-particle":"","parse-names":false,"suffix":""},{"dropping-particle":"","family":"Howes","given":"Timothy","non-dropping-particle":"","parse-names":false,"suffix":""},{"dropping-particle":"","family":"Amemiya","given":"Chris","non-dropping-particle":"","parse-names":false,"suffix":""},{"dropping-particle":"","family":"Baldwin","given":"Jen","non-dropping-particle":"","parse-names":false,"suffix":""},{"dropping-particle":"","family":"Bloom","given":"Toby","non-dropping-particle":"","parse-names":false,"suffix":""},{"dropping-particle":"","family":"Jaffe","given":"David B.","non-dropping-particle":"","parse-names":false,"suffix":""},{"dropping-particle":"","family":"Nicol","given":"Robert","non-dropping-particle":"","parse-names":false,"suffix":""},{"dropping-particle":"","family":"Wilkinson","given":"Jane","non-dropping-particle":"","parse-names":false,"suffix":""},{"dropping-particle":"","family":"Lander","given":"Eric S.","non-dropping-particle":"","parse-names":false,"suffix":""},{"dropping-particle":"","family":"Palma","given":"Federica","non-dropping-particle":"Di","parse-names":false,"suffix":""},{"dropping-particle":"","family":"Lindblad-Toh","given":"Kerstin","non-dropping-particle":"","parse-names":false,"suffix":""},{"dropping-particle":"","family":"Kingsley","given":"David M.","non-dropping-particle":"","parse-names":false,"suffix":""}],"container-title":"Nature","id":"ITEM-3","issue":"7392","issued":{"date-parts":[["2012"]]},"page":"55-61","title":"The genomic basis of adaptive evolution in threespine sticklebacks","type":"article-journal","volume":"484"},"uris":["http://www.mendeley.com/documents/?uuid=50d5dd01-440e-4fbe-814d-9c24da69b5c0"]},{"id":"ITEM-4","itemData":{"DOI":"10.1111/jeb.13196","author":[{"dropping-particle":"","family":"Burress","given":"E D","non-dropping-particle":"","parse-names":false,"suffix":""},{"dropping-particle":"","family":"Alda","given":"F","non-dropping-particle":"","parse-names":false,"suffix":""},{"dropping-particle":"","family":"Duarte","given":"A","non-dropping-particle":"","parse-names":false,"suffix":""},{"dropping-particle":"","family":"Loureiro","given":"M","non-dropping-particle":"","parse-names":false,"suffix":""},{"dropping-particle":"","family":"Armbruster","given":"J W","non-dropping-particle":"","parse-names":false,"suffix":""},{"dropping-particle":"","family":"Chakrabarty","given":"P","non-dropping-particle":"","parse-names":false,"suffix":""}],"id":"ITEM-4","issued":{"date-parts":[["2018"]]},"page":"14-30","title":"Phylogenomics of pike cichlids ( Cichlidae : Crenicichla ): the rapid ecological speciation of an incipient species flock","type":"article-journal","volume":"31"},"uris":["http://www.mendeley.com/documents/?uuid=28a35da3-f1f0-44f4-b2cf-5331a547c361"]},{"id":"ITEM-5","itemData":{"DOI":"10.1186/s12863-018-0711-y","ISBN":"1286301807","ISSN":"14712156","PMID":"30691389","abstract":"Background: Arapaima gigas (Schinz, 1822) is the largest freshwater scaled fish in the world, and an emerging species for tropical aquaculture development. Conservation of the species, and the expansion of aquaculture requires the development of genetic tools to study polymorphism, differentiation, and stock structure. This study aimed to investigate genomic polymorphism through ddRAD sequencing, in order to identify a panel of single nucleotide polymorphisms (SNPs) and to simultaneously assess genetic diversity and structure in wild (from rivers Amazon, Solimões, Tocantins and Araguaia) and captive populations. Results: Compared to many other teleosts, the degree of polymorphism in A. gigas was low with only 2.3% of identified RAD-tags (135 bases long) containing SNPs. A panel of 393 informative SNPs was identified and screened across the five populations. Higher genetic diversity indices (number of polymorphic loci and private alleles, Shannon's Index and H O ) were found in populations from the Amazon and Solimões, intermediate levels in Tocantins and Captive, and very low levels in the Araguaia population. These results likely reflect larger population sizes from less urbanized environments in the Amazon basin compared to Araguaia. Populations were significantly differentiated with pairwise F ST values ranging from 0.086 (Amazon × Solimões) to 0.556 (Amazon × Araguaia). Mean pairwise relatedness among individuals was significant in all populations (P &lt; 0.01), reflecting a degree of inbreeding possibly due to severe depletion of natural stocks, the species sedentary behaviour and possible sampling biases. Although Mantel test was not significant (P = 0.104; R 2 = 0.65), Bayesian analysis in STRUCTURE and discriminant analysis of principal components (DAPC) showed populations of Amazon and Solimões to be genetically differentiated from Araguaia, with Tocantins comprising individuals from both identified stocks. Conclusions: This relatively rapid genotyping by sequencing approach proved to be successful in delineating arapaima stocks. The approach and / or SNP panels identified should prove valuable for more detailed genetic studies of arapaima populations, including the elucidation of the genetic status of described discrete morphotypes and aid in delivery of conservation programs to maintain genetic diversity in reservoirs across the Amazon region.","author":[{"dropping-particle":"","family":"Torati","given":"Lucas Simon","non-dropping-particle":"","parse-names":false,"suffix":""},{"dropping-particle":"","family":"Taggart","given":"John Bernard","non-dropping-particle":"","parse-names":false,"suffix":""},{"dropping-particle":"","family":"Varela","given":"Eduardo Sousa","non-dropping-particle":"","parse-names":false,"suffix":""},{"dropping-particle":"","family":"Araripe","given":"Juliana","non-dropping-particle":"","parse-names":false,"suffix":""},{"dropping-particle":"","family":"Wehner","given":"Stefanie","non-dropping-particle":"","parse-names":false,"suffix":""},{"dropping-particle":"","family":"Migaud","given":"Hervé","non-dropping-particle":"","parse-names":false,"suffix":""}],"container-title":"BMC Genetics","id":"ITEM-5","issue":"1","issued":{"date-parts":[["2019"]]},"page":"1-13","publisher":"BMC Genetics","title":"Genetic diversity and structure in Arapaima gigas populations from Amazon and Araguaia-Tocantins river basins","type":"article-journal","volume":"20"},"uris":["http://www.mendeley.com/documents/?uuid=86ebee0f-5a3b-4d42-acc4-e820d1638445"]}],"mendeley":{"formattedCitation":"[46, 54–57]","plainTextFormattedCitation":"[46, 54–57]","previouslyFormattedCitation":"[46, 54–57]"},"properties":{"noteIndex":0},"schema":"https://github.com/citation-style-language/schema/raw/master/csl-citation.json"}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[46, 54–57]</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xml:space="preserve"> and marine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{"citationItems":[{"id":"ITEM-1","itemData":{"DOI":"10.1038/srep43417","ISSN":"20452322","PMID":"28262802","abstract":"The assessment of the genetic structuring of biodiversity is crucial for management and conservation. For species with large effective population sizes a low number of markers may fail to identify population structure. A solution of this shortcoming can be high-throughput sequencing that allows genotyping thousands of markers on a genome-wide approach while facilitating the detection of genetic structuring shaped by selection. We used Genotyping-by-Sequencing (GBS) on 176 individuals of the endemic East Atlantic peacock wrasse (Symphodus tinca), from 6 locations in the Adriatic and Ionian seas. We obtained a total of 4,155 polymorphic SNPs and we observed two strong barriers to gene flow. The first one differentiated Tremiti Islands, in the northwest, from all the other locations while the second one separated east and south-west localities. Outlier SNPs potentially under positive selection and neutral SNPs both showed similar patterns of structuring, although finer scale differentiation was unveiled with outlier loci. Our results reflect the complexity of population genetic structure and demonstrate that both habitat fragmentation and positive selection are on play. This complexity should be considered in biodiversity assessments of different taxa, including non-model yet ecologically relevant organisms.","author":[{"dropping-particle":"","family":"Carreras","given":"Carlos","non-dropping-particle":"","parse-names":false,"suffix":""},{"dropping-particle":"","family":"Ordóñez","given":"Víctor","non-dropping-particle":"","parse-names":false,"suffix":""},{"dropping-particle":"","family":"Zane","given":"Lorenzo","non-dropping-particle":"","parse-names":false,"suffix":""},{"dropping-particle":"","family":"Kruschel","given":"Claudia","non-dropping-particle":"","parse-names":false,"suffix":""},{"dropping-particle":"","family":"Nasto","given":"Ina","non-dropping-particle":"","parse-names":false,"suffix":""},{"dropping-particle":"","family":"MacPherson","given":"Enrique","non-dropping-particle":"","parse-names":false,"suffix":""},{"dropping-particle":"","family":"Pascual","given":"Marta","non-dropping-particle":"","parse-names":false,"suffix":""}],"container-title":"Scientific Reports","id":"ITEM-1","issue":"September 2016","issued":{"date-parts":[["2017"]]},"page":"1-12","title":"Population genomics of an endemic Mediterranean fish: Differentiation by fine scale dispersal and adaptation","type":"article-journal","volume":"7"},"uris":["http://www.mendeley.com/documents/?uuid=7fe30f24-8d55-44fd-ae4b-2235eba9346c"]},{"id":"ITEM-2","itemData":{"DOI":"10.1371/journal.pone.0097508","ISSN":"19326203","PMID":"24830641","abstract":"To address patterns of genetic connectivity in a mass-aggregating marine fish, we analyzed genetic variation in mitochondrial DNA (mtDNA), microsatellites, and single nucleotide polymorphisms (SNPs) for Nassau grouper (Epinephelus striatus). We expected Nassau grouper to exhibit genetic differentiation among its subpopulations due to its reproductive behavior and retentive oceanographic conditions experienced across the Caribbean basin. All samples were genotyped for two mitochondrial markers and 9 microsatellite loci, and a subset of samples were genotyped for 4,234 SNPs. We found evidence of genetic differentiation in a Caribbean-wide study of this mass-aggregating marine fish using mtDNA (FST = 0.206, p&lt;0.001), microsatellites (FST = 0.002, p = 0.004) and SNPs (FST = 0.002, p = 0.014), and identified three potential barriers to larval dispersal. Genetically isolated regions identified in our work mirror those seen for other invertebrate and fish species in the Caribbean basin. Oceanographic regimes in the Caribbean may largely explain patterns of genetic differentiation among Nassau grouper subpopulations. Regional patterns observed warrant standardization of fisheries management and conservation initiatives among countries within genetically isolated regions. © 2014 Jackson et al.","author":[{"dropping-particle":"","family":"Jackson","given":"Alexis M.","non-dropping-particle":"","parse-names":false,"suffix":""},{"dropping-particle":"","family":"Semmens","given":"Brice X.","non-dropping-particle":"","parse-names":false,"suffix":""},{"dropping-particle":"","family":"Mitcheson","given":"Yvonne Sadovy","non-dropping-particle":"De","parse-names":false,"suffix":""},{"dropping-particle":"","family":"Nemeth","given":"Richard S.","non-dropping-particle":"","parse-names":false,"suffix":""},{"dropping-particle":"","family":"Heppell","given":"Scott A.","non-dropping-particle":"","parse-names":false,"suffix":""},{"dropping-particle":"","family":"Bush","given":"Phillippe G.","non-dropping-particle":"","parse-names":false,"suffix":""},{"dropping-particle":"","family":"Aguilar-Perera","given":"Alfonso","non-dropping-particle":"","parse-names":false,"suffix":""},{"dropping-particle":"","family":"Claydon","given":"John A.B.","non-dropping-particle":"","parse-names":false,"suffix":""},{"dropping-particle":"","family":"Calosso","given":"Marta C.","non-dropping-particle":"","parse-names":false,"suffix":""},{"dropping-particle":"","family":"Sealey","given":"Kathleen S.","non-dropping-particle":"","parse-names":false,"suffix":""},{"dropping-particle":"","family":"Schärer","given":"Michelle T.","non-dropping-particle":"","parse-names":false,"suffix":""},{"dropping-particle":"","family":"Bernardi","given":"Giacomo","non-dropping-particle":"","parse-names":false,"suffix":""}],"container-title":"PLoS ONE","id":"ITEM-2","issue":"5","issued":{"date-parts":[["2014"]]},"title":"Population structure and phylogeography in Nassau grouper (epinephelus striatus), a mass-aggregating marine fish","type":"article-journal","volume":"9"},"uris":["http://www.mendeley.com/documents/?uuid=b3a649fa-eb42-468d-b9fc-03f89404fcfa"]},{"id":"ITEM-3","itemData":{"DOI":"10.1371/journal.pone.0128247","ISSN":"19326203","PMID":"26090851","abstract":"In the present study we have investigated the population genetic structure of albacore (Thunnus alalunga, Bonnaterre 1788) and assessed the loss of genetic diversity, likely due to overfishing, of albacore population in the North Atlantic Ocean. For this purpose, 1,331 individuals from 26 worldwide locations were analyzed by genotyping 75 novel nuclear SNPs. Our results indicated the existence of four genetically homogeneous populations delimited within the Mediterranean Sea, the Atlantic Ocean, the Indian Ocean and the Pacific Ocean. Current definition of stocks allows the sustainable management of albacore since no stock includes more than one genetic entity. In addition, short- and long-term effective population sizes were estimated for the North Atlantic Ocean albacore population, and results showed no historical decline for this population. Therefore, the genetic diversity and, consequently, the adaptive potential of this population have not been significantly affected by overfishing.","author":[{"dropping-particle":"","family":"Laconcha","given":"Urtzi","non-dropping-particle":"","parse-names":false,"suffix":""},{"dropping-particle":"","family":"Iriondo","given":"Mikel","non-dropping-particle":"","parse-names":false,"suffix":""},{"dropping-particle":"","family":"Arrizabalaga","given":"Haritz","non-dropping-particle":"","parse-names":false,"suffix":""},{"dropping-particle":"","family":"Manzano","given":"Carmen","non-dropping-particle":"","parse-names":false,"suffix":""},{"dropping-particle":"","family":"Markaide","given":"Pablo","non-dropping-particle":"","parse-names":false,"suffix":""},{"dropping-particle":"","family":"Montes","given":"Iratxe","non-dropping-particle":"","parse-names":false,"suffix":""},{"dropping-particle":"","family":"Zarraonaindia","given":"Iratxe","non-dropping-particle":"","parse-names":false,"suffix":""},{"dropping-particle":"","family":"Velado","given":"Igor","non-dropping-particle":"","parse-names":false,"suffix":""},{"dropping-particle":"","family":"Bilbao","given":"Eider","non-dropping-particle":"","parse-names":false,"suffix":""},{"dropping-particle":"","family":"Goñi","given":"Nicolas","non-dropping-particle":"","parse-names":false,"suffix":""},{"dropping-particle":"","family":"Santiago","given":"Josu","non-dropping-particle":"","parse-names":false,"suffix":""},{"dropping-particle":"","family":"Domingo","given":"Andrés","non-dropping-particle":"","parse-names":false,"suffix":""},{"dropping-particle":"","family":"Karakulak","given":"Saadet","non-dropping-particle":"","parse-names":false,"suffix":""},{"dropping-particle":"","family":"Oray","given":"Işik","non-dropping-particle":"","parse-names":false,"suffix":""},{"dropping-particle":"","family":"Estonba","given":"Andone","non-dropping-particle":"","parse-names":false,"suffix":""}],"container-title":"PLoS ONE","id":"ITEM-3","issue":"6","issued":{"date-parts":[["2015"]]},"page":"1-19","title":"New nuclear SNP markers unravel the genetic structure and effective population size of albacore tuna (Thunnus alalunga)","type":"article-journal","volume":"10"},"uris":["http://www.mendeley.com/documents/?uuid=189b0606-f063-4ec2-8944-d210065f775c"]},{"id":"ITEM-4","itemData":{"DOI":"10.1098/rspb.2018.2924","ISSN":"14712954","PMID":"30940064","abstract":"Species delimitation is a major quest in biology and is essential for adequate management of the organismal diversity. A challenging example comprises the fish species of red snappers in the Western Atlantic. Red snappers have been traditionally recognized as two separate species based on morphology: Lutjanus campechanus (northern red snapper) and L. purpureus (southern red snapper). Recent genetic studies using mitochondrial markers, however, failed to delineate these nominal species, leading to the current lumping of the northern and southern populations into a single species (L. campechanus). This decision carries broad implications for conservation and management as red snappers have been commercially over-exploited across the Western Atlantic and are currently listed as vulnerable. To address this conflict, we examine genome-wide data collected throughout the range of the two species. Population genomics, phylogenetic and coalescent analyses favour the existence of two independent evolutionary lineages, a result that confirms the morphology-based delimitation scenario in agreement with conventional taxonomy. Despite finding evidence of introgression in geographically neighbouring populations in northern South America, our genomic analyses strongly support isolation and differentiation of these species, suggesting that the northern and southern red snappers should be treated as distinct taxonomic entities.","author":[{"dropping-particle":"","family":"Pedraza-Marrón","given":"Carmen R.","non-dropping-particle":"Del","parse-names":false,"suffix":""},{"dropping-particle":"","family":"Silva","given":"Raimundo","non-dropping-particle":"","parse-names":false,"suffix":""},{"dropping-particle":"","family":"Deeds","given":"Jonathan","non-dropping-particle":"","parse-names":false,"suffix":""},{"dropping-particle":"","family":"Belleghem","given":"Steven M.","non-dropping-particle":"Van","parse-names":false,"suffix":""},{"dropping-particle":"","family":"Mastretta-Yanes","given":"Alicia","non-dropping-particle":"","parse-names":false,"suffix":""},{"dropping-particle":"","family":"Domínguez-Domínguez","given":"Omar","non-dropping-particle":"","parse-names":false,"suffix":""},{"dropping-particle":"","family":"Rivero-Vega","given":"Rafael A.","non-dropping-particle":"","parse-names":false,"suffix":""},{"dropping-particle":"","family":"Lutackas","given":"Loretta","non-dropping-particle":"","parse-names":false,"suffix":""},{"dropping-particle":"","family":"Murie","given":"Debra","non-dropping-particle":"","parse-names":false,"suffix":""},{"dropping-particle":"","family":"Parkyn","given":"Daryl","non-dropping-particle":"","parse-names":false,"suffix":""},{"dropping-particle":"","family":"Bullock","given":"Lewis H.","non-dropping-particle":"","parse-names":false,"suffix":""},{"dropping-particle":"","family":"Foss","given":"Kristin","non-dropping-particle":"","parse-names":false,"suffix":""},{"dropping-particle":"","family":"Ortiz-Zuazaga","given":"Humberto","non-dropping-particle":"","parse-names":false,"suffix":""},{"dropping-particle":"","family":"Narváez-Barandica","given":"Juan","non-dropping-particle":"","parse-names":false,"suffix":""},{"dropping-particle":"","family":"Acero","given":"Arturo","non-dropping-particle":"","parse-names":false,"suffix":""},{"dropping-particle":"","family":"Gomes","given":"Grazielle","non-dropping-particle":"","parse-names":false,"suffix":""},{"dropping-particle":"","family":"Betancur-R","given":"Ricardo","non-dropping-particle":"","parse-names":false,"suffix":""}],"container-title":"Proceedings of the Royal Society B: Biological Sciences","id":"ITEM-4","issue":"1900","issued":{"date-parts":[["2019"]]},"title":"Genomics overrules mitochondrial DNA, siding with morphology on a controversial case of species delimitation","type":"article-journal","volume":"286"},"uris":["http://www.mendeley.com/documents/?uuid=21169bc0-927a-48dd-8971-42e957822d49"]}],"mendeley":{"formattedCitation":"[58–61]","plainTextFormattedCitation":"[58–61]","previouslyFormattedCitation":"[58–61]"},"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[58–61]</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xml:space="preserve"> fishes. Additionally, we observed a discordance between the phylogenetic placement of the three main clades—where the phylogeny inferred using </w:t>
      </w:r>
      <w:r w:rsidRPr="00F51A6B">
        <w:rPr>
          <w:rFonts w:asciiTheme="majorBidi" w:hAnsiTheme="majorBidi" w:cstheme="majorBidi"/>
          <w:bCs/>
          <w:i/>
          <w:iCs/>
          <w:sz w:val="24"/>
          <w:szCs w:val="24"/>
        </w:rPr>
        <w:t>mt</w:t>
      </w:r>
      <w:r w:rsidRPr="00F51A6B">
        <w:rPr>
          <w:rFonts w:asciiTheme="majorBidi" w:hAnsiTheme="majorBidi" w:cstheme="majorBidi"/>
          <w:bCs/>
          <w:sz w:val="24"/>
          <w:szCs w:val="24"/>
        </w:rPr>
        <w:t xml:space="preserve">DNA places individuals from the </w:t>
      </w:r>
      <w:r w:rsidRPr="00F51A6B">
        <w:rPr>
          <w:rFonts w:asciiTheme="majorBidi" w:hAnsiTheme="majorBidi" w:cstheme="majorBidi"/>
          <w:bCs/>
          <w:i/>
          <w:iCs/>
          <w:sz w:val="24"/>
          <w:szCs w:val="24"/>
        </w:rPr>
        <w:t>estor</w:t>
      </w:r>
      <w:r w:rsidRPr="00F51A6B">
        <w:rPr>
          <w:rFonts w:asciiTheme="majorBidi" w:hAnsiTheme="majorBidi" w:cstheme="majorBidi"/>
          <w:bCs/>
          <w:sz w:val="24"/>
          <w:szCs w:val="24"/>
        </w:rPr>
        <w:t xml:space="preserve"> group as basal, while the ddRADseq analyses as one of the most recent clades. Such disagreement could be related to the characteristics of the type of markers (e.g., matrilineal inheritance) as mitonuclear discordance can lead to an inaccurate estimation of the evolutionary history of the species, ultimately misguiding species delimitation</w:t>
      </w:r>
      <w:r w:rsidR="006F4998">
        <w:rPr>
          <w:rFonts w:asciiTheme="majorBidi" w:hAnsiTheme="majorBidi" w:cstheme="majorBidi"/>
          <w:bCs/>
          <w:sz w:val="24"/>
          <w:szCs w:val="24"/>
        </w:rPr>
        <w:t xml:space="preserve"> [62</w:t>
      </w:r>
      <w:r w:rsidR="006F4998" w:rsidRPr="00F51A6B">
        <w:rPr>
          <w:rFonts w:asciiTheme="majorBidi" w:hAnsiTheme="majorBidi" w:cstheme="majorBidi"/>
          <w:bCs/>
          <w:sz w:val="24"/>
          <w:szCs w:val="24"/>
        </w:rPr>
        <w:t>–</w:t>
      </w:r>
      <w:r w:rsidR="006F4998">
        <w:rPr>
          <w:rFonts w:asciiTheme="majorBidi" w:hAnsiTheme="majorBidi" w:cstheme="majorBidi"/>
          <w:bCs/>
          <w:sz w:val="24"/>
          <w:szCs w:val="24"/>
        </w:rPr>
        <w:t>64]</w:t>
      </w:r>
      <w:r w:rsidRPr="00F51A6B">
        <w:rPr>
          <w:rFonts w:asciiTheme="majorBidi" w:hAnsiTheme="majorBidi" w:cstheme="majorBidi"/>
          <w:bCs/>
          <w:sz w:val="24"/>
          <w:szCs w:val="24"/>
        </w:rPr>
        <w:t xml:space="preserve">. In this case, the ddRADseq results are congruent with the geological events that shaped the lakes of central Mexico. Because of the </w:t>
      </w:r>
      <w:r w:rsidRPr="00F51A6B">
        <w:rPr>
          <w:rFonts w:asciiTheme="majorBidi" w:hAnsiTheme="majorBidi" w:cstheme="majorBidi"/>
          <w:bCs/>
          <w:i/>
          <w:iCs/>
          <w:sz w:val="24"/>
          <w:szCs w:val="24"/>
        </w:rPr>
        <w:t>humboldtianum</w:t>
      </w:r>
      <w:r w:rsidRPr="00F51A6B">
        <w:rPr>
          <w:rFonts w:asciiTheme="majorBidi" w:hAnsiTheme="majorBidi" w:cstheme="majorBidi"/>
          <w:bCs/>
          <w:sz w:val="24"/>
          <w:szCs w:val="24"/>
        </w:rPr>
        <w:t xml:space="preserve"> group is restricted to lacustrine environments, our inferences make sense  when they are combined with biogeographic information.</w:t>
      </w:r>
    </w:p>
    <w:p w14:paraId="037E5EF5" w14:textId="6B85C262" w:rsidR="008C7F69" w:rsidRDefault="00F51A6B" w:rsidP="00F51A6B">
      <w:pPr>
        <w:jc w:val="both"/>
        <w:rPr>
          <w:rFonts w:asciiTheme="majorBidi" w:hAnsiTheme="majorBidi" w:cstheme="majorBidi"/>
          <w:bCs/>
          <w:sz w:val="24"/>
          <w:szCs w:val="24"/>
        </w:rPr>
      </w:pPr>
      <w:r w:rsidRPr="00F51A6B">
        <w:rPr>
          <w:rFonts w:asciiTheme="majorBidi" w:hAnsiTheme="majorBidi" w:cstheme="majorBidi"/>
          <w:bCs/>
          <w:sz w:val="24"/>
          <w:szCs w:val="24"/>
        </w:rPr>
        <w:t xml:space="preserve">Finally, in all cases, the nine-species model was strongly rejected thus refuting the morphological-based hypothesis </w:t>
      </w:r>
      <w:r w:rsidRPr="00F51A6B">
        <w:rPr>
          <w:rFonts w:asciiTheme="majorBidi" w:hAnsiTheme="majorBidi" w:cstheme="majorBidi"/>
          <w:bCs/>
          <w:i/>
          <w:iCs/>
          <w:sz w:val="24"/>
          <w:szCs w:val="24"/>
        </w:rPr>
        <w:t>sensu</w:t>
      </w:r>
      <w:r w:rsidRPr="00F51A6B">
        <w:rPr>
          <w:rFonts w:asciiTheme="majorBidi" w:hAnsiTheme="majorBidi" w:cstheme="majorBidi"/>
          <w:bCs/>
          <w:sz w:val="24"/>
          <w:szCs w:val="24"/>
        </w:rPr>
        <w:t xml:space="preserve"> Barbour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[10]","plainTextFormattedCitation":"[10]","previouslyFormattedCitation":"[10]"},"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[10]</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 xml:space="preserve">. Our study represents a rare case where genome-wide data evidences an over estimation of species diversity based on morphological characters. The delineation of such morphospecies was based on several characters, particularly head and body traits, that have been considered as the basis for the current taxonomy in the genus. However, trait measurements such as the jaw length, jaw shape, teeth size, number of gill rakers, and body shape are subjected to great environmental plasticity related to the species’ trophic ecology and habitat characteristics, making it difficult to find diagnostic characters among </w:t>
      </w:r>
      <w:r w:rsidRPr="00F51A6B">
        <w:rPr>
          <w:rFonts w:asciiTheme="majorBidi" w:hAnsiTheme="majorBidi" w:cstheme="majorBidi"/>
          <w:bCs/>
          <w:i/>
          <w:sz w:val="24"/>
          <w:szCs w:val="24"/>
        </w:rPr>
        <w:t xml:space="preserve">Chirostoma </w:t>
      </w:r>
      <w:r w:rsidRPr="00F51A6B">
        <w:rPr>
          <w:rFonts w:asciiTheme="majorBidi" w:hAnsiTheme="majorBidi" w:cstheme="majorBidi"/>
          <w:bCs/>
          <w:sz w:val="24"/>
          <w:szCs w:val="24"/>
        </w:rPr>
        <w:t xml:space="preserve">species </w:t>
      </w:r>
      <w:r w:rsidRPr="00F51A6B">
        <w:rPr>
          <w:rFonts w:asciiTheme="majorBidi" w:hAnsiTheme="majorBidi" w:cstheme="majorBidi"/>
          <w:bCs/>
          <w:sz w:val="24"/>
          <w:szCs w:val="24"/>
        </w:rPr>
        <w:fldChar w:fldCharType="begin" w:fldLock="1"/>
      </w:r>
      <w:r w:rsidRPr="00F51A6B">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Atherinidae)","type":"article-journal","volume":"18"},"uris":["http://www.mendeley.com/documents/?uuid=5ae7b2f8-3c62-418e-8ebf-c77decd522ca"]},{"id":"ITEM-2","itemData":{"DOI":"10.1111/bij.12413","ISSN":"10958312","abstract":"Freshwater fishes often show large amounts of body shape variation across divergent habitats and, in most cases, the observed differences have been attributed to the environmental pressures of living in lentic or lotic habitats. Previous studies have suggested a distinct set characters and morphological features for species occupying each habitat under the steady-unsteady swimming performance model. We tested this model and assessed body shape variation using geometric morphometrics for two widespread fishes, Goodea atripinnis (Goodeidae) and Chirostoma jordani (Atherinopsidae), inhabiting lentic and lotic habitats across the Mesa Central of Mexico. These species were previously shown to display little genetic variation across their respective ranges. Our body shape analyses reveal morphometric differentiation along the same axes for both species in each habitat. Both possess a deeper body shape in lentic habitats and a more streamlined body in lotic habitats, although the degree of divergence between habitats was less for C.jordani. Differences in the position of the mouth differed between habitats as well, with both species possessing a more superior mouth in lentic habitats. These recovered patterns are generally consistent with the steady-unsteady swimming model and highlight the significance of environmental forces in driving parallel body shape differences of organisms in divergent habitats.","author":[{"dropping-particle":"","family":"Foster","given":"Kimberly","non-dropping-particle":"","parse-names":false,"suffix":""},{"dropping-particle":"","family":"Bower","given":"Luke","non-dropping-particle":"","parse-names":false,"suffix":""},{"dropping-particle":"","family":"Piller","given":"Kyle","non-dropping-particle":"","parse-names":false,"suffix":""}],"container-title":"Biological Journal of the Linnean Society","id":"ITEM-2","issue":"1","issued":{"date-parts":[["2015"]]},"page":"152-162","title":"Getting in shape: Habitat-based morphological divergence for two sympatric fishes","type":"article-journal","volume":"114"},"uris":["http://www.mendeley.com/documents/?uuid=d49289b4-8185-4a95-ab00-878ed5f61af7"]},{"id":"ITEM-3","itemData":{"DOI":"10.1016/j.rmb.2017.01.018","ISSN":"18703453","abstract":"Populations of Chirostoma humboldtianum inhabit lentic environments along the Lerma-Santiago River basin, from the State of Mexico to Nayarit. The objective of the present study was to describe and analyze with geometric morphometric, the shape of 6 geographically isolated populations of this species (n = 147). The shape showed significant differences (p &lt; .001) among the studied populations; the body height and proximity or separation of dorsal fins are the most important variables in this differentiation. Likewise, it was observed that populations from San Pedro Lagunillas and Tepuxtepec were the most divergent, while those from Tiacaque and Zacapu were the most similar. In addition, the existence of an east-west gradient in centroid size is observed. Morphological differences and the size of the centroid of the organisms are related to the altitude of each site. Thus, morphological variations of the populations of C. humboldtianum suggest the presence of at least 5 morphotypes or phenotypes derived from geographic isolation from its diversification at least 0.52 million of years ago. This work provides new information on the intra-population morphological variation of C. humboldtianum, which may explain in part the diversification of this genus in Mexico.","author":[{"dropping-particle":"","family":"Alarcón-Durán","given":"Iván","non-dropping-particle":"","parse-names":false,"suffix":""},{"dropping-particle":"","family":"Castillo-Rivera","given":"Manuel Arnoldo","non-dropping-particle":"","parse-names":false,"suffix":""},{"dropping-particle":"","family":"Figueroa-Lucero","given":"Gerardo","non-dropping-particle":"","parse-names":false,"suffix":""},{"dropping-particle":"","family":"Arroyo-Cabrales","given":"Joaquín","non-dropping-particle":"","parse-names":false,"suffix":""},{"dropping-particle":"","family":"Barriga-Sosa","given":"Irene de los Ángeles","non-dropping-particle":"","parse-names":false,"suffix":""}],"container-title":"Revista Mexicana de Biodiversidad","id":"ITEM-3","issue":"1","issued":{"date-parts":[["2017"]]},"page":"207-214","publisher":"Universidad Nacional Autónoma de México, Instituto de Biología","title":"Diversidad morfológica en 6 poblaciones del pescado blanco Chirostoma humboldtianum","type":"article-journal","volume":"88"},"uris":["http://www.mendeley.com/documents/?uuid=8672aae5-09e3-42e2-99e5-0f19bfe33145"]}],"mendeley":{"formattedCitation":"[10, 19, 65]","plainTextFormattedCitation":"[10, 19, 65]","previouslyFormattedCitation":"[10, 19, 64]"},"properties":{"noteIndex":0},"schema":"https://github.com/citation-style-language/schema/raw/master/csl-citation.json"}</w:instrText>
      </w:r>
      <w:r w:rsidRPr="00F51A6B">
        <w:rPr>
          <w:rFonts w:asciiTheme="majorBidi" w:hAnsiTheme="majorBidi" w:cstheme="majorBidi"/>
          <w:bCs/>
          <w:sz w:val="24"/>
          <w:szCs w:val="24"/>
        </w:rPr>
        <w:fldChar w:fldCharType="separate"/>
      </w:r>
      <w:r w:rsidRPr="00F51A6B">
        <w:rPr>
          <w:rFonts w:asciiTheme="majorBidi" w:hAnsiTheme="majorBidi" w:cstheme="majorBidi"/>
          <w:bCs/>
          <w:sz w:val="24"/>
          <w:szCs w:val="24"/>
        </w:rPr>
        <w:t>[10, 19, 65]</w:t>
      </w:r>
      <w:r w:rsidRPr="00F51A6B">
        <w:rPr>
          <w:rFonts w:asciiTheme="majorBidi" w:hAnsiTheme="majorBidi" w:cstheme="majorBidi"/>
          <w:bCs/>
          <w:sz w:val="24"/>
          <w:szCs w:val="24"/>
        </w:rPr>
        <w:fldChar w:fldCharType="end"/>
      </w:r>
      <w:r w:rsidRPr="00F51A6B">
        <w:rPr>
          <w:rFonts w:asciiTheme="majorBidi" w:hAnsiTheme="majorBidi" w:cstheme="majorBidi"/>
          <w:bCs/>
          <w:sz w:val="24"/>
          <w:szCs w:val="24"/>
        </w:rPr>
        <w:t>.</w:t>
      </w:r>
    </w:p>
    <w:p w14:paraId="2B6D897F" w14:textId="77777777" w:rsidR="00F15B9C" w:rsidRPr="00F15B9C" w:rsidRDefault="00F15B9C" w:rsidP="00F15B9C">
      <w:pPr>
        <w:jc w:val="both"/>
        <w:rPr>
          <w:rFonts w:asciiTheme="majorBidi" w:hAnsiTheme="majorBidi" w:cstheme="majorBidi"/>
          <w:b/>
          <w:bCs/>
          <w:sz w:val="28"/>
          <w:szCs w:val="28"/>
        </w:rPr>
      </w:pPr>
      <w:r w:rsidRPr="00F15B9C">
        <w:rPr>
          <w:rFonts w:asciiTheme="majorBidi" w:hAnsiTheme="majorBidi" w:cstheme="majorBidi"/>
          <w:b/>
          <w:bCs/>
          <w:sz w:val="28"/>
          <w:szCs w:val="28"/>
        </w:rPr>
        <w:t>Selection across lakes</w:t>
      </w:r>
    </w:p>
    <w:p w14:paraId="3C9F5A63" w14:textId="77777777" w:rsidR="00F15B9C" w:rsidRPr="00F15B9C" w:rsidRDefault="00F15B9C" w:rsidP="00F15B9C">
      <w:pPr>
        <w:jc w:val="both"/>
        <w:rPr>
          <w:rFonts w:asciiTheme="majorBidi" w:hAnsiTheme="majorBidi" w:cstheme="majorBidi"/>
          <w:bCs/>
          <w:sz w:val="24"/>
          <w:szCs w:val="24"/>
        </w:rPr>
      </w:pPr>
      <w:r w:rsidRPr="00F15B9C">
        <w:rPr>
          <w:rFonts w:asciiTheme="majorBidi" w:hAnsiTheme="majorBidi" w:cstheme="majorBidi"/>
          <w:bCs/>
          <w:sz w:val="24"/>
          <w:szCs w:val="24"/>
        </w:rPr>
        <w:t>The study of alleles involved in local adaptation can unveil loci responsible for adaptive differences among populations. Our analyses of outlier loci detected 294 putative loci under selection, of which at least 106 are related to important biological processes (Table S4). For example, we detected two SNPs associated with immune response loci (</w:t>
      </w:r>
      <w:r w:rsidRPr="00F15B9C">
        <w:rPr>
          <w:rFonts w:asciiTheme="majorBidi" w:hAnsiTheme="majorBidi" w:cstheme="majorBidi"/>
          <w:bCs/>
          <w:i/>
          <w:iCs/>
          <w:sz w:val="24"/>
          <w:szCs w:val="24"/>
        </w:rPr>
        <w:t>kpna3</w:t>
      </w:r>
      <w:r w:rsidRPr="00F15B9C">
        <w:rPr>
          <w:rFonts w:asciiTheme="majorBidi" w:hAnsiTheme="majorBidi" w:cstheme="majorBidi"/>
          <w:bCs/>
          <w:sz w:val="24"/>
          <w:szCs w:val="24"/>
        </w:rPr>
        <w:t xml:space="preserve"> and </w:t>
      </w:r>
      <w:r w:rsidRPr="00F15B9C">
        <w:rPr>
          <w:rFonts w:asciiTheme="majorBidi" w:hAnsiTheme="majorBidi" w:cstheme="majorBidi"/>
          <w:bCs/>
          <w:i/>
          <w:iCs/>
          <w:sz w:val="24"/>
          <w:szCs w:val="24"/>
        </w:rPr>
        <w:t xml:space="preserve">bcl11b </w:t>
      </w:r>
      <w:r w:rsidRPr="00F15B9C">
        <w:rPr>
          <w:rFonts w:asciiTheme="majorBidi" w:hAnsiTheme="majorBidi" w:cstheme="majorBidi"/>
          <w:bCs/>
          <w:sz w:val="24"/>
          <w:szCs w:val="24"/>
        </w:rPr>
        <w:t xml:space="preserve">genes). Previous studies in which loci related to the immune response of trout fish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{"citationItems":[{"id":"ITEM-1","itemData":{"DOI":"10.1111/mec.15100","ISSN":"1365294X","PMID":"30980781","abstract":"Discovering genetic markers associated with phenotypic or ecological characteristics can improve our understanding of adaptation and guide conservation of key evolutionary traits. The Lahontan cutthroat trout (Oncorhynchus clarkii henshawi) of the northern Great Basin Desert, USA, demonstrated exceptional tolerance to high temperatures in the desert lakes where it resided historically. This trait is central to a conservation hatchery effort to protect the genetic legacy of the nearly extinct lake ecotype. We genotyped full-sibling families from this conservation broodstock and samples from the only two remaining, thermally distinct, native lake populations at 4,644 new single nucleotide polymorphisms (SNPs). Family-based genome-wide association testing of the broodstock identified nine and 26 SNPs associated with thermal tolerance (p &lt; 0.05 and p &lt; 0.1), measured in a previous thermal challenge experiment. Genes near the associated SNPs had complex functions related to immunity, growth, metabolism and ion homeostasis. Principal component analysis using the thermotolerance-related SNPs showed unexpected divergence between the conservation broodstock and the native lake populations at these loci. FST outlier tests on the native lake populations identified 18 loci shared between two or more of the tests, with two SNPs identified by all three tests (p &lt; 0.01); none overlapped with loci identified by association testing in the broodstock. A recent history of isolation and the complex genetic and demographic backgrounds of Lahontan cutthroat trout probably limited our ability to find shared thermal tolerance loci. Our study extends the still relatively rare application of genomic tools testing for markers associated with important phenotypic or environmental characteristics in species of conservation concern.","author":[{"dropping-particle":"","family":"Amish","given":"Stephen J.","non-dropping-particle":"","parse-names":false,"suffix":""},{"dropping-particle":"","family":"Ali","given":"Omar","non-dropping-particle":"","parse-names":false,"suffix":""},{"dropping-particle":"","family":"Peacock","given":"Mary","non-dropping-particle":"","parse-names":false,"suffix":""},{"dropping-particle":"","family":"Miller","given":"Michael","non-dropping-particle":"","parse-names":false,"suffix":""},{"dropping-particle":"","family":"Robinson","given":"Morgan","non-dropping-particle":"","parse-names":false,"suffix":""},{"dropping-particle":"","family":"Smith","given":"Seth","non-dropping-particle":"","parse-names":false,"suffix":""},{"dropping-particle":"","family":"Luikart","given":"Gordon","non-dropping-particle":"","parse-names":false,"suffix":""},{"dropping-particle":"","family":"Neville","given":"Helen","non-dropping-particle":"","parse-names":false,"suffix":""}],"container-title":"Molecular Ecology","id":"ITEM-1","issue":"10","issued":{"date-parts":[["2019"]]},"page":"2573-2593","title":"Assessing thermal adaptation using family-based association and FST outlier tests in a threatened trout species","type":"article-journal","volume":"28"},"uris":["http://www.mendeley.com/documents/?uuid=2626eb0b-308c-4c12-8e78-d2b6f888071c"]}],"mendeley":{"formattedCitation":"[67]","plainTextFormattedCitation":"[67]","previouslyFormattedCitation":"[66]"},"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[67]</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and stickleback fishes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{"citationItems":[{"id":"ITEM-1","itemData":{"DOI":"10.1038/srep42677","ISSN":"20452322","PMID":"28195171","abstract":"Haplotypes underlying local adaptation and speciation are predicted to have numerous phenotypic effects, but few genes involved have been identified, with much work to date concentrating on visible, morphological, phenotypes. The link between genes controlling these adaptive morphological phenotypes and the immune system has seldom been investigated, even though changes in the immune system could have profound adaptive consequences. The Eda gene in three-spined stickleback is one of the best studied major adaptation genes; it directly controls bony plate architecture and has been associated with additional aspects of adaptation to freshwater. Here, we exposed F2 hybrids, used to separate Eda genotype from genetic background, to contrasting conditions in semi-natural enclosures. We demonstrate an association between the Eda haplotype block and the expression pattern of key immune system genes. Furthermore, low plated fish grew less and experienced higher burdens of a common ectoparasite with fitness consequences. Little is currently known about the role of the immune system in facilitating adaptation to novel environments, but this study provides an indication of its potential importance.","author":[{"dropping-particle":"","family":"Robertson","given":"Shaun","non-dropping-particle":"","parse-names":false,"suffix":""},{"dropping-particle":"","family":"Bradley","given":"Janette E.","non-dropping-particle":"","parse-names":false,"suffix":""},{"dropping-particle":"","family":"MacColl","given":"Andrew D.C.","non-dropping-particle":"","parse-names":false,"suffix":""}],"container-title":"Scientific Reports","id":"ITEM-1","issue":"April 2016","issued":{"date-parts":[["2017"]]},"page":"1-9","publisher":"Nature Publishing Group","title":"Eda haplotypes in three-spined stickleback are associated with variation in immune gene expression","type":"article-journal","volume":"7"},"uris":["http://www.mendeley.com/documents/?uuid=80cf5c36-3bca-4173-859b-6557654b649c"]},{"id":"ITEM-2","itemData":{"DOI":"10.1016/j.cub.2011.11.045","ISSN":"09609822","PMID":"22197244","abstract":"Genes underlying repeated adaptive evolution in natural populations are still largely unknown. Stickleback fish (Gasterosteus aculeatus) have undergone a recent dramatic evolutionary radiation, generating numerous examples of marine-freshwater species pairs and a small number of benthic-limnetic species pairs found within single lakes [1]. We have developed a new genome-wide SNP genotyping array to study patterns of genetic variation in sticklebacks over a wide geographic range, and to scan the genome for regions that contribute to repeated evolution of marine-freshwater or benthic-limnetic species pairs. Surveying 34 global populations with 1,159 informative markers revealed substantial genetic variation, with predominant patterns reflecting demographic history and geographic structure. After correcting for geographic structure and filtering for neutral markers, we detected large repeated shifts in allele frequency at some loci, identifying both known and novel loci likely contributing to marine-freshwater and benthic-limnetic divergence. Several novel loci fall close to genes implicated in epithelial barrier or immune functions, which have likely changed as sticklebacks adapt to contrasting environments. Specific alleles differentiating sympatric benthic-limnetic species pairs are shared in nearby solitary populations, suggesting an allopatric origin for adaptive variants and selection pressures unrelated to sympatry in the initial formation of these classic vertebrate species pairs. © 2012 Elsevier Ltd.","author":[{"dropping-particle":"","family":"Jones","given":"Felicity C.","non-dropping-particle":"","parse-names":false,"suffix":""},{"dropping-particle":"","family":"Chan","given":"Yingguang Frank","non-dropping-particle":"","parse-names":false,"suffix":""},{"dropping-particle":"","family":"Schmutz","given":"Jeremy","non-dropping-particle":"","parse-names":false,"suffix":""},{"dropping-particle":"","family":"Grimwood","given":"Jane","non-dropping-particle":"","parse-names":false,"suffix":""},{"dropping-particle":"","family":"Brady","given":"Shannon D.","non-dropping-particle":"","parse-names":false,"suffix":""},{"dropping-particle":"","family":"Southwick","given":"Audrey M.","non-dropping-particle":"","parse-names":false,"suffix":""},{"dropping-particle":"","family":"Absher","given":"Devin M.","non-dropping-particle":"","parse-names":false,"suffix":""},{"dropping-particle":"","family":"Myers","given":"Richard M.","non-dropping-particle":"","parse-names":false,"suffix":""},{"dropping-particle":"","family":"Reimchen","given":"Thomas E.","non-dropping-particle":"","parse-names":false,"suffix":""},{"dropping-particle":"","family":"Deagle","given":"Bruce E.","non-dropping-particle":"","parse-names":false,"suffix":""},{"dropping-particle":"","family":"Schluter","given":"Dolph","non-dropping-particle":"","parse-names":false,"suffix":""},{"dropping-particle":"","family":"Kingsley","given":"David M.","non-dropping-particle":"","parse-names":false,"suffix":""}],"container-title":"Current Biology","id":"ITEM-2","issue":"1","issued":{"date-parts":[["2012"]]},"page":"83-90","publisher":"Elsevier Ltd","title":"A genome-wide SNP genotyping array reveals patterns of global and repeated species-pair divergence in sticklebacks","type":"article-journal","volume":"22"},"uris":["http://www.mendeley.com/documents/?uuid=5d43814c-e50c-41aa-8c1c-6602ce3aafe9"]},{"id":"ITEM-3","itemData":{"DOI":"10.1098/rspb.2007.0210","ISSN":"14712970","abstract":"Freshwater populations of three-spined sticklebacks (Gasterosteus aculeatus) in northern Germany are found as distinct lake and river ecotypes. Adaptation to habitat-specific parasites might influence immune capabilities of stickleback ecotypes. Here, naive laboratory-bred sticklebacks from lake and river populations were exposed reciprocally to parasite environments in a lake and a river habitat. Sticklebacks exposed to lake conditions were infected with higher numbers of parasite species when compared with the river. River sticklebacks in the lake had higher parasite loads than lake sticklebacks in the same habitat. Respiratory burst, granulocyte counts and lymphocyte proliferation of head kidney leucocytes were increased in river sticklebacks exposed to lake when compared with river conditions. Although river sticklebacks exposed to lake conditions showed elevated activation of their immune system, parasites could not be diminished as effectively as by lake sticklebacks in their native habitat. River sticklebacks seem to have reduced their immune-competence potential due to lower parasite diversity in rivers. © 2007 The Royal Society.","author":[{"dropping-particle":"","family":"Scharsack","given":"Jörn P.","non-dropping-particle":"","parse-names":false,"suffix":""},{"dropping-particle":"","family":"Kalbe","given":"Martin","non-dropping-particle":"","parse-names":false,"suffix":""},{"dropping-particle":"","family":"Harrod","given":"Chris","non-dropping-particle":"","parse-names":false,"suffix":""},{"dropping-particle":"","family":"Rauch","given":"Gisep","non-dropping-particle":"","parse-names":false,"suffix":""}],"container-title":"Proceedings of the Royal Society B: Biological Sciences","id":"ITEM-3","issue":"1617","issued":{"date-parts":[["2007"]]},"page":"1523-1532","title":"Habitat-specific adaptation of immune responses of stickleback (Gastetosteus aculeatus) lake and river ecotypes","type":"article-journal","volume":"274"},"uris":["http://www.mendeley.com/documents/?uuid=0c9c9123-37e7-4152-8d09-5cb9a5a7c8b3"]}],"mendeley":{"formattedCitation":"[68–70]","plainTextFormattedCitation":"[68–70]","previouslyFormattedCitation":"[67–69]"},"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[68–70]</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highlight the importance of these loci in the response of fishes to different pathogens during cladogenetic events. Thus, it is possible that the selection of loci associated with the immune response could be related to exposure to lake-specific pathogens during the colonization of new habitats, promoting the local adaptation and divergence of the </w:t>
      </w:r>
      <w:r w:rsidRPr="00F15B9C">
        <w:rPr>
          <w:rFonts w:asciiTheme="majorBidi" w:hAnsiTheme="majorBidi" w:cstheme="majorBidi"/>
          <w:bCs/>
          <w:i/>
          <w:iCs/>
          <w:sz w:val="24"/>
          <w:szCs w:val="24"/>
        </w:rPr>
        <w:t>humboltianum</w:t>
      </w:r>
      <w:r w:rsidRPr="00F15B9C">
        <w:rPr>
          <w:rFonts w:asciiTheme="majorBidi" w:hAnsiTheme="majorBidi" w:cstheme="majorBidi"/>
          <w:bCs/>
          <w:sz w:val="24"/>
          <w:szCs w:val="24"/>
        </w:rPr>
        <w:t xml:space="preserve"> group once geographic isolation started.</w:t>
      </w:r>
    </w:p>
    <w:p w14:paraId="485B6D58" w14:textId="77777777" w:rsidR="00F15B9C" w:rsidRPr="00F15B9C" w:rsidRDefault="00F15B9C" w:rsidP="00F15B9C">
      <w:pPr>
        <w:jc w:val="both"/>
        <w:rPr>
          <w:rFonts w:asciiTheme="majorBidi" w:hAnsiTheme="majorBidi" w:cstheme="majorBidi"/>
          <w:bCs/>
          <w:sz w:val="24"/>
          <w:szCs w:val="24"/>
        </w:rPr>
      </w:pPr>
      <w:r w:rsidRPr="00F15B9C">
        <w:rPr>
          <w:rFonts w:asciiTheme="majorBidi" w:hAnsiTheme="majorBidi" w:cstheme="majorBidi"/>
          <w:bCs/>
          <w:sz w:val="24"/>
          <w:szCs w:val="24"/>
        </w:rPr>
        <w:lastRenderedPageBreak/>
        <w:tab/>
        <w:t xml:space="preserve">Other genes detected in this analysis were the </w:t>
      </w:r>
      <w:r w:rsidRPr="00F15B9C">
        <w:rPr>
          <w:rFonts w:asciiTheme="majorBidi" w:hAnsiTheme="majorBidi" w:cstheme="majorBidi"/>
          <w:bCs/>
          <w:i/>
          <w:iCs/>
          <w:sz w:val="24"/>
          <w:szCs w:val="24"/>
        </w:rPr>
        <w:t>or132-1</w:t>
      </w:r>
      <w:r w:rsidRPr="00F15B9C">
        <w:rPr>
          <w:rFonts w:asciiTheme="majorBidi" w:hAnsiTheme="majorBidi" w:cstheme="majorBidi"/>
          <w:bCs/>
          <w:sz w:val="24"/>
          <w:szCs w:val="24"/>
        </w:rPr>
        <w:t xml:space="preserve">, which is an odor receptor associated with the detection of food in the aquatic system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{"citationItems":[{"id":"ITEM-1","itemData":{"DOI":"10.1371/journal.pone.0015027","ISSN":"19326203","PMID":"21124770","abstract":"How fishes are able to detect trace molecules in large bodies of water is not understood. It is plausible that they use olfactory receptors to detect water-soluble compounds. How the zebra fish Danio Rerio, an organism with only 98 functional olfactory receptors, is able to selectively detect and recognize numerous compounds in water remains a puzzling phenomenon. We are interested in studying the biochemical and molecular mechanisms of olfaction in fish. Here, we report on the study of a bioengineered zebra fish olfactory receptor OR131-2, affinity-purified from a HEK293S tetracyclineinducible system. This receptor was expressed and translocated to the cell plasma membrane as revealed by confocal microscopy. Circular dichroism spectroscopy showed that the purified zebra fish receptor folded into an a-helical structure, as observed for other G-protein coupled receptors (GPCRs). Our study shows that it is possible to produce viable quantities of the zebra fish olfactory receptor. This will not only enable detailed structural and functional analyses, but also aid in the design of biosensor devices in order to detect water-soluble metabolites or its intermediates, which are associated with human health. © 2010 Leck et al.","author":[{"dropping-particle":"","family":"Leck","given":"Kwong Joo","non-dropping-particle":"","parse-names":false,"suffix":""},{"dropping-particle":"","family":"Zhang","given":"Shuguang","non-dropping-particle":"","parse-names":false,"suffix":""},{"dropping-particle":"","family":"Hauser","given":"Charlotte A.E.","non-dropping-particle":"","parse-names":false,"suffix":""}],"container-title":"PLoS ONE","id":"ITEM-1","issue":"11","issued":{"date-parts":[["2010"]]},"title":"Study of bioengineered zebra fish olfactory receptor 131-2: Receptor purification and secondary structure analysis","type":"article-journal","volume":"5"},"uris":["http://www.mendeley.com/documents/?uuid=6d1f74e8-62b0-4409-9846-4cd20f748246"]}],"mendeley":{"formattedCitation":"[71]","plainTextFormattedCitation":"[71]","previouslyFormattedCitation":"[70]"},"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[71]</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and </w:t>
      </w:r>
      <w:r w:rsidRPr="00F15B9C">
        <w:rPr>
          <w:rFonts w:asciiTheme="majorBidi" w:hAnsiTheme="majorBidi" w:cstheme="majorBidi"/>
          <w:bCs/>
          <w:i/>
          <w:iCs/>
          <w:sz w:val="24"/>
          <w:szCs w:val="24"/>
        </w:rPr>
        <w:t>sws2a</w:t>
      </w:r>
      <w:r w:rsidRPr="00F15B9C">
        <w:rPr>
          <w:rFonts w:asciiTheme="majorBidi" w:hAnsiTheme="majorBidi" w:cstheme="majorBidi"/>
          <w:bCs/>
          <w:sz w:val="24"/>
          <w:szCs w:val="24"/>
        </w:rPr>
        <w:t xml:space="preserve">, </w:t>
      </w:r>
      <w:r w:rsidRPr="00F15B9C">
        <w:rPr>
          <w:rFonts w:asciiTheme="majorBidi" w:hAnsiTheme="majorBidi" w:cstheme="majorBidi"/>
          <w:bCs/>
          <w:i/>
          <w:iCs/>
          <w:sz w:val="24"/>
          <w:szCs w:val="24"/>
        </w:rPr>
        <w:t>lws2a</w:t>
      </w:r>
      <w:r w:rsidRPr="00F15B9C">
        <w:rPr>
          <w:rFonts w:asciiTheme="majorBidi" w:hAnsiTheme="majorBidi" w:cstheme="majorBidi"/>
          <w:bCs/>
          <w:sz w:val="24"/>
          <w:szCs w:val="24"/>
        </w:rPr>
        <w:t xml:space="preserve">, and </w:t>
      </w:r>
      <w:r w:rsidRPr="00F15B9C">
        <w:rPr>
          <w:rFonts w:asciiTheme="majorBidi" w:hAnsiTheme="majorBidi" w:cstheme="majorBidi"/>
          <w:bCs/>
          <w:i/>
          <w:iCs/>
          <w:sz w:val="24"/>
          <w:szCs w:val="24"/>
        </w:rPr>
        <w:t>rh2-1</w:t>
      </w:r>
      <w:r w:rsidRPr="00F15B9C">
        <w:rPr>
          <w:rFonts w:asciiTheme="majorBidi" w:hAnsiTheme="majorBidi" w:cstheme="majorBidi"/>
          <w:bCs/>
          <w:sz w:val="24"/>
          <w:szCs w:val="24"/>
        </w:rPr>
        <w:t xml:space="preserve"> genes associated with the visual sensors. These findings could be related to the photic environment of each lake: whereas Lakes Chapala and Pátzcuaro are shallow eutrophic water bodies with a high sediment charge of turbid water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{"citationItems":[{"id":"ITEM-1","itemData":{"author":[{"dropping-particle":"","family":"Jimenez Baltazar","given":"Jersain","non-dropping-particle":"","parse-names":false,"suffix":""},{"dropping-particle":"","family":"Hernández Morales","given":"Rubén","non-dropping-particle":"","parse-names":false,"suffix":""},{"dropping-particle":"","family":"Domínguez Domínguez","given":"Omar","non-dropping-particle":"","parse-names":false,"suffix":""}],"container-title":"Revista Latinoamericana el Ambiente y las Ciencias","id":"ITEM-1","issue":"21","issued":{"date-parts":[["2018"]]},"page":"400-415","title":"Caracterización fisicoquímica y microbiológica del vaso norte de Lago de Pátzcuaro, Michoacán, México","type":"article-journal","volume":"9"},"uris":["http://www.mendeley.com/documents/?uuid=16ca7836-2211-451a-9fef-1c31472bbb3a"]},{"id":"ITEM-2","itemData":{"DOI":"10.1007/978-1-4615-0545-7_6","ISBN":"978-1-4615-0545-7","abstract":"This chapter describes some of the physical, chemical, and biological properties of Lake Chapala. It brings together descriptive data from several sources and provides a reference for the more specific papers, which follow. Lake Chapala, located at the western edge of the neo-volcanic zone of Mexico, is a tectonic lake of great age and is one of the oldest lakes in North America. At approximately 1000 km2 it has the greatest area of any Mexican lake. Never the less, because of its' age and because of water extraction, it is extremely shallow and, with a relative depth of &lt; 0.02{\\%}, it is one of the most shallow of the world's large lakes. The water budget consists of inputs principally from two sources, the Lerma river and direct surface rainfall. The outputs are to the city of Guadalajara's domestic water supply, to the Santiago river and evaporation. The proportions of these input and output sources has changed dramatically in the past 25 years. The Lerma river's input is reduced from approximately two-thirds of the total to approximately one-half. Output to the Santiago river has stopped as water demands by Guadalajara increased. The lake is elongate lying in a rift valley with an east to west orientation. Consequently wind action is principally along the long axis with the generation of large waves and complete mixing. The prevailing East to West winds generates currents capable of transporting materials entering via the Lerma river along the south shore with a return in the mid-lake. The east end, near the river delta, has extensive areas less than one-meter depth for much of the year (the annual rainy season --- dry season depth change averages approximately 0.8 m). In attempts to lessen water loss to evaporation, significant areas have be isolated by dykes and converted to agricultural land. Sediments resuspended from the shallow area are transported along the south shore with return gyres evident in space images and photography. These suspended clays are a major forcing factor in determining the lake communities' functions. The mean annual lake-wide Secchi depth is 0.5 m. This varies from 20 cm at the shallow east end to 70 cm at mid-lake. The mean coefficient of PAR extinction averages 2.3 m−1. Transparency is rarely, and only in the shallowest regions, influenced by algae mass. Lake wide, inorganic suspended solids average 18 mg L−1. Because of the shallowness and wind mixing, the lake does not seasonally stratify, but like other tropical lak…","author":[{"dropping-particle":"","family":"Lind","given":"Owen T","non-dropping-particle":"","parse-names":false,"suffix":""},{"dropping-particle":"","family":"Dávalos-Lind","given":"Laura","non-dropping-particle":"","parse-names":false,"suffix":""}],"container-title":"The Lerma-Chapala Watershed: Evaluation and Management","editor":[{"dropping-particle":"","family":"Hansen","given":"Anne M","non-dropping-particle":"","parse-names":false,"suffix":""},{"dropping-particle":"","family":"Afferden","given":"Manfred","non-dropping-particle":"van","parse-names":false,"suffix":""}],"id":"ITEM-2","issued":{"date-parts":[["2001"]]},"page":"139-149","publisher":"Springer US","publisher-place":"Boston, MA","title":"An Introduction to the Limnology of Lake Chapala, Jalisco, Mexico","type":"chapter"},"uris":["http://www.mendeley.com/documents/?uuid=9c784155-d16e-491f-becc-99c85e81ed2d"]}],"mendeley":{"formattedCitation":"[72, 73]","plainTextFormattedCitation":"[72, 73]","previouslyFormattedCitation":"[71, 72]"},"properties":{"noteIndex":0},"schema":"https://github.com/citation-style-language/schema/raw/master/csl-citation.json"}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[72, 73]</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Lake Zacapu is a clear-water lake where the light reaches an average depth of 4.3 m (up to 11.5 m in some places;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{"citationItems":[{"id":"ITEM-1","itemData":{"author":[{"dropping-particle":"","family":"Ayala-Ramírez","given":"G. L.","non-dropping-particle":"","parse-names":false,"suffix":""},{"dropping-particle":"","family":"Ruiz-Sevilla","given":"G.","non-dropping-particle":"","parse-names":false,"suffix":""},{"dropping-particle":"","family":"Chacón-Torres","given":"A.","non-dropping-particle":"","parse-names":false,"suffix":""}],"container-title":"Las Aguas Interiores de México: Conceptos y Casos","editor":[{"dropping-particle":"","family":"la Lanza-Espino","given":"G.","non-dropping-particle":"De","parse-names":false,"suffix":""},{"dropping-particle":"","family":"Hernández-Pulido","given":"S.","non-dropping-particle":"","parse-names":false,"suffix":""}],"id":"ITEM-1","issued":{"date-parts":[["2007"]]},"page":"268-284","publisher":"AGT EDITOR, S.A.","publisher-place":"México D.F.","title":"La laguna de Zacapu, Michoacán","type":"chapter"},"uris":["http://www.mendeley.com/documents/?uuid=74eb5506-8341-4748-87bf-083d1c5542d1"]}],"mendeley":{"formattedCitation":"[13]","plainTextFormattedCitation":"[13]","previouslyFormattedCitation":"[13]"},"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[13]</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Due to a different photic environment, this could affect the planktonic community of each lake, promoting the selection of olfactory and visual sensors, which have been identified as important in the diversification in other fishes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{"citationItems":[{"id":"ITEM-1","itemData":{"DOI":"10.1002/ece3.4936","ISSN":"20457758","abstract":"Restriction site-associated DNA (RAD) sequencing was used to characterize neutral and adaptive genetic variation among geographic samples of red drum, Sciaenops ocellatus, an estuarine-dependent fish found in coastal waters along the southeastern coast of the United States (Atlantic) and the northern Gulf of Mexico (Gulf). Analyses of neutral and outlier loci revealed three genetically distinct regional clusters: one in the Atlantic and two in the northern Gulf. Divergence in neutral loci indicated gradual genetic change and followed a linear pattern of isolation by distance. Divergence in outlier loci was at least an order of magnitude greater than divergence in neutral loci, and divergence between the regions in the Gulf was twice that of divergence between other regions. Discordance in patterns of genetic divergence between outlier and neutral loci is consistent with the hypothesis that the former reflects adaptive responses to environmental factors that vary on regional scales, while the latter largely reflects drift processes. Differences in basic habitat, initiated by glacial retreat and perpetuated by contemporary oceanic and atmospheric forces interacting with the geomorphology of the northern Gulf, followed by selection, appear to have led to reduced gene flow among red drum across the northern Gulf, reinforcing differences accrued during isolation and resulting in continued divergence across the genome. This same dynamic also may pertain to other coastal or nearshore fishes (18 species in 14 families) where genetically or morphologically defined sister taxa occur in the three regions.","author":[{"dropping-particle":"","family":"Hollenbeck","given":"Christopher M.","non-dropping-particle":"","parse-names":false,"suffix":""},{"dropping-particle":"","family":"Portnoy","given":"David S.","non-dropping-particle":"","parse-names":false,"suffix":""},{"dropping-particle":"","family":"Gold","given":"John R.","non-dropping-particle":"","parse-names":false,"suffix":""}],"container-title":"Ecology and Evolution","id":"ITEM-1","issue":"6","issued":{"date-parts":[["2019"]]},"page":"3141-3152","title":"Evolution of population structure in an estuarine-dependent marine fish","type":"article-journal","volume":"9"},"uris":["http://www.mendeley.com/documents/?uuid=8a1ad06e-2802-4928-9dc3-6cf6c9a34fba"]}],"mendeley":{"formattedCitation":"[74]","plainTextFormattedCitation":"[74]","previouslyFormattedCitation":"[73]"},"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[74]</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Finally, loci associated with the skeleton muscle apparatus, as nebulin (</w:t>
      </w:r>
      <w:r w:rsidRPr="00F15B9C">
        <w:rPr>
          <w:rFonts w:asciiTheme="majorBidi" w:hAnsiTheme="majorBidi" w:cstheme="majorBidi"/>
          <w:bCs/>
          <w:i/>
          <w:iCs/>
          <w:sz w:val="24"/>
          <w:szCs w:val="24"/>
        </w:rPr>
        <w:t>neb</w:t>
      </w:r>
      <w:r w:rsidRPr="00F15B9C">
        <w:rPr>
          <w:rFonts w:asciiTheme="majorBidi" w:hAnsiTheme="majorBidi" w:cstheme="majorBidi"/>
          <w:bCs/>
          <w:sz w:val="24"/>
          <w:szCs w:val="24"/>
        </w:rPr>
        <w:t>) and titin (</w:t>
      </w:r>
      <w:proofErr w:type="spellStart"/>
      <w:r w:rsidRPr="00F15B9C">
        <w:rPr>
          <w:rFonts w:asciiTheme="majorBidi" w:hAnsiTheme="majorBidi" w:cstheme="majorBidi"/>
          <w:bCs/>
          <w:i/>
          <w:iCs/>
          <w:sz w:val="24"/>
          <w:szCs w:val="24"/>
        </w:rPr>
        <w:t>ttn</w:t>
      </w:r>
      <w:proofErr w:type="spellEnd"/>
      <w:r w:rsidRPr="00F15B9C">
        <w:rPr>
          <w:rFonts w:asciiTheme="majorBidi" w:hAnsiTheme="majorBidi" w:cstheme="majorBidi"/>
          <w:bCs/>
          <w:sz w:val="24"/>
          <w:szCs w:val="24"/>
        </w:rPr>
        <w:t xml:space="preserve">) genes, and genes involved in growth hormone regulation, as </w:t>
      </w:r>
      <w:proofErr w:type="spellStart"/>
      <w:r w:rsidRPr="00F15B9C">
        <w:rPr>
          <w:rFonts w:asciiTheme="majorBidi" w:hAnsiTheme="majorBidi" w:cstheme="majorBidi"/>
          <w:bCs/>
          <w:sz w:val="24"/>
          <w:szCs w:val="24"/>
        </w:rPr>
        <w:t>cullin</w:t>
      </w:r>
      <w:proofErr w:type="spellEnd"/>
      <w:r w:rsidRPr="00F15B9C">
        <w:rPr>
          <w:rFonts w:asciiTheme="majorBidi" w:hAnsiTheme="majorBidi" w:cstheme="majorBidi"/>
          <w:bCs/>
          <w:sz w:val="24"/>
          <w:szCs w:val="24"/>
        </w:rPr>
        <w:t>-associated NEDD8-dissociated protein 1 (</w:t>
      </w:r>
      <w:r w:rsidRPr="00F15B9C">
        <w:rPr>
          <w:rFonts w:asciiTheme="majorBidi" w:hAnsiTheme="majorBidi" w:cstheme="majorBidi"/>
          <w:bCs/>
          <w:i/>
          <w:iCs/>
          <w:sz w:val="24"/>
          <w:szCs w:val="24"/>
        </w:rPr>
        <w:t>cand1</w:t>
      </w:r>
      <w:r w:rsidRPr="00F15B9C">
        <w:rPr>
          <w:rFonts w:asciiTheme="majorBidi" w:hAnsiTheme="majorBidi" w:cstheme="majorBidi"/>
          <w:bCs/>
          <w:sz w:val="24"/>
          <w:szCs w:val="24"/>
        </w:rPr>
        <w:t>), and small glutamine-rich tetratricopeptide repeated containing alpha (</w:t>
      </w:r>
      <w:proofErr w:type="spellStart"/>
      <w:r w:rsidRPr="00F15B9C">
        <w:rPr>
          <w:rFonts w:asciiTheme="majorBidi" w:hAnsiTheme="majorBidi" w:cstheme="majorBidi"/>
          <w:bCs/>
          <w:i/>
          <w:iCs/>
          <w:sz w:val="24"/>
          <w:szCs w:val="24"/>
        </w:rPr>
        <w:t>sgta</w:t>
      </w:r>
      <w:proofErr w:type="spellEnd"/>
      <w:r w:rsidRPr="00F15B9C">
        <w:rPr>
          <w:rFonts w:asciiTheme="majorBidi" w:hAnsiTheme="majorBidi" w:cstheme="majorBidi"/>
          <w:bCs/>
          <w:sz w:val="24"/>
          <w:szCs w:val="24"/>
        </w:rPr>
        <w:t xml:space="preserve">), could also be involved in the phenotypic plasticity of the size of the species of the </w:t>
      </w:r>
      <w:r w:rsidRPr="00F15B9C">
        <w:rPr>
          <w:rFonts w:asciiTheme="majorBidi" w:hAnsiTheme="majorBidi" w:cstheme="majorBidi"/>
          <w:bCs/>
          <w:i/>
          <w:sz w:val="24"/>
          <w:szCs w:val="24"/>
        </w:rPr>
        <w:t>humboltianum</w:t>
      </w:r>
      <w:r w:rsidRPr="00F15B9C">
        <w:rPr>
          <w:rFonts w:asciiTheme="majorBidi" w:hAnsiTheme="majorBidi" w:cstheme="majorBidi"/>
          <w:bCs/>
          <w:sz w:val="24"/>
          <w:szCs w:val="24"/>
        </w:rPr>
        <w:t xml:space="preserve"> group. </w:t>
      </w:r>
    </w:p>
    <w:p w14:paraId="767E9997" w14:textId="77777777" w:rsidR="00F15B9C" w:rsidRPr="00F15B9C" w:rsidRDefault="00F15B9C" w:rsidP="00F15B9C">
      <w:pPr>
        <w:ind w:firstLine="720"/>
        <w:jc w:val="both"/>
        <w:rPr>
          <w:rFonts w:asciiTheme="majorBidi" w:hAnsiTheme="majorBidi" w:cstheme="majorBidi"/>
          <w:bCs/>
          <w:sz w:val="24"/>
          <w:szCs w:val="24"/>
        </w:rPr>
      </w:pPr>
      <w:r w:rsidRPr="00F15B9C">
        <w:rPr>
          <w:rFonts w:asciiTheme="majorBidi" w:hAnsiTheme="majorBidi" w:cstheme="majorBidi"/>
          <w:bCs/>
          <w:sz w:val="24"/>
          <w:szCs w:val="24"/>
        </w:rPr>
        <w:t xml:space="preserve">We note that these inferences need to be taken with caution as there is a limited performance of </w:t>
      </w:r>
      <w:r w:rsidRPr="00F15B9C">
        <w:rPr>
          <w:rFonts w:asciiTheme="majorBidi" w:hAnsiTheme="majorBidi" w:cstheme="majorBidi"/>
          <w:bCs/>
          <w:i/>
          <w:iCs/>
          <w:sz w:val="24"/>
          <w:szCs w:val="24"/>
        </w:rPr>
        <w:t>F</w:t>
      </w:r>
      <w:r w:rsidRPr="00F15B9C">
        <w:rPr>
          <w:rFonts w:asciiTheme="majorBidi" w:hAnsiTheme="majorBidi" w:cstheme="majorBidi"/>
          <w:bCs/>
          <w:sz w:val="24"/>
          <w:szCs w:val="24"/>
          <w:vertAlign w:val="subscript"/>
        </w:rPr>
        <w:t>ST</w:t>
      </w:r>
      <w:r w:rsidRPr="00F15B9C">
        <w:rPr>
          <w:rFonts w:asciiTheme="majorBidi" w:hAnsiTheme="majorBidi" w:cstheme="majorBidi"/>
          <w:bCs/>
          <w:sz w:val="24"/>
          <w:szCs w:val="24"/>
        </w:rPr>
        <w:t xml:space="preserve"> outlier approaches in non-model organisms to identify candidate genes without a reference genome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{"citationItems":[{"id":"ITEM-1","itemData":{"DOI":"10.1098/rspb.2017.2806","ISSN":"14712954","PMID":"29669900","abstract":"Urbanization is considered a global threat to biodiversity; the growth of cities results in an increase in impervious surfaces, soil and air pollution, fragmentation of natural vegetation and invasion of non-native species, along with numerous environmental changes, including the heat island phenomenon. The combination of these effects constitutes a challenge for both the survival and persistence of many native species, while also imposing altered selective regimes. Here, using 110 314 single nucleotide polymorphisms generated by restriction-site-associated DNA sequencing, we investigated the genomewide effects of urbanization on putative neutral and adaptive genomic diversity in a major insect pollinator, Bombus lapidarius, collected from nine German cities and nine paired rural sites. Overall, genetic differentiation among siteswas lowand therewas no obvious genome-wide genetic structuring, suggesting the absence of strong effects of urbanization on gene flow. We nevertheless identified several loci under directional selection, a subset of which was associated with urban land use, including the percentage of impervious surface surrounding each sampling site. Overall, our results provide evidence of local adaptation to urbanization in the face of gene flow in a highly mobile insect pollinator.","author":[{"dropping-particle":"","family":"Theodorou","given":"Panagiotis","non-dropping-particle":"","parse-names":false,"suffix":""},{"dropping-particle":"","family":"Radzevičiūtė","given":"Rita","non-dropping-particle":"","parse-names":false,"suffix":""},{"dropping-particle":"","family":"Kahnt","given":"Belinda","non-dropping-particle":"","parse-names":false,"suffix":""},{"dropping-particle":"","family":"Soro","given":"Antonella","non-dropping-particle":"","parse-names":false,"suffix":""},{"dropping-particle":"","family":"Grosse","given":"Ivo","non-dropping-particle":"","parse-names":false,"suffix":""},{"dropping-particle":"","family":"Paxton","given":"Robert J.","non-dropping-particle":"","parse-names":false,"suffix":""}],"container-title":"Proceedings of the Royal Society B: Biological Sciences","id":"ITEM-1","issue":"1877","issued":{"date-parts":[["2018"]]},"title":"Genome-wide single nucleotide polymorphism scan suggests adaptation to urbanization in an important pollinator, the red-tailed bumblebee (Bombus lapidarius L.)","type":"article-journal","volume":"285"},"uris":["http://www.mendeley.com/documents/?uuid=a079f58c-e989-4e35-a90e-6593ca77da4e"]}],"mendeley":{"formattedCitation":"[75]","plainTextFormattedCitation":"[75]","previouslyFormattedCitation":"[74]"},"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[75]</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particularly if the demographic history of the species is not modeled accurately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{"citationItems":[{"id":"ITEM-1","itemData":{"DOI":"10.1086/682949","ISSN":"15375323","PMID":"26656214","abstract":"Loci responsible for local adaptation are likely to have more genetic differentiation among populations than neutral loci. However, neutral loci can vary widely in their amount of genetic differentiation, even over the same geographic range. Unfortunately, the distribution of differentiation—as measured by an index such as FST—depends on the details of the demographic history of the populations in question, even without spatially heterogeneous selection. Many methods designed to detect FST outliers assume a specific model of demographic history, which can result in extremely high false positive rates for detecting loci under selection. We develop a new method that infers the distribution of FST for loci unlikely to be strongly affected by spatially diversifying selection, using data on a large set of loci with unknown selective properties. Compared to previous methods, this approach, called OutFLANK, has much lower false positive rates and comparable power, as shown by simulation.","author":[{"dropping-particle":"","family":"Whitlock","given":"Michael C.","non-dropping-particle":"","parse-names":false,"suffix":""},{"dropping-particle":"","family":"Lotterhos","given":"Katie E.","non-dropping-particle":"","parse-names":false,"suffix":""}],"container-title":"American Naturalist","id":"ITEM-1","issue":"October","issued":{"date-parts":[["2015"]]},"page":"S24-S36","title":"Reliable detection of loci responsible for local adaptation: Inference of a null model through trimming the distribution of FST","type":"article-journal","volume":"186"},"uris":["http://www.mendeley.com/documents/?uuid=c666cf13-d993-454b-8ad5-fab76743bd05"]}],"mendeley":{"formattedCitation":"[76]","plainTextFormattedCitation":"[76]","previouslyFormattedCitation":"[75]"},"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[76]</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Reduced representation genomic libraries that use restriction enzymes to cut the DNA may fail to identify key loci as these techniques only capture a small portion of the genome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{"citationItems":[{"id":"ITEM-1","itemData":{"DOI":"10.1038/nrg.2015.28","ISSN":"1471-0056","author":[{"dropping-particle":"","family":"Andrews","given":"Kimberly R","non-dropping-particle":"","parse-names":false,"suffix":""},{"dropping-particle":"","family":"Good","given":"Jeffrey M","non-dropping-particle":"","parse-names":false,"suffix":""},{"dropping-particle":"","family":"Miller","given":"Michael R","non-dropping-particle":"","parse-names":false,"suffix":""},{"dropping-particle":"","family":"Luikart","given":"Gordon","non-dropping-particle":"","parse-names":false,"suffix":""},{"dropping-particle":"","family":"Hohenlohe","given":"Paul A","non-dropping-particle":"","parse-names":false,"suffix":""}],"container-title":"Nature Publishing Group","id":"ITEM-1","issued":{"date-parts":[["2016"]]},"publisher":"Nature Publishing Group","title":"Harnessing the power of RADseq for ecological and evolutionary genomics","type":"article-journal"},"uris":["http://www.mendeley.com/documents/?uuid=8892562f-862c-43f2-9c91-fd6ea3330fac"]},{"id":"ITEM-2","itemData":{"DOI":"10.1086/BBLv227n2p146","ISSN":"00063185","PMID":"25411373","abstract":"Restriction-site associated DNA sequencing (RAD) has emerged as a powerful marker system for studying genome-wide DNA polymorphisms using next-generation sequencing. A recent technical facilitation of RAD is double-digest RAD (ddRAD), which utilizes two restriction enzymes for library preparation. The more flexible and balanced ddRAD allows analysis of genomic loci in hundreds of individuals. However, in contrast to paired-end sequencing of traditional RAD libraries, PCR duplicates cannot be detected with ddRAD. This is a concern because duplicates can contribute substantially to read coverage data and erroneously inflate the proportion of homozygous loci (allele dropout). Allele dropout can bias population genetic parameter inference and complicate the detection of outlier loci under selection. Here we outline a simple and straightforward approach to detecting PCR duplicates from ddRAD libraries. Our approach introduces a degenerate base region (DBR, 12,288 unique combinations) in the sequencing adapter. We demonstrate the high efficiency and low rate of false positives in simulations. In addition, a pilot study was performed to test this approach on six aquatic invertebrates, sequenced on a HiSeq 2500 sequencer. The reads of the ddRAD libraries consisted of 33.48% PCR duplicates distributed on 19.40% of the loci. A disproportionate number of PCR duplicates were detected in only 4.66% of the loci. While this should not be a concern for general parameter inference, outlier loci detection in particular would be improved by the DBR technique. Given the easy and straightforward application of the technique in other RAD protocols as well, we suggest that DBR regions should generally be included in PCR-based RAD studies.","author":[{"dropping-particle":"","family":"Schweyen","given":"Hannah","non-dropping-particle":"","parse-names":false,"suffix":""},{"dropping-particle":"","family":"Rozenberg","given":"Andrey","non-dropping-particle":"","parse-names":false,"suffix":""},{"dropping-particle":"","family":"Leese","given":"Florian","non-dropping-particle":"","parse-names":false,"suffix":""}],"container-title":"Biological Bulletin","id":"ITEM-2","issue":"2","issued":{"date-parts":[["2014"]]},"page":"146-160","title":"Detection and removal of PCR duplicates in population genomic ddRAD studies by addition of a degenerate base region (DBR) in sequencing adapters","type":"article-journal","volume":"227"},"uris":["http://www.mendeley.com/documents/?uuid=b8d8a83a-908a-4620-b9ab-b1fc878c3ae9"]}],"mendeley":{"formattedCitation":"[77, 78]","plainTextFormattedCitation":"[77, 78]","previouslyFormattedCitation":"[76, 77]"},"properties":{"noteIndex":0},"schema":"https://github.com/citation-style-language/schema/raw/master/csl-citation.json"}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[77, 78]</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while many loci are lost due to low coverage and filtering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{"citationItems":[{"id":"ITEM-1","itemData":{"DOI":"10.1086/688018","ISBN":"0000000164986","ISSN":"00030147","PMID":"27622873","abstract":"Uncovering the genetic and evolutionary basis of local adaptation is a major focus of evolutionary biology. The recent development of cost-effective methods for obtaining high-quality genomescale data makes it possible to identify some of the loci responsible for adaptive differences among populations. Two basic approaches for identifying putatively locally adaptive loci have been developed and are broadly used: one that identifies loci with unusually high genetic differentiation among populations (differentiation outliermethods) and one that searches for correlations between local population allele frequencies and local environments (genetic-environment association methods). Here, we review the promises and challenges of these genome scanmethods, including correcting for the confounding influence of a species’ demographic history, biases caused by missing aspects of the genome, matching scales of environmental data with population structure, and other statistical considerations. In each case, we make suggestions for best practices for maximizing the accuracy and efficiency of genome scans to detect the underlying genetic basis of local adaptation. With attention to their current limitations, genome scan methods can be an important tool in finding the genetic basis of adaptive evolutionary change.","author":[{"dropping-particle":"","family":"Hoban","given":"Sean","non-dropping-particle":"","parse-names":false,"suffix":""},{"dropping-particle":"","family":"Kelley","given":"Joanna L.","non-dropping-particle":"","parse-names":false,"suffix":""},{"dropping-particle":"","family":"Lotterhos","given":"Katie E.","non-dropping-particle":"","parse-names":false,"suffix":""},{"dropping-particle":"","family":"Antolin","given":"Michael F.","non-dropping-particle":"","parse-names":false,"suffix":""},{"dropping-particle":"","family":"Bradburd","given":"Gideon","non-dropping-particle":"","parse-names":false,"suffix":""},{"dropping-particle":"","family":"Lowry","given":"David B.","non-dropping-particle":"","parse-names":false,"suffix":""},{"dropping-particle":"","family":"Poss","given":"Mary L.","non-dropping-particle":"","parse-names":false,"suffix":""},{"dropping-particle":"","family":"Reed","given":"Laura K.","non-dropping-particle":"","parse-names":false,"suffix":""},{"dropping-particle":"","family":"Storfer","given":"Andrew","non-dropping-particle":"","parse-names":false,"suffix":""},{"dropping-particle":"","family":"Whitlock","given":"Michael C.","non-dropping-particle":"","parse-names":false,"suffix":""}],"container-title":"American Naturalist","id":"ITEM-1","issue":"4","issued":{"date-parts":[["2016"]]},"number-of-pages":"379-397","title":"Finding the genomic basis of local adaptation: Pitfalls, practical solutions, and future directions","type":"book","volume":"188"},"uris":["http://www.mendeley.com/documents/?uuid=dbfbec6d-3fb3-4ea1-ae9a-717c196cd1cd"]},{"id":"ITEM-2","itemData":{"DOI":"10.1111/1755-0998.12635","ISSN":"17550998","PMID":"27860289","abstract":"Understanding how and why populations evolve is of fundamental importance to molecular ecology. Restriction site-associated DNA sequencing (RADseq), a popular reduced representation method, has ushered in a new era of genome-scale research for assessing population structure, hybridization, demographic history, phylogeography and migration. RADseq has also been widely used to conduct genome scans to detect loci involved in adaptive divergence among natural populations. Here, we examine the capacity of those RADseq-based genome scan studies to detect loci involved in local adaptation. To understand what proportion of the genome is missed by RADseq studies, we developed a simple model using different numbers of RAD-tags, genome sizes and extents of linkage disequilibrium (length of haplotype blocks). Under the best-case modelling scenario, we found that RADseq using six- or eight-base pair cutting restriction enzymes would fail to sample many regions of the genome, especially for species with short linkage disequilibrium. We then surveyed recent studies that have used RADseq for genome scans and found that the median density of markers across these studies was 4.08 RAD-tag markers per megabase (one marker per 245 kb). The length of linkage disequilibrium for many species is one to three orders of magnitude less than density of the typical recent RADseq study. Thus, we conclude that genome scans based on RADseq data alone, while useful for studies of neutral genetic variation and genetic population structure, will likely miss many loci under selection in studies of local adaptation.","author":[{"dropping-particle":"","family":"Lowry","given":"David B.","non-dropping-particle":"","parse-names":false,"suffix":""},{"dropping-particle":"","family":"Hoban","given":"Sean","non-dropping-particle":"","parse-names":false,"suffix":""},{"dropping-particle":"","family":"Kelley","given":"Joanna L.","non-dropping-particle":"","parse-names":false,"suffix":""},{"dropping-particle":"","family":"Lotterhos","given":"Katie E.","non-dropping-particle":"","parse-names":false,"suffix":""},{"dropping-particle":"","family":"Reed","given":"Laura K.","non-dropping-particle":"","parse-names":false,"suffix":""},{"dropping-particle":"","family":"Antolin","given":"Michael F.","non-dropping-particle":"","parse-names":false,"suffix":""},{"dropping-particle":"","family":"Storfer","given":"Andrew","non-dropping-particle":"","parse-names":false,"suffix":""}],"container-title":"Molecular ecology resources","id":"ITEM-2","issue":"2","issued":{"date-parts":[["2017"]]},"page":"142-152","title":"Breaking RAD: an evaluation of the utility of restriction site-associated DNA sequencing for genome scans of adaptation","type":"article-journal","volume":"17"},"uris":["http://www.mendeley.com/documents/?uuid=819c6699-e8e3-4c8a-8b17-66870bee854b"]}],"mendeley":{"formattedCitation":"[66, 79]","plainTextFormattedCitation":"[66, 79]","previouslyFormattedCitation":"[65, 78]"},"properties":{"noteIndex":0},"schema":"https://github.com/citation-style-language/schema/raw/master/csl-citation.json"}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[66, 79]</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Without a reference genome, these results are highly sensitive to false positives such as loci linked to sites experiencing purifying selection that will present greater variation that can be confounded with local adaptation to environmental factors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{"citationItems":[{"id":"ITEM-1","itemData":{"DOI":"10.1086/688018","ISBN":"0000000164986","ISSN":"00030147","PMID":"27622873","abstract":"Uncovering the genetic and evolutionary basis of local adaptation is a major focus of evolutionary biology. The recent development of cost-effective methods for obtaining high-quality genomescale data makes it possible to identify some of the loci responsible for adaptive differences among populations. Two basic approaches for identifying putatively locally adaptive loci have been developed and are broadly used: one that identifies loci with unusually high genetic differentiation among populations (differentiation outliermethods) and one that searches for correlations between local population allele frequencies and local environments (genetic-environment association methods). Here, we review the promises and challenges of these genome scanmethods, including correcting for the confounding influence of a species’ demographic history, biases caused by missing aspects of the genome, matching scales of environmental data with population structure, and other statistical considerations. In each case, we make suggestions for best practices for maximizing the accuracy and efficiency of genome scans to detect the underlying genetic basis of local adaptation. With attention to their current limitations, genome scan methods can be an important tool in finding the genetic basis of adaptive evolutionary change.","author":[{"dropping-particle":"","family":"Hoban","given":"Sean","non-dropping-particle":"","parse-names":false,"suffix":""},{"dropping-particle":"","family":"Kelley","given":"Joanna L.","non-dropping-particle":"","parse-names":false,"suffix":""},{"dropping-particle":"","family":"Lotterhos","given":"Katie E.","non-dropping-particle":"","parse-names":false,"suffix":""},{"dropping-particle":"","family":"Antolin","given":"Michael F.","non-dropping-particle":"","parse-names":false,"suffix":""},{"dropping-particle":"","family":"Bradburd","given":"Gideon","non-dropping-particle":"","parse-names":false,"suffix":""},{"dropping-particle":"","family":"Lowry","given":"David B.","non-dropping-particle":"","parse-names":false,"suffix":""},{"dropping-particle":"","family":"Poss","given":"Mary L.","non-dropping-particle":"","parse-names":false,"suffix":""},{"dropping-particle":"","family":"Reed","given":"Laura K.","non-dropping-particle":"","parse-names":false,"suffix":""},{"dropping-particle":"","family":"Storfer","given":"Andrew","non-dropping-particle":"","parse-names":false,"suffix":""},{"dropping-particle":"","family":"Whitlock","given":"Michael C.","non-dropping-particle":"","parse-names":false,"suffix":""}],"container-title":"American Naturalist","id":"ITEM-1","issue":"4","issued":{"date-parts":[["2016"]]},"number-of-pages":"379-397","title":"Finding the genomic basis of local adaptation: Pitfalls, practical solutions, and future directions","type":"book","volume":"188"},"uris":["http://www.mendeley.com/documents/?uuid=dbfbec6d-3fb3-4ea1-ae9a-717c196cd1cd"]}],"mendeley":{"formattedCitation":"[66]","plainTextFormattedCitation":"[66]","previouslyFormattedCitation":"[65]"},"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[66]</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Thus, the set of candidate genes identified in this study, provides a starting point for further targeted research into the operative mechanisms of selection within the </w:t>
      </w:r>
      <w:r w:rsidRPr="00F15B9C">
        <w:rPr>
          <w:rFonts w:asciiTheme="majorBidi" w:hAnsiTheme="majorBidi" w:cstheme="majorBidi"/>
          <w:bCs/>
          <w:i/>
          <w:iCs/>
          <w:sz w:val="24"/>
          <w:szCs w:val="24"/>
        </w:rPr>
        <w:t>humboltianum</w:t>
      </w:r>
      <w:r w:rsidRPr="00F15B9C">
        <w:rPr>
          <w:rFonts w:asciiTheme="majorBidi" w:hAnsiTheme="majorBidi" w:cstheme="majorBidi"/>
          <w:bCs/>
          <w:sz w:val="24"/>
          <w:szCs w:val="24"/>
        </w:rPr>
        <w:t xml:space="preserve"> group.</w:t>
      </w:r>
    </w:p>
    <w:p w14:paraId="48413265" w14:textId="77777777" w:rsidR="00F15B9C" w:rsidRPr="00F15B9C" w:rsidRDefault="00F15B9C" w:rsidP="00F15B9C">
      <w:pPr>
        <w:jc w:val="both"/>
        <w:rPr>
          <w:rFonts w:asciiTheme="majorBidi" w:hAnsiTheme="majorBidi" w:cstheme="majorBidi"/>
          <w:b/>
          <w:bCs/>
          <w:sz w:val="28"/>
          <w:szCs w:val="28"/>
        </w:rPr>
      </w:pPr>
      <w:r w:rsidRPr="00F15B9C">
        <w:rPr>
          <w:rFonts w:asciiTheme="majorBidi" w:hAnsiTheme="majorBidi" w:cstheme="majorBidi"/>
          <w:b/>
          <w:bCs/>
          <w:sz w:val="28"/>
          <w:szCs w:val="28"/>
        </w:rPr>
        <w:t xml:space="preserve">Genomic diversity, </w:t>
      </w:r>
      <w:r w:rsidRPr="00F15B9C">
        <w:rPr>
          <w:rFonts w:asciiTheme="majorBidi" w:hAnsiTheme="majorBidi" w:cstheme="majorBidi"/>
          <w:b/>
          <w:bCs/>
          <w:i/>
          <w:iCs/>
          <w:sz w:val="28"/>
          <w:szCs w:val="28"/>
        </w:rPr>
        <w:t>Ne</w:t>
      </w:r>
      <w:r w:rsidRPr="00F15B9C">
        <w:rPr>
          <w:rFonts w:asciiTheme="majorBidi" w:hAnsiTheme="majorBidi" w:cstheme="majorBidi"/>
          <w:b/>
          <w:bCs/>
          <w:sz w:val="28"/>
          <w:szCs w:val="28"/>
        </w:rPr>
        <w:t xml:space="preserve">, fishery management and conservation </w:t>
      </w:r>
    </w:p>
    <w:p w14:paraId="470DA489" w14:textId="77777777" w:rsidR="00F15B9C" w:rsidRPr="00F15B9C" w:rsidRDefault="00F15B9C" w:rsidP="00F15B9C">
      <w:pPr>
        <w:jc w:val="both"/>
        <w:rPr>
          <w:rFonts w:asciiTheme="majorBidi" w:hAnsiTheme="majorBidi" w:cstheme="majorBidi"/>
          <w:bCs/>
          <w:sz w:val="24"/>
          <w:szCs w:val="24"/>
        </w:rPr>
      </w:pPr>
      <w:r w:rsidRPr="00F15B9C">
        <w:rPr>
          <w:rFonts w:asciiTheme="majorBidi" w:hAnsiTheme="majorBidi" w:cstheme="majorBidi"/>
          <w:bCs/>
          <w:sz w:val="24"/>
          <w:szCs w:val="24"/>
        </w:rPr>
        <w:t xml:space="preserve">Our genome-wide SNP analyses revealed that genomic diversity within the </w:t>
      </w:r>
      <w:r w:rsidRPr="00F15B9C">
        <w:rPr>
          <w:rFonts w:asciiTheme="majorBidi" w:hAnsiTheme="majorBidi" w:cstheme="majorBidi"/>
          <w:bCs/>
          <w:i/>
          <w:iCs/>
          <w:sz w:val="24"/>
          <w:szCs w:val="24"/>
        </w:rPr>
        <w:t>C.</w:t>
      </w:r>
      <w:r w:rsidRPr="00F15B9C">
        <w:rPr>
          <w:rFonts w:asciiTheme="majorBidi" w:hAnsiTheme="majorBidi" w:cstheme="majorBidi"/>
          <w:bCs/>
          <w:sz w:val="24"/>
          <w:szCs w:val="24"/>
        </w:rPr>
        <w:t xml:space="preserve"> </w:t>
      </w:r>
      <w:r w:rsidRPr="00F15B9C">
        <w:rPr>
          <w:rFonts w:asciiTheme="majorBidi" w:hAnsiTheme="majorBidi" w:cstheme="majorBidi"/>
          <w:bCs/>
          <w:i/>
          <w:iCs/>
          <w:sz w:val="24"/>
          <w:szCs w:val="24"/>
        </w:rPr>
        <w:t>humboldtianum</w:t>
      </w:r>
      <w:r w:rsidRPr="00F15B9C">
        <w:rPr>
          <w:rFonts w:asciiTheme="majorBidi" w:hAnsiTheme="majorBidi" w:cstheme="majorBidi"/>
          <w:bCs/>
          <w:sz w:val="24"/>
          <w:szCs w:val="24"/>
        </w:rPr>
        <w:t xml:space="preserve"> species complex is low (Table 2). This genomic diversity pattern has been reported in other lacustrine fish species such as the Nile tilapia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{"citationItems":[{"id":"ITEM-1","itemData":{"DOI":"10.3389/fgene.2019.01269","ISSN":"16648021","abstract":"Understanding population structure and genetic diversity within and between local Nile tilapia lines cultured in Tanzania is important for sustainable aquaculture production. This study investigated the genetic structure and diversity among seven Nile tilapia populations in Tanzania (Karanga, Igunga, Ruhila, Fisheries Education and Training Agency, Tanzania Fisheries Research Institute, Kunduchi, and Lake Victoria). Double-digest restriction site-associated DNA (ddRAD) libraries were prepared from 140 individual fish (20 per population) and sequenced using an Illumina HiSeq 4000 resulting in the identification of 2,180 informative single nucleotide polymorphisms (SNPs). Pairwise Fst values revealed strong genetic differentiation between the closely related populations; FETA, Lake Victoria, and Igunga and those from TAFIRI and Karanga with values ranging between 0.45 and 0.55. Population structure was further evaluated using Bayesian model-based clustering (STRUCTURE) and discriminant analysis of principal components (DAPC). Admixture was detected among Karanga, Kunduchi, and Ruhila populations. A cross-validation approach (25% of individual fish from each population was considered of unknown origin) was conducted in order to test the efficiency of the SNP markers to correctly assign individual fish to the population of origin. The cross-validation procedure was repeated 10 times resulting in 77% of the tested individual fish being allocated to the correct population. Overall our results provide a new database of informative SNP markers for both conservation management and aquaculture activities of Nile tilapia strains in Tanzania.","author":[{"dropping-particle":"","family":"Kajungiro","given":"Redempta A.","non-dropping-particle":"","parse-names":false,"suffix":""},{"dropping-particle":"","family":"Palaiokostas","given":"Christos","non-dropping-particle":"","parse-names":false,"suffix":""},{"dropping-particle":"","family":"Pinto","given":"Fernando A.Lopes","non-dropping-particle":"","parse-names":false,"suffix":""},{"dropping-particle":"","family":"Mmochi","given":"Aviti J.","non-dropping-particle":"","parse-names":false,"suffix":""},{"dropping-particle":"","family":"Mtolera","given":"Marten","non-dropping-particle":"","parse-names":false,"suffix":""},{"dropping-particle":"","family":"Houston","given":"Ross D.","non-dropping-particle":"","parse-names":false,"suffix":""},{"dropping-particle":"","family":"Koning","given":"Dirk Jan","non-dropping-particle":"de","parse-names":false,"suffix":""}],"container-title":"Frontiers in Genetics","id":"ITEM-1","issue":"December","issued":{"date-parts":[["2019"]]},"page":"1-12","title":"Population Structure and Genetic Diversity of Nile Tilapia (Oreochromis niloticus) Strains Cultured in Tanzania","type":"article-journal","volume":"10"},"uris":["http://www.mendeley.com/documents/?uuid=ac7ac174-4f35-457b-af19-587afc944a11"]}],"mendeley":{"formattedCitation":"[80]","plainTextFormattedCitation":"[80]","previouslyFormattedCitation":"[79]"},"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[80]</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and stickleback fishes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{"citationItems":[{"id":"ITEM-1","itemData":{"DOI":"10.1016/j.cub.2011.11.045","ISSN":"09609822","PMID":"22197244","abstract":"Genes underlying repeated adaptive evolution in natural populations are still largely unknown. Stickleback fish (Gasterosteus aculeatus) have undergone a recent dramatic evolutionary radiation, generating numerous examples of marine-freshwater species pairs and a small number of benthic-limnetic species pairs found within single lakes [1]. We have developed a new genome-wide SNP genotyping array to study patterns of genetic variation in sticklebacks over a wide geographic range, and to scan the genome for regions that contribute to repeated evolution of marine-freshwater or benthic-limnetic species pairs. Surveying 34 global populations with 1,159 informative markers revealed substantial genetic variation, with predominant patterns reflecting demographic history and geographic structure. After correcting for geographic structure and filtering for neutral markers, we detected large repeated shifts in allele frequency at some loci, identifying both known and novel loci likely contributing to marine-freshwater and benthic-limnetic divergence. Several novel loci fall close to genes implicated in epithelial barrier or immune functions, which have likely changed as sticklebacks adapt to contrasting environments. Specific alleles differentiating sympatric benthic-limnetic species pairs are shared in nearby solitary populations, suggesting an allopatric origin for adaptive variants and selection pressures unrelated to sympatry in the initial formation of these classic vertebrate species pairs. © 2012 Elsevier Ltd.","author":[{"dropping-particle":"","family":"Jones","given":"Felicity C.","non-dropping-particle":"","parse-names":false,"suffix":""},{"dropping-particle":"","family":"Chan","given":"Yingguang Frank","non-dropping-particle":"","parse-names":false,"suffix":""},{"dropping-particle":"","family":"Schmutz","given":"Jeremy","non-dropping-particle":"","parse-names":false,"suffix":""},{"dropping-particle":"","family":"Grimwood","given":"Jane","non-dropping-particle":"","parse-names":false,"suffix":""},{"dropping-particle":"","family":"Brady","given":"Shannon D.","non-dropping-particle":"","parse-names":false,"suffix":""},{"dropping-particle":"","family":"Southwick","given":"Audrey M.","non-dropping-particle":"","parse-names":false,"suffix":""},{"dropping-particle":"","family":"Absher","given":"Devin M.","non-dropping-particle":"","parse-names":false,"suffix":""},{"dropping-particle":"","family":"Myers","given":"Richard M.","non-dropping-particle":"","parse-names":false,"suffix":""},{"dropping-particle":"","family":"Reimchen","given":"Thomas E.","non-dropping-particle":"","parse-names":false,"suffix":""},{"dropping-particle":"","family":"Deagle","given":"Bruce E.","non-dropping-particle":"","parse-names":false,"suffix":""},{"dropping-particle":"","family":"Schluter","given":"Dolph","non-dropping-particle":"","parse-names":false,"suffix":""},{"dropping-particle":"","family":"Kingsley","given":"David M.","non-dropping-particle":"","parse-names":false,"suffix":""}],"container-title":"Current Biology","id":"ITEM-1","issue":"1","issued":{"date-parts":[["2012"]]},"page":"83-90","publisher":"Elsevier Ltd","title":"A genome-wide SNP genotyping array reveals patterns of global and repeated species-pair divergence in sticklebacks","type":"article-journal","volume":"22"},"uris":["http://www.mendeley.com/documents/?uuid=c12434a2-f1c7-4479-b680-1ae1e5bd546a"]}],"mendeley":{"formattedCitation":"[69]","plainTextFormattedCitation":"[69]","previouslyFormattedCitation":"[68]"},"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[69]</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The low heterozygosity in freshwater fish species may be related to smaller effective population sizes and varying demographic histories involving bottlenecks during the recent colonization of new freshwater habitats, or to lake environmental history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{"citationItems":[{"id":"ITEM-1","itemData":{"DOI":"10.1016/j.cub.2011.11.045","ISSN":"09609822","PMID":"22197244","abstract":"Genes underlying repeated adaptive evolution in natural populations are still largely unknown. Stickleback fish (Gasterosteus aculeatus) have undergone a recent dramatic evolutionary radiation, generating numerous examples of marine-freshwater species pairs and a small number of benthic-limnetic species pairs found within single lakes [1]. We have developed a new genome-wide SNP genotyping array to study patterns of genetic variation in sticklebacks over a wide geographic range, and to scan the genome for regions that contribute to repeated evolution of marine-freshwater or benthic-limnetic species pairs. Surveying 34 global populations with 1,159 informative markers revealed substantial genetic variation, with predominant patterns reflecting demographic history and geographic structure. After correcting for geographic structure and filtering for neutral markers, we detected large repeated shifts in allele frequency at some loci, identifying both known and novel loci likely contributing to marine-freshwater and benthic-limnetic divergence. Several novel loci fall close to genes implicated in epithelial barrier or immune functions, which have likely changed as sticklebacks adapt to contrasting environments. Specific alleles differentiating sympatric benthic-limnetic species pairs are shared in nearby solitary populations, suggesting an allopatric origin for adaptive variants and selection pressures unrelated to sympatry in the initial formation of these classic vertebrate species pairs. © 2012 Elsevier Ltd.","author":[{"dropping-particle":"","family":"Jones","given":"Felicity C.","non-dropping-particle":"","parse-names":false,"suffix":""},{"dropping-particle":"","family":"Chan","given":"Yingguang Frank","non-dropping-particle":"","parse-names":false,"suffix":""},{"dropping-particle":"","family":"Schmutz","given":"Jeremy","non-dropping-particle":"","parse-names":false,"suffix":""},{"dropping-particle":"","family":"Grimwood","given":"Jane","non-dropping-particle":"","parse-names":false,"suffix":""},{"dropping-particle":"","family":"Brady","given":"Shannon D.","non-dropping-particle":"","parse-names":false,"suffix":""},{"dropping-particle":"","family":"Southwick","given":"Audrey M.","non-dropping-particle":"","parse-names":false,"suffix":""},{"dropping-particle":"","family":"Absher","given":"Devin M.","non-dropping-particle":"","parse-names":false,"suffix":""},{"dropping-particle":"","family":"Myers","given":"Richard M.","non-dropping-particle":"","parse-names":false,"suffix":""},{"dropping-particle":"","family":"Reimchen","given":"Thomas E.","non-dropping-particle":"","parse-names":false,"suffix":""},{"dropping-particle":"","family":"Deagle","given":"Bruce E.","non-dropping-particle":"","parse-names":false,"suffix":""},{"dropping-particle":"","family":"Schluter","given":"Dolph","non-dropping-particle":"","parse-names":false,"suffix":""},{"dropping-particle":"","family":"Kingsley","given":"David M.","non-dropping-particle":"","parse-names":false,"suffix":""}],"container-title":"Current Biology","id":"ITEM-1","issue":"1","issued":{"date-parts":[["2012"]]},"page":"83-90","publisher":"Elsevier Ltd","title":"A genome-wide SNP genotyping array reveals patterns of global and repeated species-pair divergence in sticklebacks","type":"article-journal","volume":"22"},"uris":["http://www.mendeley.com/documents/?uuid=c12434a2-f1c7-4479-b680-1ae1e5bd546a"]}],"mendeley":{"formattedCitation":"[69]","plainTextFormattedCitation":"[69]","previouslyFormattedCitation":"[68]"},"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[69]</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The </w:t>
      </w:r>
      <w:r w:rsidRPr="00F15B9C">
        <w:rPr>
          <w:rFonts w:asciiTheme="majorBidi" w:hAnsiTheme="majorBidi" w:cstheme="majorBidi"/>
          <w:bCs/>
          <w:i/>
          <w:iCs/>
          <w:sz w:val="24"/>
          <w:szCs w:val="24"/>
        </w:rPr>
        <w:t>humboldtianum</w:t>
      </w:r>
      <w:r w:rsidRPr="00F15B9C">
        <w:rPr>
          <w:rFonts w:asciiTheme="majorBidi" w:hAnsiTheme="majorBidi" w:cstheme="majorBidi"/>
          <w:bCs/>
          <w:sz w:val="24"/>
          <w:szCs w:val="24"/>
        </w:rPr>
        <w:t xml:space="preserve"> group diverged and colonized the lakes of the central Mexico plateau during recent evolutionary times, between 0.58 to 0.076 Mya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plainTextFormattedCitation":"[11]","previouslyFormattedCitation":"[11]"},"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[11]</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and presented sudden demographic expansions from a smaller number of founders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{"citationItems":[{"id":"ITEM-1","itemData":{"ISSN":"01888897","abstract":"Chirostoma humboltianum is an endemic species widely distributed in isolated basins of Central México. However, habitat alteration had reduced the range of distribution and led to the local extinction of the species in some basins. During the Miocene these basins were connected, allowing dispersal and colonization of new hydrological systems. Later on, tectonic, volcanic and climatic events of the Plio-Pleistocene promoted continuous periods of isolation and reconnection allowing the species evolve through continuous cycles of expansion and contraction of its distribution. Therefore it is expected that these events have left signals in the geographical distribution and genetic diversity and divergence of existing populations. Although the analysis of genetic diversity and genetic structure in the population becomes an important factor for the conservation of a species, few studies have been made in this taxon. In this study we used a 341pb segment of the domain I of the hypervariable region of the mitochondrial control region to analyze the genetic diversity and their distribution in 20 individuals of each one of six lakes located in central México. The values of haplotypic (0 - 0.938) and nucleotide (0 - 0.0352) diversity suggested continuous periods of expansion and population contraction related with the formation of the lakes during the Pleistocene which is supported by the BSP and mismatch analysis, and recent anthropogenic factors. In addition, the large number of exclusive haplotypes (66%) and the highly significant genetic differentiation among populations suggests that each one of the population must be conserved because each one is an important component in the evolutionary legacy of the species.","author":[{"dropping-particle":"","family":"García Martínez","given":"Rosa M.","non-dropping-particle":"","parse-names":false,"suffix":""},{"dropping-particle":"","family":"Mejía","given":"Omar","non-dropping-particle":"","parse-names":false,"suffix":""},{"dropping-particle":"","family":"García-De León","given":"Francisco Javier","non-dropping-particle":"","parse-names":false,"suffix":""},{"dropping-particle":"","family":"Barriga-Sosa","given":"Irene De Los Angeles","non-dropping-particle":"","parse-names":false,"suffix":""}],"container-title":"Hidrobiologica","id":"ITEM-1","issue":"1","issued":{"date-parts":[["2015"]]},"page":"95-106","title":"Extreme genetic divergence in the endemic fish Chirostoma humboldtianum: Implications for its conservation","type":"article-journal","volume":"25"},"uris":["http://www.mendeley.com/documents/?uuid=6af2eb76-9507-4d2d-963d-980ab3f98913"]}],"mendeley":{"formattedCitation":"[81]","plainTextFormattedCitation":"[81]","previouslyFormattedCitation":"[80]"},"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[81]</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which may explain their low genetic diversity. Also, these fishes have recently decreased demographically due to an over-exploitation of the commercial fishery, which could have also influenced the genomic diversity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{"citationItems":[{"id":"ITEM-1","itemData":{"DOI":"10.22201/fesi.20072082.2017.10.61718","ISSN":"2007-2082","abstract":"&lt;p&gt;El género &lt;em&gt;Chirostoma (Menidia&lt;/em&gt;) incluye a los charales y pescado blanco, pertenece a la Familia Atherinopsidae. El género es endémico de la República Mexicana, incluye 25 especies. El género habita en aguas dulces de México, aunque su origen es marino. Al no encontrarse diferencias entre &lt;em&gt;Chirostoma&lt;/em&gt; y &lt;em&gt;Poblana&lt;/em&gt;, estos han sido incluidos en el género &lt;em&gt;Menidia&lt;/em&gt;. No obstante, en este escrito se utilizaron los nombres de los géneros &lt;em&gt;Chirostoma&lt;/em&gt; y &lt;em&gt;Menidia&lt;/em&gt;, respetando los artículos originales de los diferentes autores.&lt;/p&gt;","author":[{"dropping-particle":"","family":"Navarrete Salgado","given":"Norma Angélica","non-dropping-particle":"","parse-names":false,"suffix":""}],"container-title":"BIOCYT Biología Ciencia y Tecnología","id":"ITEM-1","issue":"37-39","issued":{"date-parts":[["2017"]]},"page":"736-748","title":"Chirostoma (Menidia): Ecología Y Utilización Como Especie De Cultivo En Estanques Rústicos","type":"article-journal","volume":"10"},"uris":["http://www.mendeley.com/documents/?uuid=2a9186ed-e72c-4e58-9289-1f541a855797"]}],"mendeley":{"formattedCitation":"[82]","plainTextFormattedCitation":"[82]","previouslyFormattedCitation":"[81]"},"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[82]</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Although the majority of the results of </w:t>
      </w:r>
      <w:proofErr w:type="spellStart"/>
      <w:r w:rsidRPr="00F15B9C">
        <w:rPr>
          <w:rFonts w:asciiTheme="majorBidi" w:hAnsiTheme="majorBidi" w:cstheme="majorBidi"/>
          <w:bCs/>
          <w:i/>
          <w:iCs/>
          <w:sz w:val="24"/>
          <w:szCs w:val="24"/>
        </w:rPr>
        <w:t>LDNe</w:t>
      </w:r>
      <w:proofErr w:type="spellEnd"/>
      <w:r w:rsidRPr="00F15B9C">
        <w:rPr>
          <w:rFonts w:asciiTheme="majorBidi" w:hAnsiTheme="majorBidi" w:cstheme="majorBidi"/>
          <w:bCs/>
          <w:sz w:val="24"/>
          <w:szCs w:val="24"/>
        </w:rPr>
        <w:t xml:space="preserve"> and </w:t>
      </w:r>
      <w:proofErr w:type="spellStart"/>
      <w:r w:rsidRPr="00F15B9C">
        <w:rPr>
          <w:rFonts w:asciiTheme="majorBidi" w:hAnsiTheme="majorBidi" w:cstheme="majorBidi"/>
          <w:bCs/>
          <w:i/>
          <w:iCs/>
          <w:sz w:val="24"/>
          <w:szCs w:val="24"/>
        </w:rPr>
        <w:t>HetExcessNe</w:t>
      </w:r>
      <w:proofErr w:type="spellEnd"/>
      <w:r w:rsidRPr="00F15B9C">
        <w:rPr>
          <w:rFonts w:asciiTheme="majorBidi" w:hAnsiTheme="majorBidi" w:cstheme="majorBidi"/>
          <w:bCs/>
          <w:sz w:val="24"/>
          <w:szCs w:val="24"/>
        </w:rPr>
        <w:t xml:space="preserve"> estimators present infinite values indicating the effect of sampling error caused by the small sample size (1-24)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{"citationItems":[{"id":"ITEM-1","itemData":{"DOI":"10.1111/j.1752-4571.2009.00104.x","ISSN":"17524563","abstract":"Genetic methods are routinely used to estimate contemporary effective population size (Ne) in natural populations, but the vast majority of applications have used only the temporal (two-sample) method. We use simulated data to evaluate how highly polymorphic molecular markers affect precision and bias in the single-sample method based on linkage disequilibrium (LD). Results of this study are as follows: (1) Low-frequency alleles upwardly bias, but a simple rule can reduce bias to &lt;about 10% without sacrificing much precision. (2) With datasets routinely available today (10-20 loci with 10 alleles; 50 individuals), precise estimates can be obtained for relatively small populations (Ne &lt; 200), and small populations are not likely to be mistaken for large ones. However, it is very difficult to obtain reliable estimates for large populations. (3) With 'microsatellite' data, the LD method has greater precision than the temporal method, unless the latter is based on samples taken many generations apart. Our results indicate the LD method has widespread applicability to conservation (which typically focuses on small populations) and the study of evolutionary processes in local populations. Considerable opportunity exists to extract more information about Ne in nature by wider use of single-sample estimators and by combining estimates from different methods. © 2009 Blackwell Publishing Ltd.","author":[{"dropping-particle":"","family":"Waples","given":"Robin S.","non-dropping-particle":"","parse-names":false,"suffix":""},{"dropping-particle":"","family":"Do","given":"Chi","non-dropping-particle":"","parse-names":false,"suffix":""}],"container-title":"Evolutionary Applications","id":"ITEM-1","issue":"3","issued":{"date-parts":[["2010"]]},"page":"244-262","title":"Linkage disequilibrium estimates of contemporary Ne using highly variable genetic markers: A largely untapped resource for applied conservation and evolution","type":"article-journal","volume":"3"},"uris":["http://www.mendeley.com/documents/?uuid=0ca57889-3415-4f72-90e5-552526768f4e"]},{"id":"ITEM-2","itemData":{"DOI":"10.1007/s10592-005-9103-8","ISSN":"15660621","abstract":"Effective population size (N e) is a central concept in evolutionary biology and conservation genetics. It predicts rates of loss of neutral genetic variation, fixation of deleterious and favourable alleles, and the increase of inbreeding experienced by a population. A method exists for the estimation of N e from the observed linkage disequilibrium between unlinked loci in a population sample. While an increasing number of studies have applied this method in natural and managed populations, its reliability has not yet been evaluated. We developed a computer program to calculate this estimator of N e using the most widely used linkage disequilibrium algorithm and used simulations to show that this estimator is strongly biased when the sample size is small (&lt;‰100) and below the true N e. This is probably due to the linkage disequilibrium generated by the sampling process itself and the inadequate correction for this phenomenon in the method. Results suggest that N e estimates derived using this method should be regarded with caution in many cases. To improve the method's reliability and usefulness we propose a way to determine whether a given sample size exceeds the population N e and can therefore be used for the computation of an unbiased estimate. © Springer 2006.","author":[{"dropping-particle":"","family":"England","given":"Phillip R.","non-dropping-particle":"","parse-names":false,"suffix":""},{"dropping-particle":"","family":"Cornuet","given":"Jean Marie","non-dropping-particle":"","parse-names":false,"suffix":""},{"dropping-particle":"","family":"Berthier","given":"Pierre","non-dropping-particle":"","parse-names":false,"suffix":""},{"dropping-particle":"","family":"Tallmon","given":"David A.","non-dropping-particle":"","parse-names":false,"suffix":""},{"dropping-particle":"","family":"Luikart","given":"Gordon","non-dropping-particle":"","parse-names":false,"suffix":""}],"container-title":"Conservation Genetics","id":"ITEM-2","issue":"2","issued":{"date-parts":[["2006"]]},"page":"303-308","title":"Estimating effective population size from linkage disequilibrium: Severe bias in small samples","type":"article-journal","volume":"7"},"uris":["http://www.mendeley.com/documents/?uuid=05ad6048-b7a1-4ec5-a62f-03bad063af41"]}],"mendeley":{"formattedCitation":"[83, 84]","plainTextFormattedCitation":"[83, 84]","previouslyFormattedCitation":"[82, 83]"},"properties":{"noteIndex":0},"schema":"https://github.com/citation-style-language/schema/raw/master/csl-citation.json"}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[83, 84]</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the </w:t>
      </w:r>
      <w:r w:rsidRPr="00F15B9C">
        <w:rPr>
          <w:rFonts w:asciiTheme="majorBidi" w:hAnsiTheme="majorBidi" w:cstheme="majorBidi"/>
          <w:bCs/>
          <w:i/>
          <w:iCs/>
          <w:sz w:val="24"/>
          <w:szCs w:val="24"/>
        </w:rPr>
        <w:t>Ne</w:t>
      </w:r>
      <w:r w:rsidRPr="00F15B9C">
        <w:rPr>
          <w:rFonts w:asciiTheme="majorBidi" w:hAnsiTheme="majorBidi" w:cstheme="majorBidi"/>
          <w:bCs/>
          <w:sz w:val="24"/>
          <w:szCs w:val="24"/>
        </w:rPr>
        <w:t xml:space="preserve"> values observed for the </w:t>
      </w:r>
      <w:r w:rsidRPr="00F15B9C">
        <w:rPr>
          <w:rFonts w:asciiTheme="majorBidi" w:hAnsiTheme="majorBidi" w:cstheme="majorBidi"/>
          <w:bCs/>
          <w:i/>
          <w:iCs/>
          <w:sz w:val="24"/>
          <w:szCs w:val="24"/>
        </w:rPr>
        <w:t>humboltianum</w:t>
      </w:r>
      <w:r w:rsidRPr="00F15B9C">
        <w:rPr>
          <w:rFonts w:asciiTheme="majorBidi" w:hAnsiTheme="majorBidi" w:cstheme="majorBidi"/>
          <w:bCs/>
          <w:sz w:val="24"/>
          <w:szCs w:val="24"/>
        </w:rPr>
        <w:t xml:space="preserve"> group were similar o even smaller to lacustrine fish species such as </w:t>
      </w:r>
      <w:r w:rsidRPr="00F15B9C">
        <w:rPr>
          <w:rFonts w:asciiTheme="majorBidi" w:hAnsiTheme="majorBidi" w:cstheme="majorBidi"/>
          <w:bCs/>
          <w:i/>
          <w:iCs/>
          <w:sz w:val="24"/>
          <w:szCs w:val="24"/>
        </w:rPr>
        <w:t xml:space="preserve">Amphilophus </w:t>
      </w:r>
      <w:proofErr w:type="spellStart"/>
      <w:r w:rsidRPr="00F15B9C">
        <w:rPr>
          <w:rFonts w:asciiTheme="majorBidi" w:hAnsiTheme="majorBidi" w:cstheme="majorBidi"/>
          <w:bCs/>
          <w:i/>
          <w:iCs/>
          <w:sz w:val="24"/>
          <w:szCs w:val="24"/>
        </w:rPr>
        <w:t>labiatus</w:t>
      </w:r>
      <w:proofErr w:type="spellEnd"/>
      <w:r w:rsidRPr="00F15B9C">
        <w:rPr>
          <w:rFonts w:asciiTheme="majorBidi" w:hAnsiTheme="majorBidi" w:cstheme="majorBidi"/>
          <w:bCs/>
          <w:sz w:val="24"/>
          <w:szCs w:val="24"/>
        </w:rPr>
        <w:t xml:space="preserve"> and </w:t>
      </w:r>
      <w:r w:rsidRPr="00F15B9C">
        <w:rPr>
          <w:rFonts w:asciiTheme="majorBidi" w:hAnsiTheme="majorBidi" w:cstheme="majorBidi"/>
          <w:bCs/>
          <w:i/>
          <w:iCs/>
          <w:sz w:val="24"/>
          <w:szCs w:val="24"/>
        </w:rPr>
        <w:t xml:space="preserve">A. </w:t>
      </w:r>
      <w:proofErr w:type="spellStart"/>
      <w:r w:rsidRPr="00F15B9C">
        <w:rPr>
          <w:rFonts w:asciiTheme="majorBidi" w:hAnsiTheme="majorBidi" w:cstheme="majorBidi"/>
          <w:bCs/>
          <w:i/>
          <w:iCs/>
          <w:sz w:val="24"/>
          <w:szCs w:val="24"/>
        </w:rPr>
        <w:t>citrinellus</w:t>
      </w:r>
      <w:proofErr w:type="spellEnd"/>
      <w:r w:rsidRPr="00F15B9C">
        <w:rPr>
          <w:rFonts w:asciiTheme="majorBidi" w:hAnsiTheme="majorBidi" w:cstheme="majorBidi"/>
          <w:bCs/>
          <w:sz w:val="24"/>
          <w:szCs w:val="24"/>
        </w:rPr>
        <w:t xml:space="preserve">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{"citationItems":[{"id":"ITEM-1","itemData":{"DOI":"10.1111/mec.16139","ISSN":"1365294X","PMID":"34418206","abstract":"Adaptive radiations have proven important for understanding the mechanisms and processes underlying biological diversity. The convergence of form and function, as well as admixture and adaptive introgression, are common in adaptive radiations. However, distinguishing between these two scenarios remains a challenge for evolutionary research. The Midas cichlid species complex (Amphilophus spp.) is a prime example of adaptive radiation, with phenotypic diversification occurring at various stages of genetic differentiation. One species, A. labiatus, has large fleshy lips, is associated with rocky lake substrates, and occurs patchily within Lakes Nicaragua and Managua. By contrast, the similar, but thin-lipped, congener, A. citrinellus, is more common and widespread. We investigated the evolutionary history of the large-lipped form, specifically regarding whether the trait has evolved independently in both lakes from ancestral thin-lipped populations, or via dispersal and/or admixture events. We collected samples from distinct locations in both lakes, and assessed differences in morphology and ecology. Using RAD-seq, we genotyped thousands of SNPs to measure population structure and divergence, demographic history, and admixture. We found significant between-species differences in ecology and morphology, local intraspecific differences in body shape and trophic traits, but only limited intraspecific variation in lip shape. Despite clear ecological differences, our genomic approach uncovered pervasive admixture between the species and low genomic differentiation, with species within lakes being genetically more similar than species between lakes. Taken together, our results suggest a single origin of large-lips, followed by pervasive admixture and adaptive introgression, with morphology being driven by local ecological opportunities, despite ongoing gene-flow.","author":[{"dropping-particle":"","family":"Sowersby","given":"Will","non-dropping-particle":"","parse-names":false,"suffix":""},{"dropping-particle":"","family":"Cerca","given":"José","non-dropping-particle":"","parse-names":false,"suffix":""},{"dropping-particle":"","family":"Wong","given":"Bob B.M.","non-dropping-particle":"","parse-names":false,"suffix":""},{"dropping-particle":"","family":"Lehtonen","given":"Topi K.","non-dropping-particle":"","parse-names":false,"suffix":""},{"dropping-particle":"","family":"Chapple","given":"David G.","non-dropping-particle":"","parse-names":false,"suffix":""},{"dropping-particle":"","family":"Leal-Cardín","given":"Mariana","non-dropping-particle":"","parse-names":false,"suffix":""},{"dropping-particle":"","family":"Barluenga","given":"Marta","non-dropping-particle":"","parse-names":false,"suffix":""},{"dropping-particle":"","family":"Ravinet","given":"Mark","non-dropping-particle":"","parse-names":false,"suffix":""}],"container-title":"Molecular Ecology","id":"ITEM-1","issue":"21","issued":{"date-parts":[["2021"]]},"page":"5551-5571","title":"Pervasive admixture and the spread of a large-lipped form in a cichlid fish radiation","type":"article-journal","volume":"30"},"uris":["http://www.mendeley.com/documents/?uuid=8364c174-5c2a-4258-8785-c10922ff03d7"]}],"mendeley":{"formattedCitation":"[85]","plainTextFormattedCitation":"[85]","previouslyFormattedCitation":"[84]"},"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[85]</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or species that experiment population collapse as </w:t>
      </w:r>
      <w:proofErr w:type="spellStart"/>
      <w:r w:rsidRPr="00F15B9C">
        <w:rPr>
          <w:rFonts w:asciiTheme="majorBidi" w:hAnsiTheme="majorBidi" w:cstheme="majorBidi"/>
          <w:bCs/>
          <w:i/>
          <w:iCs/>
          <w:sz w:val="24"/>
          <w:szCs w:val="24"/>
        </w:rPr>
        <w:t>Oscorhynchus</w:t>
      </w:r>
      <w:proofErr w:type="spellEnd"/>
      <w:r w:rsidRPr="00F15B9C">
        <w:rPr>
          <w:rFonts w:asciiTheme="majorBidi" w:hAnsiTheme="majorBidi" w:cstheme="majorBidi"/>
          <w:bCs/>
          <w:i/>
          <w:iCs/>
          <w:sz w:val="24"/>
          <w:szCs w:val="24"/>
        </w:rPr>
        <w:t xml:space="preserve"> nerka</w:t>
      </w:r>
      <w:r w:rsidRPr="00F15B9C">
        <w:rPr>
          <w:rFonts w:asciiTheme="majorBidi" w:hAnsiTheme="majorBidi" w:cstheme="majorBidi"/>
          <w:bCs/>
          <w:sz w:val="24"/>
          <w:szCs w:val="24"/>
        </w:rPr>
        <w:t xml:space="preserve">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{"citationItems":[{"id":"ITEM-1","itemData":{"DOI":"10.1038/s41598-021-01958-0","ISBN":"0123456789","ISSN":"20452322","PMID":"34815428","abstract":"Historical DNA analysis of archival samples has added new dimensions to population genetic studies, enabling spatiotemporal approaches for reconstructing population history and informing conservation management. Here we tested the efficacy of Genotyping-in-Thousands by sequencing (GT-seq) for collecting targeted single nucleotide polymorphism genotypic data from archival scale samples, and applied this approach to a study of kokanee salmon (Oncorhynchus nerka) in Kluane National Park and Reserve (KNPR; Yukon, Canada) that underwent a severe 12-year population decline followed by a rapid rebound. We genotyped archival scales sampled pre-crash and contemporary fin clips collected post-crash, revealing high coverage (&gt; 90% average genotyping across all individuals) and low genotyping error (&lt; 0.01% within-libraries, 0.60% among-libraries) despite the relatively poor quality of recovered DNA. We observed slight decreases in expected heterozygosity, allelic diversity, and effective population size post-crash, but none were significant, suggesting genetic diversity was retained despite the severe demographic contraction. Genotypic data also revealed the genetic distinctiveness of a now extirpated population just outside of KNPR, revealing biodiversity loss at the northern edge of the species distribution. More broadly, we demonstrated GT-seq as a valuable tool for collecting genome-wide data from archival samples to address basic questions in ecology and evolution, and inform applied research in wildlife conservation and fisheries management.","author":[{"dropping-particle":"","family":"Setzke","given":"Christopher","non-dropping-particle":"","parse-names":false,"suffix":""},{"dropping-particle":"","family":"Wong","given":"Carmen","non-dropping-particle":"","parse-names":false,"suffix":""},{"dropping-particle":"","family":"Russello","given":"Michael A.","non-dropping-particle":"","parse-names":false,"suffix":""}],"container-title":"Scientific Reports","id":"ITEM-1","issue":"1","issued":{"date-parts":[["2021"]]},"page":"1-10","publisher":"Nature Publishing Group UK","title":"Genotyping-in-Thousands by sequencing of archival fish scales reveals maintenance of genetic variation following a severe demographic contraction in kokanee salmon","type":"article-journal","volume":"11"},"uris":["http://www.mendeley.com/documents/?uuid=ab66a477-3536-4231-a7d1-ff34ac10b23b"]}],"mendeley":{"formattedCitation":"[86]","plainTextFormattedCitation":"[86]","previouslyFormattedCitation":"[85]"},"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[86]</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suggesting a </w:t>
      </w:r>
      <w:r w:rsidRPr="00F15B9C">
        <w:rPr>
          <w:rFonts w:asciiTheme="majorBidi" w:hAnsiTheme="majorBidi" w:cstheme="majorBidi"/>
          <w:bCs/>
          <w:sz w:val="24"/>
          <w:szCs w:val="24"/>
        </w:rPr>
        <w:lastRenderedPageBreak/>
        <w:t xml:space="preserve">genetic population effect of historical bottleneck and current fishery exploitation on </w:t>
      </w:r>
      <w:r w:rsidRPr="00F15B9C">
        <w:rPr>
          <w:rFonts w:asciiTheme="majorBidi" w:hAnsiTheme="majorBidi" w:cstheme="majorBidi"/>
          <w:bCs/>
          <w:i/>
          <w:iCs/>
          <w:sz w:val="24"/>
          <w:szCs w:val="24"/>
        </w:rPr>
        <w:t>humboltianum</w:t>
      </w:r>
      <w:r w:rsidRPr="00F15B9C">
        <w:rPr>
          <w:rFonts w:asciiTheme="majorBidi" w:hAnsiTheme="majorBidi" w:cstheme="majorBidi"/>
          <w:bCs/>
          <w:sz w:val="24"/>
          <w:szCs w:val="24"/>
        </w:rPr>
        <w:t xml:space="preserve"> group.</w:t>
      </w:r>
    </w:p>
    <w:p w14:paraId="716DF455" w14:textId="77777777" w:rsidR="00F15B9C" w:rsidRPr="00F15B9C" w:rsidRDefault="00F15B9C" w:rsidP="00F15B9C">
      <w:pPr>
        <w:jc w:val="both"/>
        <w:rPr>
          <w:rFonts w:asciiTheme="majorBidi" w:hAnsiTheme="majorBidi" w:cstheme="majorBidi"/>
          <w:bCs/>
          <w:i/>
          <w:sz w:val="24"/>
          <w:szCs w:val="24"/>
        </w:rPr>
      </w:pPr>
      <w:r w:rsidRPr="00F15B9C">
        <w:rPr>
          <w:rFonts w:asciiTheme="majorBidi" w:hAnsiTheme="majorBidi" w:cstheme="majorBidi"/>
          <w:bCs/>
          <w:sz w:val="24"/>
          <w:szCs w:val="24"/>
        </w:rPr>
        <w:tab/>
        <w:t xml:space="preserve">Although in this study we have no evidence of the presence of hybrid individuals in natural lakes, as has been previously reported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id":"ITEM-2","itemData":{"author":[{"dropping-particle":"","family":"Alaye-Rahy","given":"Norma","non-dropping-particle":"","parse-names":false,"suffix":""}],"container-title":"Ciencia Pesquera","id":"ITEM-2","issued":{"date-parts":[["1996"]]},"page":"10-17","title":"Híbridos entre especies del género Chirostoma del Lago de Pátzcuaro, Michoacán, México","type":"article-journal","volume":"13"},"uris":["http://www.mendeley.com/documents/?uuid=a0caf4ba-9e4a-4c4a-91e0-192fe59fa5f3"]}],"mendeley":{"formattedCitation":"[10, 87]","plainTextFormattedCitation":"[10, 87]","previouslyFormattedCitation":"[10, 86]"},"properties":{"noteIndex":0},"schema":"https://github.com/citation-style-language/schema/raw/master/csl-citation.json"}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[10, 87]</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—despite the frequent translocation events promoted by the aquaculture policies since 1970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{"citationItems":[{"id":"ITEM-1","itemData":{"author":[{"dropping-particle":"","family":"Medina-Nava","given":"Martina","non-dropping-particle":"","parse-names":false,"suffix":""}],"container-title":"Zoología Informa","id":"ITEM-1","issued":{"date-parts":[["1997"]]},"page":"25-52","title":"Ictiofauna de la subcuenca del Río Angulo cuenca del Lerma-Chapala, Michoacán","type":"article-journal","volume":"35"},"uris":["http://www.mendeley.com/documents/?uuid=d83066dd-ab33-4bad-8789-b616320a971f"]},{"id":"ITEM-2","itemData":{"ISBN":"9688005401","author":[{"dropping-particle":"","family":"Rojas-Carrillo","given":"P. M.","non-dropping-particle":"","parse-names":false,"suffix":""},{"dropping-particle":"","family":"Fuentes-Castellanos","given":"D.","non-dropping-particle":"","parse-names":false,"suffix":""}],"id":"ITEM-2","issued":{"date-parts":[["2003"]]},"number-of-pages":"292","publisher":"Instituto Nacional de Pesca, Dirección General de Investigación y Acuacultura","title":"Historia y avances del cultivo del pescado blanco","type":"book"},"uris":["http://www.mendeley.com/documents/?uuid=e23d04ce-2bd7-4b8c-9c7f-14de82de7ab7"]}],"mendeley":{"formattedCitation":"[88, 89]","plainTextFormattedCitation":"[88, 89]","previouslyFormattedCitation":"[87, 88]"},"properties":{"noteIndex":0},"schema":"https://github.com/citation-style-language/schema/raw/master/csl-citation.json"}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[88, 89]</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we detected some hybrid individuals of </w:t>
      </w:r>
      <w:r w:rsidRPr="00F15B9C">
        <w:rPr>
          <w:rFonts w:asciiTheme="majorBidi" w:hAnsiTheme="majorBidi" w:cstheme="majorBidi"/>
          <w:bCs/>
          <w:i/>
          <w:iCs/>
          <w:sz w:val="24"/>
          <w:szCs w:val="24"/>
        </w:rPr>
        <w:t>C. humboldtianum sensu stricto</w:t>
      </w:r>
      <w:r w:rsidRPr="00F15B9C">
        <w:rPr>
          <w:rFonts w:asciiTheme="majorBidi" w:hAnsiTheme="majorBidi" w:cstheme="majorBidi"/>
          <w:bCs/>
          <w:sz w:val="24"/>
          <w:szCs w:val="24"/>
        </w:rPr>
        <w:t xml:space="preserve"> that share genomic information with the sub-clade I from Chapala Lake in artificial dams. These hybrids could be the result of introductions of different species of the </w:t>
      </w:r>
      <w:r w:rsidRPr="00F15B9C">
        <w:rPr>
          <w:rFonts w:asciiTheme="majorBidi" w:hAnsiTheme="majorBidi" w:cstheme="majorBidi"/>
          <w:bCs/>
          <w:iCs/>
          <w:sz w:val="24"/>
          <w:szCs w:val="24"/>
        </w:rPr>
        <w:t>“</w:t>
      </w:r>
      <w:r w:rsidRPr="00F15B9C">
        <w:rPr>
          <w:rFonts w:asciiTheme="majorBidi" w:hAnsiTheme="majorBidi" w:cstheme="majorBidi"/>
          <w:bCs/>
          <w:i/>
          <w:iCs/>
          <w:sz w:val="24"/>
          <w:szCs w:val="24"/>
        </w:rPr>
        <w:t xml:space="preserve">humboltianum </w:t>
      </w:r>
      <w:r w:rsidRPr="00F15B9C">
        <w:rPr>
          <w:rFonts w:asciiTheme="majorBidi" w:hAnsiTheme="majorBidi" w:cstheme="majorBidi"/>
          <w:bCs/>
          <w:sz w:val="24"/>
          <w:szCs w:val="24"/>
        </w:rPr>
        <w:t xml:space="preserve">group” into several artificial dams of the region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{"citationItems":[{"id":"ITEM-1","itemData":{"ISSN":"01888897","abstract":"Chirostoma humboltianum is an endemic species widely distributed in isolated basins of Central México. However, habitat alteration had reduced the range of distribution and led to the local extinction of the species in some basins. During the Miocene these basins were connected, allowing dispersal and colonization of new hydrological systems. Later on, tectonic, volcanic and climatic events of the Plio-Pleistocene promoted continuous periods of isolation and reconnection allowing the species evolve through continuous cycles of expansion and contraction of its distribution. Therefore it is expected that these events have left signals in the geographical distribution and genetic diversity and divergence of existing populations. Although the analysis of genetic diversity and genetic structure in the population becomes an important factor for the conservation of a species, few studies have been made in this taxon. In this study we used a 341pb segment of the domain I of the hypervariable region of the mitochondrial control region to analyze the genetic diversity and their distribution in 20 individuals of each one of six lakes located in central México. The values of haplotypic (0 - 0.938) and nucleotide (0 - 0.0352) diversity suggested continuous periods of expansion and population contraction related with the formation of the lakes during the Pleistocene which is supported by the BSP and mismatch analysis, and recent anthropogenic factors. In addition, the large number of exclusive haplotypes (66%) and the highly significant genetic differentiation among populations suggests that each one of the population must be conserved because each one is an important component in the evolutionary legacy of the species.","author":[{"dropping-particle":"","family":"García Martínez","given":"Rosa M.","non-dropping-particle":"","parse-names":false,"suffix":""},{"dropping-particle":"","family":"Mejía","given":"Omar","non-dropping-particle":"","parse-names":false,"suffix":""},{"dropping-particle":"","family":"García-De León","given":"Francisco Javier","non-dropping-particle":"","parse-names":false,"suffix":""},{"dropping-particle":"","family":"Barriga-Sosa","given":"Irene De Los Angeles","non-dropping-particle":"","parse-names":false,"suffix":""}],"container-title":"Hidrobiologica","id":"ITEM-1","issue":"1","issued":{"date-parts":[["2015"]]},"page":"95-106","title":"Extreme genetic divergence in the endemic fish Chirostoma humboldtianum: Implications for its conservation","type":"article-journal","volume":"25"},"uris":["http://www.mendeley.com/documents/?uuid=6af2eb76-9507-4d2d-963d-980ab3f98913"]},{"id":"ITEM-2","itemData":{"author":[{"dropping-particle":"","family":"Medina-Nava","given":"Martina","non-dropping-particle":"","parse-names":false,"suffix":""}],"container-title":"Zoología Informa","id":"ITEM-2","issued":{"date-parts":[["1997"]]},"page":"25-52","title":"Ictiofauna de la subcuenca del Río Angulo cuenca del Lerma-Chapala, Michoacán","type":"article-journal","volume":"35"},"uris":["http://www.mendeley.com/documents/?uuid=d83066dd-ab33-4bad-8789-b616320a971f"]},{"id":"ITEM-3","itemData":{"abstract":"Se presenta una visión general sobre la situación que guardan las especies del género Chirostoma conocidas como pescado blanco. Se enlistan y se describe su distribución natural y artificial, las principales características de su biología, referidas a sus hábitos alimenticios, crecimiento, madurez sexual y desarrollo larvario y se anotan los principales problemas que enfrenta este grupo de especies en los lagos de Pátzcuaro y Zirahuén en Michoacán y el de Chapala compartido en los estados de Jalisco y Michoacán, -el primero con fuerte presencia indígena- en donde se desarrollaron importantes pesquerías las que actualmente sufren de sobreexplotación, contaminación, pérdida de hábitat, desplazamiento de especies nativas por especies exóticas de menor valor económico, etc. Ante esta problemática se señalan las medidas de manejo y las líneas y estrategias de manejo que dicta la autoridad en la Carta Nacional Pesquera y en la normatividad. Por otro lado, se proponen acciones para la protección y conservación de las especies de pescado blanco, como la necesidad de realizar el saneamiento de las cuencas, la creación de un banco de genoma y el apoyo a la investigación para la acuacultura de estas especies y finalmente se llama la atención acerca de las implicaciones de la Ley de acceso y aprovechamiento de recursos genéticos, aprobada por el Senado en abril de 2005, para estas especies. Dado que este documento no pretendió ser exhaustivo, se señalan ligas para ampliación de la información presentada.","author":[{"dropping-particle":"","family":"Rojas-Carrillo","given":"Patricia","non-dropping-particle":"","parse-names":false,"suffix":""},{"dropping-particle":"","family":"Sasso-Yada","given":"Leonardo F.","non-dropping-particle":"","parse-names":false,"suffix":""}],"container-title":"Revista digital universitaria","id":"ITEM-3","issue":"8","issued":{"date-parts":[["2005"]]},"page":"2-18","title":"El pescado blanco","type":"article-journal","volume":"6"},"uris":["http://www.mendeley.com/documents/?uuid=fffe0926-7135-4867-b4a9-129dac6f2ccf"]}],"mendeley":{"formattedCitation":"[8, 81, 88]","plainTextFormattedCitation":"[8, 81, 88]","previouslyFormattedCitation":"[8, 80, 87]"},"properties":{"noteIndex":0},"schema":"https://github.com/citation-style-language/schema/raw/master/csl-citation.json"}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 81, 88]</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with the purpose to promote artisanal fisheries of this economically important resource and improving the local economy. However, it would be important to evaluate the effectiveness of the introductions in the local fisheries and their impact on natural populations within the </w:t>
      </w:r>
      <w:r w:rsidRPr="00F15B9C">
        <w:rPr>
          <w:rFonts w:asciiTheme="majorBidi" w:hAnsiTheme="majorBidi" w:cstheme="majorBidi"/>
          <w:bCs/>
          <w:i/>
          <w:iCs/>
          <w:sz w:val="24"/>
          <w:szCs w:val="24"/>
        </w:rPr>
        <w:t>humboltianum</w:t>
      </w:r>
      <w:r w:rsidRPr="00F15B9C">
        <w:rPr>
          <w:rFonts w:asciiTheme="majorBidi" w:hAnsiTheme="majorBidi" w:cstheme="majorBidi"/>
          <w:bCs/>
          <w:sz w:val="24"/>
          <w:szCs w:val="24"/>
        </w:rPr>
        <w:t xml:space="preserve"> group. Some hybrid individuals may show hybrid vigor and could become better competitors than local species, making this practice another factor in the degradation of natural populations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{"citationItems":[{"id":"ITEM-1","itemData":{"abstract":"Se presenta una visión general sobre la situación que guardan las especies del género Chirostoma conocidas como pescado blanco. Se enlistan y se describe su distribución natural y artificial, las principales características de su biología, referidas a sus hábitos alimenticios, crecimiento, madurez sexual y desarrollo larvario y se anotan los principales problemas que enfrenta este grupo de especies en los lagos de Pátzcuaro y Zirahuén en Michoacán y el de Chapala compartido en los estados de Jalisco y Michoacán, -el primero con fuerte presencia indígena- en donde se desarrollaron importantes pesquerías las que actualmente sufren de sobreexplotación, contaminación, pérdida de hábitat, desplazamiento de especies nativas por especies exóticas de menor valor económico, etc. Ante esta problemática se señalan las medidas de manejo y las líneas y estrategias de manejo que dicta la autoridad en la Carta Nacional Pesquera y en la normatividad. Por otro lado, se proponen acciones para la protección y conservación de las especies de pescado blanco, como la necesidad de realizar el saneamiento de las cuencas, la creación de un banco de genoma y el apoyo a la investigación para la acuacultura de estas especies y finalmente se llama la atención acerca de las implicaciones de la Ley de acceso y aprovechamiento de recursos genéticos, aprobada por el Senado en abril de 2005, para estas especies. Dado que este documento no pretendió ser exhaustivo, se señalan ligas para ampliación de la información presentada.","author":[{"dropping-particle":"","family":"Rojas-Carrillo","given":"Patricia","non-dropping-particle":"","parse-names":false,"suffix":""},{"dropping-particle":"","family":"Sasso-Yada","given":"Leonardo F.","non-dropping-particle":"","parse-names":false,"suffix":""}],"container-title":"Revista digital universitaria","id":"ITEM-1","issue":"8","issued":{"date-parts":[["2005"]]},"page":"2-18","title":"El pescado blanco","type":"article-journal","volume":"6"},"uris":["http://www.mendeley.com/documents/?uuid=fffe0926-7135-4867-b4a9-129dac6f2ccf"]}],"mendeley":{"formattedCitation":"[8]","plainTextFormattedCitation":"[8]","previouslyFormattedCitation":"[8]"},"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w:t>
      </w:r>
    </w:p>
    <w:p w14:paraId="4AA76694" w14:textId="2243558B" w:rsidR="00F15B9C" w:rsidRDefault="00F15B9C" w:rsidP="0059114E">
      <w:pPr>
        <w:ind w:firstLine="720"/>
        <w:jc w:val="both"/>
        <w:rPr>
          <w:rFonts w:asciiTheme="majorBidi" w:hAnsiTheme="majorBidi" w:cstheme="majorBidi"/>
          <w:bCs/>
          <w:sz w:val="24"/>
          <w:szCs w:val="24"/>
        </w:rPr>
      </w:pPr>
      <w:r w:rsidRPr="00F15B9C">
        <w:rPr>
          <w:rFonts w:asciiTheme="majorBidi" w:hAnsiTheme="majorBidi" w:cstheme="majorBidi"/>
          <w:bCs/>
          <w:i/>
          <w:sz w:val="24"/>
          <w:szCs w:val="24"/>
        </w:rPr>
        <w:t>Chirostoma</w:t>
      </w:r>
      <w:r w:rsidRPr="00F15B9C">
        <w:rPr>
          <w:rFonts w:asciiTheme="majorBidi" w:hAnsiTheme="majorBidi" w:cstheme="majorBidi"/>
          <w:bCs/>
          <w:sz w:val="24"/>
          <w:szCs w:val="24"/>
        </w:rPr>
        <w:t xml:space="preserve"> species represent a highly important economic and cultural resource since pre-Hispanic times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{"citationItems":[{"id":"ITEM-1","itemData":{"abstract":"Se presenta una visión general sobre la situación que guardan las especies del género Chirostoma conocidas como pescado blanco. Se enlistan y se describe su distribución natural y artificial, las principales características de su biología, referidas a sus hábitos alimenticios, crecimiento, madurez sexual y desarrollo larvario y se anotan los principales problemas que enfrenta este grupo de especies en los lagos de Pátzcuaro y Zirahuén en Michoacán y el de Chapala compartido en los estados de Jalisco y Michoacán, -el primero con fuerte presencia indígena- en donde se desarrollaron importantes pesquerías las que actualmente sufren de sobreexplotación, contaminación, pérdida de hábitat, desplazamiento de especies nativas por especies exóticas de menor valor económico, etc. Ante esta problemática se señalan las medidas de manejo y las líneas y estrategias de manejo que dicta la autoridad en la Carta Nacional Pesquera y en la normatividad. Por otro lado, se proponen acciones para la protección y conservación de las especies de pescado blanco, como la necesidad de realizar el saneamiento de las cuencas, la creación de un banco de genoma y el apoyo a la investigación para la acuacultura de estas especies y finalmente se llama la atención acerca de las implicaciones de la Ley de acceso y aprovechamiento de recursos genéticos, aprobada por el Senado en abril de 2005, para estas especies. Dado que este documento no pretendió ser exhaustivo, se señalan ligas para ampliación de la información presentada.","author":[{"dropping-particle":"","family":"Rojas-Carrillo","given":"Patricia","non-dropping-particle":"","parse-names":false,"suffix":""},{"dropping-particle":"","family":"Sasso-Yada","given":"Leonardo F.","non-dropping-particle":"","parse-names":false,"suffix":""}],"container-title":"Revista digital universitaria","id":"ITEM-1","issue":"8","issued":{"date-parts":[["2005"]]},"page":"2-18","title":"El pescado blanco","type":"article-journal","volume":"6"},"uris":["http://www.mendeley.com/documents/?uuid=fffe0926-7135-4867-b4a9-129dac6f2ccf"]}],"mendeley":{"formattedCitation":"[8]","plainTextFormattedCitation":"[8]","previouslyFormattedCitation":"[8]"},"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However, species in this genus have been heavily overfished, leading to the collapse of several populations and severe conservation problems where some species are now considered extinct or in danger of extinction across several locations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{"citationItems":[{"id":"ITEM-1","itemData":{"abstract":"Se presenta una visión general sobre la situación que guardan las especies del género Chirostoma conocidas como pescado blanco. Se enlistan y se describe su distribución natural y artificial, las principales características de su biología, referidas a sus hábitos alimenticios, crecimiento, madurez sexual y desarrollo larvario y se anotan los principales problemas que enfrenta este grupo de especies en los lagos de Pátzcuaro y Zirahuén en Michoacán y el de Chapala compartido en los estados de Jalisco y Michoacán, -el primero con fuerte presencia indígena- en donde se desarrollaron importantes pesquerías las que actualmente sufren de sobreexplotación, contaminación, pérdida de hábitat, desplazamiento de especies nativas por especies exóticas de menor valor económico, etc. Ante esta problemática se señalan las medidas de manejo y las líneas y estrategias de manejo que dicta la autoridad en la Carta Nacional Pesquera y en la normatividad. Por otro lado, se proponen acciones para la protección y conservación de las especies de pescado blanco, como la necesidad de realizar el saneamiento de las cuencas, la creación de un banco de genoma y el apoyo a la investigación para la acuacultura de estas especies y finalmente se llama la atención acerca de las implicaciones de la Ley de acceso y aprovechamiento de recursos genéticos, aprobada por el Senado en abril de 2005, para estas especies. Dado que este documento no pretendió ser exhaustivo, se señalan ligas para ampliación de la información presentada.","author":[{"dropping-particle":"","family":"Rojas-Carrillo","given":"Patricia","non-dropping-particle":"","parse-names":false,"suffix":""},{"dropping-particle":"","family":"Sasso-Yada","given":"Leonardo F.","non-dropping-particle":"","parse-names":false,"suffix":""}],"container-title":"Revista digital universitaria","id":"ITEM-1","issue":"8","issued":{"date-parts":[["2005"]]},"page":"2-18","title":"El pescado blanco","type":"article-journal","volume":"6"},"uris":["http://www.mendeley.com/documents/?uuid=fffe0926-7135-4867-b4a9-129dac6f2ccf"]},{"id":"ITEM-2","itemData":{"author":[{"dropping-particle":"","family":"Alaye-Rahy","given":"Norma","non-dropping-particle":"","parse-names":false,"suffix":""},{"dropping-particle":"","family":"Meléndez-Galicia","given":"Carlos","non-dropping-particle":"","parse-names":false,"suffix":""},{"dropping-particle":"","family":"Romero-Acosta","given":"César","non-dropping-particle":"","parse-names":false,"suffix":""},{"dropping-particle":"","family":"Hernández-Montaño","given":"Daniel","non-dropping-particle":"","parse-names":false,"suffix":""}],"container-title":"Ciencia Pesquera","id":"ITEM-2","issue":"2","issued":{"date-parts":[["2017"]]},"page":"5-16","title":"Estado actual de la pesquería de pescado blanco Chirostoma estor del Lago de Pátzcuaro, Michoacán, México","type":"article-journal","volume":"25"},"uris":["http://www.mendeley.com/documents/?uuid=611a9084-2c42-4038-a527-3d24029fe758"]}],"mendeley":{"formattedCitation":"[8, 9]","plainTextFormattedCitation":"[8, 9]","previouslyFormattedCitation":"[8, 9]"},"properties":{"noteIndex":0},"schema":"https://github.com/citation-style-language/schema/raw/master/csl-citation.json"}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 9]</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Currently, the </w:t>
      </w:r>
      <w:r w:rsidRPr="00F15B9C">
        <w:rPr>
          <w:rFonts w:asciiTheme="majorBidi" w:hAnsiTheme="majorBidi" w:cstheme="majorBidi"/>
          <w:bCs/>
          <w:i/>
          <w:iCs/>
          <w:sz w:val="24"/>
          <w:szCs w:val="24"/>
        </w:rPr>
        <w:t xml:space="preserve">humboldtianum </w:t>
      </w:r>
      <w:r w:rsidRPr="00F15B9C">
        <w:rPr>
          <w:rFonts w:asciiTheme="majorBidi" w:hAnsiTheme="majorBidi" w:cstheme="majorBidi"/>
          <w:bCs/>
          <w:sz w:val="24"/>
          <w:szCs w:val="24"/>
        </w:rPr>
        <w:t xml:space="preserve">group is threatened by several factors, particularly habitat loss, pollution, the introduction of exotic species, and overfishing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{"citationItems":[{"id":"ITEM-1","itemData":{"ISBN":"9780226526041","author":[{"dropping-particle":"","family":"Miller","given":"R R","non-dropping-particle":"","parse-names":false,"suffix":""},{"dropping-particle":"","family":"Minckley","given":"W L","non-dropping-particle":"","parse-names":false,"suffix":""},{"dropping-particle":"","family":"Norris","given":"S M","non-dropping-particle":"","parse-names":false,"suffix":""},{"dropping-particle":"","family":"of Michigan. Museum of Zoology","given":"University","non-dropping-particle":"","parse-names":false,"suffix":""}],"id":"ITEM-1","issued":{"date-parts":[["2005"]]},"publisher":"University of Chicago Press","title":"Freshwater Fishes of México","type":"book"},"uris":["http://www.mendeley.com/documents/?uuid=ec34a980-e2a1-438e-b384-69fd0429827d"]}],"mendeley":{"formattedCitation":"[50]","plainTextFormattedCitation":"[50]","previouslyFormattedCitation":"[50]"},"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[50]</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The decrease of silverside fish populations has also caused the collapse of their fisheries, negatively impacting the local fishermen’s communities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{"citationItems":[{"id":"ITEM-1","itemData":{"abstract":"Se presenta una visión general sobre la situación que guardan las especies del género Chirostoma conocidas como pescado blanco. Se enlistan y se describe su distribución natural y artificial, las principales características de su biología, referidas a sus hábitos alimenticios, crecimiento, madurez sexual y desarrollo larvario y se anotan los principales problemas que enfrenta este grupo de especies en los lagos de Pátzcuaro y Zirahuén en Michoacán y el de Chapala compartido en los estados de Jalisco y Michoacán, -el primero con fuerte presencia indígena- en donde se desarrollaron importantes pesquerías las que actualmente sufren de sobreexplotación, contaminación, pérdida de hábitat, desplazamiento de especies nativas por especies exóticas de menor valor económico, etc. Ante esta problemática se señalan las medidas de manejo y las líneas y estrategias de manejo que dicta la autoridad en la Carta Nacional Pesquera y en la normatividad. Por otro lado, se proponen acciones para la protección y conservación de las especies de pescado blanco, como la necesidad de realizar el saneamiento de las cuencas, la creación de un banco de genoma y el apoyo a la investigación para la acuacultura de estas especies y finalmente se llama la atención acerca de las implicaciones de la Ley de acceso y aprovechamiento de recursos genéticos, aprobada por el Senado en abril de 2005, para estas especies. Dado que este documento no pretendió ser exhaustivo, se señalan ligas para ampliación de la información presentada.","author":[{"dropping-particle":"","family":"Rojas-Carrillo","given":"Patricia","non-dropping-particle":"","parse-names":false,"suffix":""},{"dropping-particle":"","family":"Sasso-Yada","given":"Leonardo F.","non-dropping-particle":"","parse-names":false,"suffix":""}],"container-title":"Revista digital universitaria","id":"ITEM-1","issue":"8","issued":{"date-parts":[["2005"]]},"page":"2-18","title":"El pescado blanco","type":"article-journal","volume":"6"},"uris":["http://www.mendeley.com/documents/?uuid=fffe0926-7135-4867-b4a9-129dac6f2ccf"]}],"mendeley":{"formattedCitation":"[8]","plainTextFormattedCitation":"[8]","previouslyFormattedCitation":"[8]"},"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Another consequence of the over-exploitation of these fishes is the decrease in the capture size and the age of maturity size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{"citationItems":[{"id":"ITEM-1","itemData":{"abstract":"Se presenta una visión general sobre la situación que guardan las especies del género Chirostoma conocidas como pescado blanco. Se enlistan y se describe su distribución natural y artificial, las principales características de su biología, referidas a sus hábitos alimenticios, crecimiento, madurez sexual y desarrollo larvario y se anotan los principales problemas que enfrenta este grupo de especies en los lagos de Pátzcuaro y Zirahuén en Michoacán y el de Chapala compartido en los estados de Jalisco y Michoacán, -el primero con fuerte presencia indígena- en donde se desarrollaron importantes pesquerías las que actualmente sufren de sobreexplotación, contaminación, pérdida de hábitat, desplazamiento de especies nativas por especies exóticas de menor valor económico, etc. Ante esta problemática se señalan las medidas de manejo y las líneas y estrategias de manejo que dicta la autoridad en la Carta Nacional Pesquera y en la normatividad. Por otro lado, se proponen acciones para la protección y conservación de las especies de pescado blanco, como la necesidad de realizar el saneamiento de las cuencas, la creación de un banco de genoma y el apoyo a la investigación para la acuacultura de estas especies y finalmente se llama la atención acerca de las implicaciones de la Ley de acceso y aprovechamiento de recursos genéticos, aprobada por el Senado en abril de 2005, para estas especies. Dado que este documento no pretendió ser exhaustivo, se señalan ligas para ampliación de la información presentada.","author":[{"dropping-particle":"","family":"Rojas-Carrillo","given":"Patricia","non-dropping-particle":"","parse-names":false,"suffix":""},{"dropping-particle":"","family":"Sasso-Yada","given":"Leonardo F.","non-dropping-particle":"","parse-names":false,"suffix":""}],"container-title":"Revista digital universitaria","id":"ITEM-1","issue":"8","issued":{"date-parts":[["2005"]]},"page":"2-18","title":"El pescado blanco","type":"article-journal","volume":"6"},"uris":["http://www.mendeley.com/documents/?uuid=fffe0926-7135-4867-b4a9-129dac6f2ccf"]},{"id":"ITEM-2","itemData":{"author":[{"dropping-particle":"","family":"Alaye-Rahy","given":"Norma","non-dropping-particle":"","parse-names":false,"suffix":""},{"dropping-particle":"","family":"Meléndez-Galicia","given":"Carlos","non-dropping-particle":"","parse-names":false,"suffix":""},{"dropping-particle":"","family":"Romero-Acosta","given":"César","non-dropping-particle":"","parse-names":false,"suffix":""},{"dropping-particle":"","family":"Hernández-Montaño","given":"Daniel","non-dropping-particle":"","parse-names":false,"suffix":""}],"container-title":"Ciencia Pesquera","id":"ITEM-2","issue":"2","issued":{"date-parts":[["2017"]]},"page":"5-16","title":"Estado actual de la pesquería de pescado blanco Chirostoma estor del Lago de Pátzcuaro, Michoacán, México","type":"article-journal","volume":"25"},"uris":["http://www.mendeley.com/documents/?uuid=611a9084-2c42-4038-a527-3d24029fe758"]}],"mendeley":{"formattedCitation":"[8, 9]","plainTextFormattedCitation":"[8, 9]","previouslyFormattedCitation":"[8, 9]"},"properties":{"noteIndex":0},"schema":"https://github.com/citation-style-language/schema/raw/master/csl-citation.json"}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 9]</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Thus, the delimitation of operational genomic units is critical for fisheries management and conservation plans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{"citationItems":[{"id":"ITEM-1","itemData":{"abstract":"Se presenta una visión general sobre la situación que guardan las especies del género Chirostoma conocidas como pescado blanco. Se enlistan y se describe su distribución natural y artificial, las principales características de su biología, referidas a sus hábitos alimenticios, crecimiento, madurez sexual y desarrollo larvario y se anotan los principales problemas que enfrenta este grupo de especies en los lagos de Pátzcuaro y Zirahuén en Michoacán y el de Chapala compartido en los estados de Jalisco y Michoacán, -el primero con fuerte presencia indígena- en donde se desarrollaron importantes pesquerías las que actualmente sufren de sobreexplotación, contaminación, pérdida de hábitat, desplazamiento de especies nativas por especies exóticas de menor valor económico, etc. Ante esta problemática se señalan las medidas de manejo y las líneas y estrategias de manejo que dicta la autoridad en la Carta Nacional Pesquera y en la normatividad. Por otro lado, se proponen acciones para la protección y conservación de las especies de pescado blanco, como la necesidad de realizar el saneamiento de las cuencas, la creación de un banco de genoma y el apoyo a la investigación para la acuacultura de estas especies y finalmente se llama la atención acerca de las implicaciones de la Ley de acceso y aprovechamiento de recursos genéticos, aprobada por el Senado en abril de 2005, para estas especies. Dado que este documento no pretendió ser exhaustivo, se señalan ligas para ampliación de la información presentada.","author":[{"dropping-particle":"","family":"Rojas-Carrillo","given":"Patricia","non-dropping-particle":"","parse-names":false,"suffix":""},{"dropping-particle":"","family":"Sasso-Yada","given":"Leonardo F.","non-dropping-particle":"","parse-names":false,"suffix":""}],"container-title":"Revista digital universitaria","id":"ITEM-1","issue":"8","issued":{"date-parts":[["2005"]]},"page":"2-18","title":"El pescado blanco","type":"article-journal","volume":"6"},"uris":["http://www.mendeley.com/documents/?uuid=fffe0926-7135-4867-b4a9-129dac6f2ccf"]}],"mendeley":{"formattedCitation":"[8]","plainTextFormattedCitation":"[8]","previouslyFormattedCitation":"[8]"},"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[8]</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Additionally, information on the genomic structure and genetic diversity within and between natural populations of the </w:t>
      </w:r>
      <w:r w:rsidRPr="00F15B9C">
        <w:rPr>
          <w:rFonts w:asciiTheme="majorBidi" w:hAnsiTheme="majorBidi" w:cstheme="majorBidi"/>
          <w:bCs/>
          <w:i/>
          <w:iCs/>
          <w:sz w:val="24"/>
          <w:szCs w:val="24"/>
        </w:rPr>
        <w:t>humboldtianum</w:t>
      </w:r>
      <w:r w:rsidRPr="00F15B9C">
        <w:rPr>
          <w:rFonts w:asciiTheme="majorBidi" w:hAnsiTheme="majorBidi" w:cstheme="majorBidi"/>
          <w:bCs/>
          <w:sz w:val="24"/>
          <w:szCs w:val="24"/>
        </w:rPr>
        <w:t xml:space="preserve"> group are crucial to understanding their evolutionary ability to cope with environmental changes </w:t>
      </w:r>
      <w:r w:rsidRPr="00F15B9C">
        <w:rPr>
          <w:rFonts w:asciiTheme="majorBidi" w:hAnsiTheme="majorBidi" w:cstheme="majorBidi"/>
          <w:bCs/>
          <w:sz w:val="24"/>
          <w:szCs w:val="24"/>
        </w:rPr>
        <w:fldChar w:fldCharType="begin" w:fldLock="1"/>
      </w:r>
      <w:r w:rsidRPr="00F15B9C">
        <w:rPr>
          <w:rFonts w:asciiTheme="majorBidi" w:hAnsiTheme="majorBidi" w:cstheme="majorBidi"/>
          <w:bCs/>
          <w:sz w:val="24"/>
          <w:szCs w:val="24"/>
        </w:rPr>
        <w:instrText>ADDIN CSL_CITATION {"citationItems":[{"id":"ITEM-1","itemData":{"DOI":"10.1046/j.1523-1739.2003.01236.x","ISSN":"08888892","abstract":"Genetic diversity is one of the three forms of biodiversity recognized by the World Conservation Union (IUCN) as deserving conservation. The need to conserve genetic diversity within populations is based on two arguments: the necessity of genetic diversity for evolution to occur, and the expected relationship between heterozygosity and population fitness. Because loss of genetic diversity is related to inbreeding, and inbreeding reduces reproductive fitness, a correlation is expected between heterozygosity and population fitness. Long-term effective population size, which determines rates of inbreeding, should also be correlated with fitness. However, other theoretical considerations and empirical observations suggest that the correlation between fitness and heterozygosity may be weak or nonexistent. We used all the data sets we could locate (34) to perform a meta-analysis and resolve the issue. Data sets were included in the study, provided that fitness, or a component of fitness, was measured for three or more populations along with heterozygosity, heritability, and/or population size. The mean weighted correlation between measures of genetic diversity, at the population level, and population fitness was 0.4323. The correlation was highly significant and explained 19% of the variation in fitness. Our study strengthens concerns that the loss of heterozygosity has a deleterious effect on population fitness and supports the IUCN designation of genetic diversity as worthy of conservation.","author":[{"dropping-particle":"","family":"Reed","given":"David H.","non-dropping-particle":"","parse-names":false,"suffix":""},{"dropping-particle":"","family":"Frankham","given":"Richard","non-dropping-particle":"","parse-names":false,"suffix":""}],"container-title":"Conservation Biology","id":"ITEM-1","issue":"1","issued":{"date-parts":[["2003"]]},"page":"230-237","title":"Correlation between fitness and genetic diversity","type":"article-journal","volume":"17"},"uris":["http://www.mendeley.com/documents/?uuid=ce1daaae-1371-4882-858f-80478b8687c0"]}],"mendeley":{"formattedCitation":"[90]","plainTextFormattedCitation":"[90]","previouslyFormattedCitation":"[89]"},"properties":{"noteIndex":0},"schema":"https://github.com/citation-style-language/schema/raw/master/csl-citation.json"}</w:instrText>
      </w:r>
      <w:r w:rsidRPr="00F15B9C">
        <w:rPr>
          <w:rFonts w:asciiTheme="majorBidi" w:hAnsiTheme="majorBidi" w:cstheme="majorBidi"/>
          <w:bCs/>
          <w:sz w:val="24"/>
          <w:szCs w:val="24"/>
        </w:rPr>
        <w:fldChar w:fldCharType="separate"/>
      </w:r>
      <w:r w:rsidRPr="00F15B9C">
        <w:rPr>
          <w:rFonts w:asciiTheme="majorBidi" w:hAnsiTheme="majorBidi" w:cstheme="majorBidi"/>
          <w:bCs/>
          <w:sz w:val="24"/>
          <w:szCs w:val="24"/>
        </w:rPr>
        <w:t>[90]</w:t>
      </w:r>
      <w:r w:rsidRPr="00F15B9C">
        <w:rPr>
          <w:rFonts w:asciiTheme="majorBidi" w:hAnsiTheme="majorBidi" w:cstheme="majorBidi"/>
          <w:bCs/>
          <w:sz w:val="24"/>
          <w:szCs w:val="24"/>
        </w:rPr>
        <w:fldChar w:fldCharType="end"/>
      </w:r>
      <w:r w:rsidRPr="00F15B9C">
        <w:rPr>
          <w:rFonts w:asciiTheme="majorBidi" w:hAnsiTheme="majorBidi" w:cstheme="majorBidi"/>
          <w:bCs/>
          <w:sz w:val="24"/>
          <w:szCs w:val="24"/>
        </w:rPr>
        <w:t xml:space="preserve">. Herein, our results support the presence of four genomic groups within the </w:t>
      </w:r>
      <w:r w:rsidRPr="00F15B9C">
        <w:rPr>
          <w:rFonts w:asciiTheme="majorBidi" w:hAnsiTheme="majorBidi" w:cstheme="majorBidi"/>
          <w:bCs/>
          <w:i/>
          <w:iCs/>
          <w:sz w:val="24"/>
          <w:szCs w:val="24"/>
        </w:rPr>
        <w:t>humboltianum</w:t>
      </w:r>
      <w:r w:rsidRPr="00F15B9C">
        <w:rPr>
          <w:rFonts w:asciiTheme="majorBidi" w:hAnsiTheme="majorBidi" w:cstheme="majorBidi"/>
          <w:bCs/>
          <w:sz w:val="24"/>
          <w:szCs w:val="24"/>
        </w:rPr>
        <w:t xml:space="preserve"> group, distributed in the Lakes Chapala, Pátzcuaro-Zirahuén, and Zacapu. We strongly recommend revising management and conservation plans taking into consideration this new evidence.</w:t>
      </w:r>
    </w:p>
    <w:p w14:paraId="04448EF2" w14:textId="77777777" w:rsidR="001B2940" w:rsidRDefault="001B2940" w:rsidP="001B2940">
      <w:pPr>
        <w:jc w:val="both"/>
        <w:rPr>
          <w:rFonts w:asciiTheme="majorBidi" w:hAnsiTheme="majorBidi" w:cstheme="majorBidi"/>
          <w:iCs/>
          <w:sz w:val="24"/>
          <w:szCs w:val="24"/>
        </w:rPr>
      </w:pPr>
    </w:p>
    <w:p w14:paraId="552C8779" w14:textId="0E2A71CB" w:rsidR="001B2940" w:rsidRPr="007911AC" w:rsidRDefault="001B2940" w:rsidP="001B2940">
      <w:pPr>
        <w:pStyle w:val="ListParagraph"/>
        <w:numPr>
          <w:ilvl w:val="1"/>
          <w:numId w:val="3"/>
        </w:numPr>
        <w:rPr>
          <w:rFonts w:asciiTheme="majorBidi" w:hAnsiTheme="majorBidi" w:cstheme="majorBidi"/>
          <w:b/>
          <w:bCs/>
          <w:sz w:val="32"/>
          <w:szCs w:val="32"/>
        </w:rPr>
      </w:pPr>
      <w:r>
        <w:rPr>
          <w:rFonts w:asciiTheme="majorBidi" w:hAnsiTheme="majorBidi" w:cstheme="majorBidi"/>
          <w:b/>
          <w:bCs/>
          <w:sz w:val="32"/>
          <w:szCs w:val="32"/>
        </w:rPr>
        <w:t>Conclusions</w:t>
      </w:r>
    </w:p>
    <w:p w14:paraId="71BCC3FD" w14:textId="31B0FE4B" w:rsidR="001B2940" w:rsidRDefault="00B60B2E" w:rsidP="001B2940">
      <w:pPr>
        <w:jc w:val="both"/>
        <w:rPr>
          <w:rFonts w:asciiTheme="majorBidi" w:hAnsiTheme="majorBidi" w:cstheme="majorBidi"/>
          <w:bCs/>
          <w:sz w:val="24"/>
          <w:szCs w:val="24"/>
        </w:rPr>
      </w:pPr>
      <w:r w:rsidRPr="00B60B2E">
        <w:rPr>
          <w:rFonts w:asciiTheme="majorBidi" w:hAnsiTheme="majorBidi" w:cstheme="majorBidi"/>
          <w:bCs/>
          <w:sz w:val="24"/>
          <w:szCs w:val="24"/>
        </w:rPr>
        <w:t xml:space="preserve">Overall, our genome-wide analyses implementing ~2K–~33K SNP loci, under the light of morphological and ecological lines of evidence, provided a remarkable resolution to address a convoluted case of species delimitation within the </w:t>
      </w:r>
      <w:r w:rsidRPr="00B60B2E">
        <w:rPr>
          <w:rFonts w:asciiTheme="majorBidi" w:hAnsiTheme="majorBidi" w:cstheme="majorBidi"/>
          <w:bCs/>
          <w:i/>
          <w:iCs/>
          <w:sz w:val="24"/>
          <w:szCs w:val="24"/>
        </w:rPr>
        <w:t>humboldtianum</w:t>
      </w:r>
      <w:r w:rsidRPr="00B60B2E">
        <w:rPr>
          <w:rFonts w:asciiTheme="majorBidi" w:hAnsiTheme="majorBidi" w:cstheme="majorBidi"/>
          <w:bCs/>
          <w:sz w:val="24"/>
          <w:szCs w:val="24"/>
        </w:rPr>
        <w:t xml:space="preserve"> group that was not previously achieved with the use of fewer markers. We resolved four genomic clusters arranged into three geographically cohesive clades (clade I, </w:t>
      </w:r>
      <w:r w:rsidRPr="00B60B2E">
        <w:rPr>
          <w:rFonts w:asciiTheme="majorBidi" w:hAnsiTheme="majorBidi" w:cstheme="majorBidi"/>
          <w:bCs/>
          <w:i/>
          <w:iCs/>
          <w:sz w:val="24"/>
          <w:szCs w:val="24"/>
        </w:rPr>
        <w:t>chapalae</w:t>
      </w:r>
      <w:r w:rsidRPr="00B60B2E">
        <w:rPr>
          <w:rFonts w:asciiTheme="majorBidi" w:hAnsiTheme="majorBidi" w:cstheme="majorBidi"/>
          <w:bCs/>
          <w:sz w:val="24"/>
          <w:szCs w:val="24"/>
        </w:rPr>
        <w:t xml:space="preserve">, and </w:t>
      </w:r>
      <w:r w:rsidRPr="00B60B2E">
        <w:rPr>
          <w:rFonts w:asciiTheme="majorBidi" w:hAnsiTheme="majorBidi" w:cstheme="majorBidi"/>
          <w:bCs/>
          <w:i/>
          <w:iCs/>
          <w:sz w:val="24"/>
          <w:szCs w:val="24"/>
        </w:rPr>
        <w:t>sphyraena</w:t>
      </w:r>
      <w:r w:rsidRPr="00B60B2E">
        <w:rPr>
          <w:rFonts w:asciiTheme="majorBidi" w:hAnsiTheme="majorBidi" w:cstheme="majorBidi"/>
          <w:bCs/>
          <w:sz w:val="24"/>
          <w:szCs w:val="24"/>
        </w:rPr>
        <w:t xml:space="preserve"> groups from Lake Chapala; clade II, </w:t>
      </w:r>
      <w:r w:rsidRPr="00B60B2E">
        <w:rPr>
          <w:rFonts w:asciiTheme="majorBidi" w:hAnsiTheme="majorBidi" w:cstheme="majorBidi"/>
          <w:bCs/>
          <w:i/>
          <w:iCs/>
          <w:sz w:val="24"/>
          <w:szCs w:val="24"/>
        </w:rPr>
        <w:t>humboldtianum sensu stricto</w:t>
      </w:r>
      <w:r w:rsidRPr="00B60B2E">
        <w:rPr>
          <w:rFonts w:asciiTheme="majorBidi" w:hAnsiTheme="majorBidi" w:cstheme="majorBidi"/>
          <w:bCs/>
          <w:sz w:val="24"/>
          <w:szCs w:val="24"/>
        </w:rPr>
        <w:t xml:space="preserve"> group from Lake Zacapu and dams; and clade III, </w:t>
      </w:r>
      <w:r w:rsidRPr="00B60B2E">
        <w:rPr>
          <w:rFonts w:asciiTheme="majorBidi" w:hAnsiTheme="majorBidi" w:cstheme="majorBidi"/>
          <w:bCs/>
          <w:i/>
          <w:iCs/>
          <w:sz w:val="24"/>
          <w:szCs w:val="24"/>
        </w:rPr>
        <w:t>estor</w:t>
      </w:r>
      <w:r w:rsidRPr="00B60B2E">
        <w:rPr>
          <w:rFonts w:asciiTheme="majorBidi" w:hAnsiTheme="majorBidi" w:cstheme="majorBidi"/>
          <w:bCs/>
          <w:sz w:val="24"/>
          <w:szCs w:val="24"/>
        </w:rPr>
        <w:t xml:space="preserve"> group from Lakes Pátzcuaro and Zirahuén). These groups are not in agreement with the previously described morphospecies nor with the ‘peces blancos’ and ‘charales’ ecotypes, for which we reject the morphology-based hypothesis and a scenario of diversification under ecological selection </w:t>
      </w:r>
      <w:r w:rsidRPr="00B60B2E">
        <w:rPr>
          <w:rFonts w:asciiTheme="majorBidi" w:hAnsiTheme="majorBidi" w:cstheme="majorBidi"/>
          <w:bCs/>
          <w:sz w:val="24"/>
          <w:szCs w:val="24"/>
        </w:rPr>
        <w:lastRenderedPageBreak/>
        <w:t xml:space="preserve">driven by the size of the species. All in all, our results suggest that the main cladogenetic events that gave rise to the three clades within the </w:t>
      </w:r>
      <w:r w:rsidRPr="00B60B2E">
        <w:rPr>
          <w:rFonts w:asciiTheme="majorBidi" w:hAnsiTheme="majorBidi" w:cstheme="majorBidi"/>
          <w:bCs/>
          <w:i/>
          <w:iCs/>
          <w:sz w:val="24"/>
          <w:szCs w:val="24"/>
        </w:rPr>
        <w:t>humboldtianum</w:t>
      </w:r>
      <w:r w:rsidRPr="00B60B2E">
        <w:rPr>
          <w:rFonts w:asciiTheme="majorBidi" w:hAnsiTheme="majorBidi" w:cstheme="majorBidi"/>
          <w:bCs/>
          <w:sz w:val="24"/>
          <w:szCs w:val="24"/>
        </w:rPr>
        <w:t xml:space="preserve"> group resulted from allopatric processes generated by the complex geologic history of the Lerma-Chapala paleo system, while the intra-lake divergence of the </w:t>
      </w:r>
      <w:r w:rsidRPr="00B60B2E">
        <w:rPr>
          <w:rFonts w:asciiTheme="majorBidi" w:hAnsiTheme="majorBidi" w:cstheme="majorBidi"/>
          <w:bCs/>
          <w:i/>
          <w:iCs/>
          <w:sz w:val="24"/>
          <w:szCs w:val="24"/>
        </w:rPr>
        <w:t>sphyraena</w:t>
      </w:r>
      <w:r w:rsidRPr="00B60B2E">
        <w:rPr>
          <w:rFonts w:asciiTheme="majorBidi" w:hAnsiTheme="majorBidi" w:cstheme="majorBidi"/>
          <w:bCs/>
          <w:sz w:val="24"/>
          <w:szCs w:val="24"/>
        </w:rPr>
        <w:t xml:space="preserve"> group could be the product of ecological speciation—a hypothesis that needs further investigation. Finally, the low levels of genetic diversity and </w:t>
      </w:r>
      <w:r w:rsidRPr="00B60B2E">
        <w:rPr>
          <w:rFonts w:asciiTheme="majorBidi" w:hAnsiTheme="majorBidi" w:cstheme="majorBidi"/>
          <w:bCs/>
          <w:i/>
          <w:iCs/>
          <w:sz w:val="24"/>
          <w:szCs w:val="24"/>
        </w:rPr>
        <w:t>Ne</w:t>
      </w:r>
      <w:r w:rsidRPr="00B60B2E">
        <w:rPr>
          <w:rFonts w:asciiTheme="majorBidi" w:hAnsiTheme="majorBidi" w:cstheme="majorBidi"/>
          <w:bCs/>
          <w:sz w:val="24"/>
          <w:szCs w:val="24"/>
        </w:rPr>
        <w:t xml:space="preserve"> values observed inside each genomic cluster should be considered to address their conservation status. It is critical to highlight that lumping the nine morphospecies into three does not imply reducing conservation efforts but enforcing the inclusion of molecular information to create management strategies and conservation plans. All in all, our study represents a rare case where the use of genome-wide data evidence taxonomic over-splitting based on morphological information, while it emphasizes that the use of integrative approaches is fundamental to address complex species delimitation scenarios.</w:t>
      </w:r>
    </w:p>
    <w:p w14:paraId="042CD7D7" w14:textId="77777777" w:rsidR="002954ED" w:rsidRDefault="002954ED" w:rsidP="001B2940">
      <w:pPr>
        <w:jc w:val="both"/>
        <w:rPr>
          <w:rFonts w:asciiTheme="majorBidi" w:hAnsiTheme="majorBidi" w:cstheme="majorBidi"/>
          <w:bCs/>
          <w:sz w:val="24"/>
          <w:szCs w:val="24"/>
        </w:rPr>
      </w:pPr>
    </w:p>
    <w:p w14:paraId="0FA18389" w14:textId="6D79B253" w:rsidR="001B2940" w:rsidRPr="007911AC" w:rsidRDefault="001B2940" w:rsidP="001B2940">
      <w:pPr>
        <w:pStyle w:val="ListParagraph"/>
        <w:numPr>
          <w:ilvl w:val="1"/>
          <w:numId w:val="3"/>
        </w:numPr>
        <w:rPr>
          <w:rFonts w:asciiTheme="majorBidi" w:hAnsiTheme="majorBidi" w:cstheme="majorBidi"/>
          <w:b/>
          <w:bCs/>
          <w:sz w:val="32"/>
          <w:szCs w:val="32"/>
        </w:rPr>
      </w:pPr>
      <w:r>
        <w:rPr>
          <w:rFonts w:asciiTheme="majorBidi" w:hAnsiTheme="majorBidi" w:cstheme="majorBidi"/>
          <w:b/>
          <w:bCs/>
          <w:sz w:val="32"/>
          <w:szCs w:val="32"/>
        </w:rPr>
        <w:t>References</w:t>
      </w:r>
    </w:p>
    <w:p w14:paraId="086B5E0B"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1. De Queiroz K. Species Concepts and Species Delimitation. Syst Biol. 2007;56:879–86.</w:t>
      </w:r>
    </w:p>
    <w:p w14:paraId="1A037283"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2. Parker E, </w:t>
      </w:r>
      <w:proofErr w:type="spellStart"/>
      <w:r w:rsidRPr="0009479C">
        <w:rPr>
          <w:rFonts w:asciiTheme="majorBidi" w:hAnsiTheme="majorBidi" w:cstheme="majorBidi"/>
          <w:bCs/>
          <w:sz w:val="24"/>
          <w:szCs w:val="24"/>
        </w:rPr>
        <w:t>Dornburg</w:t>
      </w:r>
      <w:proofErr w:type="spellEnd"/>
      <w:r w:rsidRPr="0009479C">
        <w:rPr>
          <w:rFonts w:asciiTheme="majorBidi" w:hAnsiTheme="majorBidi" w:cstheme="majorBidi"/>
          <w:bCs/>
          <w:sz w:val="24"/>
          <w:szCs w:val="24"/>
        </w:rPr>
        <w:t xml:space="preserve"> A, Struthers CD, Jones CD, Near TJ. Phylogenomic Species Delimitation Dramatically Reduces Species Diversity in an Antarctic Adaptive Radiation. </w:t>
      </w:r>
      <w:r w:rsidRPr="0009479C">
        <w:rPr>
          <w:rFonts w:asciiTheme="majorBidi" w:hAnsiTheme="majorBidi" w:cstheme="majorBidi"/>
          <w:bCs/>
          <w:i/>
          <w:iCs/>
          <w:sz w:val="24"/>
          <w:szCs w:val="24"/>
        </w:rPr>
        <w:t>Syst Biol</w:t>
      </w:r>
      <w:r w:rsidRPr="0009479C">
        <w:rPr>
          <w:rFonts w:asciiTheme="majorBidi" w:hAnsiTheme="majorBidi" w:cstheme="majorBidi"/>
          <w:bCs/>
          <w:sz w:val="24"/>
          <w:szCs w:val="24"/>
        </w:rPr>
        <w:t>. 2021;</w:t>
      </w:r>
      <w:r w:rsidRPr="0009479C">
        <w:rPr>
          <w:rFonts w:asciiTheme="majorBidi" w:hAnsiTheme="majorBidi" w:cstheme="majorBidi"/>
          <w:b/>
          <w:sz w:val="24"/>
          <w:szCs w:val="24"/>
        </w:rPr>
        <w:t>0</w:t>
      </w:r>
      <w:r w:rsidRPr="0009479C">
        <w:rPr>
          <w:rFonts w:asciiTheme="majorBidi" w:hAnsiTheme="majorBidi" w:cstheme="majorBidi"/>
          <w:bCs/>
          <w:sz w:val="24"/>
          <w:szCs w:val="24"/>
        </w:rPr>
        <w:t>:1–20.</w:t>
      </w:r>
    </w:p>
    <w:p w14:paraId="114CCD01"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3. </w:t>
      </w:r>
      <w:proofErr w:type="spellStart"/>
      <w:r w:rsidRPr="0009479C">
        <w:rPr>
          <w:rFonts w:asciiTheme="majorBidi" w:hAnsiTheme="majorBidi" w:cstheme="majorBidi"/>
          <w:bCs/>
          <w:sz w:val="24"/>
          <w:szCs w:val="24"/>
        </w:rPr>
        <w:t>Schunter</w:t>
      </w:r>
      <w:proofErr w:type="spellEnd"/>
      <w:r w:rsidRPr="0009479C">
        <w:rPr>
          <w:rFonts w:asciiTheme="majorBidi" w:hAnsiTheme="majorBidi" w:cstheme="majorBidi"/>
          <w:bCs/>
          <w:sz w:val="24"/>
          <w:szCs w:val="24"/>
        </w:rPr>
        <w:t xml:space="preserve"> C, Garza JC, Macpherson E, Pascual M. SNP development from RNA-seq data in a </w:t>
      </w:r>
      <w:proofErr w:type="spellStart"/>
      <w:r w:rsidRPr="0009479C">
        <w:rPr>
          <w:rFonts w:asciiTheme="majorBidi" w:hAnsiTheme="majorBidi" w:cstheme="majorBidi"/>
          <w:bCs/>
          <w:sz w:val="24"/>
          <w:szCs w:val="24"/>
        </w:rPr>
        <w:t>nonmodel</w:t>
      </w:r>
      <w:proofErr w:type="spellEnd"/>
      <w:r w:rsidRPr="0009479C">
        <w:rPr>
          <w:rFonts w:asciiTheme="majorBidi" w:hAnsiTheme="majorBidi" w:cstheme="majorBidi"/>
          <w:bCs/>
          <w:sz w:val="24"/>
          <w:szCs w:val="24"/>
        </w:rPr>
        <w:t xml:space="preserve"> fish: How many individuals are needed for accurate allele frequency prediction? </w:t>
      </w:r>
      <w:r w:rsidRPr="0009479C">
        <w:rPr>
          <w:rFonts w:asciiTheme="majorBidi" w:hAnsiTheme="majorBidi" w:cstheme="majorBidi"/>
          <w:bCs/>
          <w:i/>
          <w:iCs/>
          <w:sz w:val="24"/>
          <w:szCs w:val="24"/>
        </w:rPr>
        <w:t xml:space="preserve">Mol </w:t>
      </w:r>
      <w:proofErr w:type="spellStart"/>
      <w:r w:rsidRPr="0009479C">
        <w:rPr>
          <w:rFonts w:asciiTheme="majorBidi" w:hAnsiTheme="majorBidi" w:cstheme="majorBidi"/>
          <w:bCs/>
          <w:i/>
          <w:iCs/>
          <w:sz w:val="24"/>
          <w:szCs w:val="24"/>
        </w:rPr>
        <w:t>Ecol</w:t>
      </w:r>
      <w:proofErr w:type="spellEnd"/>
      <w:r w:rsidRPr="0009479C">
        <w:rPr>
          <w:rFonts w:asciiTheme="majorBidi" w:hAnsiTheme="majorBidi" w:cstheme="majorBidi"/>
          <w:bCs/>
          <w:i/>
          <w:iCs/>
          <w:sz w:val="24"/>
          <w:szCs w:val="24"/>
        </w:rPr>
        <w:t xml:space="preserve"> </w:t>
      </w:r>
      <w:proofErr w:type="spellStart"/>
      <w:r w:rsidRPr="0009479C">
        <w:rPr>
          <w:rFonts w:asciiTheme="majorBidi" w:hAnsiTheme="majorBidi" w:cstheme="majorBidi"/>
          <w:bCs/>
          <w:i/>
          <w:iCs/>
          <w:sz w:val="24"/>
          <w:szCs w:val="24"/>
        </w:rPr>
        <w:t>Resour</w:t>
      </w:r>
      <w:proofErr w:type="spellEnd"/>
      <w:r w:rsidRPr="0009479C">
        <w:rPr>
          <w:rFonts w:asciiTheme="majorBidi" w:hAnsiTheme="majorBidi" w:cstheme="majorBidi"/>
          <w:bCs/>
          <w:sz w:val="24"/>
          <w:szCs w:val="24"/>
        </w:rPr>
        <w:t>. 2014;</w:t>
      </w:r>
      <w:r w:rsidRPr="0009479C">
        <w:rPr>
          <w:rFonts w:asciiTheme="majorBidi" w:hAnsiTheme="majorBidi" w:cstheme="majorBidi"/>
          <w:b/>
          <w:sz w:val="24"/>
          <w:szCs w:val="24"/>
        </w:rPr>
        <w:t>14</w:t>
      </w:r>
      <w:r w:rsidRPr="0009479C">
        <w:rPr>
          <w:rFonts w:asciiTheme="majorBidi" w:hAnsiTheme="majorBidi" w:cstheme="majorBidi"/>
          <w:bCs/>
          <w:sz w:val="24"/>
          <w:szCs w:val="24"/>
        </w:rPr>
        <w:t>:157–65.</w:t>
      </w:r>
    </w:p>
    <w:p w14:paraId="4A6168CB" w14:textId="3DE671DC"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4. Sukumaran J, Knowles LL. Multispecies coalescent delimits structure, not species. </w:t>
      </w:r>
      <w:r w:rsidRPr="0009479C">
        <w:rPr>
          <w:rFonts w:asciiTheme="majorBidi" w:hAnsiTheme="majorBidi" w:cstheme="majorBidi"/>
          <w:bCs/>
          <w:i/>
          <w:iCs/>
          <w:sz w:val="24"/>
          <w:szCs w:val="24"/>
        </w:rPr>
        <w:t xml:space="preserve">Proc Natl </w:t>
      </w:r>
      <w:proofErr w:type="spellStart"/>
      <w:r w:rsidRPr="0009479C">
        <w:rPr>
          <w:rFonts w:asciiTheme="majorBidi" w:hAnsiTheme="majorBidi" w:cstheme="majorBidi"/>
          <w:bCs/>
          <w:i/>
          <w:iCs/>
          <w:sz w:val="24"/>
          <w:szCs w:val="24"/>
        </w:rPr>
        <w:t>Acad</w:t>
      </w:r>
      <w:proofErr w:type="spellEnd"/>
      <w:r w:rsidRPr="0009479C">
        <w:rPr>
          <w:rFonts w:asciiTheme="majorBidi" w:hAnsiTheme="majorBidi" w:cstheme="majorBidi"/>
          <w:bCs/>
          <w:i/>
          <w:iCs/>
          <w:sz w:val="24"/>
          <w:szCs w:val="24"/>
        </w:rPr>
        <w:t xml:space="preserve"> Sci</w:t>
      </w:r>
      <w:r w:rsidRPr="0009479C">
        <w:rPr>
          <w:rFonts w:asciiTheme="majorBidi" w:hAnsiTheme="majorBidi" w:cstheme="majorBidi"/>
          <w:bCs/>
          <w:sz w:val="24"/>
          <w:szCs w:val="24"/>
        </w:rPr>
        <w:t xml:space="preserve"> USA. 2017;</w:t>
      </w:r>
      <w:r w:rsidRPr="0009479C">
        <w:rPr>
          <w:rFonts w:asciiTheme="majorBidi" w:hAnsiTheme="majorBidi" w:cstheme="majorBidi"/>
          <w:b/>
          <w:sz w:val="24"/>
          <w:szCs w:val="24"/>
        </w:rPr>
        <w:t>114</w:t>
      </w:r>
      <w:r w:rsidRPr="0009479C">
        <w:rPr>
          <w:rFonts w:asciiTheme="majorBidi" w:hAnsiTheme="majorBidi" w:cstheme="majorBidi"/>
          <w:bCs/>
          <w:sz w:val="24"/>
          <w:szCs w:val="24"/>
        </w:rPr>
        <w:t>:1607–11.</w:t>
      </w:r>
    </w:p>
    <w:p w14:paraId="15FE0DE3"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5. Chambers EA, Hillis DM. The multispecies coalescent over-splits species in the case of geographically widespread taxa. </w:t>
      </w:r>
      <w:r w:rsidRPr="0009479C">
        <w:rPr>
          <w:rFonts w:asciiTheme="majorBidi" w:hAnsiTheme="majorBidi" w:cstheme="majorBidi"/>
          <w:bCs/>
          <w:i/>
          <w:iCs/>
          <w:sz w:val="24"/>
          <w:szCs w:val="24"/>
        </w:rPr>
        <w:t>Syst Biol.</w:t>
      </w:r>
      <w:r w:rsidRPr="0009479C">
        <w:rPr>
          <w:rFonts w:asciiTheme="majorBidi" w:hAnsiTheme="majorBidi" w:cstheme="majorBidi"/>
          <w:bCs/>
          <w:sz w:val="24"/>
          <w:szCs w:val="24"/>
        </w:rPr>
        <w:t xml:space="preserve"> 2020;</w:t>
      </w:r>
      <w:r w:rsidRPr="0009479C">
        <w:rPr>
          <w:rFonts w:asciiTheme="majorBidi" w:hAnsiTheme="majorBidi" w:cstheme="majorBidi"/>
          <w:b/>
          <w:sz w:val="24"/>
          <w:szCs w:val="24"/>
        </w:rPr>
        <w:t>69</w:t>
      </w:r>
      <w:r w:rsidRPr="0009479C">
        <w:rPr>
          <w:rFonts w:asciiTheme="majorBidi" w:hAnsiTheme="majorBidi" w:cstheme="majorBidi"/>
          <w:bCs/>
          <w:sz w:val="24"/>
          <w:szCs w:val="24"/>
        </w:rPr>
        <w:t>:184–93.</w:t>
      </w:r>
    </w:p>
    <w:p w14:paraId="4E6784A5"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6. Hillis DM, Chambers EA, Devitt TJ. Contemporary Methods and Evidence for Species Delimitation. </w:t>
      </w:r>
      <w:r w:rsidRPr="006921CD">
        <w:rPr>
          <w:rFonts w:asciiTheme="majorBidi" w:hAnsiTheme="majorBidi" w:cstheme="majorBidi"/>
          <w:bCs/>
          <w:i/>
          <w:iCs/>
          <w:sz w:val="24"/>
          <w:szCs w:val="24"/>
        </w:rPr>
        <w:t xml:space="preserve">Ichthyol </w:t>
      </w:r>
      <w:proofErr w:type="spellStart"/>
      <w:r w:rsidRPr="006921CD">
        <w:rPr>
          <w:rFonts w:asciiTheme="majorBidi" w:hAnsiTheme="majorBidi" w:cstheme="majorBidi"/>
          <w:bCs/>
          <w:i/>
          <w:iCs/>
          <w:sz w:val="24"/>
          <w:szCs w:val="24"/>
        </w:rPr>
        <w:t>Herpetol</w:t>
      </w:r>
      <w:proofErr w:type="spellEnd"/>
      <w:r w:rsidRPr="006921CD">
        <w:rPr>
          <w:rFonts w:asciiTheme="majorBidi" w:hAnsiTheme="majorBidi" w:cstheme="majorBidi"/>
          <w:bCs/>
          <w:i/>
          <w:iCs/>
          <w:sz w:val="24"/>
          <w:szCs w:val="24"/>
        </w:rPr>
        <w:t>.</w:t>
      </w:r>
      <w:r w:rsidRPr="0009479C">
        <w:rPr>
          <w:rFonts w:asciiTheme="majorBidi" w:hAnsiTheme="majorBidi" w:cstheme="majorBidi"/>
          <w:bCs/>
          <w:sz w:val="24"/>
          <w:szCs w:val="24"/>
        </w:rPr>
        <w:t xml:space="preserve"> 2021;</w:t>
      </w:r>
      <w:r w:rsidRPr="006921CD">
        <w:rPr>
          <w:rFonts w:asciiTheme="majorBidi" w:hAnsiTheme="majorBidi" w:cstheme="majorBidi"/>
          <w:b/>
          <w:sz w:val="24"/>
          <w:szCs w:val="24"/>
        </w:rPr>
        <w:t>109</w:t>
      </w:r>
      <w:r w:rsidRPr="0009479C">
        <w:rPr>
          <w:rFonts w:asciiTheme="majorBidi" w:hAnsiTheme="majorBidi" w:cstheme="majorBidi"/>
          <w:bCs/>
          <w:sz w:val="24"/>
          <w:szCs w:val="24"/>
        </w:rPr>
        <w:t>:895–903.</w:t>
      </w:r>
    </w:p>
    <w:p w14:paraId="74589D35"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 Wiens JJ. Species delimitation: New approaches for discovering diversity. </w:t>
      </w:r>
      <w:r w:rsidRPr="006921CD">
        <w:rPr>
          <w:rFonts w:asciiTheme="majorBidi" w:hAnsiTheme="majorBidi" w:cstheme="majorBidi"/>
          <w:bCs/>
          <w:i/>
          <w:iCs/>
          <w:sz w:val="24"/>
          <w:szCs w:val="24"/>
        </w:rPr>
        <w:t>Syst Biol.</w:t>
      </w:r>
      <w:r w:rsidRPr="0009479C">
        <w:rPr>
          <w:rFonts w:asciiTheme="majorBidi" w:hAnsiTheme="majorBidi" w:cstheme="majorBidi"/>
          <w:bCs/>
          <w:sz w:val="24"/>
          <w:szCs w:val="24"/>
        </w:rPr>
        <w:t xml:space="preserve"> 2007;</w:t>
      </w:r>
      <w:r w:rsidRPr="006921CD">
        <w:rPr>
          <w:rFonts w:asciiTheme="majorBidi" w:hAnsiTheme="majorBidi" w:cstheme="majorBidi"/>
          <w:b/>
          <w:sz w:val="24"/>
          <w:szCs w:val="24"/>
        </w:rPr>
        <w:t>56</w:t>
      </w:r>
      <w:r w:rsidRPr="0009479C">
        <w:rPr>
          <w:rFonts w:asciiTheme="majorBidi" w:hAnsiTheme="majorBidi" w:cstheme="majorBidi"/>
          <w:bCs/>
          <w:sz w:val="24"/>
          <w:szCs w:val="24"/>
        </w:rPr>
        <w:t>:875–8.</w:t>
      </w:r>
    </w:p>
    <w:p w14:paraId="0693F058"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8. Rojas-Carrillo P, </w:t>
      </w:r>
      <w:proofErr w:type="spellStart"/>
      <w:r w:rsidRPr="0009479C">
        <w:rPr>
          <w:rFonts w:asciiTheme="majorBidi" w:hAnsiTheme="majorBidi" w:cstheme="majorBidi"/>
          <w:bCs/>
          <w:sz w:val="24"/>
          <w:szCs w:val="24"/>
        </w:rPr>
        <w:t>Sasso</w:t>
      </w:r>
      <w:proofErr w:type="spellEnd"/>
      <w:r w:rsidRPr="0009479C">
        <w:rPr>
          <w:rFonts w:asciiTheme="majorBidi" w:hAnsiTheme="majorBidi" w:cstheme="majorBidi"/>
          <w:bCs/>
          <w:sz w:val="24"/>
          <w:szCs w:val="24"/>
        </w:rPr>
        <w:t xml:space="preserve">-Yada LF. El </w:t>
      </w:r>
      <w:proofErr w:type="spellStart"/>
      <w:r w:rsidRPr="0009479C">
        <w:rPr>
          <w:rFonts w:asciiTheme="majorBidi" w:hAnsiTheme="majorBidi" w:cstheme="majorBidi"/>
          <w:bCs/>
          <w:sz w:val="24"/>
          <w:szCs w:val="24"/>
        </w:rPr>
        <w:t>pescado</w:t>
      </w:r>
      <w:proofErr w:type="spellEnd"/>
      <w:r w:rsidRPr="0009479C">
        <w:rPr>
          <w:rFonts w:asciiTheme="majorBidi" w:hAnsiTheme="majorBidi" w:cstheme="majorBidi"/>
          <w:bCs/>
          <w:sz w:val="24"/>
          <w:szCs w:val="24"/>
        </w:rPr>
        <w:t xml:space="preserve"> blanco. </w:t>
      </w:r>
      <w:r w:rsidRPr="006921CD">
        <w:rPr>
          <w:rFonts w:asciiTheme="majorBidi" w:hAnsiTheme="majorBidi" w:cstheme="majorBidi"/>
          <w:bCs/>
          <w:i/>
          <w:iCs/>
          <w:sz w:val="24"/>
          <w:szCs w:val="24"/>
        </w:rPr>
        <w:t>Rev Digit Univ</w:t>
      </w:r>
      <w:r w:rsidRPr="0009479C">
        <w:rPr>
          <w:rFonts w:asciiTheme="majorBidi" w:hAnsiTheme="majorBidi" w:cstheme="majorBidi"/>
          <w:bCs/>
          <w:sz w:val="24"/>
          <w:szCs w:val="24"/>
        </w:rPr>
        <w:t>. 2005;</w:t>
      </w:r>
      <w:r w:rsidRPr="006921CD">
        <w:rPr>
          <w:rFonts w:asciiTheme="majorBidi" w:hAnsiTheme="majorBidi" w:cstheme="majorBidi"/>
          <w:b/>
          <w:sz w:val="24"/>
          <w:szCs w:val="24"/>
        </w:rPr>
        <w:t>6</w:t>
      </w:r>
      <w:r w:rsidRPr="0009479C">
        <w:rPr>
          <w:rFonts w:asciiTheme="majorBidi" w:hAnsiTheme="majorBidi" w:cstheme="majorBidi"/>
          <w:bCs/>
          <w:sz w:val="24"/>
          <w:szCs w:val="24"/>
        </w:rPr>
        <w:t>:2–18.</w:t>
      </w:r>
    </w:p>
    <w:p w14:paraId="74781DA2"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9. </w:t>
      </w:r>
      <w:proofErr w:type="spellStart"/>
      <w:r w:rsidRPr="0009479C">
        <w:rPr>
          <w:rFonts w:asciiTheme="majorBidi" w:hAnsiTheme="majorBidi" w:cstheme="majorBidi"/>
          <w:bCs/>
          <w:sz w:val="24"/>
          <w:szCs w:val="24"/>
        </w:rPr>
        <w:t>Alaye-Rahy</w:t>
      </w:r>
      <w:proofErr w:type="spellEnd"/>
      <w:r w:rsidRPr="0009479C">
        <w:rPr>
          <w:rFonts w:asciiTheme="majorBidi" w:hAnsiTheme="majorBidi" w:cstheme="majorBidi"/>
          <w:bCs/>
          <w:sz w:val="24"/>
          <w:szCs w:val="24"/>
        </w:rPr>
        <w:t xml:space="preserve"> N, Meléndez-Galicia C, Romero-Acosta C, Hernández-</w:t>
      </w:r>
      <w:proofErr w:type="spellStart"/>
      <w:r w:rsidRPr="0009479C">
        <w:rPr>
          <w:rFonts w:asciiTheme="majorBidi" w:hAnsiTheme="majorBidi" w:cstheme="majorBidi"/>
          <w:bCs/>
          <w:sz w:val="24"/>
          <w:szCs w:val="24"/>
        </w:rPr>
        <w:t>Montaño</w:t>
      </w:r>
      <w:proofErr w:type="spellEnd"/>
      <w:r w:rsidRPr="0009479C">
        <w:rPr>
          <w:rFonts w:asciiTheme="majorBidi" w:hAnsiTheme="majorBidi" w:cstheme="majorBidi"/>
          <w:bCs/>
          <w:sz w:val="24"/>
          <w:szCs w:val="24"/>
        </w:rPr>
        <w:t xml:space="preserve"> D. Estado actual de la </w:t>
      </w:r>
      <w:proofErr w:type="spellStart"/>
      <w:r w:rsidRPr="0009479C">
        <w:rPr>
          <w:rFonts w:asciiTheme="majorBidi" w:hAnsiTheme="majorBidi" w:cstheme="majorBidi"/>
          <w:bCs/>
          <w:sz w:val="24"/>
          <w:szCs w:val="24"/>
        </w:rPr>
        <w:t>pesquería</w:t>
      </w:r>
      <w:proofErr w:type="spellEnd"/>
      <w:r w:rsidRPr="0009479C">
        <w:rPr>
          <w:rFonts w:asciiTheme="majorBidi" w:hAnsiTheme="majorBidi" w:cstheme="majorBidi"/>
          <w:bCs/>
          <w:sz w:val="24"/>
          <w:szCs w:val="24"/>
        </w:rPr>
        <w:t xml:space="preserve"> de </w:t>
      </w:r>
      <w:proofErr w:type="spellStart"/>
      <w:r w:rsidRPr="0009479C">
        <w:rPr>
          <w:rFonts w:asciiTheme="majorBidi" w:hAnsiTheme="majorBidi" w:cstheme="majorBidi"/>
          <w:bCs/>
          <w:sz w:val="24"/>
          <w:szCs w:val="24"/>
        </w:rPr>
        <w:t>pescado</w:t>
      </w:r>
      <w:proofErr w:type="spellEnd"/>
      <w:r w:rsidRPr="0009479C">
        <w:rPr>
          <w:rFonts w:asciiTheme="majorBidi" w:hAnsiTheme="majorBidi" w:cstheme="majorBidi"/>
          <w:bCs/>
          <w:sz w:val="24"/>
          <w:szCs w:val="24"/>
        </w:rPr>
        <w:t xml:space="preserve"> blanco Chirostoma estor del Lago de Pátzcuaro, Michoacán, México. </w:t>
      </w:r>
      <w:proofErr w:type="spellStart"/>
      <w:r w:rsidRPr="006921CD">
        <w:rPr>
          <w:rFonts w:asciiTheme="majorBidi" w:hAnsiTheme="majorBidi" w:cstheme="majorBidi"/>
          <w:bCs/>
          <w:i/>
          <w:iCs/>
          <w:sz w:val="24"/>
          <w:szCs w:val="24"/>
        </w:rPr>
        <w:t>Cienc</w:t>
      </w:r>
      <w:proofErr w:type="spellEnd"/>
      <w:r w:rsidRPr="006921CD">
        <w:rPr>
          <w:rFonts w:asciiTheme="majorBidi" w:hAnsiTheme="majorBidi" w:cstheme="majorBidi"/>
          <w:bCs/>
          <w:i/>
          <w:iCs/>
          <w:sz w:val="24"/>
          <w:szCs w:val="24"/>
        </w:rPr>
        <w:t xml:space="preserve"> </w:t>
      </w:r>
      <w:proofErr w:type="spellStart"/>
      <w:r w:rsidRPr="006921CD">
        <w:rPr>
          <w:rFonts w:asciiTheme="majorBidi" w:hAnsiTheme="majorBidi" w:cstheme="majorBidi"/>
          <w:bCs/>
          <w:i/>
          <w:iCs/>
          <w:sz w:val="24"/>
          <w:szCs w:val="24"/>
        </w:rPr>
        <w:t>Pesq</w:t>
      </w:r>
      <w:proofErr w:type="spellEnd"/>
      <w:r w:rsidRPr="006921CD">
        <w:rPr>
          <w:rFonts w:asciiTheme="majorBidi" w:hAnsiTheme="majorBidi" w:cstheme="majorBidi"/>
          <w:bCs/>
          <w:i/>
          <w:iCs/>
          <w:sz w:val="24"/>
          <w:szCs w:val="24"/>
        </w:rPr>
        <w:t>.</w:t>
      </w:r>
      <w:r w:rsidRPr="0009479C">
        <w:rPr>
          <w:rFonts w:asciiTheme="majorBidi" w:hAnsiTheme="majorBidi" w:cstheme="majorBidi"/>
          <w:bCs/>
          <w:sz w:val="24"/>
          <w:szCs w:val="24"/>
        </w:rPr>
        <w:t xml:space="preserve"> 2017;</w:t>
      </w:r>
      <w:r w:rsidRPr="006921CD">
        <w:rPr>
          <w:rFonts w:asciiTheme="majorBidi" w:hAnsiTheme="majorBidi" w:cstheme="majorBidi"/>
          <w:b/>
          <w:sz w:val="24"/>
          <w:szCs w:val="24"/>
        </w:rPr>
        <w:t>25</w:t>
      </w:r>
      <w:r w:rsidRPr="0009479C">
        <w:rPr>
          <w:rFonts w:asciiTheme="majorBidi" w:hAnsiTheme="majorBidi" w:cstheme="majorBidi"/>
          <w:bCs/>
          <w:sz w:val="24"/>
          <w:szCs w:val="24"/>
        </w:rPr>
        <w:t>:5–16.</w:t>
      </w:r>
    </w:p>
    <w:p w14:paraId="3F15BC7F"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10. Barbour CD. The systematics and evolution of the genus </w:t>
      </w:r>
      <w:r w:rsidRPr="006921CD">
        <w:rPr>
          <w:rFonts w:asciiTheme="majorBidi" w:hAnsiTheme="majorBidi" w:cstheme="majorBidi"/>
          <w:bCs/>
          <w:i/>
          <w:iCs/>
          <w:sz w:val="24"/>
          <w:szCs w:val="24"/>
        </w:rPr>
        <w:t>Chirostoma</w:t>
      </w:r>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Swainson</w:t>
      </w:r>
      <w:proofErr w:type="spellEnd"/>
      <w:r w:rsidRPr="0009479C">
        <w:rPr>
          <w:rFonts w:asciiTheme="majorBidi" w:hAnsiTheme="majorBidi" w:cstheme="majorBidi"/>
          <w:bCs/>
          <w:sz w:val="24"/>
          <w:szCs w:val="24"/>
        </w:rPr>
        <w:t xml:space="preserve"> (Pisces, Atherinidae). </w:t>
      </w:r>
      <w:r w:rsidRPr="006921CD">
        <w:rPr>
          <w:rFonts w:asciiTheme="majorBidi" w:hAnsiTheme="majorBidi" w:cstheme="majorBidi"/>
          <w:bCs/>
          <w:i/>
          <w:iCs/>
          <w:sz w:val="24"/>
          <w:szCs w:val="24"/>
        </w:rPr>
        <w:t xml:space="preserve">Tulane Stud </w:t>
      </w:r>
      <w:proofErr w:type="spellStart"/>
      <w:r w:rsidRPr="006921CD">
        <w:rPr>
          <w:rFonts w:asciiTheme="majorBidi" w:hAnsiTheme="majorBidi" w:cstheme="majorBidi"/>
          <w:bCs/>
          <w:i/>
          <w:iCs/>
          <w:sz w:val="24"/>
          <w:szCs w:val="24"/>
        </w:rPr>
        <w:t>Zool</w:t>
      </w:r>
      <w:proofErr w:type="spellEnd"/>
      <w:r w:rsidRPr="006921CD">
        <w:rPr>
          <w:rFonts w:asciiTheme="majorBidi" w:hAnsiTheme="majorBidi" w:cstheme="majorBidi"/>
          <w:bCs/>
          <w:i/>
          <w:iCs/>
          <w:sz w:val="24"/>
          <w:szCs w:val="24"/>
        </w:rPr>
        <w:t xml:space="preserve"> Bot.</w:t>
      </w:r>
      <w:r w:rsidRPr="0009479C">
        <w:rPr>
          <w:rFonts w:asciiTheme="majorBidi" w:hAnsiTheme="majorBidi" w:cstheme="majorBidi"/>
          <w:bCs/>
          <w:sz w:val="24"/>
          <w:szCs w:val="24"/>
        </w:rPr>
        <w:t xml:space="preserve"> 1973;</w:t>
      </w:r>
      <w:r w:rsidRPr="006921CD">
        <w:rPr>
          <w:rFonts w:asciiTheme="majorBidi" w:hAnsiTheme="majorBidi" w:cstheme="majorBidi"/>
          <w:b/>
          <w:sz w:val="24"/>
          <w:szCs w:val="24"/>
        </w:rPr>
        <w:t>18</w:t>
      </w:r>
      <w:r w:rsidRPr="0009479C">
        <w:rPr>
          <w:rFonts w:asciiTheme="majorBidi" w:hAnsiTheme="majorBidi" w:cstheme="majorBidi"/>
          <w:bCs/>
          <w:sz w:val="24"/>
          <w:szCs w:val="24"/>
        </w:rPr>
        <w:t>:97–141. https://www.biodiversitylibrary.org/part/11912.</w:t>
      </w:r>
    </w:p>
    <w:p w14:paraId="3FED3CA9"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lastRenderedPageBreak/>
        <w:t xml:space="preserve">11. Betancourt-Resendes I, Perez-Rodríguez R, </w:t>
      </w:r>
      <w:proofErr w:type="spellStart"/>
      <w:r w:rsidRPr="0009479C">
        <w:rPr>
          <w:rFonts w:asciiTheme="majorBidi" w:hAnsiTheme="majorBidi" w:cstheme="majorBidi"/>
          <w:bCs/>
          <w:sz w:val="24"/>
          <w:szCs w:val="24"/>
        </w:rPr>
        <w:t>Barriga</w:t>
      </w:r>
      <w:proofErr w:type="spellEnd"/>
      <w:r w:rsidRPr="0009479C">
        <w:rPr>
          <w:rFonts w:asciiTheme="majorBidi" w:hAnsiTheme="majorBidi" w:cstheme="majorBidi"/>
          <w:bCs/>
          <w:sz w:val="24"/>
          <w:szCs w:val="24"/>
        </w:rPr>
        <w:t xml:space="preserve">-Sosa IDLA, </w:t>
      </w:r>
      <w:proofErr w:type="spellStart"/>
      <w:r w:rsidRPr="0009479C">
        <w:rPr>
          <w:rFonts w:asciiTheme="majorBidi" w:hAnsiTheme="majorBidi" w:cstheme="majorBidi"/>
          <w:bCs/>
          <w:sz w:val="24"/>
          <w:szCs w:val="24"/>
        </w:rPr>
        <w:t>Piller</w:t>
      </w:r>
      <w:proofErr w:type="spellEnd"/>
      <w:r w:rsidRPr="0009479C">
        <w:rPr>
          <w:rFonts w:asciiTheme="majorBidi" w:hAnsiTheme="majorBidi" w:cstheme="majorBidi"/>
          <w:bCs/>
          <w:sz w:val="24"/>
          <w:szCs w:val="24"/>
        </w:rPr>
        <w:t xml:space="preserve"> KR, Domínguez-Domínguez O. Phylogeographic patterns and species delimitation in the endangered silverside “</w:t>
      </w:r>
      <w:r w:rsidRPr="006921CD">
        <w:rPr>
          <w:rFonts w:asciiTheme="majorBidi" w:hAnsiTheme="majorBidi" w:cstheme="majorBidi"/>
          <w:bCs/>
          <w:i/>
          <w:iCs/>
          <w:sz w:val="24"/>
          <w:szCs w:val="24"/>
        </w:rPr>
        <w:t>humboldtianum</w:t>
      </w:r>
      <w:r w:rsidRPr="0009479C">
        <w:rPr>
          <w:rFonts w:asciiTheme="majorBidi" w:hAnsiTheme="majorBidi" w:cstheme="majorBidi"/>
          <w:bCs/>
          <w:sz w:val="24"/>
          <w:szCs w:val="24"/>
        </w:rPr>
        <w:t xml:space="preserve">” clade (Pisces: Atherinopsidae) in central Mexico: understanding their evolutionary history. </w:t>
      </w:r>
      <w:r w:rsidRPr="006921CD">
        <w:rPr>
          <w:rFonts w:asciiTheme="majorBidi" w:hAnsiTheme="majorBidi" w:cstheme="majorBidi"/>
          <w:bCs/>
          <w:i/>
          <w:iCs/>
          <w:sz w:val="24"/>
          <w:szCs w:val="24"/>
        </w:rPr>
        <w:t>Org Divers Evol</w:t>
      </w:r>
      <w:r w:rsidRPr="0009479C">
        <w:rPr>
          <w:rFonts w:asciiTheme="majorBidi" w:hAnsiTheme="majorBidi" w:cstheme="majorBidi"/>
          <w:bCs/>
          <w:sz w:val="24"/>
          <w:szCs w:val="24"/>
        </w:rPr>
        <w:t>. 2020;</w:t>
      </w:r>
      <w:r w:rsidRPr="006921CD">
        <w:rPr>
          <w:rFonts w:asciiTheme="majorBidi" w:hAnsiTheme="majorBidi" w:cstheme="majorBidi"/>
          <w:b/>
          <w:sz w:val="24"/>
          <w:szCs w:val="24"/>
        </w:rPr>
        <w:t>20</w:t>
      </w:r>
      <w:r w:rsidRPr="0009479C">
        <w:rPr>
          <w:rFonts w:asciiTheme="majorBidi" w:hAnsiTheme="majorBidi" w:cstheme="majorBidi"/>
          <w:bCs/>
          <w:sz w:val="24"/>
          <w:szCs w:val="24"/>
        </w:rPr>
        <w:t>:313–30.</w:t>
      </w:r>
    </w:p>
    <w:p w14:paraId="0B3D0826" w14:textId="7DD1005E"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12. Barbour CD. A Biogeographical History of </w:t>
      </w:r>
      <w:r w:rsidRPr="006921CD">
        <w:rPr>
          <w:rFonts w:asciiTheme="majorBidi" w:hAnsiTheme="majorBidi" w:cstheme="majorBidi"/>
          <w:bCs/>
          <w:i/>
          <w:iCs/>
          <w:sz w:val="24"/>
          <w:szCs w:val="24"/>
        </w:rPr>
        <w:t>Chirostoma</w:t>
      </w:r>
      <w:r w:rsidRPr="0009479C">
        <w:rPr>
          <w:rFonts w:asciiTheme="majorBidi" w:hAnsiTheme="majorBidi" w:cstheme="majorBidi"/>
          <w:bCs/>
          <w:sz w:val="24"/>
          <w:szCs w:val="24"/>
        </w:rPr>
        <w:t xml:space="preserve"> (Pisces : Atherinidae): A Species Flock from the Mexican Plateau. </w:t>
      </w:r>
      <w:proofErr w:type="spellStart"/>
      <w:r w:rsidRPr="006921CD">
        <w:rPr>
          <w:rFonts w:asciiTheme="majorBidi" w:hAnsiTheme="majorBidi" w:cstheme="majorBidi"/>
          <w:bCs/>
          <w:i/>
          <w:iCs/>
          <w:sz w:val="24"/>
          <w:szCs w:val="24"/>
        </w:rPr>
        <w:t>Copeia</w:t>
      </w:r>
      <w:proofErr w:type="spellEnd"/>
      <w:r w:rsidRPr="0009479C">
        <w:rPr>
          <w:rFonts w:asciiTheme="majorBidi" w:hAnsiTheme="majorBidi" w:cstheme="majorBidi"/>
          <w:bCs/>
          <w:sz w:val="24"/>
          <w:szCs w:val="24"/>
        </w:rPr>
        <w:t>. 1973;</w:t>
      </w:r>
      <w:r w:rsidR="006921CD">
        <w:rPr>
          <w:rFonts w:asciiTheme="majorBidi" w:hAnsiTheme="majorBidi" w:cstheme="majorBidi"/>
          <w:b/>
          <w:sz w:val="24"/>
          <w:szCs w:val="24"/>
        </w:rPr>
        <w:t>0</w:t>
      </w:r>
      <w:r w:rsidRPr="0009479C">
        <w:rPr>
          <w:rFonts w:asciiTheme="majorBidi" w:hAnsiTheme="majorBidi" w:cstheme="majorBidi"/>
          <w:bCs/>
          <w:sz w:val="24"/>
          <w:szCs w:val="24"/>
        </w:rPr>
        <w:t>:533–56.</w:t>
      </w:r>
    </w:p>
    <w:p w14:paraId="3F6E4ABC"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13. Ayala-Ramírez GL, Ruiz-Sevilla G, </w:t>
      </w:r>
      <w:proofErr w:type="spellStart"/>
      <w:r w:rsidRPr="0009479C">
        <w:rPr>
          <w:rFonts w:asciiTheme="majorBidi" w:hAnsiTheme="majorBidi" w:cstheme="majorBidi"/>
          <w:bCs/>
          <w:sz w:val="24"/>
          <w:szCs w:val="24"/>
        </w:rPr>
        <w:t>Chacón</w:t>
      </w:r>
      <w:proofErr w:type="spellEnd"/>
      <w:r w:rsidRPr="0009479C">
        <w:rPr>
          <w:rFonts w:asciiTheme="majorBidi" w:hAnsiTheme="majorBidi" w:cstheme="majorBidi"/>
          <w:bCs/>
          <w:sz w:val="24"/>
          <w:szCs w:val="24"/>
        </w:rPr>
        <w:t xml:space="preserve">-Torres A. La laguna de Zacapu, Michoacán. In: De la Lanza-Espino G, Hernández-Pulido S, editors. Las </w:t>
      </w:r>
      <w:proofErr w:type="spellStart"/>
      <w:r w:rsidRPr="0009479C">
        <w:rPr>
          <w:rFonts w:asciiTheme="majorBidi" w:hAnsiTheme="majorBidi" w:cstheme="majorBidi"/>
          <w:bCs/>
          <w:sz w:val="24"/>
          <w:szCs w:val="24"/>
        </w:rPr>
        <w:t>Aguas</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Interiores</w:t>
      </w:r>
      <w:proofErr w:type="spellEnd"/>
      <w:r w:rsidRPr="0009479C">
        <w:rPr>
          <w:rFonts w:asciiTheme="majorBidi" w:hAnsiTheme="majorBidi" w:cstheme="majorBidi"/>
          <w:bCs/>
          <w:sz w:val="24"/>
          <w:szCs w:val="24"/>
        </w:rPr>
        <w:t xml:space="preserve"> de México: </w:t>
      </w:r>
      <w:proofErr w:type="spellStart"/>
      <w:r w:rsidRPr="0009479C">
        <w:rPr>
          <w:rFonts w:asciiTheme="majorBidi" w:hAnsiTheme="majorBidi" w:cstheme="majorBidi"/>
          <w:bCs/>
          <w:sz w:val="24"/>
          <w:szCs w:val="24"/>
        </w:rPr>
        <w:t>Conceptos</w:t>
      </w:r>
      <w:proofErr w:type="spellEnd"/>
      <w:r w:rsidRPr="0009479C">
        <w:rPr>
          <w:rFonts w:asciiTheme="majorBidi" w:hAnsiTheme="majorBidi" w:cstheme="majorBidi"/>
          <w:bCs/>
          <w:sz w:val="24"/>
          <w:szCs w:val="24"/>
        </w:rPr>
        <w:t xml:space="preserve"> y Casos. México D.F.: AGT EDITOR, S.A.; 2007. p. 268–84.</w:t>
      </w:r>
    </w:p>
    <w:p w14:paraId="0535D93B" w14:textId="557B3480"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14. Soria-Barreto M, Paulo-Maya J. </w:t>
      </w:r>
      <w:proofErr w:type="spellStart"/>
      <w:r w:rsidRPr="0009479C">
        <w:rPr>
          <w:rFonts w:asciiTheme="majorBidi" w:hAnsiTheme="majorBidi" w:cstheme="majorBidi"/>
          <w:bCs/>
          <w:sz w:val="24"/>
          <w:szCs w:val="24"/>
        </w:rPr>
        <w:t>Morfometría</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comparada</w:t>
      </w:r>
      <w:proofErr w:type="spellEnd"/>
      <w:r w:rsidRPr="0009479C">
        <w:rPr>
          <w:rFonts w:asciiTheme="majorBidi" w:hAnsiTheme="majorBidi" w:cstheme="majorBidi"/>
          <w:bCs/>
          <w:sz w:val="24"/>
          <w:szCs w:val="24"/>
        </w:rPr>
        <w:t xml:space="preserve"> del </w:t>
      </w:r>
      <w:proofErr w:type="spellStart"/>
      <w:r w:rsidRPr="0009479C">
        <w:rPr>
          <w:rFonts w:asciiTheme="majorBidi" w:hAnsiTheme="majorBidi" w:cstheme="majorBidi"/>
          <w:bCs/>
          <w:sz w:val="24"/>
          <w:szCs w:val="24"/>
        </w:rPr>
        <w:t>aparato</w:t>
      </w:r>
      <w:proofErr w:type="spellEnd"/>
      <w:r w:rsidRPr="0009479C">
        <w:rPr>
          <w:rFonts w:asciiTheme="majorBidi" w:hAnsiTheme="majorBidi" w:cstheme="majorBidi"/>
          <w:bCs/>
          <w:sz w:val="24"/>
          <w:szCs w:val="24"/>
        </w:rPr>
        <w:t xml:space="preserve"> mandibular </w:t>
      </w:r>
      <w:proofErr w:type="spellStart"/>
      <w:r w:rsidRPr="0009479C">
        <w:rPr>
          <w:rFonts w:asciiTheme="majorBidi" w:hAnsiTheme="majorBidi" w:cstheme="majorBidi"/>
          <w:bCs/>
          <w:sz w:val="24"/>
          <w:szCs w:val="24"/>
        </w:rPr>
        <w:t>en</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especies</w:t>
      </w:r>
      <w:proofErr w:type="spellEnd"/>
      <w:r w:rsidRPr="0009479C">
        <w:rPr>
          <w:rFonts w:asciiTheme="majorBidi" w:hAnsiTheme="majorBidi" w:cstheme="majorBidi"/>
          <w:bCs/>
          <w:sz w:val="24"/>
          <w:szCs w:val="24"/>
        </w:rPr>
        <w:t xml:space="preserve"> de </w:t>
      </w:r>
      <w:r w:rsidRPr="006921CD">
        <w:rPr>
          <w:rFonts w:asciiTheme="majorBidi" w:hAnsiTheme="majorBidi" w:cstheme="majorBidi"/>
          <w:bCs/>
          <w:i/>
          <w:iCs/>
          <w:sz w:val="24"/>
          <w:szCs w:val="24"/>
        </w:rPr>
        <w:t>Chirostoma</w:t>
      </w:r>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Atheriniformes</w:t>
      </w:r>
      <w:proofErr w:type="spellEnd"/>
      <w:r w:rsidRPr="0009479C">
        <w:rPr>
          <w:rFonts w:asciiTheme="majorBidi" w:hAnsiTheme="majorBidi" w:cstheme="majorBidi"/>
          <w:bCs/>
          <w:sz w:val="24"/>
          <w:szCs w:val="24"/>
        </w:rPr>
        <w:t xml:space="preserve"> : Atherinopsidae) del Lago de Pátzcuaro , Michoacán , México Morphometric comparison of the mandibular region in species of </w:t>
      </w:r>
      <w:r w:rsidRPr="006921CD">
        <w:rPr>
          <w:rFonts w:asciiTheme="majorBidi" w:hAnsiTheme="majorBidi" w:cstheme="majorBidi"/>
          <w:bCs/>
          <w:i/>
          <w:iCs/>
          <w:sz w:val="24"/>
          <w:szCs w:val="24"/>
        </w:rPr>
        <w:t>Chirostoma</w:t>
      </w:r>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Atheriniformes</w:t>
      </w:r>
      <w:proofErr w:type="spellEnd"/>
      <w:r w:rsidRPr="0009479C">
        <w:rPr>
          <w:rFonts w:asciiTheme="majorBidi" w:hAnsiTheme="majorBidi" w:cstheme="majorBidi"/>
          <w:bCs/>
          <w:sz w:val="24"/>
          <w:szCs w:val="24"/>
        </w:rPr>
        <w:t> : Atherinopsid</w:t>
      </w:r>
      <w:r w:rsidR="006921CD">
        <w:rPr>
          <w:rFonts w:asciiTheme="majorBidi" w:hAnsiTheme="majorBidi" w:cstheme="majorBidi"/>
          <w:bCs/>
          <w:sz w:val="24"/>
          <w:szCs w:val="24"/>
        </w:rPr>
        <w:t>ae)</w:t>
      </w:r>
      <w:r w:rsidRPr="0009479C">
        <w:rPr>
          <w:rFonts w:asciiTheme="majorBidi" w:hAnsiTheme="majorBidi" w:cstheme="majorBidi"/>
          <w:bCs/>
          <w:sz w:val="24"/>
          <w:szCs w:val="24"/>
        </w:rPr>
        <w:t xml:space="preserve">. </w:t>
      </w:r>
      <w:proofErr w:type="spellStart"/>
      <w:r w:rsidRPr="006921CD">
        <w:rPr>
          <w:rFonts w:asciiTheme="majorBidi" w:hAnsiTheme="majorBidi" w:cstheme="majorBidi"/>
          <w:bCs/>
          <w:i/>
          <w:iCs/>
          <w:sz w:val="24"/>
          <w:szCs w:val="24"/>
        </w:rPr>
        <w:t>Hidrobiológica</w:t>
      </w:r>
      <w:proofErr w:type="spellEnd"/>
      <w:r w:rsidRPr="0009479C">
        <w:rPr>
          <w:rFonts w:asciiTheme="majorBidi" w:hAnsiTheme="majorBidi" w:cstheme="majorBidi"/>
          <w:bCs/>
          <w:sz w:val="24"/>
          <w:szCs w:val="24"/>
        </w:rPr>
        <w:t>. 2005;</w:t>
      </w:r>
      <w:r w:rsidRPr="006921CD">
        <w:rPr>
          <w:rFonts w:asciiTheme="majorBidi" w:hAnsiTheme="majorBidi" w:cstheme="majorBidi"/>
          <w:b/>
          <w:sz w:val="24"/>
          <w:szCs w:val="24"/>
        </w:rPr>
        <w:t>15</w:t>
      </w:r>
      <w:r w:rsidRPr="0009479C">
        <w:rPr>
          <w:rFonts w:asciiTheme="majorBidi" w:hAnsiTheme="majorBidi" w:cstheme="majorBidi"/>
          <w:bCs/>
          <w:sz w:val="24"/>
          <w:szCs w:val="24"/>
        </w:rPr>
        <w:t>:161–8.</w:t>
      </w:r>
    </w:p>
    <w:p w14:paraId="61EA571C" w14:textId="14C7FFD0"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15. Barbour CD, Chernoff B. Comparative morphology and morphometric of the pescados blancos (genus </w:t>
      </w:r>
      <w:r w:rsidRPr="006921CD">
        <w:rPr>
          <w:rFonts w:asciiTheme="majorBidi" w:hAnsiTheme="majorBidi" w:cstheme="majorBidi"/>
          <w:bCs/>
          <w:i/>
          <w:iCs/>
          <w:sz w:val="24"/>
          <w:szCs w:val="24"/>
        </w:rPr>
        <w:t>Chirostoma</w:t>
      </w:r>
      <w:r w:rsidRPr="0009479C">
        <w:rPr>
          <w:rFonts w:asciiTheme="majorBidi" w:hAnsiTheme="majorBidi" w:cstheme="majorBidi"/>
          <w:bCs/>
          <w:sz w:val="24"/>
          <w:szCs w:val="24"/>
        </w:rPr>
        <w:t>) from Lake Chapala Mexico. In: Echelle AA, Kornfield I, editors. Evolution of fish species flock. Orono, Me.: Univ. Maine Orono; 1984. p</w:t>
      </w:r>
      <w:r>
        <w:rPr>
          <w:rFonts w:asciiTheme="majorBidi" w:hAnsiTheme="majorBidi" w:cstheme="majorBidi"/>
          <w:bCs/>
          <w:sz w:val="24"/>
          <w:szCs w:val="24"/>
        </w:rPr>
        <w:t>p</w:t>
      </w:r>
      <w:r w:rsidRPr="0009479C">
        <w:rPr>
          <w:rFonts w:asciiTheme="majorBidi" w:hAnsiTheme="majorBidi" w:cstheme="majorBidi"/>
          <w:bCs/>
          <w:sz w:val="24"/>
          <w:szCs w:val="24"/>
        </w:rPr>
        <w:t>. 111–27.</w:t>
      </w:r>
    </w:p>
    <w:p w14:paraId="761CC415"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16. De Los Angeles </w:t>
      </w:r>
      <w:proofErr w:type="spellStart"/>
      <w:r w:rsidRPr="0009479C">
        <w:rPr>
          <w:rFonts w:asciiTheme="majorBidi" w:hAnsiTheme="majorBidi" w:cstheme="majorBidi"/>
          <w:bCs/>
          <w:sz w:val="24"/>
          <w:szCs w:val="24"/>
        </w:rPr>
        <w:t>Barriga</w:t>
      </w:r>
      <w:proofErr w:type="spellEnd"/>
      <w:r w:rsidRPr="0009479C">
        <w:rPr>
          <w:rFonts w:asciiTheme="majorBidi" w:hAnsiTheme="majorBidi" w:cstheme="majorBidi"/>
          <w:bCs/>
          <w:sz w:val="24"/>
          <w:szCs w:val="24"/>
        </w:rPr>
        <w:t xml:space="preserve">-Sosa I, Ibáñez-Aguirre AL, Arredondo-Figueroa JL. Morphological and genetic variation in seven species of the </w:t>
      </w:r>
      <w:r w:rsidRPr="006921CD">
        <w:rPr>
          <w:rFonts w:asciiTheme="majorBidi" w:hAnsiTheme="majorBidi" w:cstheme="majorBidi"/>
          <w:bCs/>
          <w:i/>
          <w:iCs/>
          <w:sz w:val="24"/>
          <w:szCs w:val="24"/>
        </w:rPr>
        <w:t>endangered Chirostoma “humboldtianum species group”</w:t>
      </w:r>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Atheriniformes</w:t>
      </w:r>
      <w:proofErr w:type="spellEnd"/>
      <w:r w:rsidRPr="0009479C">
        <w:rPr>
          <w:rFonts w:asciiTheme="majorBidi" w:hAnsiTheme="majorBidi" w:cstheme="majorBidi"/>
          <w:bCs/>
          <w:sz w:val="24"/>
          <w:szCs w:val="24"/>
        </w:rPr>
        <w:t xml:space="preserve">: Atherinopsidae). </w:t>
      </w:r>
      <w:r w:rsidRPr="006921CD">
        <w:rPr>
          <w:rFonts w:asciiTheme="majorBidi" w:hAnsiTheme="majorBidi" w:cstheme="majorBidi"/>
          <w:bCs/>
          <w:i/>
          <w:iCs/>
          <w:sz w:val="24"/>
          <w:szCs w:val="24"/>
        </w:rPr>
        <w:t>Rev Biol Trop</w:t>
      </w:r>
      <w:r w:rsidRPr="0009479C">
        <w:rPr>
          <w:rFonts w:asciiTheme="majorBidi" w:hAnsiTheme="majorBidi" w:cstheme="majorBidi"/>
          <w:bCs/>
          <w:sz w:val="24"/>
          <w:szCs w:val="24"/>
        </w:rPr>
        <w:t>. 2002;</w:t>
      </w:r>
      <w:r w:rsidRPr="006921CD">
        <w:rPr>
          <w:rFonts w:asciiTheme="majorBidi" w:hAnsiTheme="majorBidi" w:cstheme="majorBidi"/>
          <w:b/>
          <w:sz w:val="24"/>
          <w:szCs w:val="24"/>
        </w:rPr>
        <w:t>50</w:t>
      </w:r>
      <w:r w:rsidRPr="0009479C">
        <w:rPr>
          <w:rFonts w:asciiTheme="majorBidi" w:hAnsiTheme="majorBidi" w:cstheme="majorBidi"/>
          <w:bCs/>
          <w:sz w:val="24"/>
          <w:szCs w:val="24"/>
        </w:rPr>
        <w:t>:199–216.</w:t>
      </w:r>
    </w:p>
    <w:p w14:paraId="489B3D95" w14:textId="7299E6F1"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17. Echelle AA, Echelle AF. Evolutionary genetics of a “species flock”</w:t>
      </w:r>
      <w:r w:rsidR="006921CD">
        <w:rPr>
          <w:rFonts w:asciiTheme="majorBidi" w:hAnsiTheme="majorBidi" w:cstheme="majorBidi"/>
          <w:bCs/>
          <w:sz w:val="24"/>
          <w:szCs w:val="24"/>
        </w:rPr>
        <w:t xml:space="preserve"> </w:t>
      </w:r>
      <w:r w:rsidRPr="0009479C">
        <w:rPr>
          <w:rFonts w:asciiTheme="majorBidi" w:hAnsiTheme="majorBidi" w:cstheme="majorBidi"/>
          <w:bCs/>
          <w:sz w:val="24"/>
          <w:szCs w:val="24"/>
        </w:rPr>
        <w:t>Atherinid fishes on mesa central of Mexico. In: Echelle AA, Kornfield I, editors. Evolution of fish species flock. Orono, Me.: Univ. Maine Orono; 1984. p. 93–110.</w:t>
      </w:r>
    </w:p>
    <w:p w14:paraId="069662F6" w14:textId="153DA09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18. Bloom DD, </w:t>
      </w:r>
      <w:proofErr w:type="spellStart"/>
      <w:r w:rsidRPr="0009479C">
        <w:rPr>
          <w:rFonts w:asciiTheme="majorBidi" w:hAnsiTheme="majorBidi" w:cstheme="majorBidi"/>
          <w:bCs/>
          <w:sz w:val="24"/>
          <w:szCs w:val="24"/>
        </w:rPr>
        <w:t>Piller</w:t>
      </w:r>
      <w:proofErr w:type="spellEnd"/>
      <w:r w:rsidRPr="0009479C">
        <w:rPr>
          <w:rFonts w:asciiTheme="majorBidi" w:hAnsiTheme="majorBidi" w:cstheme="majorBidi"/>
          <w:bCs/>
          <w:sz w:val="24"/>
          <w:szCs w:val="24"/>
        </w:rPr>
        <w:t xml:space="preserve"> KR, Lyons J, Mercado-Silva N, Medina-Nava M. Systematics and biogeography of the silverside tribe </w:t>
      </w:r>
      <w:proofErr w:type="spellStart"/>
      <w:r w:rsidRPr="0009479C">
        <w:rPr>
          <w:rFonts w:asciiTheme="majorBidi" w:hAnsiTheme="majorBidi" w:cstheme="majorBidi"/>
          <w:bCs/>
          <w:sz w:val="24"/>
          <w:szCs w:val="24"/>
        </w:rPr>
        <w:t>menidiini</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Teleostomi</w:t>
      </w:r>
      <w:proofErr w:type="spellEnd"/>
      <w:r w:rsidRPr="0009479C">
        <w:rPr>
          <w:rFonts w:asciiTheme="majorBidi" w:hAnsiTheme="majorBidi" w:cstheme="majorBidi"/>
          <w:bCs/>
          <w:sz w:val="24"/>
          <w:szCs w:val="24"/>
        </w:rPr>
        <w:t xml:space="preserve">: Atherinopsidae) based on the mitochondrial ND2 gene. </w:t>
      </w:r>
      <w:proofErr w:type="spellStart"/>
      <w:r w:rsidRPr="006921CD">
        <w:rPr>
          <w:rFonts w:asciiTheme="majorBidi" w:hAnsiTheme="majorBidi" w:cstheme="majorBidi"/>
          <w:bCs/>
          <w:i/>
          <w:iCs/>
          <w:sz w:val="24"/>
          <w:szCs w:val="24"/>
        </w:rPr>
        <w:t>Copeia</w:t>
      </w:r>
      <w:proofErr w:type="spellEnd"/>
      <w:r w:rsidRPr="0009479C">
        <w:rPr>
          <w:rFonts w:asciiTheme="majorBidi" w:hAnsiTheme="majorBidi" w:cstheme="majorBidi"/>
          <w:bCs/>
          <w:sz w:val="24"/>
          <w:szCs w:val="24"/>
        </w:rPr>
        <w:t>. 2009;408–17.</w:t>
      </w:r>
    </w:p>
    <w:p w14:paraId="525F2513"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19. Foster K, Bower L, </w:t>
      </w:r>
      <w:proofErr w:type="spellStart"/>
      <w:r w:rsidRPr="0009479C">
        <w:rPr>
          <w:rFonts w:asciiTheme="majorBidi" w:hAnsiTheme="majorBidi" w:cstheme="majorBidi"/>
          <w:bCs/>
          <w:sz w:val="24"/>
          <w:szCs w:val="24"/>
        </w:rPr>
        <w:t>Piller</w:t>
      </w:r>
      <w:proofErr w:type="spellEnd"/>
      <w:r w:rsidRPr="0009479C">
        <w:rPr>
          <w:rFonts w:asciiTheme="majorBidi" w:hAnsiTheme="majorBidi" w:cstheme="majorBidi"/>
          <w:bCs/>
          <w:sz w:val="24"/>
          <w:szCs w:val="24"/>
        </w:rPr>
        <w:t xml:space="preserve"> K. Getting in shape: Habitat-based morphological divergence for two sympatric fishes. </w:t>
      </w:r>
      <w:r w:rsidRPr="00091434">
        <w:rPr>
          <w:rFonts w:asciiTheme="majorBidi" w:hAnsiTheme="majorBidi" w:cstheme="majorBidi"/>
          <w:bCs/>
          <w:i/>
          <w:iCs/>
          <w:sz w:val="24"/>
          <w:szCs w:val="24"/>
        </w:rPr>
        <w:t>Biol J Linn Soc.</w:t>
      </w:r>
      <w:r w:rsidRPr="0009479C">
        <w:rPr>
          <w:rFonts w:asciiTheme="majorBidi" w:hAnsiTheme="majorBidi" w:cstheme="majorBidi"/>
          <w:bCs/>
          <w:sz w:val="24"/>
          <w:szCs w:val="24"/>
        </w:rPr>
        <w:t xml:space="preserve"> 2015;</w:t>
      </w:r>
      <w:r w:rsidRPr="00091434">
        <w:rPr>
          <w:rFonts w:asciiTheme="majorBidi" w:hAnsiTheme="majorBidi" w:cstheme="majorBidi"/>
          <w:b/>
          <w:sz w:val="24"/>
          <w:szCs w:val="24"/>
        </w:rPr>
        <w:t>114</w:t>
      </w:r>
      <w:r w:rsidRPr="0009479C">
        <w:rPr>
          <w:rFonts w:asciiTheme="majorBidi" w:hAnsiTheme="majorBidi" w:cstheme="majorBidi"/>
          <w:bCs/>
          <w:sz w:val="24"/>
          <w:szCs w:val="24"/>
        </w:rPr>
        <w:t>:152–62.</w:t>
      </w:r>
    </w:p>
    <w:p w14:paraId="271E1C1A" w14:textId="37591800"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20. Rodríguez Ruiz A, </w:t>
      </w:r>
      <w:proofErr w:type="spellStart"/>
      <w:r w:rsidRPr="0009479C">
        <w:rPr>
          <w:rFonts w:asciiTheme="majorBidi" w:hAnsiTheme="majorBidi" w:cstheme="majorBidi"/>
          <w:bCs/>
          <w:sz w:val="24"/>
          <w:szCs w:val="24"/>
        </w:rPr>
        <w:t>Granado</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Lorencio</w:t>
      </w:r>
      <w:proofErr w:type="spellEnd"/>
      <w:r w:rsidRPr="0009479C">
        <w:rPr>
          <w:rFonts w:asciiTheme="majorBidi" w:hAnsiTheme="majorBidi" w:cstheme="majorBidi"/>
          <w:bCs/>
          <w:sz w:val="24"/>
          <w:szCs w:val="24"/>
        </w:rPr>
        <w:t xml:space="preserve"> C. </w:t>
      </w:r>
      <w:proofErr w:type="spellStart"/>
      <w:r w:rsidRPr="0009479C">
        <w:rPr>
          <w:rFonts w:asciiTheme="majorBidi" w:hAnsiTheme="majorBidi" w:cstheme="majorBidi"/>
          <w:bCs/>
          <w:sz w:val="24"/>
          <w:szCs w:val="24"/>
        </w:rPr>
        <w:t>Características</w:t>
      </w:r>
      <w:proofErr w:type="spellEnd"/>
      <w:r w:rsidRPr="0009479C">
        <w:rPr>
          <w:rFonts w:asciiTheme="majorBidi" w:hAnsiTheme="majorBidi" w:cstheme="majorBidi"/>
          <w:bCs/>
          <w:sz w:val="24"/>
          <w:szCs w:val="24"/>
        </w:rPr>
        <w:t xml:space="preserve"> del </w:t>
      </w:r>
      <w:proofErr w:type="spellStart"/>
      <w:r w:rsidRPr="0009479C">
        <w:rPr>
          <w:rFonts w:asciiTheme="majorBidi" w:hAnsiTheme="majorBidi" w:cstheme="majorBidi"/>
          <w:bCs/>
          <w:sz w:val="24"/>
          <w:szCs w:val="24"/>
        </w:rPr>
        <w:t>aparato</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bucal</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asociadas</w:t>
      </w:r>
      <w:proofErr w:type="spellEnd"/>
      <w:r w:rsidRPr="0009479C">
        <w:rPr>
          <w:rFonts w:asciiTheme="majorBidi" w:hAnsiTheme="majorBidi" w:cstheme="majorBidi"/>
          <w:bCs/>
          <w:sz w:val="24"/>
          <w:szCs w:val="24"/>
        </w:rPr>
        <w:t xml:space="preserve"> al </w:t>
      </w:r>
      <w:proofErr w:type="spellStart"/>
      <w:r w:rsidRPr="0009479C">
        <w:rPr>
          <w:rFonts w:asciiTheme="majorBidi" w:hAnsiTheme="majorBidi" w:cstheme="majorBidi"/>
          <w:bCs/>
          <w:sz w:val="24"/>
          <w:szCs w:val="24"/>
        </w:rPr>
        <w:t>régimen</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alimenticio</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en</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cinco</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especies</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coexistentes</w:t>
      </w:r>
      <w:proofErr w:type="spellEnd"/>
      <w:r w:rsidRPr="0009479C">
        <w:rPr>
          <w:rFonts w:asciiTheme="majorBidi" w:hAnsiTheme="majorBidi" w:cstheme="majorBidi"/>
          <w:bCs/>
          <w:sz w:val="24"/>
          <w:szCs w:val="24"/>
        </w:rPr>
        <w:t xml:space="preserve"> del </w:t>
      </w:r>
      <w:proofErr w:type="spellStart"/>
      <w:r w:rsidRPr="0009479C">
        <w:rPr>
          <w:rFonts w:asciiTheme="majorBidi" w:hAnsiTheme="majorBidi" w:cstheme="majorBidi"/>
          <w:bCs/>
          <w:sz w:val="24"/>
          <w:szCs w:val="24"/>
        </w:rPr>
        <w:t>género</w:t>
      </w:r>
      <w:proofErr w:type="spellEnd"/>
      <w:r w:rsidRPr="0009479C">
        <w:rPr>
          <w:rFonts w:asciiTheme="majorBidi" w:hAnsiTheme="majorBidi" w:cstheme="majorBidi"/>
          <w:bCs/>
          <w:sz w:val="24"/>
          <w:szCs w:val="24"/>
        </w:rPr>
        <w:t xml:space="preserve"> </w:t>
      </w:r>
      <w:r w:rsidRPr="00091434">
        <w:rPr>
          <w:rFonts w:asciiTheme="majorBidi" w:hAnsiTheme="majorBidi" w:cstheme="majorBidi"/>
          <w:bCs/>
          <w:i/>
          <w:iCs/>
          <w:sz w:val="24"/>
          <w:szCs w:val="24"/>
        </w:rPr>
        <w:t>Chirostoma</w:t>
      </w:r>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lago</w:t>
      </w:r>
      <w:proofErr w:type="spellEnd"/>
      <w:r w:rsidRPr="0009479C">
        <w:rPr>
          <w:rFonts w:asciiTheme="majorBidi" w:hAnsiTheme="majorBidi" w:cstheme="majorBidi"/>
          <w:bCs/>
          <w:sz w:val="24"/>
          <w:szCs w:val="24"/>
        </w:rPr>
        <w:t xml:space="preserve"> de Chapala; México). 1988;35–51.</w:t>
      </w:r>
    </w:p>
    <w:p w14:paraId="4928CEE3"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21. Mercado-Silva N, Lyons J, </w:t>
      </w:r>
      <w:proofErr w:type="spellStart"/>
      <w:r w:rsidRPr="0009479C">
        <w:rPr>
          <w:rFonts w:asciiTheme="majorBidi" w:hAnsiTheme="majorBidi" w:cstheme="majorBidi"/>
          <w:bCs/>
          <w:sz w:val="24"/>
          <w:szCs w:val="24"/>
        </w:rPr>
        <w:t>Moncayo</w:t>
      </w:r>
      <w:proofErr w:type="spellEnd"/>
      <w:r w:rsidRPr="0009479C">
        <w:rPr>
          <w:rFonts w:asciiTheme="majorBidi" w:hAnsiTheme="majorBidi" w:cstheme="majorBidi"/>
          <w:bCs/>
          <w:sz w:val="24"/>
          <w:szCs w:val="24"/>
        </w:rPr>
        <w:t xml:space="preserve">-Estrada R, Gesundheit P, </w:t>
      </w:r>
      <w:proofErr w:type="spellStart"/>
      <w:r w:rsidRPr="0009479C">
        <w:rPr>
          <w:rFonts w:asciiTheme="majorBidi" w:hAnsiTheme="majorBidi" w:cstheme="majorBidi"/>
          <w:bCs/>
          <w:sz w:val="24"/>
          <w:szCs w:val="24"/>
        </w:rPr>
        <w:t>Krabbenhoft</w:t>
      </w:r>
      <w:proofErr w:type="spellEnd"/>
      <w:r w:rsidRPr="0009479C">
        <w:rPr>
          <w:rFonts w:asciiTheme="majorBidi" w:hAnsiTheme="majorBidi" w:cstheme="majorBidi"/>
          <w:bCs/>
          <w:sz w:val="24"/>
          <w:szCs w:val="24"/>
        </w:rPr>
        <w:t xml:space="preserve"> TJ, Powell DL, et al. Stable isotope evidence for trophic overlap of sympatric Mexican Lake Chapala silversides (Teleostei: Atherinopsidae: </w:t>
      </w:r>
      <w:r w:rsidRPr="00091434">
        <w:rPr>
          <w:rFonts w:asciiTheme="majorBidi" w:hAnsiTheme="majorBidi" w:cstheme="majorBidi"/>
          <w:bCs/>
          <w:i/>
          <w:iCs/>
          <w:sz w:val="24"/>
          <w:szCs w:val="24"/>
        </w:rPr>
        <w:t>Chirostoma</w:t>
      </w:r>
      <w:r w:rsidRPr="0009479C">
        <w:rPr>
          <w:rFonts w:asciiTheme="majorBidi" w:hAnsiTheme="majorBidi" w:cstheme="majorBidi"/>
          <w:bCs/>
          <w:sz w:val="24"/>
          <w:szCs w:val="24"/>
        </w:rPr>
        <w:t xml:space="preserve"> spp.). </w:t>
      </w:r>
      <w:proofErr w:type="spellStart"/>
      <w:r w:rsidRPr="00091434">
        <w:rPr>
          <w:rFonts w:asciiTheme="majorBidi" w:hAnsiTheme="majorBidi" w:cstheme="majorBidi"/>
          <w:bCs/>
          <w:i/>
          <w:iCs/>
          <w:sz w:val="24"/>
          <w:szCs w:val="24"/>
        </w:rPr>
        <w:t>Neotrop</w:t>
      </w:r>
      <w:proofErr w:type="spellEnd"/>
      <w:r w:rsidRPr="00091434">
        <w:rPr>
          <w:rFonts w:asciiTheme="majorBidi" w:hAnsiTheme="majorBidi" w:cstheme="majorBidi"/>
          <w:bCs/>
          <w:i/>
          <w:iCs/>
          <w:sz w:val="24"/>
          <w:szCs w:val="24"/>
        </w:rPr>
        <w:t xml:space="preserve"> Ichthyol.</w:t>
      </w:r>
      <w:r w:rsidRPr="0009479C">
        <w:rPr>
          <w:rFonts w:asciiTheme="majorBidi" w:hAnsiTheme="majorBidi" w:cstheme="majorBidi"/>
          <w:bCs/>
          <w:sz w:val="24"/>
          <w:szCs w:val="24"/>
        </w:rPr>
        <w:t xml:space="preserve"> 2015;</w:t>
      </w:r>
      <w:r w:rsidRPr="00091434">
        <w:rPr>
          <w:rFonts w:asciiTheme="majorBidi" w:hAnsiTheme="majorBidi" w:cstheme="majorBidi"/>
          <w:b/>
          <w:sz w:val="24"/>
          <w:szCs w:val="24"/>
        </w:rPr>
        <w:t>13</w:t>
      </w:r>
      <w:r w:rsidRPr="0009479C">
        <w:rPr>
          <w:rFonts w:asciiTheme="majorBidi" w:hAnsiTheme="majorBidi" w:cstheme="majorBidi"/>
          <w:bCs/>
          <w:sz w:val="24"/>
          <w:szCs w:val="24"/>
        </w:rPr>
        <w:t>:389–400.</w:t>
      </w:r>
    </w:p>
    <w:p w14:paraId="3D95B235" w14:textId="77777777" w:rsidR="0009479C" w:rsidRPr="0009479C" w:rsidRDefault="0009479C" w:rsidP="0009479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22. Chaplin K, Sumner J, </w:t>
      </w:r>
      <w:proofErr w:type="spellStart"/>
      <w:r w:rsidRPr="0009479C">
        <w:rPr>
          <w:rFonts w:asciiTheme="majorBidi" w:hAnsiTheme="majorBidi" w:cstheme="majorBidi"/>
          <w:bCs/>
          <w:sz w:val="24"/>
          <w:szCs w:val="24"/>
        </w:rPr>
        <w:t>Hipsley</w:t>
      </w:r>
      <w:proofErr w:type="spellEnd"/>
      <w:r w:rsidRPr="0009479C">
        <w:rPr>
          <w:rFonts w:asciiTheme="majorBidi" w:hAnsiTheme="majorBidi" w:cstheme="majorBidi"/>
          <w:bCs/>
          <w:sz w:val="24"/>
          <w:szCs w:val="24"/>
        </w:rPr>
        <w:t xml:space="preserve"> CA, Melville J. An Integrative Approach Using Phylogenomics and High-Resolution X-Ray Computed Tomography for Species Delimitation in Cryptic Taxa. </w:t>
      </w:r>
      <w:r w:rsidRPr="00091434">
        <w:rPr>
          <w:rFonts w:asciiTheme="majorBidi" w:hAnsiTheme="majorBidi" w:cstheme="majorBidi"/>
          <w:bCs/>
          <w:i/>
          <w:iCs/>
          <w:sz w:val="24"/>
          <w:szCs w:val="24"/>
        </w:rPr>
        <w:t>Syst Biol.</w:t>
      </w:r>
      <w:r w:rsidRPr="0009479C">
        <w:rPr>
          <w:rFonts w:asciiTheme="majorBidi" w:hAnsiTheme="majorBidi" w:cstheme="majorBidi"/>
          <w:bCs/>
          <w:sz w:val="24"/>
          <w:szCs w:val="24"/>
        </w:rPr>
        <w:t xml:space="preserve"> 2020;</w:t>
      </w:r>
      <w:r w:rsidRPr="00091434">
        <w:rPr>
          <w:rFonts w:asciiTheme="majorBidi" w:hAnsiTheme="majorBidi" w:cstheme="majorBidi"/>
          <w:b/>
          <w:sz w:val="24"/>
          <w:szCs w:val="24"/>
        </w:rPr>
        <w:t>69</w:t>
      </w:r>
      <w:r w:rsidRPr="0009479C">
        <w:rPr>
          <w:rFonts w:asciiTheme="majorBidi" w:hAnsiTheme="majorBidi" w:cstheme="majorBidi"/>
          <w:bCs/>
          <w:sz w:val="24"/>
          <w:szCs w:val="24"/>
        </w:rPr>
        <w:t>:294–307.</w:t>
      </w:r>
    </w:p>
    <w:p w14:paraId="32E269A1"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lastRenderedPageBreak/>
        <w:t xml:space="preserve">23. </w:t>
      </w:r>
      <w:proofErr w:type="spellStart"/>
      <w:r w:rsidRPr="0009479C">
        <w:rPr>
          <w:rFonts w:asciiTheme="majorBidi" w:hAnsiTheme="majorBidi" w:cstheme="majorBidi"/>
          <w:bCs/>
          <w:sz w:val="24"/>
          <w:szCs w:val="24"/>
        </w:rPr>
        <w:t>Hosegood</w:t>
      </w:r>
      <w:proofErr w:type="spellEnd"/>
      <w:r w:rsidRPr="0009479C">
        <w:rPr>
          <w:rFonts w:asciiTheme="majorBidi" w:hAnsiTheme="majorBidi" w:cstheme="majorBidi"/>
          <w:bCs/>
          <w:sz w:val="24"/>
          <w:szCs w:val="24"/>
        </w:rPr>
        <w:t xml:space="preserve"> J, Humble E, Ogden R, de </w:t>
      </w:r>
      <w:proofErr w:type="spellStart"/>
      <w:r w:rsidRPr="0009479C">
        <w:rPr>
          <w:rFonts w:asciiTheme="majorBidi" w:hAnsiTheme="majorBidi" w:cstheme="majorBidi"/>
          <w:bCs/>
          <w:sz w:val="24"/>
          <w:szCs w:val="24"/>
        </w:rPr>
        <w:t>Bruyn</w:t>
      </w:r>
      <w:proofErr w:type="spellEnd"/>
      <w:r w:rsidRPr="0009479C">
        <w:rPr>
          <w:rFonts w:asciiTheme="majorBidi" w:hAnsiTheme="majorBidi" w:cstheme="majorBidi"/>
          <w:bCs/>
          <w:sz w:val="24"/>
          <w:szCs w:val="24"/>
        </w:rPr>
        <w:t xml:space="preserve"> M, </w:t>
      </w:r>
      <w:proofErr w:type="spellStart"/>
      <w:r w:rsidRPr="0009479C">
        <w:rPr>
          <w:rFonts w:asciiTheme="majorBidi" w:hAnsiTheme="majorBidi" w:cstheme="majorBidi"/>
          <w:bCs/>
          <w:sz w:val="24"/>
          <w:szCs w:val="24"/>
        </w:rPr>
        <w:t>Creer</w:t>
      </w:r>
      <w:proofErr w:type="spellEnd"/>
      <w:r w:rsidRPr="0009479C">
        <w:rPr>
          <w:rFonts w:asciiTheme="majorBidi" w:hAnsiTheme="majorBidi" w:cstheme="majorBidi"/>
          <w:bCs/>
          <w:sz w:val="24"/>
          <w:szCs w:val="24"/>
        </w:rPr>
        <w:t xml:space="preserve"> S, Stevens GMW, </w:t>
      </w:r>
      <w:r w:rsidRPr="00091434">
        <w:rPr>
          <w:rFonts w:asciiTheme="majorBidi" w:hAnsiTheme="majorBidi" w:cstheme="majorBidi"/>
          <w:bCs/>
          <w:i/>
          <w:iCs/>
          <w:sz w:val="24"/>
          <w:szCs w:val="24"/>
        </w:rPr>
        <w:t>et al</w:t>
      </w:r>
      <w:r w:rsidRPr="0009479C">
        <w:rPr>
          <w:rFonts w:asciiTheme="majorBidi" w:hAnsiTheme="majorBidi" w:cstheme="majorBidi"/>
          <w:bCs/>
          <w:sz w:val="24"/>
          <w:szCs w:val="24"/>
        </w:rPr>
        <w:t xml:space="preserve">. Phylogenomics and species delimitation for effective conservation of manta and devil rays. </w:t>
      </w:r>
      <w:r w:rsidRPr="00091434">
        <w:rPr>
          <w:rFonts w:asciiTheme="majorBidi" w:hAnsiTheme="majorBidi" w:cstheme="majorBidi"/>
          <w:bCs/>
          <w:i/>
          <w:iCs/>
          <w:sz w:val="24"/>
          <w:szCs w:val="24"/>
        </w:rPr>
        <w:t>Mol Ecol.</w:t>
      </w:r>
      <w:r w:rsidRPr="0009479C">
        <w:rPr>
          <w:rFonts w:asciiTheme="majorBidi" w:hAnsiTheme="majorBidi" w:cstheme="majorBidi"/>
          <w:bCs/>
          <w:sz w:val="24"/>
          <w:szCs w:val="24"/>
        </w:rPr>
        <w:t xml:space="preserve"> 2020;</w:t>
      </w:r>
      <w:r w:rsidRPr="00091434">
        <w:rPr>
          <w:rFonts w:asciiTheme="majorBidi" w:hAnsiTheme="majorBidi" w:cstheme="majorBidi"/>
          <w:b/>
          <w:sz w:val="24"/>
          <w:szCs w:val="24"/>
        </w:rPr>
        <w:t>29</w:t>
      </w:r>
      <w:r w:rsidRPr="0009479C">
        <w:rPr>
          <w:rFonts w:asciiTheme="majorBidi" w:hAnsiTheme="majorBidi" w:cstheme="majorBidi"/>
          <w:bCs/>
          <w:sz w:val="24"/>
          <w:szCs w:val="24"/>
        </w:rPr>
        <w:t>:4783–96.</w:t>
      </w:r>
    </w:p>
    <w:p w14:paraId="32FB1F2E"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24. Nieto-Montes de Oca A, Barley AJ, Meza-</w:t>
      </w:r>
      <w:proofErr w:type="spellStart"/>
      <w:r w:rsidRPr="0009479C">
        <w:rPr>
          <w:rFonts w:asciiTheme="majorBidi" w:hAnsiTheme="majorBidi" w:cstheme="majorBidi"/>
          <w:bCs/>
          <w:sz w:val="24"/>
          <w:szCs w:val="24"/>
        </w:rPr>
        <w:t>Lázaro</w:t>
      </w:r>
      <w:proofErr w:type="spellEnd"/>
      <w:r w:rsidRPr="0009479C">
        <w:rPr>
          <w:rFonts w:asciiTheme="majorBidi" w:hAnsiTheme="majorBidi" w:cstheme="majorBidi"/>
          <w:bCs/>
          <w:sz w:val="24"/>
          <w:szCs w:val="24"/>
        </w:rPr>
        <w:t xml:space="preserve"> RN, García-Vázquez UO, Zamora-</w:t>
      </w:r>
      <w:proofErr w:type="spellStart"/>
      <w:r w:rsidRPr="0009479C">
        <w:rPr>
          <w:rFonts w:asciiTheme="majorBidi" w:hAnsiTheme="majorBidi" w:cstheme="majorBidi"/>
          <w:bCs/>
          <w:sz w:val="24"/>
          <w:szCs w:val="24"/>
        </w:rPr>
        <w:t>Abrego</w:t>
      </w:r>
      <w:proofErr w:type="spellEnd"/>
      <w:r w:rsidRPr="0009479C">
        <w:rPr>
          <w:rFonts w:asciiTheme="majorBidi" w:hAnsiTheme="majorBidi" w:cstheme="majorBidi"/>
          <w:bCs/>
          <w:sz w:val="24"/>
          <w:szCs w:val="24"/>
        </w:rPr>
        <w:t xml:space="preserve"> JG, Thomson RC, et al. Phylogenomics and species delimitation in the knob-scaled lizards of the genus </w:t>
      </w:r>
      <w:proofErr w:type="spellStart"/>
      <w:r w:rsidRPr="00091434">
        <w:rPr>
          <w:rFonts w:asciiTheme="majorBidi" w:hAnsiTheme="majorBidi" w:cstheme="majorBidi"/>
          <w:bCs/>
          <w:i/>
          <w:iCs/>
          <w:sz w:val="24"/>
          <w:szCs w:val="24"/>
        </w:rPr>
        <w:t>Xenosaurus</w:t>
      </w:r>
      <w:proofErr w:type="spellEnd"/>
      <w:r w:rsidRPr="0009479C">
        <w:rPr>
          <w:rFonts w:asciiTheme="majorBidi" w:hAnsiTheme="majorBidi" w:cstheme="majorBidi"/>
          <w:bCs/>
          <w:sz w:val="24"/>
          <w:szCs w:val="24"/>
        </w:rPr>
        <w:t xml:space="preserve"> (Squamata: </w:t>
      </w:r>
      <w:proofErr w:type="spellStart"/>
      <w:r w:rsidRPr="0009479C">
        <w:rPr>
          <w:rFonts w:asciiTheme="majorBidi" w:hAnsiTheme="majorBidi" w:cstheme="majorBidi"/>
          <w:bCs/>
          <w:sz w:val="24"/>
          <w:szCs w:val="24"/>
        </w:rPr>
        <w:t>Xenosauridae</w:t>
      </w:r>
      <w:proofErr w:type="spellEnd"/>
      <w:r w:rsidRPr="0009479C">
        <w:rPr>
          <w:rFonts w:asciiTheme="majorBidi" w:hAnsiTheme="majorBidi" w:cstheme="majorBidi"/>
          <w:bCs/>
          <w:sz w:val="24"/>
          <w:szCs w:val="24"/>
        </w:rPr>
        <w:t xml:space="preserve">) using ddRADseq data reveal a substantial underestimation of diversity. </w:t>
      </w:r>
      <w:r w:rsidRPr="00091434">
        <w:rPr>
          <w:rFonts w:asciiTheme="majorBidi" w:hAnsiTheme="majorBidi" w:cstheme="majorBidi"/>
          <w:bCs/>
          <w:i/>
          <w:iCs/>
          <w:sz w:val="24"/>
          <w:szCs w:val="24"/>
        </w:rPr>
        <w:t>Mol Phylogenet Evol.</w:t>
      </w:r>
      <w:r w:rsidRPr="0009479C">
        <w:rPr>
          <w:rFonts w:asciiTheme="majorBidi" w:hAnsiTheme="majorBidi" w:cstheme="majorBidi"/>
          <w:bCs/>
          <w:sz w:val="24"/>
          <w:szCs w:val="24"/>
        </w:rPr>
        <w:t xml:space="preserve"> 2017;</w:t>
      </w:r>
      <w:r w:rsidRPr="00091434">
        <w:rPr>
          <w:rFonts w:asciiTheme="majorBidi" w:hAnsiTheme="majorBidi" w:cstheme="majorBidi"/>
          <w:b/>
          <w:sz w:val="24"/>
          <w:szCs w:val="24"/>
        </w:rPr>
        <w:t>106</w:t>
      </w:r>
      <w:r w:rsidRPr="0009479C">
        <w:rPr>
          <w:rFonts w:asciiTheme="majorBidi" w:hAnsiTheme="majorBidi" w:cstheme="majorBidi"/>
          <w:bCs/>
          <w:sz w:val="24"/>
          <w:szCs w:val="24"/>
        </w:rPr>
        <w:t>:241–53.</w:t>
      </w:r>
    </w:p>
    <w:p w14:paraId="66E7EB72"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25. Leaché AD, Fujita MK. Bayesian species delimitation in West African forest geckos (</w:t>
      </w:r>
      <w:r w:rsidRPr="00A57FF0">
        <w:rPr>
          <w:rFonts w:asciiTheme="majorBidi" w:hAnsiTheme="majorBidi" w:cstheme="majorBidi"/>
          <w:bCs/>
          <w:i/>
          <w:iCs/>
          <w:sz w:val="24"/>
          <w:szCs w:val="24"/>
        </w:rPr>
        <w:t>Hemidactylus fasciatus</w:t>
      </w:r>
      <w:r w:rsidRPr="0009479C">
        <w:rPr>
          <w:rFonts w:asciiTheme="majorBidi" w:hAnsiTheme="majorBidi" w:cstheme="majorBidi"/>
          <w:bCs/>
          <w:sz w:val="24"/>
          <w:szCs w:val="24"/>
        </w:rPr>
        <w:t xml:space="preserve">). </w:t>
      </w:r>
      <w:r w:rsidRPr="00A57FF0">
        <w:rPr>
          <w:rFonts w:asciiTheme="majorBidi" w:hAnsiTheme="majorBidi" w:cstheme="majorBidi"/>
          <w:bCs/>
          <w:i/>
          <w:iCs/>
          <w:sz w:val="24"/>
          <w:szCs w:val="24"/>
        </w:rPr>
        <w:t>Proc R Soc B Biol Sci.</w:t>
      </w:r>
      <w:r w:rsidRPr="0009479C">
        <w:rPr>
          <w:rFonts w:asciiTheme="majorBidi" w:hAnsiTheme="majorBidi" w:cstheme="majorBidi"/>
          <w:bCs/>
          <w:sz w:val="24"/>
          <w:szCs w:val="24"/>
        </w:rPr>
        <w:t xml:space="preserve"> 2010;</w:t>
      </w:r>
      <w:r w:rsidRPr="00A57FF0">
        <w:rPr>
          <w:rFonts w:asciiTheme="majorBidi" w:hAnsiTheme="majorBidi" w:cstheme="majorBidi"/>
          <w:b/>
          <w:sz w:val="24"/>
          <w:szCs w:val="24"/>
        </w:rPr>
        <w:t>277</w:t>
      </w:r>
      <w:r w:rsidRPr="0009479C">
        <w:rPr>
          <w:rFonts w:asciiTheme="majorBidi" w:hAnsiTheme="majorBidi" w:cstheme="majorBidi"/>
          <w:bCs/>
          <w:sz w:val="24"/>
          <w:szCs w:val="24"/>
        </w:rPr>
        <w:t>:3071–7. doi:10.1098/rspb.2010.0662.</w:t>
      </w:r>
    </w:p>
    <w:p w14:paraId="6A40560B"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26. </w:t>
      </w:r>
      <w:proofErr w:type="spellStart"/>
      <w:r w:rsidRPr="0009479C">
        <w:rPr>
          <w:rFonts w:asciiTheme="majorBidi" w:hAnsiTheme="majorBidi" w:cstheme="majorBidi"/>
          <w:bCs/>
          <w:sz w:val="24"/>
          <w:szCs w:val="24"/>
        </w:rPr>
        <w:t>Poelstra</w:t>
      </w:r>
      <w:proofErr w:type="spellEnd"/>
      <w:r w:rsidRPr="0009479C">
        <w:rPr>
          <w:rFonts w:asciiTheme="majorBidi" w:hAnsiTheme="majorBidi" w:cstheme="majorBidi"/>
          <w:bCs/>
          <w:sz w:val="24"/>
          <w:szCs w:val="24"/>
        </w:rPr>
        <w:t xml:space="preserve"> JW, </w:t>
      </w:r>
      <w:proofErr w:type="spellStart"/>
      <w:r w:rsidRPr="0009479C">
        <w:rPr>
          <w:rFonts w:asciiTheme="majorBidi" w:hAnsiTheme="majorBidi" w:cstheme="majorBidi"/>
          <w:bCs/>
          <w:sz w:val="24"/>
          <w:szCs w:val="24"/>
        </w:rPr>
        <w:t>Salmona</w:t>
      </w:r>
      <w:proofErr w:type="spellEnd"/>
      <w:r w:rsidRPr="0009479C">
        <w:rPr>
          <w:rFonts w:asciiTheme="majorBidi" w:hAnsiTheme="majorBidi" w:cstheme="majorBidi"/>
          <w:bCs/>
          <w:sz w:val="24"/>
          <w:szCs w:val="24"/>
        </w:rPr>
        <w:t xml:space="preserve"> J, </w:t>
      </w:r>
      <w:proofErr w:type="spellStart"/>
      <w:r w:rsidRPr="0009479C">
        <w:rPr>
          <w:rFonts w:asciiTheme="majorBidi" w:hAnsiTheme="majorBidi" w:cstheme="majorBidi"/>
          <w:bCs/>
          <w:sz w:val="24"/>
          <w:szCs w:val="24"/>
        </w:rPr>
        <w:t>Tiley</w:t>
      </w:r>
      <w:proofErr w:type="spellEnd"/>
      <w:r w:rsidRPr="0009479C">
        <w:rPr>
          <w:rFonts w:asciiTheme="majorBidi" w:hAnsiTheme="majorBidi" w:cstheme="majorBidi"/>
          <w:bCs/>
          <w:sz w:val="24"/>
          <w:szCs w:val="24"/>
        </w:rPr>
        <w:t xml:space="preserve"> GP, </w:t>
      </w:r>
      <w:proofErr w:type="spellStart"/>
      <w:r w:rsidRPr="0009479C">
        <w:rPr>
          <w:rFonts w:asciiTheme="majorBidi" w:hAnsiTheme="majorBidi" w:cstheme="majorBidi"/>
          <w:bCs/>
          <w:sz w:val="24"/>
          <w:szCs w:val="24"/>
        </w:rPr>
        <w:t>Schüßler</w:t>
      </w:r>
      <w:proofErr w:type="spellEnd"/>
      <w:r w:rsidRPr="0009479C">
        <w:rPr>
          <w:rFonts w:asciiTheme="majorBidi" w:hAnsiTheme="majorBidi" w:cstheme="majorBidi"/>
          <w:bCs/>
          <w:sz w:val="24"/>
          <w:szCs w:val="24"/>
        </w:rPr>
        <w:t xml:space="preserve"> D, Blanco MB, </w:t>
      </w:r>
      <w:proofErr w:type="spellStart"/>
      <w:r w:rsidRPr="0009479C">
        <w:rPr>
          <w:rFonts w:asciiTheme="majorBidi" w:hAnsiTheme="majorBidi" w:cstheme="majorBidi"/>
          <w:bCs/>
          <w:sz w:val="24"/>
          <w:szCs w:val="24"/>
        </w:rPr>
        <w:t>Andriambeloson</w:t>
      </w:r>
      <w:proofErr w:type="spellEnd"/>
      <w:r w:rsidRPr="0009479C">
        <w:rPr>
          <w:rFonts w:asciiTheme="majorBidi" w:hAnsiTheme="majorBidi" w:cstheme="majorBidi"/>
          <w:bCs/>
          <w:sz w:val="24"/>
          <w:szCs w:val="24"/>
        </w:rPr>
        <w:t xml:space="preserve"> JB, et al. Cryptic Patterns of Speciation in Cryptic Primates: </w:t>
      </w:r>
      <w:proofErr w:type="spellStart"/>
      <w:r w:rsidRPr="0009479C">
        <w:rPr>
          <w:rFonts w:asciiTheme="majorBidi" w:hAnsiTheme="majorBidi" w:cstheme="majorBidi"/>
          <w:bCs/>
          <w:sz w:val="24"/>
          <w:szCs w:val="24"/>
        </w:rPr>
        <w:t>Microendemic</w:t>
      </w:r>
      <w:proofErr w:type="spellEnd"/>
      <w:r w:rsidRPr="0009479C">
        <w:rPr>
          <w:rFonts w:asciiTheme="majorBidi" w:hAnsiTheme="majorBidi" w:cstheme="majorBidi"/>
          <w:bCs/>
          <w:sz w:val="24"/>
          <w:szCs w:val="24"/>
        </w:rPr>
        <w:t xml:space="preserve"> Mouse Lemurs and the Multispecies Coalescent. </w:t>
      </w:r>
      <w:r w:rsidRPr="00A57FF0">
        <w:rPr>
          <w:rFonts w:asciiTheme="majorBidi" w:hAnsiTheme="majorBidi" w:cstheme="majorBidi"/>
          <w:bCs/>
          <w:i/>
          <w:iCs/>
          <w:sz w:val="24"/>
          <w:szCs w:val="24"/>
        </w:rPr>
        <w:t>Syst Biol.</w:t>
      </w:r>
      <w:r w:rsidRPr="0009479C">
        <w:rPr>
          <w:rFonts w:asciiTheme="majorBidi" w:hAnsiTheme="majorBidi" w:cstheme="majorBidi"/>
          <w:bCs/>
          <w:sz w:val="24"/>
          <w:szCs w:val="24"/>
        </w:rPr>
        <w:t xml:space="preserve"> 2021;</w:t>
      </w:r>
      <w:r w:rsidRPr="00A57FF0">
        <w:rPr>
          <w:rFonts w:asciiTheme="majorBidi" w:hAnsiTheme="majorBidi" w:cstheme="majorBidi"/>
          <w:b/>
          <w:sz w:val="24"/>
          <w:szCs w:val="24"/>
        </w:rPr>
        <w:t>70</w:t>
      </w:r>
      <w:r w:rsidRPr="0009479C">
        <w:rPr>
          <w:rFonts w:asciiTheme="majorBidi" w:hAnsiTheme="majorBidi" w:cstheme="majorBidi"/>
          <w:bCs/>
          <w:sz w:val="24"/>
          <w:szCs w:val="24"/>
        </w:rPr>
        <w:t>:203–18.</w:t>
      </w:r>
    </w:p>
    <w:p w14:paraId="4131D7D6"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27. Ferrari </w:t>
      </w:r>
      <w:proofErr w:type="spellStart"/>
      <w:r w:rsidRPr="0009479C">
        <w:rPr>
          <w:rFonts w:asciiTheme="majorBidi" w:hAnsiTheme="majorBidi" w:cstheme="majorBidi"/>
          <w:bCs/>
          <w:sz w:val="24"/>
          <w:szCs w:val="24"/>
        </w:rPr>
        <w:t>Pedraglio</w:t>
      </w:r>
      <w:proofErr w:type="spellEnd"/>
      <w:r w:rsidRPr="0009479C">
        <w:rPr>
          <w:rFonts w:asciiTheme="majorBidi" w:hAnsiTheme="majorBidi" w:cstheme="majorBidi"/>
          <w:bCs/>
          <w:sz w:val="24"/>
          <w:szCs w:val="24"/>
        </w:rPr>
        <w:t xml:space="preserve"> L. </w:t>
      </w:r>
      <w:proofErr w:type="spellStart"/>
      <w:r w:rsidRPr="0009479C">
        <w:rPr>
          <w:rFonts w:asciiTheme="majorBidi" w:hAnsiTheme="majorBidi" w:cstheme="majorBidi"/>
          <w:bCs/>
          <w:sz w:val="24"/>
          <w:szCs w:val="24"/>
        </w:rPr>
        <w:t>Avances</w:t>
      </w:r>
      <w:proofErr w:type="spellEnd"/>
      <w:r w:rsidRPr="0009479C">
        <w:rPr>
          <w:rFonts w:asciiTheme="majorBidi" w:hAnsiTheme="majorBidi" w:cstheme="majorBidi"/>
          <w:bCs/>
          <w:sz w:val="24"/>
          <w:szCs w:val="24"/>
        </w:rPr>
        <w:t xml:space="preserve"> en </w:t>
      </w:r>
      <w:proofErr w:type="spellStart"/>
      <w:r w:rsidRPr="0009479C">
        <w:rPr>
          <w:rFonts w:asciiTheme="majorBidi" w:hAnsiTheme="majorBidi" w:cstheme="majorBidi"/>
          <w:bCs/>
          <w:sz w:val="24"/>
          <w:szCs w:val="24"/>
        </w:rPr>
        <w:t>el</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conocimiento</w:t>
      </w:r>
      <w:proofErr w:type="spellEnd"/>
      <w:r w:rsidRPr="0009479C">
        <w:rPr>
          <w:rFonts w:asciiTheme="majorBidi" w:hAnsiTheme="majorBidi" w:cstheme="majorBidi"/>
          <w:bCs/>
          <w:sz w:val="24"/>
          <w:szCs w:val="24"/>
        </w:rPr>
        <w:t xml:space="preserve"> de la Faja </w:t>
      </w:r>
      <w:proofErr w:type="spellStart"/>
      <w:r w:rsidRPr="0009479C">
        <w:rPr>
          <w:rFonts w:asciiTheme="majorBidi" w:hAnsiTheme="majorBidi" w:cstheme="majorBidi"/>
          <w:bCs/>
          <w:sz w:val="24"/>
          <w:szCs w:val="24"/>
        </w:rPr>
        <w:t>Volcánica</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Transmexicana</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durante</w:t>
      </w:r>
      <w:proofErr w:type="spellEnd"/>
      <w:r w:rsidRPr="0009479C">
        <w:rPr>
          <w:rFonts w:asciiTheme="majorBidi" w:hAnsiTheme="majorBidi" w:cstheme="majorBidi"/>
          <w:bCs/>
          <w:sz w:val="24"/>
          <w:szCs w:val="24"/>
        </w:rPr>
        <w:t xml:space="preserve"> la </w:t>
      </w:r>
      <w:proofErr w:type="spellStart"/>
      <w:r w:rsidRPr="0009479C">
        <w:rPr>
          <w:rFonts w:asciiTheme="majorBidi" w:hAnsiTheme="majorBidi" w:cstheme="majorBidi"/>
          <w:bCs/>
          <w:sz w:val="24"/>
          <w:szCs w:val="24"/>
        </w:rPr>
        <w:t>última</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década</w:t>
      </w:r>
      <w:proofErr w:type="spellEnd"/>
      <w:r w:rsidRPr="0009479C">
        <w:rPr>
          <w:rFonts w:asciiTheme="majorBidi" w:hAnsiTheme="majorBidi" w:cstheme="majorBidi"/>
          <w:bCs/>
          <w:sz w:val="24"/>
          <w:szCs w:val="24"/>
        </w:rPr>
        <w:t xml:space="preserve">. </w:t>
      </w:r>
      <w:proofErr w:type="spellStart"/>
      <w:r w:rsidRPr="00A57FF0">
        <w:rPr>
          <w:rFonts w:asciiTheme="majorBidi" w:hAnsiTheme="majorBidi" w:cstheme="majorBidi"/>
          <w:bCs/>
          <w:i/>
          <w:iCs/>
          <w:sz w:val="24"/>
          <w:szCs w:val="24"/>
        </w:rPr>
        <w:t>Boletín</w:t>
      </w:r>
      <w:proofErr w:type="spellEnd"/>
      <w:r w:rsidRPr="00A57FF0">
        <w:rPr>
          <w:rFonts w:asciiTheme="majorBidi" w:hAnsiTheme="majorBidi" w:cstheme="majorBidi"/>
          <w:bCs/>
          <w:i/>
          <w:iCs/>
          <w:sz w:val="24"/>
          <w:szCs w:val="24"/>
        </w:rPr>
        <w:t xml:space="preserve"> la Soc </w:t>
      </w:r>
      <w:proofErr w:type="spellStart"/>
      <w:r w:rsidRPr="00A57FF0">
        <w:rPr>
          <w:rFonts w:asciiTheme="majorBidi" w:hAnsiTheme="majorBidi" w:cstheme="majorBidi"/>
          <w:bCs/>
          <w:i/>
          <w:iCs/>
          <w:sz w:val="24"/>
          <w:szCs w:val="24"/>
        </w:rPr>
        <w:t>Geológica</w:t>
      </w:r>
      <w:proofErr w:type="spellEnd"/>
      <w:r w:rsidRPr="00A57FF0">
        <w:rPr>
          <w:rFonts w:asciiTheme="majorBidi" w:hAnsiTheme="majorBidi" w:cstheme="majorBidi"/>
          <w:bCs/>
          <w:i/>
          <w:iCs/>
          <w:sz w:val="24"/>
          <w:szCs w:val="24"/>
        </w:rPr>
        <w:t xml:space="preserve"> Mex.</w:t>
      </w:r>
      <w:r w:rsidRPr="0009479C">
        <w:rPr>
          <w:rFonts w:asciiTheme="majorBidi" w:hAnsiTheme="majorBidi" w:cstheme="majorBidi"/>
          <w:bCs/>
          <w:sz w:val="24"/>
          <w:szCs w:val="24"/>
        </w:rPr>
        <w:t xml:space="preserve"> 2000;</w:t>
      </w:r>
      <w:r w:rsidRPr="00A57FF0">
        <w:rPr>
          <w:rFonts w:asciiTheme="majorBidi" w:hAnsiTheme="majorBidi" w:cstheme="majorBidi"/>
          <w:b/>
          <w:sz w:val="24"/>
          <w:szCs w:val="24"/>
        </w:rPr>
        <w:t>53</w:t>
      </w:r>
      <w:r w:rsidRPr="0009479C">
        <w:rPr>
          <w:rFonts w:asciiTheme="majorBidi" w:hAnsiTheme="majorBidi" w:cstheme="majorBidi"/>
          <w:bCs/>
          <w:sz w:val="24"/>
          <w:szCs w:val="24"/>
        </w:rPr>
        <w:t>:84–92.</w:t>
      </w:r>
    </w:p>
    <w:p w14:paraId="3031FF8A"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28. Quintero-</w:t>
      </w:r>
      <w:proofErr w:type="spellStart"/>
      <w:r w:rsidRPr="0009479C">
        <w:rPr>
          <w:rFonts w:asciiTheme="majorBidi" w:hAnsiTheme="majorBidi" w:cstheme="majorBidi"/>
          <w:bCs/>
          <w:sz w:val="24"/>
          <w:szCs w:val="24"/>
        </w:rPr>
        <w:t>Legorreta</w:t>
      </w:r>
      <w:proofErr w:type="spellEnd"/>
      <w:r w:rsidRPr="0009479C">
        <w:rPr>
          <w:rFonts w:asciiTheme="majorBidi" w:hAnsiTheme="majorBidi" w:cstheme="majorBidi"/>
          <w:bCs/>
          <w:sz w:val="24"/>
          <w:szCs w:val="24"/>
        </w:rPr>
        <w:t xml:space="preserve"> O. </w:t>
      </w:r>
      <w:proofErr w:type="spellStart"/>
      <w:r w:rsidRPr="0009479C">
        <w:rPr>
          <w:rFonts w:asciiTheme="majorBidi" w:hAnsiTheme="majorBidi" w:cstheme="majorBidi"/>
          <w:bCs/>
          <w:sz w:val="24"/>
          <w:szCs w:val="24"/>
        </w:rPr>
        <w:t>Análisis</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estructural</w:t>
      </w:r>
      <w:proofErr w:type="spellEnd"/>
      <w:r w:rsidRPr="0009479C">
        <w:rPr>
          <w:rFonts w:asciiTheme="majorBidi" w:hAnsiTheme="majorBidi" w:cstheme="majorBidi"/>
          <w:bCs/>
          <w:sz w:val="24"/>
          <w:szCs w:val="24"/>
        </w:rPr>
        <w:t xml:space="preserve"> de </w:t>
      </w:r>
      <w:proofErr w:type="spellStart"/>
      <w:r w:rsidRPr="0009479C">
        <w:rPr>
          <w:rFonts w:asciiTheme="majorBidi" w:hAnsiTheme="majorBidi" w:cstheme="majorBidi"/>
          <w:bCs/>
          <w:sz w:val="24"/>
          <w:szCs w:val="24"/>
        </w:rPr>
        <w:t>fallas</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potencialmente</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activas</w:t>
      </w:r>
      <w:proofErr w:type="spellEnd"/>
      <w:r w:rsidRPr="0009479C">
        <w:rPr>
          <w:rFonts w:asciiTheme="majorBidi" w:hAnsiTheme="majorBidi" w:cstheme="majorBidi"/>
          <w:bCs/>
          <w:sz w:val="24"/>
          <w:szCs w:val="24"/>
        </w:rPr>
        <w:t xml:space="preserve">. </w:t>
      </w:r>
      <w:proofErr w:type="spellStart"/>
      <w:r w:rsidRPr="00A57FF0">
        <w:rPr>
          <w:rFonts w:asciiTheme="majorBidi" w:hAnsiTheme="majorBidi" w:cstheme="majorBidi"/>
          <w:bCs/>
          <w:i/>
          <w:iCs/>
          <w:sz w:val="24"/>
          <w:szCs w:val="24"/>
        </w:rPr>
        <w:t>Boletín</w:t>
      </w:r>
      <w:proofErr w:type="spellEnd"/>
      <w:r w:rsidRPr="00A57FF0">
        <w:rPr>
          <w:rFonts w:asciiTheme="majorBidi" w:hAnsiTheme="majorBidi" w:cstheme="majorBidi"/>
          <w:bCs/>
          <w:i/>
          <w:iCs/>
          <w:sz w:val="24"/>
          <w:szCs w:val="24"/>
        </w:rPr>
        <w:t xml:space="preserve"> la Soc </w:t>
      </w:r>
      <w:proofErr w:type="spellStart"/>
      <w:r w:rsidRPr="00A57FF0">
        <w:rPr>
          <w:rFonts w:asciiTheme="majorBidi" w:hAnsiTheme="majorBidi" w:cstheme="majorBidi"/>
          <w:bCs/>
          <w:i/>
          <w:iCs/>
          <w:sz w:val="24"/>
          <w:szCs w:val="24"/>
        </w:rPr>
        <w:t>Geológica</w:t>
      </w:r>
      <w:proofErr w:type="spellEnd"/>
      <w:r w:rsidRPr="00A57FF0">
        <w:rPr>
          <w:rFonts w:asciiTheme="majorBidi" w:hAnsiTheme="majorBidi" w:cstheme="majorBidi"/>
          <w:bCs/>
          <w:i/>
          <w:iCs/>
          <w:sz w:val="24"/>
          <w:szCs w:val="24"/>
        </w:rPr>
        <w:t xml:space="preserve"> Mex.</w:t>
      </w:r>
      <w:r w:rsidRPr="0009479C">
        <w:rPr>
          <w:rFonts w:asciiTheme="majorBidi" w:hAnsiTheme="majorBidi" w:cstheme="majorBidi"/>
          <w:bCs/>
          <w:sz w:val="24"/>
          <w:szCs w:val="24"/>
        </w:rPr>
        <w:t xml:space="preserve"> 2002;</w:t>
      </w:r>
      <w:r w:rsidRPr="00A57FF0">
        <w:rPr>
          <w:rFonts w:asciiTheme="majorBidi" w:hAnsiTheme="majorBidi" w:cstheme="majorBidi"/>
          <w:b/>
          <w:sz w:val="24"/>
          <w:szCs w:val="24"/>
        </w:rPr>
        <w:t>55</w:t>
      </w:r>
      <w:r w:rsidRPr="0009479C">
        <w:rPr>
          <w:rFonts w:asciiTheme="majorBidi" w:hAnsiTheme="majorBidi" w:cstheme="majorBidi"/>
          <w:bCs/>
          <w:sz w:val="24"/>
          <w:szCs w:val="24"/>
        </w:rPr>
        <w:t>:12–29.</w:t>
      </w:r>
    </w:p>
    <w:p w14:paraId="09251FF6"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29. </w:t>
      </w:r>
      <w:proofErr w:type="spellStart"/>
      <w:r w:rsidRPr="0009479C">
        <w:rPr>
          <w:rFonts w:asciiTheme="majorBidi" w:hAnsiTheme="majorBidi" w:cstheme="majorBidi"/>
          <w:bCs/>
          <w:sz w:val="24"/>
          <w:szCs w:val="24"/>
        </w:rPr>
        <w:t>Israde-Alcántara</w:t>
      </w:r>
      <w:proofErr w:type="spellEnd"/>
      <w:r w:rsidRPr="0009479C">
        <w:rPr>
          <w:rFonts w:asciiTheme="majorBidi" w:hAnsiTheme="majorBidi" w:cstheme="majorBidi"/>
          <w:bCs/>
          <w:sz w:val="24"/>
          <w:szCs w:val="24"/>
        </w:rPr>
        <w:t xml:space="preserve"> I, Velázquez-Durán R, Lozano-García MS, </w:t>
      </w:r>
      <w:proofErr w:type="spellStart"/>
      <w:r w:rsidRPr="0009479C">
        <w:rPr>
          <w:rFonts w:asciiTheme="majorBidi" w:hAnsiTheme="majorBidi" w:cstheme="majorBidi"/>
          <w:bCs/>
          <w:sz w:val="24"/>
          <w:szCs w:val="24"/>
        </w:rPr>
        <w:t>BischoffJ</w:t>
      </w:r>
      <w:proofErr w:type="spellEnd"/>
      <w:r w:rsidRPr="0009479C">
        <w:rPr>
          <w:rFonts w:asciiTheme="majorBidi" w:hAnsiTheme="majorBidi" w:cstheme="majorBidi"/>
          <w:bCs/>
          <w:sz w:val="24"/>
          <w:szCs w:val="24"/>
        </w:rPr>
        <w:t xml:space="preserve">., Domínguez-Vázquez G, Victor Hugo GM. </w:t>
      </w:r>
      <w:proofErr w:type="spellStart"/>
      <w:r w:rsidRPr="0009479C">
        <w:rPr>
          <w:rFonts w:asciiTheme="majorBidi" w:hAnsiTheme="majorBidi" w:cstheme="majorBidi"/>
          <w:bCs/>
          <w:sz w:val="24"/>
          <w:szCs w:val="24"/>
        </w:rPr>
        <w:t>Evolución</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Paleolimnológica</w:t>
      </w:r>
      <w:proofErr w:type="spellEnd"/>
      <w:r w:rsidRPr="0009479C">
        <w:rPr>
          <w:rFonts w:asciiTheme="majorBidi" w:hAnsiTheme="majorBidi" w:cstheme="majorBidi"/>
          <w:bCs/>
          <w:sz w:val="24"/>
          <w:szCs w:val="24"/>
        </w:rPr>
        <w:t xml:space="preserve"> del Lago Cuitzeo , Michoacán </w:t>
      </w:r>
      <w:proofErr w:type="spellStart"/>
      <w:r w:rsidRPr="0009479C">
        <w:rPr>
          <w:rFonts w:asciiTheme="majorBidi" w:hAnsiTheme="majorBidi" w:cstheme="majorBidi"/>
          <w:bCs/>
          <w:sz w:val="24"/>
          <w:szCs w:val="24"/>
        </w:rPr>
        <w:t>durante</w:t>
      </w:r>
      <w:proofErr w:type="spellEnd"/>
      <w:r w:rsidRPr="0009479C">
        <w:rPr>
          <w:rFonts w:asciiTheme="majorBidi" w:hAnsiTheme="majorBidi" w:cstheme="majorBidi"/>
          <w:bCs/>
          <w:sz w:val="24"/>
          <w:szCs w:val="24"/>
        </w:rPr>
        <w:t xml:space="preserve"> el </w:t>
      </w:r>
      <w:proofErr w:type="spellStart"/>
      <w:r w:rsidRPr="0009479C">
        <w:rPr>
          <w:rFonts w:asciiTheme="majorBidi" w:hAnsiTheme="majorBidi" w:cstheme="majorBidi"/>
          <w:bCs/>
          <w:sz w:val="24"/>
          <w:szCs w:val="24"/>
        </w:rPr>
        <w:t>Pleistoceno-Holoceno</w:t>
      </w:r>
      <w:proofErr w:type="spellEnd"/>
      <w:r w:rsidRPr="0009479C">
        <w:rPr>
          <w:rFonts w:asciiTheme="majorBidi" w:hAnsiTheme="majorBidi" w:cstheme="majorBidi"/>
          <w:bCs/>
          <w:sz w:val="24"/>
          <w:szCs w:val="24"/>
        </w:rPr>
        <w:t xml:space="preserve">. </w:t>
      </w:r>
      <w:proofErr w:type="spellStart"/>
      <w:r w:rsidRPr="00A57FF0">
        <w:rPr>
          <w:rFonts w:asciiTheme="majorBidi" w:hAnsiTheme="majorBidi" w:cstheme="majorBidi"/>
          <w:bCs/>
          <w:i/>
          <w:iCs/>
          <w:sz w:val="24"/>
          <w:szCs w:val="24"/>
        </w:rPr>
        <w:t>Boletín</w:t>
      </w:r>
      <w:proofErr w:type="spellEnd"/>
      <w:r w:rsidRPr="00A57FF0">
        <w:rPr>
          <w:rFonts w:asciiTheme="majorBidi" w:hAnsiTheme="majorBidi" w:cstheme="majorBidi"/>
          <w:bCs/>
          <w:i/>
          <w:iCs/>
          <w:sz w:val="24"/>
          <w:szCs w:val="24"/>
        </w:rPr>
        <w:t xml:space="preserve"> la Soc </w:t>
      </w:r>
      <w:proofErr w:type="spellStart"/>
      <w:r w:rsidRPr="00A57FF0">
        <w:rPr>
          <w:rFonts w:asciiTheme="majorBidi" w:hAnsiTheme="majorBidi" w:cstheme="majorBidi"/>
          <w:bCs/>
          <w:i/>
          <w:iCs/>
          <w:sz w:val="24"/>
          <w:szCs w:val="24"/>
        </w:rPr>
        <w:t>Geológica</w:t>
      </w:r>
      <w:proofErr w:type="spellEnd"/>
      <w:r w:rsidRPr="00A57FF0">
        <w:rPr>
          <w:rFonts w:asciiTheme="majorBidi" w:hAnsiTheme="majorBidi" w:cstheme="majorBidi"/>
          <w:bCs/>
          <w:i/>
          <w:iCs/>
          <w:sz w:val="24"/>
          <w:szCs w:val="24"/>
        </w:rPr>
        <w:t xml:space="preserve"> Mex</w:t>
      </w:r>
      <w:r w:rsidRPr="0009479C">
        <w:rPr>
          <w:rFonts w:asciiTheme="majorBidi" w:hAnsiTheme="majorBidi" w:cstheme="majorBidi"/>
          <w:bCs/>
          <w:sz w:val="24"/>
          <w:szCs w:val="24"/>
        </w:rPr>
        <w:t>. 2010;</w:t>
      </w:r>
      <w:r w:rsidRPr="00A57FF0">
        <w:rPr>
          <w:rFonts w:asciiTheme="majorBidi" w:hAnsiTheme="majorBidi" w:cstheme="majorBidi"/>
          <w:b/>
          <w:sz w:val="24"/>
          <w:szCs w:val="24"/>
        </w:rPr>
        <w:t>62</w:t>
      </w:r>
      <w:r w:rsidRPr="0009479C">
        <w:rPr>
          <w:rFonts w:asciiTheme="majorBidi" w:hAnsiTheme="majorBidi" w:cstheme="majorBidi"/>
          <w:bCs/>
          <w:sz w:val="24"/>
          <w:szCs w:val="24"/>
        </w:rPr>
        <w:t>:345–57.</w:t>
      </w:r>
    </w:p>
    <w:p w14:paraId="7047D723"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30. </w:t>
      </w:r>
      <w:proofErr w:type="spellStart"/>
      <w:r w:rsidRPr="0009479C">
        <w:rPr>
          <w:rFonts w:asciiTheme="majorBidi" w:hAnsiTheme="majorBidi" w:cstheme="majorBidi"/>
          <w:bCs/>
          <w:sz w:val="24"/>
          <w:szCs w:val="24"/>
        </w:rPr>
        <w:t>Israde</w:t>
      </w:r>
      <w:proofErr w:type="spellEnd"/>
      <w:r w:rsidRPr="0009479C">
        <w:rPr>
          <w:rFonts w:asciiTheme="majorBidi" w:hAnsiTheme="majorBidi" w:cstheme="majorBidi"/>
          <w:bCs/>
          <w:sz w:val="24"/>
          <w:szCs w:val="24"/>
        </w:rPr>
        <w:t xml:space="preserve">-Alcantara I, </w:t>
      </w:r>
      <w:proofErr w:type="spellStart"/>
      <w:r w:rsidRPr="0009479C">
        <w:rPr>
          <w:rFonts w:asciiTheme="majorBidi" w:hAnsiTheme="majorBidi" w:cstheme="majorBidi"/>
          <w:bCs/>
          <w:sz w:val="24"/>
          <w:szCs w:val="24"/>
        </w:rPr>
        <w:t>Garduño</w:t>
      </w:r>
      <w:proofErr w:type="spellEnd"/>
      <w:r w:rsidRPr="0009479C">
        <w:rPr>
          <w:rFonts w:asciiTheme="majorBidi" w:hAnsiTheme="majorBidi" w:cstheme="majorBidi"/>
          <w:bCs/>
          <w:sz w:val="24"/>
          <w:szCs w:val="24"/>
        </w:rPr>
        <w:t xml:space="preserve">-Monroy VH. Lacustrine record in a volcanic intra-arc setting: the evolution of the Late Neogene Cuitzeo basin system (central- western </w:t>
      </w:r>
      <w:proofErr w:type="spellStart"/>
      <w:r w:rsidRPr="0009479C">
        <w:rPr>
          <w:rFonts w:asciiTheme="majorBidi" w:hAnsiTheme="majorBidi" w:cstheme="majorBidi"/>
          <w:bCs/>
          <w:sz w:val="24"/>
          <w:szCs w:val="24"/>
        </w:rPr>
        <w:t>mexico</w:t>
      </w:r>
      <w:proofErr w:type="spellEnd"/>
      <w:r w:rsidRPr="0009479C">
        <w:rPr>
          <w:rFonts w:asciiTheme="majorBidi" w:hAnsiTheme="majorBidi" w:cstheme="majorBidi"/>
          <w:bCs/>
          <w:sz w:val="24"/>
          <w:szCs w:val="24"/>
        </w:rPr>
        <w:t xml:space="preserve">, Michoacán). </w:t>
      </w:r>
      <w:proofErr w:type="spellStart"/>
      <w:r w:rsidRPr="00A57FF0">
        <w:rPr>
          <w:rFonts w:asciiTheme="majorBidi" w:hAnsiTheme="majorBidi" w:cstheme="majorBidi"/>
          <w:bCs/>
          <w:i/>
          <w:iCs/>
          <w:sz w:val="24"/>
          <w:szCs w:val="24"/>
        </w:rPr>
        <w:t>Palaeogeogr</w:t>
      </w:r>
      <w:proofErr w:type="spellEnd"/>
      <w:r w:rsidRPr="00A57FF0">
        <w:rPr>
          <w:rFonts w:asciiTheme="majorBidi" w:hAnsiTheme="majorBidi" w:cstheme="majorBidi"/>
          <w:bCs/>
          <w:i/>
          <w:iCs/>
          <w:sz w:val="24"/>
          <w:szCs w:val="24"/>
        </w:rPr>
        <w:t xml:space="preserve"> </w:t>
      </w:r>
      <w:proofErr w:type="spellStart"/>
      <w:r w:rsidRPr="00A57FF0">
        <w:rPr>
          <w:rFonts w:asciiTheme="majorBidi" w:hAnsiTheme="majorBidi" w:cstheme="majorBidi"/>
          <w:bCs/>
          <w:i/>
          <w:iCs/>
          <w:sz w:val="24"/>
          <w:szCs w:val="24"/>
        </w:rPr>
        <w:t>Palaeoclimatol</w:t>
      </w:r>
      <w:proofErr w:type="spellEnd"/>
      <w:r w:rsidRPr="00A57FF0">
        <w:rPr>
          <w:rFonts w:asciiTheme="majorBidi" w:hAnsiTheme="majorBidi" w:cstheme="majorBidi"/>
          <w:bCs/>
          <w:i/>
          <w:iCs/>
          <w:sz w:val="24"/>
          <w:szCs w:val="24"/>
        </w:rPr>
        <w:t xml:space="preserve"> </w:t>
      </w:r>
      <w:proofErr w:type="spellStart"/>
      <w:r w:rsidRPr="00A57FF0">
        <w:rPr>
          <w:rFonts w:asciiTheme="majorBidi" w:hAnsiTheme="majorBidi" w:cstheme="majorBidi"/>
          <w:bCs/>
          <w:i/>
          <w:iCs/>
          <w:sz w:val="24"/>
          <w:szCs w:val="24"/>
        </w:rPr>
        <w:t>Palaeoecol</w:t>
      </w:r>
      <w:proofErr w:type="spellEnd"/>
      <w:r w:rsidRPr="0009479C">
        <w:rPr>
          <w:rFonts w:asciiTheme="majorBidi" w:hAnsiTheme="majorBidi" w:cstheme="majorBidi"/>
          <w:bCs/>
          <w:sz w:val="24"/>
          <w:szCs w:val="24"/>
        </w:rPr>
        <w:t>. 1999;</w:t>
      </w:r>
      <w:r w:rsidRPr="00A57FF0">
        <w:rPr>
          <w:rFonts w:asciiTheme="majorBidi" w:hAnsiTheme="majorBidi" w:cstheme="majorBidi"/>
          <w:b/>
          <w:sz w:val="24"/>
          <w:szCs w:val="24"/>
        </w:rPr>
        <w:t>151</w:t>
      </w:r>
      <w:r w:rsidRPr="0009479C">
        <w:rPr>
          <w:rFonts w:asciiTheme="majorBidi" w:hAnsiTheme="majorBidi" w:cstheme="majorBidi"/>
          <w:bCs/>
          <w:sz w:val="24"/>
          <w:szCs w:val="24"/>
        </w:rPr>
        <w:t>:209–27.</w:t>
      </w:r>
    </w:p>
    <w:p w14:paraId="0F155174"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31. </w:t>
      </w:r>
      <w:proofErr w:type="spellStart"/>
      <w:r w:rsidRPr="0009479C">
        <w:rPr>
          <w:rFonts w:asciiTheme="majorBidi" w:hAnsiTheme="majorBidi" w:cstheme="majorBidi"/>
          <w:bCs/>
          <w:sz w:val="24"/>
          <w:szCs w:val="24"/>
        </w:rPr>
        <w:t>Israde-Alcántara</w:t>
      </w:r>
      <w:proofErr w:type="spellEnd"/>
      <w:r w:rsidRPr="0009479C">
        <w:rPr>
          <w:rFonts w:asciiTheme="majorBidi" w:hAnsiTheme="majorBidi" w:cstheme="majorBidi"/>
          <w:bCs/>
          <w:sz w:val="24"/>
          <w:szCs w:val="24"/>
        </w:rPr>
        <w:t xml:space="preserve"> I. Lagos </w:t>
      </w:r>
      <w:proofErr w:type="spellStart"/>
      <w:r w:rsidRPr="0009479C">
        <w:rPr>
          <w:rFonts w:asciiTheme="majorBidi" w:hAnsiTheme="majorBidi" w:cstheme="majorBidi"/>
          <w:bCs/>
          <w:sz w:val="24"/>
          <w:szCs w:val="24"/>
        </w:rPr>
        <w:t>Volcánicos</w:t>
      </w:r>
      <w:proofErr w:type="spellEnd"/>
      <w:r w:rsidRPr="0009479C">
        <w:rPr>
          <w:rFonts w:asciiTheme="majorBidi" w:hAnsiTheme="majorBidi" w:cstheme="majorBidi"/>
          <w:bCs/>
          <w:sz w:val="24"/>
          <w:szCs w:val="24"/>
        </w:rPr>
        <w:t xml:space="preserve"> y </w:t>
      </w:r>
      <w:proofErr w:type="spellStart"/>
      <w:r w:rsidRPr="0009479C">
        <w:rPr>
          <w:rFonts w:asciiTheme="majorBidi" w:hAnsiTheme="majorBidi" w:cstheme="majorBidi"/>
          <w:bCs/>
          <w:sz w:val="24"/>
          <w:szCs w:val="24"/>
        </w:rPr>
        <w:t>Tectónicos</w:t>
      </w:r>
      <w:proofErr w:type="spellEnd"/>
      <w:r w:rsidRPr="0009479C">
        <w:rPr>
          <w:rFonts w:asciiTheme="majorBidi" w:hAnsiTheme="majorBidi" w:cstheme="majorBidi"/>
          <w:bCs/>
          <w:sz w:val="24"/>
          <w:szCs w:val="24"/>
        </w:rPr>
        <w:t xml:space="preserve"> de Michoacán. In: </w:t>
      </w:r>
      <w:proofErr w:type="spellStart"/>
      <w:r w:rsidRPr="0009479C">
        <w:rPr>
          <w:rFonts w:asciiTheme="majorBidi" w:hAnsiTheme="majorBidi" w:cstheme="majorBidi"/>
          <w:bCs/>
          <w:sz w:val="24"/>
          <w:szCs w:val="24"/>
        </w:rPr>
        <w:t>Garduño</w:t>
      </w:r>
      <w:proofErr w:type="spellEnd"/>
      <w:r w:rsidRPr="0009479C">
        <w:rPr>
          <w:rFonts w:asciiTheme="majorBidi" w:hAnsiTheme="majorBidi" w:cstheme="majorBidi"/>
          <w:bCs/>
          <w:sz w:val="24"/>
          <w:szCs w:val="24"/>
        </w:rPr>
        <w:t xml:space="preserve">-Monroy VH, Corona-Chávez P, </w:t>
      </w:r>
      <w:proofErr w:type="spellStart"/>
      <w:r w:rsidRPr="0009479C">
        <w:rPr>
          <w:rFonts w:asciiTheme="majorBidi" w:hAnsiTheme="majorBidi" w:cstheme="majorBidi"/>
          <w:bCs/>
          <w:sz w:val="24"/>
          <w:szCs w:val="24"/>
        </w:rPr>
        <w:t>Israde-Alcántara</w:t>
      </w:r>
      <w:proofErr w:type="spellEnd"/>
      <w:r w:rsidRPr="0009479C">
        <w:rPr>
          <w:rFonts w:asciiTheme="majorBidi" w:hAnsiTheme="majorBidi" w:cstheme="majorBidi"/>
          <w:bCs/>
          <w:sz w:val="24"/>
          <w:szCs w:val="24"/>
        </w:rPr>
        <w:t xml:space="preserve"> I, </w:t>
      </w:r>
      <w:proofErr w:type="spellStart"/>
      <w:r w:rsidRPr="0009479C">
        <w:rPr>
          <w:rFonts w:asciiTheme="majorBidi" w:hAnsiTheme="majorBidi" w:cstheme="majorBidi"/>
          <w:bCs/>
          <w:sz w:val="24"/>
          <w:szCs w:val="24"/>
        </w:rPr>
        <w:t>Menella</w:t>
      </w:r>
      <w:proofErr w:type="spellEnd"/>
      <w:r w:rsidRPr="0009479C">
        <w:rPr>
          <w:rFonts w:asciiTheme="majorBidi" w:hAnsiTheme="majorBidi" w:cstheme="majorBidi"/>
          <w:bCs/>
          <w:sz w:val="24"/>
          <w:szCs w:val="24"/>
        </w:rPr>
        <w:t xml:space="preserve"> L, </w:t>
      </w:r>
      <w:proofErr w:type="spellStart"/>
      <w:r w:rsidRPr="0009479C">
        <w:rPr>
          <w:rFonts w:asciiTheme="majorBidi" w:hAnsiTheme="majorBidi" w:cstheme="majorBidi"/>
          <w:bCs/>
          <w:sz w:val="24"/>
          <w:szCs w:val="24"/>
        </w:rPr>
        <w:t>Arreygue</w:t>
      </w:r>
      <w:proofErr w:type="spellEnd"/>
      <w:r w:rsidRPr="0009479C">
        <w:rPr>
          <w:rFonts w:asciiTheme="majorBidi" w:hAnsiTheme="majorBidi" w:cstheme="majorBidi"/>
          <w:bCs/>
          <w:sz w:val="24"/>
          <w:szCs w:val="24"/>
        </w:rPr>
        <w:t xml:space="preserve"> E, B </w:t>
      </w:r>
      <w:proofErr w:type="spellStart"/>
      <w:r w:rsidRPr="0009479C">
        <w:rPr>
          <w:rFonts w:asciiTheme="majorBidi" w:hAnsiTheme="majorBidi" w:cstheme="majorBidi"/>
          <w:bCs/>
          <w:sz w:val="24"/>
          <w:szCs w:val="24"/>
        </w:rPr>
        <w:t>B</w:t>
      </w:r>
      <w:proofErr w:type="spellEnd"/>
      <w:r w:rsidRPr="0009479C">
        <w:rPr>
          <w:rFonts w:asciiTheme="majorBidi" w:hAnsiTheme="majorBidi" w:cstheme="majorBidi"/>
          <w:bCs/>
          <w:sz w:val="24"/>
          <w:szCs w:val="24"/>
        </w:rPr>
        <w:t xml:space="preserve">, et al., editors. Carta </w:t>
      </w:r>
      <w:proofErr w:type="spellStart"/>
      <w:r w:rsidRPr="0009479C">
        <w:rPr>
          <w:rFonts w:asciiTheme="majorBidi" w:hAnsiTheme="majorBidi" w:cstheme="majorBidi"/>
          <w:bCs/>
          <w:sz w:val="24"/>
          <w:szCs w:val="24"/>
        </w:rPr>
        <w:t>Geológica</w:t>
      </w:r>
      <w:proofErr w:type="spellEnd"/>
      <w:r w:rsidRPr="0009479C">
        <w:rPr>
          <w:rFonts w:asciiTheme="majorBidi" w:hAnsiTheme="majorBidi" w:cstheme="majorBidi"/>
          <w:bCs/>
          <w:sz w:val="24"/>
          <w:szCs w:val="24"/>
        </w:rPr>
        <w:t xml:space="preserve"> de Michoacán </w:t>
      </w:r>
      <w:proofErr w:type="spellStart"/>
      <w:r w:rsidRPr="0009479C">
        <w:rPr>
          <w:rFonts w:asciiTheme="majorBidi" w:hAnsiTheme="majorBidi" w:cstheme="majorBidi"/>
          <w:bCs/>
          <w:sz w:val="24"/>
          <w:szCs w:val="24"/>
        </w:rPr>
        <w:t>Escala</w:t>
      </w:r>
      <w:proofErr w:type="spellEnd"/>
      <w:r w:rsidRPr="0009479C">
        <w:rPr>
          <w:rFonts w:asciiTheme="majorBidi" w:hAnsiTheme="majorBidi" w:cstheme="majorBidi"/>
          <w:bCs/>
          <w:sz w:val="24"/>
          <w:szCs w:val="24"/>
        </w:rPr>
        <w:t xml:space="preserve"> 1:250000. Universidad Michoacana de San Nicolás de Hidalgo; 1999. p. 45–72.</w:t>
      </w:r>
    </w:p>
    <w:p w14:paraId="3FE28CCF"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32. Domínguez-Domínguez O, </w:t>
      </w:r>
      <w:proofErr w:type="spellStart"/>
      <w:r w:rsidRPr="0009479C">
        <w:rPr>
          <w:rFonts w:asciiTheme="majorBidi" w:hAnsiTheme="majorBidi" w:cstheme="majorBidi"/>
          <w:bCs/>
          <w:sz w:val="24"/>
          <w:szCs w:val="24"/>
        </w:rPr>
        <w:t>Alda</w:t>
      </w:r>
      <w:proofErr w:type="spellEnd"/>
      <w:r w:rsidRPr="0009479C">
        <w:rPr>
          <w:rFonts w:asciiTheme="majorBidi" w:hAnsiTheme="majorBidi" w:cstheme="majorBidi"/>
          <w:bCs/>
          <w:sz w:val="24"/>
          <w:szCs w:val="24"/>
        </w:rPr>
        <w:t xml:space="preserve"> F, De León GPP, García-</w:t>
      </w:r>
      <w:proofErr w:type="spellStart"/>
      <w:r w:rsidRPr="0009479C">
        <w:rPr>
          <w:rFonts w:asciiTheme="majorBidi" w:hAnsiTheme="majorBidi" w:cstheme="majorBidi"/>
          <w:bCs/>
          <w:sz w:val="24"/>
          <w:szCs w:val="24"/>
        </w:rPr>
        <w:t>Garitagoitia</w:t>
      </w:r>
      <w:proofErr w:type="spellEnd"/>
      <w:r w:rsidRPr="0009479C">
        <w:rPr>
          <w:rFonts w:asciiTheme="majorBidi" w:hAnsiTheme="majorBidi" w:cstheme="majorBidi"/>
          <w:bCs/>
          <w:sz w:val="24"/>
          <w:szCs w:val="24"/>
        </w:rPr>
        <w:t xml:space="preserve"> JL, </w:t>
      </w:r>
      <w:proofErr w:type="spellStart"/>
      <w:r w:rsidRPr="0009479C">
        <w:rPr>
          <w:rFonts w:asciiTheme="majorBidi" w:hAnsiTheme="majorBidi" w:cstheme="majorBidi"/>
          <w:bCs/>
          <w:sz w:val="24"/>
          <w:szCs w:val="24"/>
        </w:rPr>
        <w:t>Doadrio</w:t>
      </w:r>
      <w:proofErr w:type="spellEnd"/>
      <w:r w:rsidRPr="0009479C">
        <w:rPr>
          <w:rFonts w:asciiTheme="majorBidi" w:hAnsiTheme="majorBidi" w:cstheme="majorBidi"/>
          <w:bCs/>
          <w:sz w:val="24"/>
          <w:szCs w:val="24"/>
        </w:rPr>
        <w:t xml:space="preserve"> I. Evolutionary history of the endangered fish </w:t>
      </w:r>
      <w:proofErr w:type="spellStart"/>
      <w:r w:rsidRPr="00A57FF0">
        <w:rPr>
          <w:rFonts w:asciiTheme="majorBidi" w:hAnsiTheme="majorBidi" w:cstheme="majorBidi"/>
          <w:bCs/>
          <w:i/>
          <w:iCs/>
          <w:sz w:val="24"/>
          <w:szCs w:val="24"/>
        </w:rPr>
        <w:t>Zoogoneticus</w:t>
      </w:r>
      <w:proofErr w:type="spellEnd"/>
      <w:r w:rsidRPr="00A57FF0">
        <w:rPr>
          <w:rFonts w:asciiTheme="majorBidi" w:hAnsiTheme="majorBidi" w:cstheme="majorBidi"/>
          <w:bCs/>
          <w:i/>
          <w:iCs/>
          <w:sz w:val="24"/>
          <w:szCs w:val="24"/>
        </w:rPr>
        <w:t xml:space="preserve"> </w:t>
      </w:r>
      <w:proofErr w:type="spellStart"/>
      <w:r w:rsidRPr="00A57FF0">
        <w:rPr>
          <w:rFonts w:asciiTheme="majorBidi" w:hAnsiTheme="majorBidi" w:cstheme="majorBidi"/>
          <w:bCs/>
          <w:i/>
          <w:iCs/>
          <w:sz w:val="24"/>
          <w:szCs w:val="24"/>
        </w:rPr>
        <w:t>quitzeoensis</w:t>
      </w:r>
      <w:proofErr w:type="spellEnd"/>
      <w:r w:rsidRPr="0009479C">
        <w:rPr>
          <w:rFonts w:asciiTheme="majorBidi" w:hAnsiTheme="majorBidi" w:cstheme="majorBidi"/>
          <w:bCs/>
          <w:sz w:val="24"/>
          <w:szCs w:val="24"/>
        </w:rPr>
        <w:t xml:space="preserve"> (Bean, 1898) (</w:t>
      </w:r>
      <w:proofErr w:type="spellStart"/>
      <w:r w:rsidRPr="0009479C">
        <w:rPr>
          <w:rFonts w:asciiTheme="majorBidi" w:hAnsiTheme="majorBidi" w:cstheme="majorBidi"/>
          <w:bCs/>
          <w:sz w:val="24"/>
          <w:szCs w:val="24"/>
        </w:rPr>
        <w:t>Cyprinodontiformes</w:t>
      </w:r>
      <w:proofErr w:type="spellEnd"/>
      <w:r w:rsidRPr="0009479C">
        <w:rPr>
          <w:rFonts w:asciiTheme="majorBidi" w:hAnsiTheme="majorBidi" w:cstheme="majorBidi"/>
          <w:bCs/>
          <w:sz w:val="24"/>
          <w:szCs w:val="24"/>
        </w:rPr>
        <w:t xml:space="preserve">: Goodeidae) using a sequential approach to phylogeography based on mitochondrial and nuclear DNA data. </w:t>
      </w:r>
      <w:r w:rsidRPr="00A57FF0">
        <w:rPr>
          <w:rFonts w:asciiTheme="majorBidi" w:hAnsiTheme="majorBidi" w:cstheme="majorBidi"/>
          <w:bCs/>
          <w:i/>
          <w:iCs/>
          <w:sz w:val="24"/>
          <w:szCs w:val="24"/>
        </w:rPr>
        <w:t>BMC Evol Biol.</w:t>
      </w:r>
      <w:r w:rsidRPr="0009479C">
        <w:rPr>
          <w:rFonts w:asciiTheme="majorBidi" w:hAnsiTheme="majorBidi" w:cstheme="majorBidi"/>
          <w:bCs/>
          <w:sz w:val="24"/>
          <w:szCs w:val="24"/>
        </w:rPr>
        <w:t xml:space="preserve"> 2008;</w:t>
      </w:r>
      <w:r w:rsidRPr="00A57FF0">
        <w:rPr>
          <w:rFonts w:asciiTheme="majorBidi" w:hAnsiTheme="majorBidi" w:cstheme="majorBidi"/>
          <w:b/>
          <w:sz w:val="24"/>
          <w:szCs w:val="24"/>
        </w:rPr>
        <w:t>8</w:t>
      </w:r>
      <w:r w:rsidRPr="0009479C">
        <w:rPr>
          <w:rFonts w:asciiTheme="majorBidi" w:hAnsiTheme="majorBidi" w:cstheme="majorBidi"/>
          <w:bCs/>
          <w:sz w:val="24"/>
          <w:szCs w:val="24"/>
        </w:rPr>
        <w:t>:1–19.</w:t>
      </w:r>
    </w:p>
    <w:p w14:paraId="7140A77B"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33. </w:t>
      </w:r>
      <w:proofErr w:type="spellStart"/>
      <w:r w:rsidRPr="0009479C">
        <w:rPr>
          <w:rFonts w:asciiTheme="majorBidi" w:hAnsiTheme="majorBidi" w:cstheme="majorBidi"/>
          <w:bCs/>
          <w:sz w:val="24"/>
          <w:szCs w:val="24"/>
        </w:rPr>
        <w:t>Doadrio</w:t>
      </w:r>
      <w:proofErr w:type="spellEnd"/>
      <w:r w:rsidRPr="0009479C">
        <w:rPr>
          <w:rFonts w:asciiTheme="majorBidi" w:hAnsiTheme="majorBidi" w:cstheme="majorBidi"/>
          <w:bCs/>
          <w:sz w:val="24"/>
          <w:szCs w:val="24"/>
        </w:rPr>
        <w:t xml:space="preserve"> I, Domínguez O. Phylogenetic relationships within the fish family Goodeidae based on </w:t>
      </w:r>
      <w:r w:rsidRPr="00A57FF0">
        <w:rPr>
          <w:rFonts w:asciiTheme="majorBidi" w:hAnsiTheme="majorBidi" w:cstheme="majorBidi"/>
          <w:bCs/>
          <w:i/>
          <w:iCs/>
          <w:sz w:val="24"/>
          <w:szCs w:val="24"/>
        </w:rPr>
        <w:t>cytochrome b</w:t>
      </w:r>
      <w:r w:rsidRPr="0009479C">
        <w:rPr>
          <w:rFonts w:asciiTheme="majorBidi" w:hAnsiTheme="majorBidi" w:cstheme="majorBidi"/>
          <w:bCs/>
          <w:sz w:val="24"/>
          <w:szCs w:val="24"/>
        </w:rPr>
        <w:t xml:space="preserve"> sequence data. </w:t>
      </w:r>
      <w:r w:rsidRPr="00A57FF0">
        <w:rPr>
          <w:rFonts w:asciiTheme="majorBidi" w:hAnsiTheme="majorBidi" w:cstheme="majorBidi"/>
          <w:bCs/>
          <w:i/>
          <w:iCs/>
          <w:sz w:val="24"/>
          <w:szCs w:val="24"/>
        </w:rPr>
        <w:t>Mol Phylogenet Evol</w:t>
      </w:r>
      <w:r w:rsidRPr="0009479C">
        <w:rPr>
          <w:rFonts w:asciiTheme="majorBidi" w:hAnsiTheme="majorBidi" w:cstheme="majorBidi"/>
          <w:bCs/>
          <w:sz w:val="24"/>
          <w:szCs w:val="24"/>
        </w:rPr>
        <w:t>. 2004;</w:t>
      </w:r>
      <w:r w:rsidRPr="00A57FF0">
        <w:rPr>
          <w:rFonts w:asciiTheme="majorBidi" w:hAnsiTheme="majorBidi" w:cstheme="majorBidi"/>
          <w:b/>
          <w:sz w:val="24"/>
          <w:szCs w:val="24"/>
        </w:rPr>
        <w:t>31</w:t>
      </w:r>
      <w:r w:rsidRPr="0009479C">
        <w:rPr>
          <w:rFonts w:asciiTheme="majorBidi" w:hAnsiTheme="majorBidi" w:cstheme="majorBidi"/>
          <w:bCs/>
          <w:sz w:val="24"/>
          <w:szCs w:val="24"/>
        </w:rPr>
        <w:t>:416–30.</w:t>
      </w:r>
    </w:p>
    <w:p w14:paraId="5866020F"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34. Corona-Santiago DK, </w:t>
      </w:r>
      <w:proofErr w:type="spellStart"/>
      <w:r w:rsidRPr="0009479C">
        <w:rPr>
          <w:rFonts w:asciiTheme="majorBidi" w:hAnsiTheme="majorBidi" w:cstheme="majorBidi"/>
          <w:bCs/>
          <w:sz w:val="24"/>
          <w:szCs w:val="24"/>
        </w:rPr>
        <w:t>Doadrio</w:t>
      </w:r>
      <w:proofErr w:type="spellEnd"/>
      <w:r w:rsidRPr="0009479C">
        <w:rPr>
          <w:rFonts w:asciiTheme="majorBidi" w:hAnsiTheme="majorBidi" w:cstheme="majorBidi"/>
          <w:bCs/>
          <w:sz w:val="24"/>
          <w:szCs w:val="24"/>
        </w:rPr>
        <w:t xml:space="preserve"> I, Domínguez-Domínguez O. Evolutionary history of the live-bearing endemic </w:t>
      </w:r>
      <w:r w:rsidRPr="00A57FF0">
        <w:rPr>
          <w:rFonts w:asciiTheme="majorBidi" w:hAnsiTheme="majorBidi" w:cstheme="majorBidi"/>
          <w:bCs/>
          <w:i/>
          <w:iCs/>
          <w:sz w:val="24"/>
          <w:szCs w:val="24"/>
        </w:rPr>
        <w:t>Allotoca diazi</w:t>
      </w:r>
      <w:r w:rsidRPr="0009479C">
        <w:rPr>
          <w:rFonts w:asciiTheme="majorBidi" w:hAnsiTheme="majorBidi" w:cstheme="majorBidi"/>
          <w:bCs/>
          <w:sz w:val="24"/>
          <w:szCs w:val="24"/>
        </w:rPr>
        <w:t xml:space="preserve"> species complex (Actinopterygii, </w:t>
      </w:r>
      <w:proofErr w:type="spellStart"/>
      <w:r w:rsidRPr="0009479C">
        <w:rPr>
          <w:rFonts w:asciiTheme="majorBidi" w:hAnsiTheme="majorBidi" w:cstheme="majorBidi"/>
          <w:bCs/>
          <w:sz w:val="24"/>
          <w:szCs w:val="24"/>
        </w:rPr>
        <w:t>Goodeinae</w:t>
      </w:r>
      <w:proofErr w:type="spellEnd"/>
      <w:r w:rsidRPr="0009479C">
        <w:rPr>
          <w:rFonts w:asciiTheme="majorBidi" w:hAnsiTheme="majorBidi" w:cstheme="majorBidi"/>
          <w:bCs/>
          <w:sz w:val="24"/>
          <w:szCs w:val="24"/>
        </w:rPr>
        <w:t xml:space="preserve">): Evidence of founder effect events in the Mexican pre-Hispanic period. </w:t>
      </w:r>
      <w:proofErr w:type="spellStart"/>
      <w:r w:rsidRPr="00A57FF0">
        <w:rPr>
          <w:rFonts w:asciiTheme="majorBidi" w:hAnsiTheme="majorBidi" w:cstheme="majorBidi"/>
          <w:bCs/>
          <w:i/>
          <w:iCs/>
          <w:sz w:val="24"/>
          <w:szCs w:val="24"/>
        </w:rPr>
        <w:t>PLoS</w:t>
      </w:r>
      <w:proofErr w:type="spellEnd"/>
      <w:r w:rsidRPr="00A57FF0">
        <w:rPr>
          <w:rFonts w:asciiTheme="majorBidi" w:hAnsiTheme="majorBidi" w:cstheme="majorBidi"/>
          <w:bCs/>
          <w:i/>
          <w:iCs/>
          <w:sz w:val="24"/>
          <w:szCs w:val="24"/>
        </w:rPr>
        <w:t xml:space="preserve"> One</w:t>
      </w:r>
      <w:r w:rsidRPr="0009479C">
        <w:rPr>
          <w:rFonts w:asciiTheme="majorBidi" w:hAnsiTheme="majorBidi" w:cstheme="majorBidi"/>
          <w:bCs/>
          <w:sz w:val="24"/>
          <w:szCs w:val="24"/>
        </w:rPr>
        <w:t>. 2015;</w:t>
      </w:r>
      <w:r w:rsidRPr="00A57FF0">
        <w:rPr>
          <w:rFonts w:asciiTheme="majorBidi" w:hAnsiTheme="majorBidi" w:cstheme="majorBidi"/>
          <w:b/>
          <w:sz w:val="24"/>
          <w:szCs w:val="24"/>
        </w:rPr>
        <w:t>10</w:t>
      </w:r>
      <w:r w:rsidRPr="0009479C">
        <w:rPr>
          <w:rFonts w:asciiTheme="majorBidi" w:hAnsiTheme="majorBidi" w:cstheme="majorBidi"/>
          <w:bCs/>
          <w:sz w:val="24"/>
          <w:szCs w:val="24"/>
        </w:rPr>
        <w:t>:1–21.</w:t>
      </w:r>
    </w:p>
    <w:p w14:paraId="5C69D456"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lastRenderedPageBreak/>
        <w:t xml:space="preserve">35. Domínguez-Vázquez G, Osuna-Vallejo V, Castro-López V, </w:t>
      </w:r>
      <w:proofErr w:type="spellStart"/>
      <w:r w:rsidRPr="0009479C">
        <w:rPr>
          <w:rFonts w:asciiTheme="majorBidi" w:hAnsiTheme="majorBidi" w:cstheme="majorBidi"/>
          <w:bCs/>
          <w:sz w:val="24"/>
          <w:szCs w:val="24"/>
        </w:rPr>
        <w:t>Israde-Alcántara</w:t>
      </w:r>
      <w:proofErr w:type="spellEnd"/>
      <w:r w:rsidRPr="0009479C">
        <w:rPr>
          <w:rFonts w:asciiTheme="majorBidi" w:hAnsiTheme="majorBidi" w:cstheme="majorBidi"/>
          <w:bCs/>
          <w:sz w:val="24"/>
          <w:szCs w:val="24"/>
        </w:rPr>
        <w:t xml:space="preserve"> I, Bischoff JA. Changes in vegetation structure during the Pleistocene–Holocene transition in Guanajuato, central Mexico. </w:t>
      </w:r>
      <w:r w:rsidRPr="00A57FF0">
        <w:rPr>
          <w:rFonts w:asciiTheme="majorBidi" w:hAnsiTheme="majorBidi" w:cstheme="majorBidi"/>
          <w:bCs/>
          <w:i/>
          <w:iCs/>
          <w:sz w:val="24"/>
          <w:szCs w:val="24"/>
        </w:rPr>
        <w:t xml:space="preserve">Veg Hist </w:t>
      </w:r>
      <w:proofErr w:type="spellStart"/>
      <w:r w:rsidRPr="00A57FF0">
        <w:rPr>
          <w:rFonts w:asciiTheme="majorBidi" w:hAnsiTheme="majorBidi" w:cstheme="majorBidi"/>
          <w:bCs/>
          <w:i/>
          <w:iCs/>
          <w:sz w:val="24"/>
          <w:szCs w:val="24"/>
        </w:rPr>
        <w:t>Archaeobot</w:t>
      </w:r>
      <w:proofErr w:type="spellEnd"/>
      <w:r w:rsidRPr="0009479C">
        <w:rPr>
          <w:rFonts w:asciiTheme="majorBidi" w:hAnsiTheme="majorBidi" w:cstheme="majorBidi"/>
          <w:bCs/>
          <w:sz w:val="24"/>
          <w:szCs w:val="24"/>
        </w:rPr>
        <w:t>. 2019;</w:t>
      </w:r>
      <w:r w:rsidRPr="00A57FF0">
        <w:rPr>
          <w:rFonts w:asciiTheme="majorBidi" w:hAnsiTheme="majorBidi" w:cstheme="majorBidi"/>
          <w:b/>
          <w:sz w:val="24"/>
          <w:szCs w:val="24"/>
        </w:rPr>
        <w:t>28</w:t>
      </w:r>
      <w:r w:rsidRPr="0009479C">
        <w:rPr>
          <w:rFonts w:asciiTheme="majorBidi" w:hAnsiTheme="majorBidi" w:cstheme="majorBidi"/>
          <w:bCs/>
          <w:sz w:val="24"/>
          <w:szCs w:val="24"/>
        </w:rPr>
        <w:t>:81–91. doi:10.1007/s00334-018-0685-8.</w:t>
      </w:r>
    </w:p>
    <w:p w14:paraId="6303CDBE" w14:textId="3E8D0DD0"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36. Seehausen O, Wagner CE. Speciation in freshwater fishes. </w:t>
      </w:r>
      <w:proofErr w:type="spellStart"/>
      <w:r w:rsidRPr="00A57FF0">
        <w:rPr>
          <w:rFonts w:asciiTheme="majorBidi" w:hAnsiTheme="majorBidi" w:cstheme="majorBidi"/>
          <w:bCs/>
          <w:i/>
          <w:iCs/>
          <w:sz w:val="24"/>
          <w:szCs w:val="24"/>
        </w:rPr>
        <w:t>Annu</w:t>
      </w:r>
      <w:proofErr w:type="spellEnd"/>
      <w:r w:rsidRPr="00A57FF0">
        <w:rPr>
          <w:rFonts w:asciiTheme="majorBidi" w:hAnsiTheme="majorBidi" w:cstheme="majorBidi"/>
          <w:bCs/>
          <w:i/>
          <w:iCs/>
          <w:sz w:val="24"/>
          <w:szCs w:val="24"/>
        </w:rPr>
        <w:t xml:space="preserve"> Rev </w:t>
      </w:r>
      <w:proofErr w:type="spellStart"/>
      <w:r w:rsidRPr="00A57FF0">
        <w:rPr>
          <w:rFonts w:asciiTheme="majorBidi" w:hAnsiTheme="majorBidi" w:cstheme="majorBidi"/>
          <w:bCs/>
          <w:i/>
          <w:iCs/>
          <w:sz w:val="24"/>
          <w:szCs w:val="24"/>
        </w:rPr>
        <w:t>Ecol</w:t>
      </w:r>
      <w:proofErr w:type="spellEnd"/>
      <w:r w:rsidRPr="00A57FF0">
        <w:rPr>
          <w:rFonts w:asciiTheme="majorBidi" w:hAnsiTheme="majorBidi" w:cstheme="majorBidi"/>
          <w:bCs/>
          <w:i/>
          <w:iCs/>
          <w:sz w:val="24"/>
          <w:szCs w:val="24"/>
        </w:rPr>
        <w:t xml:space="preserve"> Evol Syst</w:t>
      </w:r>
      <w:r w:rsidRPr="0009479C">
        <w:rPr>
          <w:rFonts w:asciiTheme="majorBidi" w:hAnsiTheme="majorBidi" w:cstheme="majorBidi"/>
          <w:bCs/>
          <w:sz w:val="24"/>
          <w:szCs w:val="24"/>
        </w:rPr>
        <w:t>. 2014;</w:t>
      </w:r>
      <w:r w:rsidRPr="00A57FF0">
        <w:rPr>
          <w:rFonts w:asciiTheme="majorBidi" w:hAnsiTheme="majorBidi" w:cstheme="majorBidi"/>
          <w:b/>
          <w:sz w:val="24"/>
          <w:szCs w:val="24"/>
        </w:rPr>
        <w:t>45</w:t>
      </w:r>
      <w:r w:rsidRPr="0009479C">
        <w:rPr>
          <w:rFonts w:asciiTheme="majorBidi" w:hAnsiTheme="majorBidi" w:cstheme="majorBidi"/>
          <w:bCs/>
          <w:sz w:val="24"/>
          <w:szCs w:val="24"/>
        </w:rPr>
        <w:t>:621–51.</w:t>
      </w:r>
    </w:p>
    <w:p w14:paraId="23F8DE72"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37. Mayr E. Systematics and the origin of species. New York: Columbia University Press; 1942.</w:t>
      </w:r>
    </w:p>
    <w:p w14:paraId="1D7A8EE3"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38. Rundle HD, </w:t>
      </w:r>
      <w:proofErr w:type="spellStart"/>
      <w:r w:rsidRPr="0009479C">
        <w:rPr>
          <w:rFonts w:asciiTheme="majorBidi" w:hAnsiTheme="majorBidi" w:cstheme="majorBidi"/>
          <w:bCs/>
          <w:sz w:val="24"/>
          <w:szCs w:val="24"/>
        </w:rPr>
        <w:t>Nosil</w:t>
      </w:r>
      <w:proofErr w:type="spellEnd"/>
      <w:r w:rsidRPr="0009479C">
        <w:rPr>
          <w:rFonts w:asciiTheme="majorBidi" w:hAnsiTheme="majorBidi" w:cstheme="majorBidi"/>
          <w:bCs/>
          <w:sz w:val="24"/>
          <w:szCs w:val="24"/>
        </w:rPr>
        <w:t xml:space="preserve"> P. Ecological speciation. </w:t>
      </w:r>
      <w:proofErr w:type="spellStart"/>
      <w:r w:rsidRPr="00A57FF0">
        <w:rPr>
          <w:rFonts w:asciiTheme="majorBidi" w:hAnsiTheme="majorBidi" w:cstheme="majorBidi"/>
          <w:bCs/>
          <w:i/>
          <w:iCs/>
          <w:sz w:val="24"/>
          <w:szCs w:val="24"/>
        </w:rPr>
        <w:t>Ecol</w:t>
      </w:r>
      <w:proofErr w:type="spellEnd"/>
      <w:r w:rsidRPr="00A57FF0">
        <w:rPr>
          <w:rFonts w:asciiTheme="majorBidi" w:hAnsiTheme="majorBidi" w:cstheme="majorBidi"/>
          <w:bCs/>
          <w:i/>
          <w:iCs/>
          <w:sz w:val="24"/>
          <w:szCs w:val="24"/>
        </w:rPr>
        <w:t xml:space="preserve"> Lett</w:t>
      </w:r>
      <w:r w:rsidRPr="0009479C">
        <w:rPr>
          <w:rFonts w:asciiTheme="majorBidi" w:hAnsiTheme="majorBidi" w:cstheme="majorBidi"/>
          <w:bCs/>
          <w:sz w:val="24"/>
          <w:szCs w:val="24"/>
        </w:rPr>
        <w:t>. 2005;</w:t>
      </w:r>
      <w:r w:rsidRPr="00A57FF0">
        <w:rPr>
          <w:rFonts w:asciiTheme="majorBidi" w:hAnsiTheme="majorBidi" w:cstheme="majorBidi"/>
          <w:b/>
          <w:sz w:val="24"/>
          <w:szCs w:val="24"/>
        </w:rPr>
        <w:t>8</w:t>
      </w:r>
      <w:r w:rsidRPr="0009479C">
        <w:rPr>
          <w:rFonts w:asciiTheme="majorBidi" w:hAnsiTheme="majorBidi" w:cstheme="majorBidi"/>
          <w:bCs/>
          <w:sz w:val="24"/>
          <w:szCs w:val="24"/>
        </w:rPr>
        <w:t>:336–52.</w:t>
      </w:r>
    </w:p>
    <w:p w14:paraId="01C85B48"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39. Bernardi G. Speciation in fishes. </w:t>
      </w:r>
      <w:r w:rsidRPr="00A57FF0">
        <w:rPr>
          <w:rFonts w:asciiTheme="majorBidi" w:hAnsiTheme="majorBidi" w:cstheme="majorBidi"/>
          <w:bCs/>
          <w:i/>
          <w:iCs/>
          <w:sz w:val="24"/>
          <w:szCs w:val="24"/>
        </w:rPr>
        <w:t>Mol Ecol</w:t>
      </w:r>
      <w:r w:rsidRPr="0009479C">
        <w:rPr>
          <w:rFonts w:asciiTheme="majorBidi" w:hAnsiTheme="majorBidi" w:cstheme="majorBidi"/>
          <w:bCs/>
          <w:sz w:val="24"/>
          <w:szCs w:val="24"/>
        </w:rPr>
        <w:t>. 2013;</w:t>
      </w:r>
      <w:r w:rsidRPr="00A57FF0">
        <w:rPr>
          <w:rFonts w:asciiTheme="majorBidi" w:hAnsiTheme="majorBidi" w:cstheme="majorBidi"/>
          <w:b/>
          <w:sz w:val="24"/>
          <w:szCs w:val="24"/>
        </w:rPr>
        <w:t>22</w:t>
      </w:r>
      <w:r w:rsidRPr="0009479C">
        <w:rPr>
          <w:rFonts w:asciiTheme="majorBidi" w:hAnsiTheme="majorBidi" w:cstheme="majorBidi"/>
          <w:bCs/>
          <w:sz w:val="24"/>
          <w:szCs w:val="24"/>
        </w:rPr>
        <w:t>:5487–502.</w:t>
      </w:r>
    </w:p>
    <w:p w14:paraId="7E629133"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40. </w:t>
      </w:r>
      <w:proofErr w:type="spellStart"/>
      <w:r w:rsidRPr="0009479C">
        <w:rPr>
          <w:rFonts w:asciiTheme="majorBidi" w:hAnsiTheme="majorBidi" w:cstheme="majorBidi"/>
          <w:bCs/>
          <w:sz w:val="24"/>
          <w:szCs w:val="24"/>
        </w:rPr>
        <w:t>Barluenga</w:t>
      </w:r>
      <w:proofErr w:type="spellEnd"/>
      <w:r w:rsidRPr="0009479C">
        <w:rPr>
          <w:rFonts w:asciiTheme="majorBidi" w:hAnsiTheme="majorBidi" w:cstheme="majorBidi"/>
          <w:bCs/>
          <w:sz w:val="24"/>
          <w:szCs w:val="24"/>
        </w:rPr>
        <w:t xml:space="preserve"> M, </w:t>
      </w:r>
      <w:proofErr w:type="spellStart"/>
      <w:r w:rsidRPr="0009479C">
        <w:rPr>
          <w:rFonts w:asciiTheme="majorBidi" w:hAnsiTheme="majorBidi" w:cstheme="majorBidi"/>
          <w:bCs/>
          <w:sz w:val="24"/>
          <w:szCs w:val="24"/>
        </w:rPr>
        <w:t>Stölting</w:t>
      </w:r>
      <w:proofErr w:type="spellEnd"/>
      <w:r w:rsidRPr="0009479C">
        <w:rPr>
          <w:rFonts w:asciiTheme="majorBidi" w:hAnsiTheme="majorBidi" w:cstheme="majorBidi"/>
          <w:bCs/>
          <w:sz w:val="24"/>
          <w:szCs w:val="24"/>
        </w:rPr>
        <w:t xml:space="preserve"> KN, </w:t>
      </w:r>
      <w:proofErr w:type="spellStart"/>
      <w:r w:rsidRPr="0009479C">
        <w:rPr>
          <w:rFonts w:asciiTheme="majorBidi" w:hAnsiTheme="majorBidi" w:cstheme="majorBidi"/>
          <w:bCs/>
          <w:sz w:val="24"/>
          <w:szCs w:val="24"/>
        </w:rPr>
        <w:t>Salzburger</w:t>
      </w:r>
      <w:proofErr w:type="spellEnd"/>
      <w:r w:rsidRPr="0009479C">
        <w:rPr>
          <w:rFonts w:asciiTheme="majorBidi" w:hAnsiTheme="majorBidi" w:cstheme="majorBidi"/>
          <w:bCs/>
          <w:sz w:val="24"/>
          <w:szCs w:val="24"/>
        </w:rPr>
        <w:t xml:space="preserve"> W, </w:t>
      </w:r>
      <w:proofErr w:type="spellStart"/>
      <w:r w:rsidRPr="0009479C">
        <w:rPr>
          <w:rFonts w:asciiTheme="majorBidi" w:hAnsiTheme="majorBidi" w:cstheme="majorBidi"/>
          <w:bCs/>
          <w:sz w:val="24"/>
          <w:szCs w:val="24"/>
        </w:rPr>
        <w:t>Muschick</w:t>
      </w:r>
      <w:proofErr w:type="spellEnd"/>
      <w:r w:rsidRPr="0009479C">
        <w:rPr>
          <w:rFonts w:asciiTheme="majorBidi" w:hAnsiTheme="majorBidi" w:cstheme="majorBidi"/>
          <w:bCs/>
          <w:sz w:val="24"/>
          <w:szCs w:val="24"/>
        </w:rPr>
        <w:t xml:space="preserve"> M, Meyer A. Sympatric speciation in Nicaraguan crater lake cichlid fish. </w:t>
      </w:r>
      <w:r w:rsidRPr="00A57FF0">
        <w:rPr>
          <w:rFonts w:asciiTheme="majorBidi" w:hAnsiTheme="majorBidi" w:cstheme="majorBidi"/>
          <w:bCs/>
          <w:i/>
          <w:iCs/>
          <w:sz w:val="24"/>
          <w:szCs w:val="24"/>
        </w:rPr>
        <w:t>Nature</w:t>
      </w:r>
      <w:r w:rsidRPr="0009479C">
        <w:rPr>
          <w:rFonts w:asciiTheme="majorBidi" w:hAnsiTheme="majorBidi" w:cstheme="majorBidi"/>
          <w:bCs/>
          <w:sz w:val="24"/>
          <w:szCs w:val="24"/>
        </w:rPr>
        <w:t>. 2006;</w:t>
      </w:r>
      <w:r w:rsidRPr="00A57FF0">
        <w:rPr>
          <w:rFonts w:asciiTheme="majorBidi" w:hAnsiTheme="majorBidi" w:cstheme="majorBidi"/>
          <w:b/>
          <w:sz w:val="24"/>
          <w:szCs w:val="24"/>
        </w:rPr>
        <w:t>439</w:t>
      </w:r>
      <w:r w:rsidRPr="0009479C">
        <w:rPr>
          <w:rFonts w:asciiTheme="majorBidi" w:hAnsiTheme="majorBidi" w:cstheme="majorBidi"/>
          <w:bCs/>
          <w:sz w:val="24"/>
          <w:szCs w:val="24"/>
        </w:rPr>
        <w:t>:719–23.</w:t>
      </w:r>
    </w:p>
    <w:p w14:paraId="26694CA4"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41. Elmer KR, Fan S, </w:t>
      </w:r>
      <w:proofErr w:type="spellStart"/>
      <w:r w:rsidRPr="0009479C">
        <w:rPr>
          <w:rFonts w:asciiTheme="majorBidi" w:hAnsiTheme="majorBidi" w:cstheme="majorBidi"/>
          <w:bCs/>
          <w:sz w:val="24"/>
          <w:szCs w:val="24"/>
        </w:rPr>
        <w:t>Kusche</w:t>
      </w:r>
      <w:proofErr w:type="spellEnd"/>
      <w:r w:rsidRPr="0009479C">
        <w:rPr>
          <w:rFonts w:asciiTheme="majorBidi" w:hAnsiTheme="majorBidi" w:cstheme="majorBidi"/>
          <w:bCs/>
          <w:sz w:val="24"/>
          <w:szCs w:val="24"/>
        </w:rPr>
        <w:t xml:space="preserve"> H, </w:t>
      </w:r>
      <w:proofErr w:type="spellStart"/>
      <w:r w:rsidRPr="0009479C">
        <w:rPr>
          <w:rFonts w:asciiTheme="majorBidi" w:hAnsiTheme="majorBidi" w:cstheme="majorBidi"/>
          <w:bCs/>
          <w:sz w:val="24"/>
          <w:szCs w:val="24"/>
        </w:rPr>
        <w:t>Luise</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Spreitzer</w:t>
      </w:r>
      <w:proofErr w:type="spellEnd"/>
      <w:r w:rsidRPr="0009479C">
        <w:rPr>
          <w:rFonts w:asciiTheme="majorBidi" w:hAnsiTheme="majorBidi" w:cstheme="majorBidi"/>
          <w:bCs/>
          <w:sz w:val="24"/>
          <w:szCs w:val="24"/>
        </w:rPr>
        <w:t xml:space="preserve"> M, </w:t>
      </w:r>
      <w:proofErr w:type="spellStart"/>
      <w:r w:rsidRPr="0009479C">
        <w:rPr>
          <w:rFonts w:asciiTheme="majorBidi" w:hAnsiTheme="majorBidi" w:cstheme="majorBidi"/>
          <w:bCs/>
          <w:sz w:val="24"/>
          <w:szCs w:val="24"/>
        </w:rPr>
        <w:t>Kautt</w:t>
      </w:r>
      <w:proofErr w:type="spellEnd"/>
      <w:r w:rsidRPr="0009479C">
        <w:rPr>
          <w:rFonts w:asciiTheme="majorBidi" w:hAnsiTheme="majorBidi" w:cstheme="majorBidi"/>
          <w:bCs/>
          <w:sz w:val="24"/>
          <w:szCs w:val="24"/>
        </w:rPr>
        <w:t xml:space="preserve"> AF, </w:t>
      </w:r>
      <w:proofErr w:type="spellStart"/>
      <w:r w:rsidRPr="0009479C">
        <w:rPr>
          <w:rFonts w:asciiTheme="majorBidi" w:hAnsiTheme="majorBidi" w:cstheme="majorBidi"/>
          <w:bCs/>
          <w:sz w:val="24"/>
          <w:szCs w:val="24"/>
        </w:rPr>
        <w:t>Franchini</w:t>
      </w:r>
      <w:proofErr w:type="spellEnd"/>
      <w:r w:rsidRPr="0009479C">
        <w:rPr>
          <w:rFonts w:asciiTheme="majorBidi" w:hAnsiTheme="majorBidi" w:cstheme="majorBidi"/>
          <w:bCs/>
          <w:sz w:val="24"/>
          <w:szCs w:val="24"/>
        </w:rPr>
        <w:t xml:space="preserve"> P, </w:t>
      </w:r>
      <w:r w:rsidRPr="00A57FF0">
        <w:rPr>
          <w:rFonts w:asciiTheme="majorBidi" w:hAnsiTheme="majorBidi" w:cstheme="majorBidi"/>
          <w:bCs/>
          <w:i/>
          <w:iCs/>
          <w:sz w:val="24"/>
          <w:szCs w:val="24"/>
        </w:rPr>
        <w:t>et al</w:t>
      </w:r>
      <w:r w:rsidRPr="0009479C">
        <w:rPr>
          <w:rFonts w:asciiTheme="majorBidi" w:hAnsiTheme="majorBidi" w:cstheme="majorBidi"/>
          <w:bCs/>
          <w:sz w:val="24"/>
          <w:szCs w:val="24"/>
        </w:rPr>
        <w:t xml:space="preserve">. Parallel evolution of Nicaraguan crater lake cichlid fishes via non-parallel routes. </w:t>
      </w:r>
      <w:r w:rsidRPr="00A57FF0">
        <w:rPr>
          <w:rFonts w:asciiTheme="majorBidi" w:hAnsiTheme="majorBidi" w:cstheme="majorBidi"/>
          <w:bCs/>
          <w:i/>
          <w:iCs/>
          <w:sz w:val="24"/>
          <w:szCs w:val="24"/>
        </w:rPr>
        <w:t xml:space="preserve">Nat </w:t>
      </w:r>
      <w:proofErr w:type="spellStart"/>
      <w:r w:rsidRPr="00A57FF0">
        <w:rPr>
          <w:rFonts w:asciiTheme="majorBidi" w:hAnsiTheme="majorBidi" w:cstheme="majorBidi"/>
          <w:bCs/>
          <w:i/>
          <w:iCs/>
          <w:sz w:val="24"/>
          <w:szCs w:val="24"/>
        </w:rPr>
        <w:t>Commun</w:t>
      </w:r>
      <w:proofErr w:type="spellEnd"/>
      <w:r w:rsidRPr="0009479C">
        <w:rPr>
          <w:rFonts w:asciiTheme="majorBidi" w:hAnsiTheme="majorBidi" w:cstheme="majorBidi"/>
          <w:bCs/>
          <w:sz w:val="24"/>
          <w:szCs w:val="24"/>
        </w:rPr>
        <w:t>. 2014;5.</w:t>
      </w:r>
    </w:p>
    <w:p w14:paraId="30ADE467"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42. Burress ED. Ecological diversification associated with the pharyngeal jaw diversity of Neotropical cichlid fishes. </w:t>
      </w:r>
      <w:r w:rsidRPr="00A57FF0">
        <w:rPr>
          <w:rFonts w:asciiTheme="majorBidi" w:hAnsiTheme="majorBidi" w:cstheme="majorBidi"/>
          <w:bCs/>
          <w:i/>
          <w:iCs/>
          <w:sz w:val="24"/>
          <w:szCs w:val="24"/>
        </w:rPr>
        <w:t xml:space="preserve">J </w:t>
      </w:r>
      <w:proofErr w:type="spellStart"/>
      <w:r w:rsidRPr="00A57FF0">
        <w:rPr>
          <w:rFonts w:asciiTheme="majorBidi" w:hAnsiTheme="majorBidi" w:cstheme="majorBidi"/>
          <w:bCs/>
          <w:i/>
          <w:iCs/>
          <w:sz w:val="24"/>
          <w:szCs w:val="24"/>
        </w:rPr>
        <w:t>Anim</w:t>
      </w:r>
      <w:proofErr w:type="spellEnd"/>
      <w:r w:rsidRPr="00A57FF0">
        <w:rPr>
          <w:rFonts w:asciiTheme="majorBidi" w:hAnsiTheme="majorBidi" w:cstheme="majorBidi"/>
          <w:bCs/>
          <w:i/>
          <w:iCs/>
          <w:sz w:val="24"/>
          <w:szCs w:val="24"/>
        </w:rPr>
        <w:t xml:space="preserve"> Ecol</w:t>
      </w:r>
      <w:r w:rsidRPr="0009479C">
        <w:rPr>
          <w:rFonts w:asciiTheme="majorBidi" w:hAnsiTheme="majorBidi" w:cstheme="majorBidi"/>
          <w:bCs/>
          <w:sz w:val="24"/>
          <w:szCs w:val="24"/>
        </w:rPr>
        <w:t>. 2016;</w:t>
      </w:r>
      <w:r w:rsidRPr="00A57FF0">
        <w:rPr>
          <w:rFonts w:asciiTheme="majorBidi" w:hAnsiTheme="majorBidi" w:cstheme="majorBidi"/>
          <w:b/>
          <w:sz w:val="24"/>
          <w:szCs w:val="24"/>
        </w:rPr>
        <w:t>85</w:t>
      </w:r>
      <w:r w:rsidRPr="0009479C">
        <w:rPr>
          <w:rFonts w:asciiTheme="majorBidi" w:hAnsiTheme="majorBidi" w:cstheme="majorBidi"/>
          <w:bCs/>
          <w:sz w:val="24"/>
          <w:szCs w:val="24"/>
        </w:rPr>
        <w:t>:302–13.</w:t>
      </w:r>
    </w:p>
    <w:p w14:paraId="1A201F6F"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43. </w:t>
      </w:r>
      <w:proofErr w:type="spellStart"/>
      <w:r w:rsidRPr="0009479C">
        <w:rPr>
          <w:rFonts w:asciiTheme="majorBidi" w:hAnsiTheme="majorBidi" w:cstheme="majorBidi"/>
          <w:bCs/>
          <w:sz w:val="24"/>
          <w:szCs w:val="24"/>
        </w:rPr>
        <w:t>Salzburger</w:t>
      </w:r>
      <w:proofErr w:type="spellEnd"/>
      <w:r w:rsidRPr="0009479C">
        <w:rPr>
          <w:rFonts w:asciiTheme="majorBidi" w:hAnsiTheme="majorBidi" w:cstheme="majorBidi"/>
          <w:bCs/>
          <w:sz w:val="24"/>
          <w:szCs w:val="24"/>
        </w:rPr>
        <w:t xml:space="preserve"> W. Understanding explosive diversification through cichlid fish genomics. </w:t>
      </w:r>
      <w:r w:rsidRPr="00A57FF0">
        <w:rPr>
          <w:rFonts w:asciiTheme="majorBidi" w:hAnsiTheme="majorBidi" w:cstheme="majorBidi"/>
          <w:bCs/>
          <w:i/>
          <w:iCs/>
          <w:sz w:val="24"/>
          <w:szCs w:val="24"/>
        </w:rPr>
        <w:t>Nat Rev Genet.</w:t>
      </w:r>
      <w:r w:rsidRPr="0009479C">
        <w:rPr>
          <w:rFonts w:asciiTheme="majorBidi" w:hAnsiTheme="majorBidi" w:cstheme="majorBidi"/>
          <w:bCs/>
          <w:sz w:val="24"/>
          <w:szCs w:val="24"/>
        </w:rPr>
        <w:t xml:space="preserve"> 2018;</w:t>
      </w:r>
      <w:r w:rsidRPr="00A57FF0">
        <w:rPr>
          <w:rFonts w:asciiTheme="majorBidi" w:hAnsiTheme="majorBidi" w:cstheme="majorBidi"/>
          <w:b/>
          <w:sz w:val="24"/>
          <w:szCs w:val="24"/>
        </w:rPr>
        <w:t>19</w:t>
      </w:r>
      <w:r w:rsidRPr="0009479C">
        <w:rPr>
          <w:rFonts w:asciiTheme="majorBidi" w:hAnsiTheme="majorBidi" w:cstheme="majorBidi"/>
          <w:bCs/>
          <w:sz w:val="24"/>
          <w:szCs w:val="24"/>
        </w:rPr>
        <w:t>:705–17. doi:10.1038/s41576-018-0043-9.</w:t>
      </w:r>
    </w:p>
    <w:p w14:paraId="5D629AE5"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44. Takeyama T. Feeding Ecology of Lake Tanganyika Cichlids. In: Abate ME, Noakes DLG, editors. The Behavior, Ecology and Evolution of Cichlid Fishes. Dordrecht: Springer Netherlands; 2021. p. 715–51. doi:10.1007/978-94-024-2080-7_19.</w:t>
      </w:r>
    </w:p>
    <w:p w14:paraId="2ADD3E86"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45. </w:t>
      </w:r>
      <w:proofErr w:type="spellStart"/>
      <w:r w:rsidRPr="0009479C">
        <w:rPr>
          <w:rFonts w:asciiTheme="majorBidi" w:hAnsiTheme="majorBidi" w:cstheme="majorBidi"/>
          <w:bCs/>
          <w:sz w:val="24"/>
          <w:szCs w:val="24"/>
        </w:rPr>
        <w:t>Härer</w:t>
      </w:r>
      <w:proofErr w:type="spellEnd"/>
      <w:r w:rsidRPr="0009479C">
        <w:rPr>
          <w:rFonts w:asciiTheme="majorBidi" w:hAnsiTheme="majorBidi" w:cstheme="majorBidi"/>
          <w:bCs/>
          <w:sz w:val="24"/>
          <w:szCs w:val="24"/>
        </w:rPr>
        <w:t xml:space="preserve"> A, </w:t>
      </w:r>
      <w:proofErr w:type="spellStart"/>
      <w:r w:rsidRPr="0009479C">
        <w:rPr>
          <w:rFonts w:asciiTheme="majorBidi" w:hAnsiTheme="majorBidi" w:cstheme="majorBidi"/>
          <w:bCs/>
          <w:sz w:val="24"/>
          <w:szCs w:val="24"/>
        </w:rPr>
        <w:t>Bolnick</w:t>
      </w:r>
      <w:proofErr w:type="spellEnd"/>
      <w:r w:rsidRPr="0009479C">
        <w:rPr>
          <w:rFonts w:asciiTheme="majorBidi" w:hAnsiTheme="majorBidi" w:cstheme="majorBidi"/>
          <w:bCs/>
          <w:sz w:val="24"/>
          <w:szCs w:val="24"/>
        </w:rPr>
        <w:t xml:space="preserve"> DI, </w:t>
      </w:r>
      <w:proofErr w:type="spellStart"/>
      <w:r w:rsidRPr="0009479C">
        <w:rPr>
          <w:rFonts w:asciiTheme="majorBidi" w:hAnsiTheme="majorBidi" w:cstheme="majorBidi"/>
          <w:bCs/>
          <w:sz w:val="24"/>
          <w:szCs w:val="24"/>
        </w:rPr>
        <w:t>Rennison</w:t>
      </w:r>
      <w:proofErr w:type="spellEnd"/>
      <w:r w:rsidRPr="0009479C">
        <w:rPr>
          <w:rFonts w:asciiTheme="majorBidi" w:hAnsiTheme="majorBidi" w:cstheme="majorBidi"/>
          <w:bCs/>
          <w:sz w:val="24"/>
          <w:szCs w:val="24"/>
        </w:rPr>
        <w:t xml:space="preserve"> DJ. The genomic signature of ecological divergence along the benthic-limnetic axis in allopatric and sympatric </w:t>
      </w:r>
      <w:proofErr w:type="spellStart"/>
      <w:r w:rsidRPr="0009479C">
        <w:rPr>
          <w:rFonts w:asciiTheme="majorBidi" w:hAnsiTheme="majorBidi" w:cstheme="majorBidi"/>
          <w:bCs/>
          <w:sz w:val="24"/>
          <w:szCs w:val="24"/>
        </w:rPr>
        <w:t>threespine</w:t>
      </w:r>
      <w:proofErr w:type="spellEnd"/>
      <w:r w:rsidRPr="0009479C">
        <w:rPr>
          <w:rFonts w:asciiTheme="majorBidi" w:hAnsiTheme="majorBidi" w:cstheme="majorBidi"/>
          <w:bCs/>
          <w:sz w:val="24"/>
          <w:szCs w:val="24"/>
        </w:rPr>
        <w:t xml:space="preserve"> stickleback. </w:t>
      </w:r>
      <w:r w:rsidRPr="00A57FF0">
        <w:rPr>
          <w:rFonts w:asciiTheme="majorBidi" w:hAnsiTheme="majorBidi" w:cstheme="majorBidi"/>
          <w:bCs/>
          <w:i/>
          <w:iCs/>
          <w:sz w:val="24"/>
          <w:szCs w:val="24"/>
        </w:rPr>
        <w:t>Mol Ecol.</w:t>
      </w:r>
      <w:r w:rsidRPr="0009479C">
        <w:rPr>
          <w:rFonts w:asciiTheme="majorBidi" w:hAnsiTheme="majorBidi" w:cstheme="majorBidi"/>
          <w:bCs/>
          <w:sz w:val="24"/>
          <w:szCs w:val="24"/>
        </w:rPr>
        <w:t xml:space="preserve"> 2021;</w:t>
      </w:r>
      <w:r w:rsidRPr="00A57FF0">
        <w:rPr>
          <w:rFonts w:asciiTheme="majorBidi" w:hAnsiTheme="majorBidi" w:cstheme="majorBidi"/>
          <w:b/>
          <w:sz w:val="24"/>
          <w:szCs w:val="24"/>
        </w:rPr>
        <w:t>30</w:t>
      </w:r>
      <w:r w:rsidRPr="0009479C">
        <w:rPr>
          <w:rFonts w:asciiTheme="majorBidi" w:hAnsiTheme="majorBidi" w:cstheme="majorBidi"/>
          <w:bCs/>
          <w:sz w:val="24"/>
          <w:szCs w:val="24"/>
        </w:rPr>
        <w:t>:451–63.</w:t>
      </w:r>
    </w:p>
    <w:p w14:paraId="04B473C6"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46. Jones FC, </w:t>
      </w:r>
      <w:proofErr w:type="spellStart"/>
      <w:r w:rsidRPr="0009479C">
        <w:rPr>
          <w:rFonts w:asciiTheme="majorBidi" w:hAnsiTheme="majorBidi" w:cstheme="majorBidi"/>
          <w:bCs/>
          <w:sz w:val="24"/>
          <w:szCs w:val="24"/>
        </w:rPr>
        <w:t>Grabherr</w:t>
      </w:r>
      <w:proofErr w:type="spellEnd"/>
      <w:r w:rsidRPr="0009479C">
        <w:rPr>
          <w:rFonts w:asciiTheme="majorBidi" w:hAnsiTheme="majorBidi" w:cstheme="majorBidi"/>
          <w:bCs/>
          <w:sz w:val="24"/>
          <w:szCs w:val="24"/>
        </w:rPr>
        <w:t xml:space="preserve"> MG, Chan YF, Russell P, </w:t>
      </w:r>
      <w:proofErr w:type="spellStart"/>
      <w:r w:rsidRPr="0009479C">
        <w:rPr>
          <w:rFonts w:asciiTheme="majorBidi" w:hAnsiTheme="majorBidi" w:cstheme="majorBidi"/>
          <w:bCs/>
          <w:sz w:val="24"/>
          <w:szCs w:val="24"/>
        </w:rPr>
        <w:t>Mauceli</w:t>
      </w:r>
      <w:proofErr w:type="spellEnd"/>
      <w:r w:rsidRPr="0009479C">
        <w:rPr>
          <w:rFonts w:asciiTheme="majorBidi" w:hAnsiTheme="majorBidi" w:cstheme="majorBidi"/>
          <w:bCs/>
          <w:sz w:val="24"/>
          <w:szCs w:val="24"/>
        </w:rPr>
        <w:t xml:space="preserve"> E, Johnson J, et al. The genomic basis of adaptive evolution in </w:t>
      </w:r>
      <w:proofErr w:type="spellStart"/>
      <w:r w:rsidRPr="0009479C">
        <w:rPr>
          <w:rFonts w:asciiTheme="majorBidi" w:hAnsiTheme="majorBidi" w:cstheme="majorBidi"/>
          <w:bCs/>
          <w:sz w:val="24"/>
          <w:szCs w:val="24"/>
        </w:rPr>
        <w:t>threespine</w:t>
      </w:r>
      <w:proofErr w:type="spellEnd"/>
      <w:r w:rsidRPr="0009479C">
        <w:rPr>
          <w:rFonts w:asciiTheme="majorBidi" w:hAnsiTheme="majorBidi" w:cstheme="majorBidi"/>
          <w:bCs/>
          <w:sz w:val="24"/>
          <w:szCs w:val="24"/>
        </w:rPr>
        <w:t xml:space="preserve"> sticklebacks. </w:t>
      </w:r>
      <w:r w:rsidRPr="00A57FF0">
        <w:rPr>
          <w:rFonts w:asciiTheme="majorBidi" w:hAnsiTheme="majorBidi" w:cstheme="majorBidi"/>
          <w:bCs/>
          <w:i/>
          <w:iCs/>
          <w:sz w:val="24"/>
          <w:szCs w:val="24"/>
        </w:rPr>
        <w:t>Nature</w:t>
      </w:r>
      <w:r w:rsidRPr="0009479C">
        <w:rPr>
          <w:rFonts w:asciiTheme="majorBidi" w:hAnsiTheme="majorBidi" w:cstheme="majorBidi"/>
          <w:bCs/>
          <w:sz w:val="24"/>
          <w:szCs w:val="24"/>
        </w:rPr>
        <w:t>. 2012;</w:t>
      </w:r>
      <w:r w:rsidRPr="00A57FF0">
        <w:rPr>
          <w:rFonts w:asciiTheme="majorBidi" w:hAnsiTheme="majorBidi" w:cstheme="majorBidi"/>
          <w:b/>
          <w:sz w:val="24"/>
          <w:szCs w:val="24"/>
        </w:rPr>
        <w:t>484</w:t>
      </w:r>
      <w:r w:rsidRPr="0009479C">
        <w:rPr>
          <w:rFonts w:asciiTheme="majorBidi" w:hAnsiTheme="majorBidi" w:cstheme="majorBidi"/>
          <w:bCs/>
          <w:sz w:val="24"/>
          <w:szCs w:val="24"/>
        </w:rPr>
        <w:t>:55–61.</w:t>
      </w:r>
    </w:p>
    <w:p w14:paraId="19CA2549" w14:textId="4F14BC55"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47. Puebla O. Ecological speciation in marine </w:t>
      </w:r>
      <w:r w:rsidRPr="00A57FF0">
        <w:rPr>
          <w:rFonts w:asciiTheme="majorBidi" w:hAnsiTheme="majorBidi" w:cstheme="majorBidi"/>
          <w:bCs/>
          <w:i/>
          <w:iCs/>
          <w:sz w:val="24"/>
          <w:szCs w:val="24"/>
        </w:rPr>
        <w:t>v</w:t>
      </w:r>
      <w:r w:rsidR="00A57FF0" w:rsidRPr="00A57FF0">
        <w:rPr>
          <w:rFonts w:asciiTheme="majorBidi" w:hAnsiTheme="majorBidi" w:cstheme="majorBidi"/>
          <w:bCs/>
          <w:i/>
          <w:iCs/>
          <w:sz w:val="24"/>
          <w:szCs w:val="24"/>
        </w:rPr>
        <w:t>s</w:t>
      </w:r>
      <w:r w:rsidRPr="00A57FF0">
        <w:rPr>
          <w:rFonts w:asciiTheme="majorBidi" w:hAnsiTheme="majorBidi" w:cstheme="majorBidi"/>
          <w:bCs/>
          <w:i/>
          <w:iCs/>
          <w:sz w:val="24"/>
          <w:szCs w:val="24"/>
        </w:rPr>
        <w:t>.</w:t>
      </w:r>
      <w:r w:rsidRPr="0009479C">
        <w:rPr>
          <w:rFonts w:asciiTheme="majorBidi" w:hAnsiTheme="majorBidi" w:cstheme="majorBidi"/>
          <w:bCs/>
          <w:sz w:val="24"/>
          <w:szCs w:val="24"/>
        </w:rPr>
        <w:t xml:space="preserve"> freshwater fishes</w:t>
      </w:r>
      <w:r w:rsidRPr="00A57FF0">
        <w:rPr>
          <w:rFonts w:asciiTheme="majorBidi" w:hAnsiTheme="majorBidi" w:cstheme="majorBidi"/>
          <w:bCs/>
          <w:i/>
          <w:iCs/>
          <w:sz w:val="24"/>
          <w:szCs w:val="24"/>
        </w:rPr>
        <w:t>. J Fish Biol.</w:t>
      </w:r>
      <w:r w:rsidRPr="0009479C">
        <w:rPr>
          <w:rFonts w:asciiTheme="majorBidi" w:hAnsiTheme="majorBidi" w:cstheme="majorBidi"/>
          <w:bCs/>
          <w:sz w:val="24"/>
          <w:szCs w:val="24"/>
        </w:rPr>
        <w:t xml:space="preserve"> 2009;</w:t>
      </w:r>
      <w:r w:rsidRPr="00A57FF0">
        <w:rPr>
          <w:rFonts w:asciiTheme="majorBidi" w:hAnsiTheme="majorBidi" w:cstheme="majorBidi"/>
          <w:b/>
          <w:sz w:val="24"/>
          <w:szCs w:val="24"/>
        </w:rPr>
        <w:t>75</w:t>
      </w:r>
      <w:r w:rsidRPr="0009479C">
        <w:rPr>
          <w:rFonts w:asciiTheme="majorBidi" w:hAnsiTheme="majorBidi" w:cstheme="majorBidi"/>
          <w:bCs/>
          <w:sz w:val="24"/>
          <w:szCs w:val="24"/>
        </w:rPr>
        <w:t>:960–96.</w:t>
      </w:r>
    </w:p>
    <w:p w14:paraId="7B051764"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48. Nagel L, Schluter D. Body Size, Natural Selection, and Speciation in Sticklebacks. </w:t>
      </w:r>
      <w:r w:rsidRPr="00A57FF0">
        <w:rPr>
          <w:rFonts w:asciiTheme="majorBidi" w:hAnsiTheme="majorBidi" w:cstheme="majorBidi"/>
          <w:bCs/>
          <w:i/>
          <w:iCs/>
          <w:sz w:val="24"/>
          <w:szCs w:val="24"/>
        </w:rPr>
        <w:t>Evolution</w:t>
      </w:r>
      <w:r w:rsidRPr="0009479C">
        <w:rPr>
          <w:rFonts w:asciiTheme="majorBidi" w:hAnsiTheme="majorBidi" w:cstheme="majorBidi"/>
          <w:bCs/>
          <w:sz w:val="24"/>
          <w:szCs w:val="24"/>
        </w:rPr>
        <w:t xml:space="preserve"> (N Y). 1998;</w:t>
      </w:r>
      <w:r w:rsidRPr="00A57FF0">
        <w:rPr>
          <w:rFonts w:asciiTheme="majorBidi" w:hAnsiTheme="majorBidi" w:cstheme="majorBidi"/>
          <w:b/>
          <w:sz w:val="24"/>
          <w:szCs w:val="24"/>
        </w:rPr>
        <w:t>52</w:t>
      </w:r>
      <w:r w:rsidRPr="0009479C">
        <w:rPr>
          <w:rFonts w:asciiTheme="majorBidi" w:hAnsiTheme="majorBidi" w:cstheme="majorBidi"/>
          <w:bCs/>
          <w:sz w:val="24"/>
          <w:szCs w:val="24"/>
        </w:rPr>
        <w:t>:209–18.</w:t>
      </w:r>
    </w:p>
    <w:p w14:paraId="0D5F482C"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49. Bay RA, Arnegard ME, Conte GL, Best J, Bedford NL, McCann SR, et al. Genetic Coupling of Female Mate Choice with Polygenic Ecological Divergence Facilitates Stickleback Speciation. </w:t>
      </w:r>
      <w:proofErr w:type="spellStart"/>
      <w:r w:rsidRPr="00A57FF0">
        <w:rPr>
          <w:rFonts w:asciiTheme="majorBidi" w:hAnsiTheme="majorBidi" w:cstheme="majorBidi"/>
          <w:bCs/>
          <w:i/>
          <w:iCs/>
          <w:sz w:val="24"/>
          <w:szCs w:val="24"/>
        </w:rPr>
        <w:t>Curr</w:t>
      </w:r>
      <w:proofErr w:type="spellEnd"/>
      <w:r w:rsidRPr="00A57FF0">
        <w:rPr>
          <w:rFonts w:asciiTheme="majorBidi" w:hAnsiTheme="majorBidi" w:cstheme="majorBidi"/>
          <w:bCs/>
          <w:i/>
          <w:iCs/>
          <w:sz w:val="24"/>
          <w:szCs w:val="24"/>
        </w:rPr>
        <w:t xml:space="preserve"> Biol.</w:t>
      </w:r>
      <w:r w:rsidRPr="0009479C">
        <w:rPr>
          <w:rFonts w:asciiTheme="majorBidi" w:hAnsiTheme="majorBidi" w:cstheme="majorBidi"/>
          <w:bCs/>
          <w:sz w:val="24"/>
          <w:szCs w:val="24"/>
        </w:rPr>
        <w:t xml:space="preserve"> 2017;</w:t>
      </w:r>
      <w:r w:rsidRPr="00A57FF0">
        <w:rPr>
          <w:rFonts w:asciiTheme="majorBidi" w:hAnsiTheme="majorBidi" w:cstheme="majorBidi"/>
          <w:b/>
          <w:sz w:val="24"/>
          <w:szCs w:val="24"/>
        </w:rPr>
        <w:t>27</w:t>
      </w:r>
      <w:r w:rsidRPr="0009479C">
        <w:rPr>
          <w:rFonts w:asciiTheme="majorBidi" w:hAnsiTheme="majorBidi" w:cstheme="majorBidi"/>
          <w:bCs/>
          <w:sz w:val="24"/>
          <w:szCs w:val="24"/>
        </w:rPr>
        <w:t>:3344-3349.e4. doi:10.1016/j.cub.2017.09.037.</w:t>
      </w:r>
    </w:p>
    <w:p w14:paraId="1B6088BE" w14:textId="77777777" w:rsidR="0009479C" w:rsidRPr="0009479C" w:rsidRDefault="0009479C" w:rsidP="00A57FF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50. Miller RR, </w:t>
      </w:r>
      <w:proofErr w:type="spellStart"/>
      <w:r w:rsidRPr="0009479C">
        <w:rPr>
          <w:rFonts w:asciiTheme="majorBidi" w:hAnsiTheme="majorBidi" w:cstheme="majorBidi"/>
          <w:bCs/>
          <w:sz w:val="24"/>
          <w:szCs w:val="24"/>
        </w:rPr>
        <w:t>Minckley</w:t>
      </w:r>
      <w:proofErr w:type="spellEnd"/>
      <w:r w:rsidRPr="0009479C">
        <w:rPr>
          <w:rFonts w:asciiTheme="majorBidi" w:hAnsiTheme="majorBidi" w:cstheme="majorBidi"/>
          <w:bCs/>
          <w:sz w:val="24"/>
          <w:szCs w:val="24"/>
        </w:rPr>
        <w:t xml:space="preserve"> WL, Norris SM, of Michigan. Museum of Zoology U. Freshwater Fishes of México. University of Chicago Press; 2005. https://books.google.com.mx/books?id=MZXG-9jKygQC.</w:t>
      </w:r>
    </w:p>
    <w:p w14:paraId="616AA2CF"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lastRenderedPageBreak/>
        <w:t xml:space="preserve">51. Yang Z, </w:t>
      </w:r>
      <w:proofErr w:type="spellStart"/>
      <w:r w:rsidRPr="0009479C">
        <w:rPr>
          <w:rFonts w:asciiTheme="majorBidi" w:hAnsiTheme="majorBidi" w:cstheme="majorBidi"/>
          <w:bCs/>
          <w:sz w:val="24"/>
          <w:szCs w:val="24"/>
        </w:rPr>
        <w:t>Rannala</w:t>
      </w:r>
      <w:proofErr w:type="spellEnd"/>
      <w:r w:rsidRPr="0009479C">
        <w:rPr>
          <w:rFonts w:asciiTheme="majorBidi" w:hAnsiTheme="majorBidi" w:cstheme="majorBidi"/>
          <w:bCs/>
          <w:sz w:val="24"/>
          <w:szCs w:val="24"/>
        </w:rPr>
        <w:t xml:space="preserve"> B. Bayesian species delimitation using multilocus sequence data. </w:t>
      </w:r>
      <w:r w:rsidRPr="009805A0">
        <w:rPr>
          <w:rFonts w:asciiTheme="majorBidi" w:hAnsiTheme="majorBidi" w:cstheme="majorBidi"/>
          <w:bCs/>
          <w:i/>
          <w:iCs/>
          <w:sz w:val="24"/>
          <w:szCs w:val="24"/>
        </w:rPr>
        <w:t xml:space="preserve">Proc Natl </w:t>
      </w:r>
      <w:proofErr w:type="spellStart"/>
      <w:r w:rsidRPr="009805A0">
        <w:rPr>
          <w:rFonts w:asciiTheme="majorBidi" w:hAnsiTheme="majorBidi" w:cstheme="majorBidi"/>
          <w:bCs/>
          <w:i/>
          <w:iCs/>
          <w:sz w:val="24"/>
          <w:szCs w:val="24"/>
        </w:rPr>
        <w:t>Acad</w:t>
      </w:r>
      <w:proofErr w:type="spellEnd"/>
      <w:r w:rsidRPr="009805A0">
        <w:rPr>
          <w:rFonts w:asciiTheme="majorBidi" w:hAnsiTheme="majorBidi" w:cstheme="majorBidi"/>
          <w:bCs/>
          <w:i/>
          <w:iCs/>
          <w:sz w:val="24"/>
          <w:szCs w:val="24"/>
        </w:rPr>
        <w:t xml:space="preserve"> Sci</w:t>
      </w:r>
      <w:r w:rsidRPr="0009479C">
        <w:rPr>
          <w:rFonts w:asciiTheme="majorBidi" w:hAnsiTheme="majorBidi" w:cstheme="majorBidi"/>
          <w:bCs/>
          <w:sz w:val="24"/>
          <w:szCs w:val="24"/>
        </w:rPr>
        <w:t>. 2010;</w:t>
      </w:r>
      <w:r w:rsidRPr="009805A0">
        <w:rPr>
          <w:rFonts w:asciiTheme="majorBidi" w:hAnsiTheme="majorBidi" w:cstheme="majorBidi"/>
          <w:b/>
          <w:sz w:val="24"/>
          <w:szCs w:val="24"/>
        </w:rPr>
        <w:t>107</w:t>
      </w:r>
      <w:r w:rsidRPr="0009479C">
        <w:rPr>
          <w:rFonts w:asciiTheme="majorBidi" w:hAnsiTheme="majorBidi" w:cstheme="majorBidi"/>
          <w:bCs/>
          <w:sz w:val="24"/>
          <w:szCs w:val="24"/>
        </w:rPr>
        <w:t>:9264–9. doi:10.1073/pnas.0913022107.</w:t>
      </w:r>
    </w:p>
    <w:p w14:paraId="52F4CB78" w14:textId="4BCA22B4"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52. </w:t>
      </w:r>
      <w:proofErr w:type="spellStart"/>
      <w:r w:rsidRPr="0009479C">
        <w:rPr>
          <w:rFonts w:asciiTheme="majorBidi" w:hAnsiTheme="majorBidi" w:cstheme="majorBidi"/>
          <w:bCs/>
          <w:sz w:val="24"/>
          <w:szCs w:val="24"/>
        </w:rPr>
        <w:t>Rannala</w:t>
      </w:r>
      <w:proofErr w:type="spellEnd"/>
      <w:r w:rsidRPr="0009479C">
        <w:rPr>
          <w:rFonts w:asciiTheme="majorBidi" w:hAnsiTheme="majorBidi" w:cstheme="majorBidi"/>
          <w:bCs/>
          <w:sz w:val="24"/>
          <w:szCs w:val="24"/>
        </w:rPr>
        <w:t xml:space="preserve"> B, Edwards SVS V, Leaché A, Yang Z. The Multi-species Coalescent Model and Species Tree Inference. In: </w:t>
      </w:r>
      <w:proofErr w:type="spellStart"/>
      <w:r w:rsidRPr="0009479C">
        <w:rPr>
          <w:rFonts w:asciiTheme="majorBidi" w:hAnsiTheme="majorBidi" w:cstheme="majorBidi"/>
          <w:bCs/>
          <w:sz w:val="24"/>
          <w:szCs w:val="24"/>
        </w:rPr>
        <w:t>Scornavacca</w:t>
      </w:r>
      <w:proofErr w:type="spellEnd"/>
      <w:r w:rsidRPr="0009479C">
        <w:rPr>
          <w:rFonts w:asciiTheme="majorBidi" w:hAnsiTheme="majorBidi" w:cstheme="majorBidi"/>
          <w:bCs/>
          <w:sz w:val="24"/>
          <w:szCs w:val="24"/>
        </w:rPr>
        <w:t xml:space="preserve"> C, </w:t>
      </w:r>
      <w:proofErr w:type="spellStart"/>
      <w:r w:rsidRPr="0009479C">
        <w:rPr>
          <w:rFonts w:asciiTheme="majorBidi" w:hAnsiTheme="majorBidi" w:cstheme="majorBidi"/>
          <w:bCs/>
          <w:sz w:val="24"/>
          <w:szCs w:val="24"/>
        </w:rPr>
        <w:t>Delsuc</w:t>
      </w:r>
      <w:proofErr w:type="spellEnd"/>
      <w:r w:rsidRPr="0009479C">
        <w:rPr>
          <w:rFonts w:asciiTheme="majorBidi" w:hAnsiTheme="majorBidi" w:cstheme="majorBidi"/>
          <w:bCs/>
          <w:sz w:val="24"/>
          <w:szCs w:val="24"/>
        </w:rPr>
        <w:t xml:space="preserve"> F, </w:t>
      </w:r>
      <w:proofErr w:type="spellStart"/>
      <w:r w:rsidRPr="0009479C">
        <w:rPr>
          <w:rFonts w:asciiTheme="majorBidi" w:hAnsiTheme="majorBidi" w:cstheme="majorBidi"/>
          <w:bCs/>
          <w:sz w:val="24"/>
          <w:szCs w:val="24"/>
        </w:rPr>
        <w:t>Galtier</w:t>
      </w:r>
      <w:proofErr w:type="spellEnd"/>
      <w:r w:rsidRPr="0009479C">
        <w:rPr>
          <w:rFonts w:asciiTheme="majorBidi" w:hAnsiTheme="majorBidi" w:cstheme="majorBidi"/>
          <w:bCs/>
          <w:sz w:val="24"/>
          <w:szCs w:val="24"/>
        </w:rPr>
        <w:t xml:space="preserve"> N, editors. Phylogenetics in the Genomic Era. No commercial publisher Authors open access book; 2020. p</w:t>
      </w:r>
      <w:r w:rsidR="009805A0">
        <w:rPr>
          <w:rFonts w:asciiTheme="majorBidi" w:hAnsiTheme="majorBidi" w:cstheme="majorBidi"/>
          <w:bCs/>
          <w:sz w:val="24"/>
          <w:szCs w:val="24"/>
        </w:rPr>
        <w:t>p</w:t>
      </w:r>
      <w:r w:rsidRPr="0009479C">
        <w:rPr>
          <w:rFonts w:asciiTheme="majorBidi" w:hAnsiTheme="majorBidi" w:cstheme="majorBidi"/>
          <w:bCs/>
          <w:sz w:val="24"/>
          <w:szCs w:val="24"/>
        </w:rPr>
        <w:t>. 3.3:1--3.3:21. https://hal.archives-ouvertes.fr/hal-02535622.</w:t>
      </w:r>
    </w:p>
    <w:p w14:paraId="142EA67E"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53. Betancur R, Naylor GJP, </w:t>
      </w:r>
      <w:proofErr w:type="spellStart"/>
      <w:r w:rsidRPr="0009479C">
        <w:rPr>
          <w:rFonts w:asciiTheme="majorBidi" w:hAnsiTheme="majorBidi" w:cstheme="majorBidi"/>
          <w:bCs/>
          <w:sz w:val="24"/>
          <w:szCs w:val="24"/>
        </w:rPr>
        <w:t>Ortí</w:t>
      </w:r>
      <w:proofErr w:type="spellEnd"/>
      <w:r w:rsidRPr="0009479C">
        <w:rPr>
          <w:rFonts w:asciiTheme="majorBidi" w:hAnsiTheme="majorBidi" w:cstheme="majorBidi"/>
          <w:bCs/>
          <w:sz w:val="24"/>
          <w:szCs w:val="24"/>
        </w:rPr>
        <w:t xml:space="preserve"> G. Conserved genes, sampling error, and phylogenomic inference. </w:t>
      </w:r>
      <w:r w:rsidRPr="009805A0">
        <w:rPr>
          <w:rFonts w:asciiTheme="majorBidi" w:hAnsiTheme="majorBidi" w:cstheme="majorBidi"/>
          <w:bCs/>
          <w:i/>
          <w:iCs/>
          <w:sz w:val="24"/>
          <w:szCs w:val="24"/>
        </w:rPr>
        <w:t>Syst Biol.</w:t>
      </w:r>
      <w:r w:rsidRPr="0009479C">
        <w:rPr>
          <w:rFonts w:asciiTheme="majorBidi" w:hAnsiTheme="majorBidi" w:cstheme="majorBidi"/>
          <w:bCs/>
          <w:sz w:val="24"/>
          <w:szCs w:val="24"/>
        </w:rPr>
        <w:t xml:space="preserve"> 2014;63:257–62.</w:t>
      </w:r>
    </w:p>
    <w:p w14:paraId="5CB5F8D4"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54. </w:t>
      </w:r>
      <w:proofErr w:type="spellStart"/>
      <w:r w:rsidRPr="0009479C">
        <w:rPr>
          <w:rFonts w:asciiTheme="majorBidi" w:hAnsiTheme="majorBidi" w:cstheme="majorBidi"/>
          <w:bCs/>
          <w:sz w:val="24"/>
          <w:szCs w:val="24"/>
        </w:rPr>
        <w:t>Deagle</w:t>
      </w:r>
      <w:proofErr w:type="spellEnd"/>
      <w:r w:rsidRPr="0009479C">
        <w:rPr>
          <w:rFonts w:asciiTheme="majorBidi" w:hAnsiTheme="majorBidi" w:cstheme="majorBidi"/>
          <w:bCs/>
          <w:sz w:val="24"/>
          <w:szCs w:val="24"/>
        </w:rPr>
        <w:t xml:space="preserve"> BE, Jones FC, Chan YF, </w:t>
      </w:r>
      <w:proofErr w:type="spellStart"/>
      <w:r w:rsidRPr="0009479C">
        <w:rPr>
          <w:rFonts w:asciiTheme="majorBidi" w:hAnsiTheme="majorBidi" w:cstheme="majorBidi"/>
          <w:bCs/>
          <w:sz w:val="24"/>
          <w:szCs w:val="24"/>
        </w:rPr>
        <w:t>Absher</w:t>
      </w:r>
      <w:proofErr w:type="spellEnd"/>
      <w:r w:rsidRPr="0009479C">
        <w:rPr>
          <w:rFonts w:asciiTheme="majorBidi" w:hAnsiTheme="majorBidi" w:cstheme="majorBidi"/>
          <w:bCs/>
          <w:sz w:val="24"/>
          <w:szCs w:val="24"/>
        </w:rPr>
        <w:t xml:space="preserve"> DM, Kingsley DM, </w:t>
      </w:r>
      <w:proofErr w:type="spellStart"/>
      <w:r w:rsidRPr="0009479C">
        <w:rPr>
          <w:rFonts w:asciiTheme="majorBidi" w:hAnsiTheme="majorBidi" w:cstheme="majorBidi"/>
          <w:bCs/>
          <w:sz w:val="24"/>
          <w:szCs w:val="24"/>
        </w:rPr>
        <w:t>Reimchen</w:t>
      </w:r>
      <w:proofErr w:type="spellEnd"/>
      <w:r w:rsidRPr="0009479C">
        <w:rPr>
          <w:rFonts w:asciiTheme="majorBidi" w:hAnsiTheme="majorBidi" w:cstheme="majorBidi"/>
          <w:bCs/>
          <w:sz w:val="24"/>
          <w:szCs w:val="24"/>
        </w:rPr>
        <w:t xml:space="preserve"> TE. Population genomics of parallel phenotypic evolution in stickleback across stream-lake ecological transitions. </w:t>
      </w:r>
      <w:r w:rsidRPr="009805A0">
        <w:rPr>
          <w:rFonts w:asciiTheme="majorBidi" w:hAnsiTheme="majorBidi" w:cstheme="majorBidi"/>
          <w:bCs/>
          <w:i/>
          <w:iCs/>
          <w:sz w:val="24"/>
          <w:szCs w:val="24"/>
        </w:rPr>
        <w:t>Proc R Soc B Biol Sci</w:t>
      </w:r>
      <w:r w:rsidRPr="0009479C">
        <w:rPr>
          <w:rFonts w:asciiTheme="majorBidi" w:hAnsiTheme="majorBidi" w:cstheme="majorBidi"/>
          <w:bCs/>
          <w:sz w:val="24"/>
          <w:szCs w:val="24"/>
        </w:rPr>
        <w:t>. 2012;</w:t>
      </w:r>
      <w:r w:rsidRPr="009805A0">
        <w:rPr>
          <w:rFonts w:asciiTheme="majorBidi" w:hAnsiTheme="majorBidi" w:cstheme="majorBidi"/>
          <w:b/>
          <w:sz w:val="24"/>
          <w:szCs w:val="24"/>
        </w:rPr>
        <w:t>279</w:t>
      </w:r>
      <w:r w:rsidRPr="0009479C">
        <w:rPr>
          <w:rFonts w:asciiTheme="majorBidi" w:hAnsiTheme="majorBidi" w:cstheme="majorBidi"/>
          <w:bCs/>
          <w:sz w:val="24"/>
          <w:szCs w:val="24"/>
        </w:rPr>
        <w:t>:1277–86.</w:t>
      </w:r>
    </w:p>
    <w:p w14:paraId="4C17BAAD"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55. </w:t>
      </w:r>
      <w:proofErr w:type="spellStart"/>
      <w:r w:rsidRPr="0009479C">
        <w:rPr>
          <w:rFonts w:asciiTheme="majorBidi" w:hAnsiTheme="majorBidi" w:cstheme="majorBidi"/>
          <w:bCs/>
          <w:sz w:val="24"/>
          <w:szCs w:val="24"/>
        </w:rPr>
        <w:t>Fagbémi</w:t>
      </w:r>
      <w:proofErr w:type="spellEnd"/>
      <w:r w:rsidRPr="0009479C">
        <w:rPr>
          <w:rFonts w:asciiTheme="majorBidi" w:hAnsiTheme="majorBidi" w:cstheme="majorBidi"/>
          <w:bCs/>
          <w:sz w:val="24"/>
          <w:szCs w:val="24"/>
        </w:rPr>
        <w:t xml:space="preserve"> MNA, Pigneur LM, André A, </w:t>
      </w:r>
      <w:proofErr w:type="spellStart"/>
      <w:r w:rsidRPr="0009479C">
        <w:rPr>
          <w:rFonts w:asciiTheme="majorBidi" w:hAnsiTheme="majorBidi" w:cstheme="majorBidi"/>
          <w:bCs/>
          <w:sz w:val="24"/>
          <w:szCs w:val="24"/>
        </w:rPr>
        <w:t>Smitz</w:t>
      </w:r>
      <w:proofErr w:type="spellEnd"/>
      <w:r w:rsidRPr="0009479C">
        <w:rPr>
          <w:rFonts w:asciiTheme="majorBidi" w:hAnsiTheme="majorBidi" w:cstheme="majorBidi"/>
          <w:bCs/>
          <w:sz w:val="24"/>
          <w:szCs w:val="24"/>
        </w:rPr>
        <w:t xml:space="preserve"> N, </w:t>
      </w:r>
      <w:proofErr w:type="spellStart"/>
      <w:r w:rsidRPr="0009479C">
        <w:rPr>
          <w:rFonts w:asciiTheme="majorBidi" w:hAnsiTheme="majorBidi" w:cstheme="majorBidi"/>
          <w:bCs/>
          <w:sz w:val="24"/>
          <w:szCs w:val="24"/>
        </w:rPr>
        <w:t>Gennotte</w:t>
      </w:r>
      <w:proofErr w:type="spellEnd"/>
      <w:r w:rsidRPr="0009479C">
        <w:rPr>
          <w:rFonts w:asciiTheme="majorBidi" w:hAnsiTheme="majorBidi" w:cstheme="majorBidi"/>
          <w:bCs/>
          <w:sz w:val="24"/>
          <w:szCs w:val="24"/>
        </w:rPr>
        <w:t xml:space="preserve"> V, Michaux JR, et al. Genetic structure of wild and farmed Nile tilapia (</w:t>
      </w:r>
      <w:r w:rsidRPr="009805A0">
        <w:rPr>
          <w:rFonts w:asciiTheme="majorBidi" w:hAnsiTheme="majorBidi" w:cstheme="majorBidi"/>
          <w:bCs/>
          <w:i/>
          <w:iCs/>
          <w:sz w:val="24"/>
          <w:szCs w:val="24"/>
        </w:rPr>
        <w:t xml:space="preserve">Oreochromis </w:t>
      </w:r>
      <w:proofErr w:type="spellStart"/>
      <w:r w:rsidRPr="009805A0">
        <w:rPr>
          <w:rFonts w:asciiTheme="majorBidi" w:hAnsiTheme="majorBidi" w:cstheme="majorBidi"/>
          <w:bCs/>
          <w:i/>
          <w:iCs/>
          <w:sz w:val="24"/>
          <w:szCs w:val="24"/>
        </w:rPr>
        <w:t>niloticus</w:t>
      </w:r>
      <w:proofErr w:type="spellEnd"/>
      <w:r w:rsidRPr="0009479C">
        <w:rPr>
          <w:rFonts w:asciiTheme="majorBidi" w:hAnsiTheme="majorBidi" w:cstheme="majorBidi"/>
          <w:bCs/>
          <w:sz w:val="24"/>
          <w:szCs w:val="24"/>
        </w:rPr>
        <w:t xml:space="preserve">) populations in Benin based on genome wide SNP technology. </w:t>
      </w:r>
      <w:r w:rsidRPr="009805A0">
        <w:rPr>
          <w:rFonts w:asciiTheme="majorBidi" w:hAnsiTheme="majorBidi" w:cstheme="majorBidi"/>
          <w:bCs/>
          <w:i/>
          <w:iCs/>
          <w:sz w:val="24"/>
          <w:szCs w:val="24"/>
        </w:rPr>
        <w:t>Aquaculture.</w:t>
      </w:r>
      <w:r w:rsidRPr="0009479C">
        <w:rPr>
          <w:rFonts w:asciiTheme="majorBidi" w:hAnsiTheme="majorBidi" w:cstheme="majorBidi"/>
          <w:bCs/>
          <w:sz w:val="24"/>
          <w:szCs w:val="24"/>
        </w:rPr>
        <w:t xml:space="preserve"> 2021;535 January.</w:t>
      </w:r>
    </w:p>
    <w:p w14:paraId="45615AA3" w14:textId="635D262F"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56. Burress ED, </w:t>
      </w:r>
      <w:proofErr w:type="spellStart"/>
      <w:r w:rsidRPr="0009479C">
        <w:rPr>
          <w:rFonts w:asciiTheme="majorBidi" w:hAnsiTheme="majorBidi" w:cstheme="majorBidi"/>
          <w:bCs/>
          <w:sz w:val="24"/>
          <w:szCs w:val="24"/>
        </w:rPr>
        <w:t>Alda</w:t>
      </w:r>
      <w:proofErr w:type="spellEnd"/>
      <w:r w:rsidRPr="0009479C">
        <w:rPr>
          <w:rFonts w:asciiTheme="majorBidi" w:hAnsiTheme="majorBidi" w:cstheme="majorBidi"/>
          <w:bCs/>
          <w:sz w:val="24"/>
          <w:szCs w:val="24"/>
        </w:rPr>
        <w:t xml:space="preserve"> F, Duarte A, Loureiro M, Armbruster JW, Chakrabarty P. Phylogenomics of pike cichlids (Cichlidae : </w:t>
      </w:r>
      <w:proofErr w:type="spellStart"/>
      <w:r w:rsidRPr="0009479C">
        <w:rPr>
          <w:rFonts w:asciiTheme="majorBidi" w:hAnsiTheme="majorBidi" w:cstheme="majorBidi"/>
          <w:bCs/>
          <w:sz w:val="24"/>
          <w:szCs w:val="24"/>
        </w:rPr>
        <w:t>Crenicichla</w:t>
      </w:r>
      <w:proofErr w:type="spellEnd"/>
      <w:r w:rsidRPr="0009479C">
        <w:rPr>
          <w:rFonts w:asciiTheme="majorBidi" w:hAnsiTheme="majorBidi" w:cstheme="majorBidi"/>
          <w:bCs/>
          <w:sz w:val="24"/>
          <w:szCs w:val="24"/>
        </w:rPr>
        <w:t>): the rapid ecological speciation of an incipient species flock.</w:t>
      </w:r>
      <w:r w:rsidR="009805A0">
        <w:rPr>
          <w:rFonts w:asciiTheme="majorBidi" w:hAnsiTheme="majorBidi" w:cstheme="majorBidi"/>
          <w:bCs/>
          <w:sz w:val="24"/>
          <w:szCs w:val="24"/>
        </w:rPr>
        <w:t xml:space="preserve"> </w:t>
      </w:r>
      <w:r w:rsidR="009805A0" w:rsidRPr="009805A0">
        <w:rPr>
          <w:rFonts w:asciiTheme="majorBidi" w:hAnsiTheme="majorBidi" w:cstheme="majorBidi"/>
          <w:bCs/>
          <w:i/>
          <w:iCs/>
          <w:sz w:val="24"/>
          <w:szCs w:val="24"/>
        </w:rPr>
        <w:t>Evol Biol.</w:t>
      </w:r>
      <w:r w:rsidRPr="0009479C">
        <w:rPr>
          <w:rFonts w:asciiTheme="majorBidi" w:hAnsiTheme="majorBidi" w:cstheme="majorBidi"/>
          <w:bCs/>
          <w:sz w:val="24"/>
          <w:szCs w:val="24"/>
        </w:rPr>
        <w:t xml:space="preserve"> 2018;</w:t>
      </w:r>
      <w:r w:rsidRPr="009805A0">
        <w:rPr>
          <w:rFonts w:asciiTheme="majorBidi" w:hAnsiTheme="majorBidi" w:cstheme="majorBidi"/>
          <w:b/>
          <w:sz w:val="24"/>
          <w:szCs w:val="24"/>
        </w:rPr>
        <w:t>31</w:t>
      </w:r>
      <w:r w:rsidRPr="0009479C">
        <w:rPr>
          <w:rFonts w:asciiTheme="majorBidi" w:hAnsiTheme="majorBidi" w:cstheme="majorBidi"/>
          <w:bCs/>
          <w:sz w:val="24"/>
          <w:szCs w:val="24"/>
        </w:rPr>
        <w:t>:14–30.</w:t>
      </w:r>
    </w:p>
    <w:p w14:paraId="42DEE63F"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57. </w:t>
      </w:r>
      <w:proofErr w:type="spellStart"/>
      <w:r w:rsidRPr="0009479C">
        <w:rPr>
          <w:rFonts w:asciiTheme="majorBidi" w:hAnsiTheme="majorBidi" w:cstheme="majorBidi"/>
          <w:bCs/>
          <w:sz w:val="24"/>
          <w:szCs w:val="24"/>
        </w:rPr>
        <w:t>Torati</w:t>
      </w:r>
      <w:proofErr w:type="spellEnd"/>
      <w:r w:rsidRPr="0009479C">
        <w:rPr>
          <w:rFonts w:asciiTheme="majorBidi" w:hAnsiTheme="majorBidi" w:cstheme="majorBidi"/>
          <w:bCs/>
          <w:sz w:val="24"/>
          <w:szCs w:val="24"/>
        </w:rPr>
        <w:t xml:space="preserve"> LS, Taggart JB, Varela ES, </w:t>
      </w:r>
      <w:proofErr w:type="spellStart"/>
      <w:r w:rsidRPr="0009479C">
        <w:rPr>
          <w:rFonts w:asciiTheme="majorBidi" w:hAnsiTheme="majorBidi" w:cstheme="majorBidi"/>
          <w:bCs/>
          <w:sz w:val="24"/>
          <w:szCs w:val="24"/>
        </w:rPr>
        <w:t>Araripe</w:t>
      </w:r>
      <w:proofErr w:type="spellEnd"/>
      <w:r w:rsidRPr="0009479C">
        <w:rPr>
          <w:rFonts w:asciiTheme="majorBidi" w:hAnsiTheme="majorBidi" w:cstheme="majorBidi"/>
          <w:bCs/>
          <w:sz w:val="24"/>
          <w:szCs w:val="24"/>
        </w:rPr>
        <w:t xml:space="preserve"> J, </w:t>
      </w:r>
      <w:proofErr w:type="spellStart"/>
      <w:r w:rsidRPr="0009479C">
        <w:rPr>
          <w:rFonts w:asciiTheme="majorBidi" w:hAnsiTheme="majorBidi" w:cstheme="majorBidi"/>
          <w:bCs/>
          <w:sz w:val="24"/>
          <w:szCs w:val="24"/>
        </w:rPr>
        <w:t>Wehner</w:t>
      </w:r>
      <w:proofErr w:type="spellEnd"/>
      <w:r w:rsidRPr="0009479C">
        <w:rPr>
          <w:rFonts w:asciiTheme="majorBidi" w:hAnsiTheme="majorBidi" w:cstheme="majorBidi"/>
          <w:bCs/>
          <w:sz w:val="24"/>
          <w:szCs w:val="24"/>
        </w:rPr>
        <w:t xml:space="preserve"> S, </w:t>
      </w:r>
      <w:proofErr w:type="spellStart"/>
      <w:r w:rsidRPr="0009479C">
        <w:rPr>
          <w:rFonts w:asciiTheme="majorBidi" w:hAnsiTheme="majorBidi" w:cstheme="majorBidi"/>
          <w:bCs/>
          <w:sz w:val="24"/>
          <w:szCs w:val="24"/>
        </w:rPr>
        <w:t>Migaud</w:t>
      </w:r>
      <w:proofErr w:type="spellEnd"/>
      <w:r w:rsidRPr="0009479C">
        <w:rPr>
          <w:rFonts w:asciiTheme="majorBidi" w:hAnsiTheme="majorBidi" w:cstheme="majorBidi"/>
          <w:bCs/>
          <w:sz w:val="24"/>
          <w:szCs w:val="24"/>
        </w:rPr>
        <w:t xml:space="preserve"> H. Genetic diversity and structure in Arapaima gigas populations from Amazon and Araguaia-Tocantins river basins. </w:t>
      </w:r>
      <w:r w:rsidRPr="009805A0">
        <w:rPr>
          <w:rFonts w:asciiTheme="majorBidi" w:hAnsiTheme="majorBidi" w:cstheme="majorBidi"/>
          <w:bCs/>
          <w:i/>
          <w:iCs/>
          <w:sz w:val="24"/>
          <w:szCs w:val="24"/>
        </w:rPr>
        <w:t xml:space="preserve">BMC Genet. </w:t>
      </w:r>
      <w:r w:rsidRPr="0009479C">
        <w:rPr>
          <w:rFonts w:asciiTheme="majorBidi" w:hAnsiTheme="majorBidi" w:cstheme="majorBidi"/>
          <w:bCs/>
          <w:sz w:val="24"/>
          <w:szCs w:val="24"/>
        </w:rPr>
        <w:t>2019;</w:t>
      </w:r>
      <w:r w:rsidRPr="009805A0">
        <w:rPr>
          <w:rFonts w:asciiTheme="majorBidi" w:hAnsiTheme="majorBidi" w:cstheme="majorBidi"/>
          <w:b/>
          <w:sz w:val="24"/>
          <w:szCs w:val="24"/>
        </w:rPr>
        <w:t>20</w:t>
      </w:r>
      <w:r w:rsidRPr="0009479C">
        <w:rPr>
          <w:rFonts w:asciiTheme="majorBidi" w:hAnsiTheme="majorBidi" w:cstheme="majorBidi"/>
          <w:bCs/>
          <w:sz w:val="24"/>
          <w:szCs w:val="24"/>
        </w:rPr>
        <w:t>:1–13.</w:t>
      </w:r>
    </w:p>
    <w:p w14:paraId="7C33E037" w14:textId="078EC580"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58. Carreras C, </w:t>
      </w:r>
      <w:proofErr w:type="spellStart"/>
      <w:r w:rsidRPr="0009479C">
        <w:rPr>
          <w:rFonts w:asciiTheme="majorBidi" w:hAnsiTheme="majorBidi" w:cstheme="majorBidi"/>
          <w:bCs/>
          <w:sz w:val="24"/>
          <w:szCs w:val="24"/>
        </w:rPr>
        <w:t>Ordóñez</w:t>
      </w:r>
      <w:proofErr w:type="spellEnd"/>
      <w:r w:rsidRPr="0009479C">
        <w:rPr>
          <w:rFonts w:asciiTheme="majorBidi" w:hAnsiTheme="majorBidi" w:cstheme="majorBidi"/>
          <w:bCs/>
          <w:sz w:val="24"/>
          <w:szCs w:val="24"/>
        </w:rPr>
        <w:t xml:space="preserve"> V, Zane L, </w:t>
      </w:r>
      <w:proofErr w:type="spellStart"/>
      <w:r w:rsidRPr="0009479C">
        <w:rPr>
          <w:rFonts w:asciiTheme="majorBidi" w:hAnsiTheme="majorBidi" w:cstheme="majorBidi"/>
          <w:bCs/>
          <w:sz w:val="24"/>
          <w:szCs w:val="24"/>
        </w:rPr>
        <w:t>Kruschel</w:t>
      </w:r>
      <w:proofErr w:type="spellEnd"/>
      <w:r w:rsidRPr="0009479C">
        <w:rPr>
          <w:rFonts w:asciiTheme="majorBidi" w:hAnsiTheme="majorBidi" w:cstheme="majorBidi"/>
          <w:bCs/>
          <w:sz w:val="24"/>
          <w:szCs w:val="24"/>
        </w:rPr>
        <w:t xml:space="preserve"> C, </w:t>
      </w:r>
      <w:proofErr w:type="spellStart"/>
      <w:r w:rsidRPr="0009479C">
        <w:rPr>
          <w:rFonts w:asciiTheme="majorBidi" w:hAnsiTheme="majorBidi" w:cstheme="majorBidi"/>
          <w:bCs/>
          <w:sz w:val="24"/>
          <w:szCs w:val="24"/>
        </w:rPr>
        <w:t>Nasto</w:t>
      </w:r>
      <w:proofErr w:type="spellEnd"/>
      <w:r w:rsidRPr="0009479C">
        <w:rPr>
          <w:rFonts w:asciiTheme="majorBidi" w:hAnsiTheme="majorBidi" w:cstheme="majorBidi"/>
          <w:bCs/>
          <w:sz w:val="24"/>
          <w:szCs w:val="24"/>
        </w:rPr>
        <w:t xml:space="preserve"> I, MacPherson E, </w:t>
      </w:r>
      <w:r w:rsidRPr="009805A0">
        <w:rPr>
          <w:rFonts w:asciiTheme="majorBidi" w:hAnsiTheme="majorBidi" w:cstheme="majorBidi"/>
          <w:bCs/>
          <w:i/>
          <w:iCs/>
          <w:sz w:val="24"/>
          <w:szCs w:val="24"/>
        </w:rPr>
        <w:t>et al</w:t>
      </w:r>
      <w:r w:rsidRPr="0009479C">
        <w:rPr>
          <w:rFonts w:asciiTheme="majorBidi" w:hAnsiTheme="majorBidi" w:cstheme="majorBidi"/>
          <w:bCs/>
          <w:sz w:val="24"/>
          <w:szCs w:val="24"/>
        </w:rPr>
        <w:t xml:space="preserve">. Population genomics of an endemic Mediterranean fish: Differentiation by fine scale dispersal and adaptation. </w:t>
      </w:r>
      <w:r w:rsidRPr="009805A0">
        <w:rPr>
          <w:rFonts w:asciiTheme="majorBidi" w:hAnsiTheme="majorBidi" w:cstheme="majorBidi"/>
          <w:bCs/>
          <w:i/>
          <w:iCs/>
          <w:sz w:val="24"/>
          <w:szCs w:val="24"/>
        </w:rPr>
        <w:t>Sci Rep.</w:t>
      </w:r>
      <w:r w:rsidRPr="0009479C">
        <w:rPr>
          <w:rFonts w:asciiTheme="majorBidi" w:hAnsiTheme="majorBidi" w:cstheme="majorBidi"/>
          <w:bCs/>
          <w:sz w:val="24"/>
          <w:szCs w:val="24"/>
        </w:rPr>
        <w:t xml:space="preserve"> 2016:1–12.</w:t>
      </w:r>
    </w:p>
    <w:p w14:paraId="6D2D9C4F" w14:textId="01C25D7D"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59. Jackson AM, Semmens BX, De </w:t>
      </w:r>
      <w:proofErr w:type="spellStart"/>
      <w:r w:rsidRPr="0009479C">
        <w:rPr>
          <w:rFonts w:asciiTheme="majorBidi" w:hAnsiTheme="majorBidi" w:cstheme="majorBidi"/>
          <w:bCs/>
          <w:sz w:val="24"/>
          <w:szCs w:val="24"/>
        </w:rPr>
        <w:t>Mitcheson</w:t>
      </w:r>
      <w:proofErr w:type="spellEnd"/>
      <w:r w:rsidRPr="0009479C">
        <w:rPr>
          <w:rFonts w:asciiTheme="majorBidi" w:hAnsiTheme="majorBidi" w:cstheme="majorBidi"/>
          <w:bCs/>
          <w:sz w:val="24"/>
          <w:szCs w:val="24"/>
        </w:rPr>
        <w:t xml:space="preserve"> YS, Nemeth RS, </w:t>
      </w:r>
      <w:proofErr w:type="spellStart"/>
      <w:r w:rsidRPr="0009479C">
        <w:rPr>
          <w:rFonts w:asciiTheme="majorBidi" w:hAnsiTheme="majorBidi" w:cstheme="majorBidi"/>
          <w:bCs/>
          <w:sz w:val="24"/>
          <w:szCs w:val="24"/>
        </w:rPr>
        <w:t>Heppell</w:t>
      </w:r>
      <w:proofErr w:type="spellEnd"/>
      <w:r w:rsidRPr="0009479C">
        <w:rPr>
          <w:rFonts w:asciiTheme="majorBidi" w:hAnsiTheme="majorBidi" w:cstheme="majorBidi"/>
          <w:bCs/>
          <w:sz w:val="24"/>
          <w:szCs w:val="24"/>
        </w:rPr>
        <w:t xml:space="preserve"> SA, Bush PG, </w:t>
      </w:r>
      <w:r w:rsidRPr="009805A0">
        <w:rPr>
          <w:rFonts w:asciiTheme="majorBidi" w:hAnsiTheme="majorBidi" w:cstheme="majorBidi"/>
          <w:bCs/>
          <w:i/>
          <w:iCs/>
          <w:sz w:val="24"/>
          <w:szCs w:val="24"/>
        </w:rPr>
        <w:t>et al</w:t>
      </w:r>
      <w:r w:rsidRPr="0009479C">
        <w:rPr>
          <w:rFonts w:asciiTheme="majorBidi" w:hAnsiTheme="majorBidi" w:cstheme="majorBidi"/>
          <w:bCs/>
          <w:sz w:val="24"/>
          <w:szCs w:val="24"/>
        </w:rPr>
        <w:t xml:space="preserve">. Population structure and phylogeography in </w:t>
      </w:r>
      <w:r w:rsidRPr="009805A0">
        <w:rPr>
          <w:rFonts w:asciiTheme="majorBidi" w:hAnsiTheme="majorBidi" w:cstheme="majorBidi"/>
          <w:bCs/>
          <w:i/>
          <w:iCs/>
          <w:sz w:val="24"/>
          <w:szCs w:val="24"/>
        </w:rPr>
        <w:t>Nassau grouper</w:t>
      </w:r>
      <w:r w:rsidRPr="0009479C">
        <w:rPr>
          <w:rFonts w:asciiTheme="majorBidi" w:hAnsiTheme="majorBidi" w:cstheme="majorBidi"/>
          <w:bCs/>
          <w:sz w:val="24"/>
          <w:szCs w:val="24"/>
        </w:rPr>
        <w:t xml:space="preserve"> (</w:t>
      </w:r>
      <w:r w:rsidR="009805A0" w:rsidRPr="009805A0">
        <w:rPr>
          <w:rFonts w:asciiTheme="majorBidi" w:hAnsiTheme="majorBidi" w:cstheme="majorBidi"/>
          <w:bCs/>
          <w:i/>
          <w:iCs/>
          <w:sz w:val="24"/>
          <w:szCs w:val="24"/>
        </w:rPr>
        <w:t>E</w:t>
      </w:r>
      <w:r w:rsidRPr="009805A0">
        <w:rPr>
          <w:rFonts w:asciiTheme="majorBidi" w:hAnsiTheme="majorBidi" w:cstheme="majorBidi"/>
          <w:bCs/>
          <w:i/>
          <w:iCs/>
          <w:sz w:val="24"/>
          <w:szCs w:val="24"/>
        </w:rPr>
        <w:t>pinephelus striatus</w:t>
      </w:r>
      <w:r w:rsidRPr="0009479C">
        <w:rPr>
          <w:rFonts w:asciiTheme="majorBidi" w:hAnsiTheme="majorBidi" w:cstheme="majorBidi"/>
          <w:bCs/>
          <w:sz w:val="24"/>
          <w:szCs w:val="24"/>
        </w:rPr>
        <w:t xml:space="preserve">), a mass-aggregating marine fish. </w:t>
      </w:r>
      <w:proofErr w:type="spellStart"/>
      <w:r w:rsidRPr="009805A0">
        <w:rPr>
          <w:rFonts w:asciiTheme="majorBidi" w:hAnsiTheme="majorBidi" w:cstheme="majorBidi"/>
          <w:bCs/>
          <w:i/>
          <w:iCs/>
          <w:sz w:val="24"/>
          <w:szCs w:val="24"/>
        </w:rPr>
        <w:t>PLoS</w:t>
      </w:r>
      <w:proofErr w:type="spellEnd"/>
      <w:r w:rsidRPr="009805A0">
        <w:rPr>
          <w:rFonts w:asciiTheme="majorBidi" w:hAnsiTheme="majorBidi" w:cstheme="majorBidi"/>
          <w:bCs/>
          <w:i/>
          <w:iCs/>
          <w:sz w:val="24"/>
          <w:szCs w:val="24"/>
        </w:rPr>
        <w:t xml:space="preserve"> One</w:t>
      </w:r>
      <w:r w:rsidRPr="0009479C">
        <w:rPr>
          <w:rFonts w:asciiTheme="majorBidi" w:hAnsiTheme="majorBidi" w:cstheme="majorBidi"/>
          <w:bCs/>
          <w:sz w:val="24"/>
          <w:szCs w:val="24"/>
        </w:rPr>
        <w:t>. 2014;9.</w:t>
      </w:r>
    </w:p>
    <w:p w14:paraId="09D26622"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60. </w:t>
      </w:r>
      <w:proofErr w:type="spellStart"/>
      <w:r w:rsidRPr="0009479C">
        <w:rPr>
          <w:rFonts w:asciiTheme="majorBidi" w:hAnsiTheme="majorBidi" w:cstheme="majorBidi"/>
          <w:bCs/>
          <w:sz w:val="24"/>
          <w:szCs w:val="24"/>
        </w:rPr>
        <w:t>Laconcha</w:t>
      </w:r>
      <w:proofErr w:type="spellEnd"/>
      <w:r w:rsidRPr="0009479C">
        <w:rPr>
          <w:rFonts w:asciiTheme="majorBidi" w:hAnsiTheme="majorBidi" w:cstheme="majorBidi"/>
          <w:bCs/>
          <w:sz w:val="24"/>
          <w:szCs w:val="24"/>
        </w:rPr>
        <w:t xml:space="preserve"> U, </w:t>
      </w:r>
      <w:proofErr w:type="spellStart"/>
      <w:r w:rsidRPr="0009479C">
        <w:rPr>
          <w:rFonts w:asciiTheme="majorBidi" w:hAnsiTheme="majorBidi" w:cstheme="majorBidi"/>
          <w:bCs/>
          <w:sz w:val="24"/>
          <w:szCs w:val="24"/>
        </w:rPr>
        <w:t>Iriondo</w:t>
      </w:r>
      <w:proofErr w:type="spellEnd"/>
      <w:r w:rsidRPr="0009479C">
        <w:rPr>
          <w:rFonts w:asciiTheme="majorBidi" w:hAnsiTheme="majorBidi" w:cstheme="majorBidi"/>
          <w:bCs/>
          <w:sz w:val="24"/>
          <w:szCs w:val="24"/>
        </w:rPr>
        <w:t xml:space="preserve"> M, </w:t>
      </w:r>
      <w:proofErr w:type="spellStart"/>
      <w:r w:rsidRPr="0009479C">
        <w:rPr>
          <w:rFonts w:asciiTheme="majorBidi" w:hAnsiTheme="majorBidi" w:cstheme="majorBidi"/>
          <w:bCs/>
          <w:sz w:val="24"/>
          <w:szCs w:val="24"/>
        </w:rPr>
        <w:t>Arrizabalaga</w:t>
      </w:r>
      <w:proofErr w:type="spellEnd"/>
      <w:r w:rsidRPr="0009479C">
        <w:rPr>
          <w:rFonts w:asciiTheme="majorBidi" w:hAnsiTheme="majorBidi" w:cstheme="majorBidi"/>
          <w:bCs/>
          <w:sz w:val="24"/>
          <w:szCs w:val="24"/>
        </w:rPr>
        <w:t xml:space="preserve"> H, Manzano C, </w:t>
      </w:r>
      <w:proofErr w:type="spellStart"/>
      <w:r w:rsidRPr="0009479C">
        <w:rPr>
          <w:rFonts w:asciiTheme="majorBidi" w:hAnsiTheme="majorBidi" w:cstheme="majorBidi"/>
          <w:bCs/>
          <w:sz w:val="24"/>
          <w:szCs w:val="24"/>
        </w:rPr>
        <w:t>Markaide</w:t>
      </w:r>
      <w:proofErr w:type="spellEnd"/>
      <w:r w:rsidRPr="0009479C">
        <w:rPr>
          <w:rFonts w:asciiTheme="majorBidi" w:hAnsiTheme="majorBidi" w:cstheme="majorBidi"/>
          <w:bCs/>
          <w:sz w:val="24"/>
          <w:szCs w:val="24"/>
        </w:rPr>
        <w:t xml:space="preserve"> P, Montes I, et al. New nuclear SNP markers unravel the genetic structure and effective population size of albacore tuna (</w:t>
      </w:r>
      <w:r w:rsidRPr="009805A0">
        <w:rPr>
          <w:rFonts w:asciiTheme="majorBidi" w:hAnsiTheme="majorBidi" w:cstheme="majorBidi"/>
          <w:bCs/>
          <w:i/>
          <w:iCs/>
          <w:sz w:val="24"/>
          <w:szCs w:val="24"/>
        </w:rPr>
        <w:t>Thunnus alalunga</w:t>
      </w:r>
      <w:r w:rsidRPr="0009479C">
        <w:rPr>
          <w:rFonts w:asciiTheme="majorBidi" w:hAnsiTheme="majorBidi" w:cstheme="majorBidi"/>
          <w:bCs/>
          <w:sz w:val="24"/>
          <w:szCs w:val="24"/>
        </w:rPr>
        <w:t xml:space="preserve">). </w:t>
      </w:r>
      <w:proofErr w:type="spellStart"/>
      <w:r w:rsidRPr="009805A0">
        <w:rPr>
          <w:rFonts w:asciiTheme="majorBidi" w:hAnsiTheme="majorBidi" w:cstheme="majorBidi"/>
          <w:bCs/>
          <w:i/>
          <w:iCs/>
          <w:sz w:val="24"/>
          <w:szCs w:val="24"/>
        </w:rPr>
        <w:t>PLoS</w:t>
      </w:r>
      <w:proofErr w:type="spellEnd"/>
      <w:r w:rsidRPr="009805A0">
        <w:rPr>
          <w:rFonts w:asciiTheme="majorBidi" w:hAnsiTheme="majorBidi" w:cstheme="majorBidi"/>
          <w:bCs/>
          <w:i/>
          <w:iCs/>
          <w:sz w:val="24"/>
          <w:szCs w:val="24"/>
        </w:rPr>
        <w:t xml:space="preserve"> One</w:t>
      </w:r>
      <w:r w:rsidRPr="0009479C">
        <w:rPr>
          <w:rFonts w:asciiTheme="majorBidi" w:hAnsiTheme="majorBidi" w:cstheme="majorBidi"/>
          <w:bCs/>
          <w:sz w:val="24"/>
          <w:szCs w:val="24"/>
        </w:rPr>
        <w:t>. 2015;</w:t>
      </w:r>
      <w:r w:rsidRPr="009805A0">
        <w:rPr>
          <w:rFonts w:asciiTheme="majorBidi" w:hAnsiTheme="majorBidi" w:cstheme="majorBidi"/>
          <w:b/>
          <w:sz w:val="24"/>
          <w:szCs w:val="24"/>
        </w:rPr>
        <w:t>10</w:t>
      </w:r>
      <w:r w:rsidRPr="0009479C">
        <w:rPr>
          <w:rFonts w:asciiTheme="majorBidi" w:hAnsiTheme="majorBidi" w:cstheme="majorBidi"/>
          <w:bCs/>
          <w:sz w:val="24"/>
          <w:szCs w:val="24"/>
        </w:rPr>
        <w:t>:1–19.</w:t>
      </w:r>
    </w:p>
    <w:p w14:paraId="67A4DB53" w14:textId="415EA4F4"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61. Pedraza-Marrón C</w:t>
      </w:r>
      <w:r w:rsidR="009805A0">
        <w:rPr>
          <w:rFonts w:asciiTheme="majorBidi" w:hAnsiTheme="majorBidi" w:cstheme="majorBidi"/>
          <w:bCs/>
          <w:sz w:val="24"/>
          <w:szCs w:val="24"/>
        </w:rPr>
        <w:t xml:space="preserve"> Del </w:t>
      </w:r>
      <w:r w:rsidRPr="0009479C">
        <w:rPr>
          <w:rFonts w:asciiTheme="majorBidi" w:hAnsiTheme="majorBidi" w:cstheme="majorBidi"/>
          <w:bCs/>
          <w:sz w:val="24"/>
          <w:szCs w:val="24"/>
        </w:rPr>
        <w:t xml:space="preserve">R, Silva R, Deeds J, Van Belleghem SM, Mastretta-Yanes A, Domínguez-Domínguez O, et al. Genomics overrules mitochondrial DNA, siding with morphology on a controversial case of species delimitation. </w:t>
      </w:r>
      <w:r w:rsidRPr="009805A0">
        <w:rPr>
          <w:rFonts w:asciiTheme="majorBidi" w:hAnsiTheme="majorBidi" w:cstheme="majorBidi"/>
          <w:bCs/>
          <w:i/>
          <w:iCs/>
          <w:sz w:val="24"/>
          <w:szCs w:val="24"/>
        </w:rPr>
        <w:t>Proc R Soc B Biol Sci</w:t>
      </w:r>
      <w:r w:rsidRPr="0009479C">
        <w:rPr>
          <w:rFonts w:asciiTheme="majorBidi" w:hAnsiTheme="majorBidi" w:cstheme="majorBidi"/>
          <w:bCs/>
          <w:sz w:val="24"/>
          <w:szCs w:val="24"/>
        </w:rPr>
        <w:t>. 2019;286.</w:t>
      </w:r>
    </w:p>
    <w:p w14:paraId="3A7EE91A"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62. Hughes LC, Cardoso YP, Sommer JA, Cifuentes R, </w:t>
      </w:r>
      <w:proofErr w:type="spellStart"/>
      <w:r w:rsidRPr="0009479C">
        <w:rPr>
          <w:rFonts w:asciiTheme="majorBidi" w:hAnsiTheme="majorBidi" w:cstheme="majorBidi"/>
          <w:bCs/>
          <w:sz w:val="24"/>
          <w:szCs w:val="24"/>
        </w:rPr>
        <w:t>Cuello</w:t>
      </w:r>
      <w:proofErr w:type="spellEnd"/>
      <w:r w:rsidRPr="0009479C">
        <w:rPr>
          <w:rFonts w:asciiTheme="majorBidi" w:hAnsiTheme="majorBidi" w:cstheme="majorBidi"/>
          <w:bCs/>
          <w:sz w:val="24"/>
          <w:szCs w:val="24"/>
        </w:rPr>
        <w:t xml:space="preserve"> M, Somoza GM, et al. Biogeography, habitat transitions and hybridization in a radiation of South American silverside fishes revealed by mitochondrial and genomic RAD data. </w:t>
      </w:r>
      <w:r w:rsidRPr="009805A0">
        <w:rPr>
          <w:rFonts w:asciiTheme="majorBidi" w:hAnsiTheme="majorBidi" w:cstheme="majorBidi"/>
          <w:bCs/>
          <w:i/>
          <w:iCs/>
          <w:sz w:val="24"/>
          <w:szCs w:val="24"/>
        </w:rPr>
        <w:t>Mol Ecol.</w:t>
      </w:r>
      <w:r w:rsidRPr="0009479C">
        <w:rPr>
          <w:rFonts w:asciiTheme="majorBidi" w:hAnsiTheme="majorBidi" w:cstheme="majorBidi"/>
          <w:bCs/>
          <w:sz w:val="24"/>
          <w:szCs w:val="24"/>
        </w:rPr>
        <w:t xml:space="preserve"> 2020;</w:t>
      </w:r>
      <w:r w:rsidRPr="009805A0">
        <w:rPr>
          <w:rFonts w:asciiTheme="majorBidi" w:hAnsiTheme="majorBidi" w:cstheme="majorBidi"/>
          <w:b/>
          <w:sz w:val="24"/>
          <w:szCs w:val="24"/>
        </w:rPr>
        <w:t>29</w:t>
      </w:r>
      <w:r w:rsidRPr="0009479C">
        <w:rPr>
          <w:rFonts w:asciiTheme="majorBidi" w:hAnsiTheme="majorBidi" w:cstheme="majorBidi"/>
          <w:bCs/>
          <w:sz w:val="24"/>
          <w:szCs w:val="24"/>
        </w:rPr>
        <w:t>:738–51.</w:t>
      </w:r>
    </w:p>
    <w:p w14:paraId="624560CB"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lastRenderedPageBreak/>
        <w:t xml:space="preserve">63. Marshall TL, Chambers EA, Matz M V., Hillis DM. How mitonuclear discordance and geographic variation have confounded species boundaries in a widely studied snake. </w:t>
      </w:r>
      <w:r w:rsidRPr="009805A0">
        <w:rPr>
          <w:rFonts w:asciiTheme="majorBidi" w:hAnsiTheme="majorBidi" w:cstheme="majorBidi"/>
          <w:bCs/>
          <w:i/>
          <w:iCs/>
          <w:sz w:val="24"/>
          <w:szCs w:val="24"/>
        </w:rPr>
        <w:t>Mol Phylogenet Evol.</w:t>
      </w:r>
      <w:r w:rsidRPr="0009479C">
        <w:rPr>
          <w:rFonts w:asciiTheme="majorBidi" w:hAnsiTheme="majorBidi" w:cstheme="majorBidi"/>
          <w:bCs/>
          <w:sz w:val="24"/>
          <w:szCs w:val="24"/>
        </w:rPr>
        <w:t xml:space="preserve"> 2021;162 April:107194. doi:10.1016/j.ympev.2021.107194.</w:t>
      </w:r>
    </w:p>
    <w:p w14:paraId="1A9F4429"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64. Shultz AJ, Baker AJ, Hill GE, Nolan PM, Edwards S V. SNPs across time and space: population genomic signatures of founder events and epizootics in the House Finch (</w:t>
      </w:r>
      <w:proofErr w:type="spellStart"/>
      <w:r w:rsidRPr="009805A0">
        <w:rPr>
          <w:rFonts w:asciiTheme="majorBidi" w:hAnsiTheme="majorBidi" w:cstheme="majorBidi"/>
          <w:bCs/>
          <w:i/>
          <w:iCs/>
          <w:sz w:val="24"/>
          <w:szCs w:val="24"/>
        </w:rPr>
        <w:t>Haemorhous</w:t>
      </w:r>
      <w:proofErr w:type="spellEnd"/>
      <w:r w:rsidRPr="009805A0">
        <w:rPr>
          <w:rFonts w:asciiTheme="majorBidi" w:hAnsiTheme="majorBidi" w:cstheme="majorBidi"/>
          <w:bCs/>
          <w:i/>
          <w:iCs/>
          <w:sz w:val="24"/>
          <w:szCs w:val="24"/>
        </w:rPr>
        <w:t xml:space="preserve"> mexicanus</w:t>
      </w:r>
      <w:r w:rsidRPr="0009479C">
        <w:rPr>
          <w:rFonts w:asciiTheme="majorBidi" w:hAnsiTheme="majorBidi" w:cstheme="majorBidi"/>
          <w:bCs/>
          <w:sz w:val="24"/>
          <w:szCs w:val="24"/>
        </w:rPr>
        <w:t xml:space="preserve">). </w:t>
      </w:r>
      <w:proofErr w:type="spellStart"/>
      <w:r w:rsidRPr="009805A0">
        <w:rPr>
          <w:rFonts w:asciiTheme="majorBidi" w:hAnsiTheme="majorBidi" w:cstheme="majorBidi"/>
          <w:bCs/>
          <w:i/>
          <w:iCs/>
          <w:sz w:val="24"/>
          <w:szCs w:val="24"/>
        </w:rPr>
        <w:t>Ecol</w:t>
      </w:r>
      <w:proofErr w:type="spellEnd"/>
      <w:r w:rsidRPr="009805A0">
        <w:rPr>
          <w:rFonts w:asciiTheme="majorBidi" w:hAnsiTheme="majorBidi" w:cstheme="majorBidi"/>
          <w:bCs/>
          <w:i/>
          <w:iCs/>
          <w:sz w:val="24"/>
          <w:szCs w:val="24"/>
        </w:rPr>
        <w:t xml:space="preserve"> Evol.</w:t>
      </w:r>
      <w:r w:rsidRPr="0009479C">
        <w:rPr>
          <w:rFonts w:asciiTheme="majorBidi" w:hAnsiTheme="majorBidi" w:cstheme="majorBidi"/>
          <w:bCs/>
          <w:sz w:val="24"/>
          <w:szCs w:val="24"/>
        </w:rPr>
        <w:t xml:space="preserve"> 2016;</w:t>
      </w:r>
      <w:r w:rsidRPr="009805A0">
        <w:rPr>
          <w:rFonts w:asciiTheme="majorBidi" w:hAnsiTheme="majorBidi" w:cstheme="majorBidi"/>
          <w:b/>
          <w:sz w:val="24"/>
          <w:szCs w:val="24"/>
        </w:rPr>
        <w:t>6</w:t>
      </w:r>
      <w:r w:rsidRPr="0009479C">
        <w:rPr>
          <w:rFonts w:asciiTheme="majorBidi" w:hAnsiTheme="majorBidi" w:cstheme="majorBidi"/>
          <w:bCs/>
          <w:sz w:val="24"/>
          <w:szCs w:val="24"/>
        </w:rPr>
        <w:t>:7475–89.</w:t>
      </w:r>
    </w:p>
    <w:p w14:paraId="6B068866"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65. </w:t>
      </w:r>
      <w:proofErr w:type="spellStart"/>
      <w:r w:rsidRPr="0009479C">
        <w:rPr>
          <w:rFonts w:asciiTheme="majorBidi" w:hAnsiTheme="majorBidi" w:cstheme="majorBidi"/>
          <w:bCs/>
          <w:sz w:val="24"/>
          <w:szCs w:val="24"/>
        </w:rPr>
        <w:t>Alarcón</w:t>
      </w:r>
      <w:proofErr w:type="spellEnd"/>
      <w:r w:rsidRPr="0009479C">
        <w:rPr>
          <w:rFonts w:asciiTheme="majorBidi" w:hAnsiTheme="majorBidi" w:cstheme="majorBidi"/>
          <w:bCs/>
          <w:sz w:val="24"/>
          <w:szCs w:val="24"/>
        </w:rPr>
        <w:t>-Durán I, Castillo-Rivera MA, Figueroa-Lucero G, Arroyo-</w:t>
      </w:r>
      <w:proofErr w:type="spellStart"/>
      <w:r w:rsidRPr="0009479C">
        <w:rPr>
          <w:rFonts w:asciiTheme="majorBidi" w:hAnsiTheme="majorBidi" w:cstheme="majorBidi"/>
          <w:bCs/>
          <w:sz w:val="24"/>
          <w:szCs w:val="24"/>
        </w:rPr>
        <w:t>Cabrales</w:t>
      </w:r>
      <w:proofErr w:type="spellEnd"/>
      <w:r w:rsidRPr="0009479C">
        <w:rPr>
          <w:rFonts w:asciiTheme="majorBidi" w:hAnsiTheme="majorBidi" w:cstheme="majorBidi"/>
          <w:bCs/>
          <w:sz w:val="24"/>
          <w:szCs w:val="24"/>
        </w:rPr>
        <w:t xml:space="preserve"> J, </w:t>
      </w:r>
      <w:proofErr w:type="spellStart"/>
      <w:r w:rsidRPr="0009479C">
        <w:rPr>
          <w:rFonts w:asciiTheme="majorBidi" w:hAnsiTheme="majorBidi" w:cstheme="majorBidi"/>
          <w:bCs/>
          <w:sz w:val="24"/>
          <w:szCs w:val="24"/>
        </w:rPr>
        <w:t>Barriga</w:t>
      </w:r>
      <w:proofErr w:type="spellEnd"/>
      <w:r w:rsidRPr="0009479C">
        <w:rPr>
          <w:rFonts w:asciiTheme="majorBidi" w:hAnsiTheme="majorBidi" w:cstheme="majorBidi"/>
          <w:bCs/>
          <w:sz w:val="24"/>
          <w:szCs w:val="24"/>
        </w:rPr>
        <w:t xml:space="preserve">-Sosa I de </w:t>
      </w:r>
      <w:proofErr w:type="spellStart"/>
      <w:r w:rsidRPr="0009479C">
        <w:rPr>
          <w:rFonts w:asciiTheme="majorBidi" w:hAnsiTheme="majorBidi" w:cstheme="majorBidi"/>
          <w:bCs/>
          <w:sz w:val="24"/>
          <w:szCs w:val="24"/>
        </w:rPr>
        <w:t>los</w:t>
      </w:r>
      <w:proofErr w:type="spellEnd"/>
      <w:r w:rsidRPr="0009479C">
        <w:rPr>
          <w:rFonts w:asciiTheme="majorBidi" w:hAnsiTheme="majorBidi" w:cstheme="majorBidi"/>
          <w:bCs/>
          <w:sz w:val="24"/>
          <w:szCs w:val="24"/>
        </w:rPr>
        <w:t xml:space="preserve"> Á. </w:t>
      </w:r>
      <w:proofErr w:type="spellStart"/>
      <w:r w:rsidRPr="0009479C">
        <w:rPr>
          <w:rFonts w:asciiTheme="majorBidi" w:hAnsiTheme="majorBidi" w:cstheme="majorBidi"/>
          <w:bCs/>
          <w:sz w:val="24"/>
          <w:szCs w:val="24"/>
        </w:rPr>
        <w:t>Diversidad</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morfológica</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en</w:t>
      </w:r>
      <w:proofErr w:type="spellEnd"/>
      <w:r w:rsidRPr="0009479C">
        <w:rPr>
          <w:rFonts w:asciiTheme="majorBidi" w:hAnsiTheme="majorBidi" w:cstheme="majorBidi"/>
          <w:bCs/>
          <w:sz w:val="24"/>
          <w:szCs w:val="24"/>
        </w:rPr>
        <w:t xml:space="preserve"> 6 </w:t>
      </w:r>
      <w:proofErr w:type="spellStart"/>
      <w:r w:rsidRPr="0009479C">
        <w:rPr>
          <w:rFonts w:asciiTheme="majorBidi" w:hAnsiTheme="majorBidi" w:cstheme="majorBidi"/>
          <w:bCs/>
          <w:sz w:val="24"/>
          <w:szCs w:val="24"/>
        </w:rPr>
        <w:t>poblaciones</w:t>
      </w:r>
      <w:proofErr w:type="spellEnd"/>
      <w:r w:rsidRPr="0009479C">
        <w:rPr>
          <w:rFonts w:asciiTheme="majorBidi" w:hAnsiTheme="majorBidi" w:cstheme="majorBidi"/>
          <w:bCs/>
          <w:sz w:val="24"/>
          <w:szCs w:val="24"/>
        </w:rPr>
        <w:t xml:space="preserve"> del </w:t>
      </w:r>
      <w:proofErr w:type="spellStart"/>
      <w:r w:rsidRPr="0009479C">
        <w:rPr>
          <w:rFonts w:asciiTheme="majorBidi" w:hAnsiTheme="majorBidi" w:cstheme="majorBidi"/>
          <w:bCs/>
          <w:sz w:val="24"/>
          <w:szCs w:val="24"/>
        </w:rPr>
        <w:t>pescado</w:t>
      </w:r>
      <w:proofErr w:type="spellEnd"/>
      <w:r w:rsidRPr="0009479C">
        <w:rPr>
          <w:rFonts w:asciiTheme="majorBidi" w:hAnsiTheme="majorBidi" w:cstheme="majorBidi"/>
          <w:bCs/>
          <w:sz w:val="24"/>
          <w:szCs w:val="24"/>
        </w:rPr>
        <w:t xml:space="preserve"> blanco </w:t>
      </w:r>
      <w:r w:rsidRPr="009805A0">
        <w:rPr>
          <w:rFonts w:asciiTheme="majorBidi" w:hAnsiTheme="majorBidi" w:cstheme="majorBidi"/>
          <w:bCs/>
          <w:i/>
          <w:iCs/>
          <w:sz w:val="24"/>
          <w:szCs w:val="24"/>
        </w:rPr>
        <w:t xml:space="preserve">Chirostoma humboldtianum. Rev Mex </w:t>
      </w:r>
      <w:proofErr w:type="spellStart"/>
      <w:r w:rsidRPr="009805A0">
        <w:rPr>
          <w:rFonts w:asciiTheme="majorBidi" w:hAnsiTheme="majorBidi" w:cstheme="majorBidi"/>
          <w:bCs/>
          <w:i/>
          <w:iCs/>
          <w:sz w:val="24"/>
          <w:szCs w:val="24"/>
        </w:rPr>
        <w:t>Biodivers</w:t>
      </w:r>
      <w:proofErr w:type="spellEnd"/>
      <w:r w:rsidRPr="0009479C">
        <w:rPr>
          <w:rFonts w:asciiTheme="majorBidi" w:hAnsiTheme="majorBidi" w:cstheme="majorBidi"/>
          <w:bCs/>
          <w:sz w:val="24"/>
          <w:szCs w:val="24"/>
        </w:rPr>
        <w:t>. 2017;</w:t>
      </w:r>
      <w:r w:rsidRPr="009805A0">
        <w:rPr>
          <w:rFonts w:asciiTheme="majorBidi" w:hAnsiTheme="majorBidi" w:cstheme="majorBidi"/>
          <w:b/>
          <w:sz w:val="24"/>
          <w:szCs w:val="24"/>
        </w:rPr>
        <w:t>88</w:t>
      </w:r>
      <w:r w:rsidRPr="0009479C">
        <w:rPr>
          <w:rFonts w:asciiTheme="majorBidi" w:hAnsiTheme="majorBidi" w:cstheme="majorBidi"/>
          <w:bCs/>
          <w:sz w:val="24"/>
          <w:szCs w:val="24"/>
        </w:rPr>
        <w:t>:207–14. doi:10.1016/j.rmb.2017.01.018.</w:t>
      </w:r>
    </w:p>
    <w:p w14:paraId="74AB9109" w14:textId="67928F23"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66. Hoban S, Kelley JL, </w:t>
      </w:r>
      <w:proofErr w:type="spellStart"/>
      <w:r w:rsidRPr="0009479C">
        <w:rPr>
          <w:rFonts w:asciiTheme="majorBidi" w:hAnsiTheme="majorBidi" w:cstheme="majorBidi"/>
          <w:bCs/>
          <w:sz w:val="24"/>
          <w:szCs w:val="24"/>
        </w:rPr>
        <w:t>Lotterhos</w:t>
      </w:r>
      <w:proofErr w:type="spellEnd"/>
      <w:r w:rsidRPr="0009479C">
        <w:rPr>
          <w:rFonts w:asciiTheme="majorBidi" w:hAnsiTheme="majorBidi" w:cstheme="majorBidi"/>
          <w:bCs/>
          <w:sz w:val="24"/>
          <w:szCs w:val="24"/>
        </w:rPr>
        <w:t xml:space="preserve"> KE, Antolin MF, </w:t>
      </w:r>
      <w:proofErr w:type="spellStart"/>
      <w:r w:rsidRPr="0009479C">
        <w:rPr>
          <w:rFonts w:asciiTheme="majorBidi" w:hAnsiTheme="majorBidi" w:cstheme="majorBidi"/>
          <w:bCs/>
          <w:sz w:val="24"/>
          <w:szCs w:val="24"/>
        </w:rPr>
        <w:t>Bradburd</w:t>
      </w:r>
      <w:proofErr w:type="spellEnd"/>
      <w:r w:rsidRPr="0009479C">
        <w:rPr>
          <w:rFonts w:asciiTheme="majorBidi" w:hAnsiTheme="majorBidi" w:cstheme="majorBidi"/>
          <w:bCs/>
          <w:sz w:val="24"/>
          <w:szCs w:val="24"/>
        </w:rPr>
        <w:t xml:space="preserve"> G, Lowry DB, </w:t>
      </w:r>
      <w:r w:rsidRPr="009805A0">
        <w:rPr>
          <w:rFonts w:asciiTheme="majorBidi" w:hAnsiTheme="majorBidi" w:cstheme="majorBidi"/>
          <w:bCs/>
          <w:i/>
          <w:iCs/>
          <w:sz w:val="24"/>
          <w:szCs w:val="24"/>
        </w:rPr>
        <w:t>et al</w:t>
      </w:r>
      <w:r w:rsidRPr="0009479C">
        <w:rPr>
          <w:rFonts w:asciiTheme="majorBidi" w:hAnsiTheme="majorBidi" w:cstheme="majorBidi"/>
          <w:bCs/>
          <w:sz w:val="24"/>
          <w:szCs w:val="24"/>
        </w:rPr>
        <w:t xml:space="preserve">. Finding the genomic basis of local adaptation: Pitfalls, practical solutions, and future directions. </w:t>
      </w:r>
      <w:r w:rsidR="009805A0" w:rsidRPr="009805A0">
        <w:rPr>
          <w:rFonts w:asciiTheme="majorBidi" w:hAnsiTheme="majorBidi" w:cstheme="majorBidi"/>
          <w:bCs/>
          <w:i/>
          <w:iCs/>
          <w:sz w:val="24"/>
          <w:szCs w:val="24"/>
        </w:rPr>
        <w:t>Am. Nat.</w:t>
      </w:r>
      <w:r w:rsidR="009805A0">
        <w:rPr>
          <w:rFonts w:asciiTheme="majorBidi" w:hAnsiTheme="majorBidi" w:cstheme="majorBidi"/>
          <w:bCs/>
          <w:sz w:val="24"/>
          <w:szCs w:val="24"/>
        </w:rPr>
        <w:t xml:space="preserve"> </w:t>
      </w:r>
      <w:r w:rsidRPr="0009479C">
        <w:rPr>
          <w:rFonts w:asciiTheme="majorBidi" w:hAnsiTheme="majorBidi" w:cstheme="majorBidi"/>
          <w:bCs/>
          <w:sz w:val="24"/>
          <w:szCs w:val="24"/>
        </w:rPr>
        <w:t>2016.</w:t>
      </w:r>
      <w:r w:rsidR="009805A0">
        <w:rPr>
          <w:rFonts w:asciiTheme="majorBidi" w:hAnsiTheme="majorBidi" w:cstheme="majorBidi"/>
          <w:bCs/>
          <w:sz w:val="24"/>
          <w:szCs w:val="24"/>
        </w:rPr>
        <w:t xml:space="preserve"> </w:t>
      </w:r>
      <w:r w:rsidR="009805A0" w:rsidRPr="009805A0">
        <w:rPr>
          <w:rFonts w:asciiTheme="majorBidi" w:hAnsiTheme="majorBidi" w:cstheme="majorBidi"/>
          <w:b/>
          <w:sz w:val="24"/>
          <w:szCs w:val="24"/>
        </w:rPr>
        <w:t>188</w:t>
      </w:r>
      <w:r w:rsidR="009805A0" w:rsidRPr="009805A0">
        <w:rPr>
          <w:rFonts w:asciiTheme="majorBidi" w:hAnsiTheme="majorBidi" w:cstheme="majorBidi"/>
          <w:bCs/>
          <w:sz w:val="24"/>
          <w:szCs w:val="24"/>
        </w:rPr>
        <w:t>(4):379-97</w:t>
      </w:r>
      <w:r w:rsidR="009805A0">
        <w:rPr>
          <w:rFonts w:asciiTheme="majorBidi" w:hAnsiTheme="majorBidi" w:cstheme="majorBidi"/>
          <w:bCs/>
          <w:sz w:val="24"/>
          <w:szCs w:val="24"/>
        </w:rPr>
        <w:t>.</w:t>
      </w:r>
    </w:p>
    <w:p w14:paraId="74E7FA55"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67. Amish SJ, Ali O, Peacock M, Miller M, Robinson M, Smith S, et al. Assessing thermal adaptation using family-based association and FST outlier tests in a threatened trout species. </w:t>
      </w:r>
      <w:r w:rsidRPr="00757B54">
        <w:rPr>
          <w:rFonts w:asciiTheme="majorBidi" w:hAnsiTheme="majorBidi" w:cstheme="majorBidi"/>
          <w:bCs/>
          <w:i/>
          <w:iCs/>
          <w:sz w:val="24"/>
          <w:szCs w:val="24"/>
        </w:rPr>
        <w:t>Mol Ecol.</w:t>
      </w:r>
      <w:r w:rsidRPr="0009479C">
        <w:rPr>
          <w:rFonts w:asciiTheme="majorBidi" w:hAnsiTheme="majorBidi" w:cstheme="majorBidi"/>
          <w:bCs/>
          <w:sz w:val="24"/>
          <w:szCs w:val="24"/>
        </w:rPr>
        <w:t xml:space="preserve"> 2019;</w:t>
      </w:r>
      <w:r w:rsidRPr="00757B54">
        <w:rPr>
          <w:rFonts w:asciiTheme="majorBidi" w:hAnsiTheme="majorBidi" w:cstheme="majorBidi"/>
          <w:b/>
          <w:sz w:val="24"/>
          <w:szCs w:val="24"/>
        </w:rPr>
        <w:t>28</w:t>
      </w:r>
      <w:r w:rsidRPr="0009479C">
        <w:rPr>
          <w:rFonts w:asciiTheme="majorBidi" w:hAnsiTheme="majorBidi" w:cstheme="majorBidi"/>
          <w:bCs/>
          <w:sz w:val="24"/>
          <w:szCs w:val="24"/>
        </w:rPr>
        <w:t>:2573–93.</w:t>
      </w:r>
    </w:p>
    <w:p w14:paraId="027B76A9" w14:textId="63A12C5F"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68. Robertson S, Bradley JE, </w:t>
      </w:r>
      <w:proofErr w:type="spellStart"/>
      <w:r w:rsidRPr="0009479C">
        <w:rPr>
          <w:rFonts w:asciiTheme="majorBidi" w:hAnsiTheme="majorBidi" w:cstheme="majorBidi"/>
          <w:bCs/>
          <w:sz w:val="24"/>
          <w:szCs w:val="24"/>
        </w:rPr>
        <w:t>MacColl</w:t>
      </w:r>
      <w:proofErr w:type="spellEnd"/>
      <w:r w:rsidRPr="0009479C">
        <w:rPr>
          <w:rFonts w:asciiTheme="majorBidi" w:hAnsiTheme="majorBidi" w:cstheme="majorBidi"/>
          <w:bCs/>
          <w:sz w:val="24"/>
          <w:szCs w:val="24"/>
        </w:rPr>
        <w:t xml:space="preserve"> ADC. Eda haplotypes in three-spined stickleback are associated with variation in immune gene expression. </w:t>
      </w:r>
      <w:r w:rsidRPr="00B32981">
        <w:rPr>
          <w:rFonts w:asciiTheme="majorBidi" w:hAnsiTheme="majorBidi" w:cstheme="majorBidi"/>
          <w:bCs/>
          <w:i/>
          <w:iCs/>
          <w:sz w:val="24"/>
          <w:szCs w:val="24"/>
        </w:rPr>
        <w:t>Sci Rep</w:t>
      </w:r>
      <w:r w:rsidRPr="0009479C">
        <w:rPr>
          <w:rFonts w:asciiTheme="majorBidi" w:hAnsiTheme="majorBidi" w:cstheme="majorBidi"/>
          <w:bCs/>
          <w:sz w:val="24"/>
          <w:szCs w:val="24"/>
        </w:rPr>
        <w:t>. 2016:1–9.</w:t>
      </w:r>
    </w:p>
    <w:p w14:paraId="5583D489" w14:textId="77777777" w:rsidR="0009479C" w:rsidRPr="0009479C" w:rsidRDefault="0009479C" w:rsidP="009805A0">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69. Jones FC, Chan YF, Schmutz J, </w:t>
      </w:r>
      <w:proofErr w:type="spellStart"/>
      <w:r w:rsidRPr="0009479C">
        <w:rPr>
          <w:rFonts w:asciiTheme="majorBidi" w:hAnsiTheme="majorBidi" w:cstheme="majorBidi"/>
          <w:bCs/>
          <w:sz w:val="24"/>
          <w:szCs w:val="24"/>
        </w:rPr>
        <w:t>Grimwood</w:t>
      </w:r>
      <w:proofErr w:type="spellEnd"/>
      <w:r w:rsidRPr="0009479C">
        <w:rPr>
          <w:rFonts w:asciiTheme="majorBidi" w:hAnsiTheme="majorBidi" w:cstheme="majorBidi"/>
          <w:bCs/>
          <w:sz w:val="24"/>
          <w:szCs w:val="24"/>
        </w:rPr>
        <w:t xml:space="preserve"> J, Brady SD, Southwick AM, </w:t>
      </w:r>
      <w:r w:rsidRPr="00C153C9">
        <w:rPr>
          <w:rFonts w:asciiTheme="majorBidi" w:hAnsiTheme="majorBidi" w:cstheme="majorBidi"/>
          <w:bCs/>
          <w:i/>
          <w:iCs/>
          <w:sz w:val="24"/>
          <w:szCs w:val="24"/>
        </w:rPr>
        <w:t>et al.</w:t>
      </w:r>
      <w:r w:rsidRPr="0009479C">
        <w:rPr>
          <w:rFonts w:asciiTheme="majorBidi" w:hAnsiTheme="majorBidi" w:cstheme="majorBidi"/>
          <w:bCs/>
          <w:sz w:val="24"/>
          <w:szCs w:val="24"/>
        </w:rPr>
        <w:t xml:space="preserve"> A genome-wide SNP genotyping array reveals patterns of global and repeated species-pair divergence in sticklebacks. </w:t>
      </w:r>
      <w:proofErr w:type="spellStart"/>
      <w:r w:rsidRPr="00C153C9">
        <w:rPr>
          <w:rFonts w:asciiTheme="majorBidi" w:hAnsiTheme="majorBidi" w:cstheme="majorBidi"/>
          <w:bCs/>
          <w:i/>
          <w:iCs/>
          <w:sz w:val="24"/>
          <w:szCs w:val="24"/>
        </w:rPr>
        <w:t>Curr</w:t>
      </w:r>
      <w:proofErr w:type="spellEnd"/>
      <w:r w:rsidRPr="00C153C9">
        <w:rPr>
          <w:rFonts w:asciiTheme="majorBidi" w:hAnsiTheme="majorBidi" w:cstheme="majorBidi"/>
          <w:bCs/>
          <w:i/>
          <w:iCs/>
          <w:sz w:val="24"/>
          <w:szCs w:val="24"/>
        </w:rPr>
        <w:t xml:space="preserve"> Biol.</w:t>
      </w:r>
      <w:r w:rsidRPr="0009479C">
        <w:rPr>
          <w:rFonts w:asciiTheme="majorBidi" w:hAnsiTheme="majorBidi" w:cstheme="majorBidi"/>
          <w:bCs/>
          <w:sz w:val="24"/>
          <w:szCs w:val="24"/>
        </w:rPr>
        <w:t xml:space="preserve"> 2012;</w:t>
      </w:r>
      <w:r w:rsidRPr="00C153C9">
        <w:rPr>
          <w:rFonts w:asciiTheme="majorBidi" w:hAnsiTheme="majorBidi" w:cstheme="majorBidi"/>
          <w:b/>
          <w:sz w:val="24"/>
          <w:szCs w:val="24"/>
        </w:rPr>
        <w:t>22</w:t>
      </w:r>
      <w:r w:rsidRPr="0009479C">
        <w:rPr>
          <w:rFonts w:asciiTheme="majorBidi" w:hAnsiTheme="majorBidi" w:cstheme="majorBidi"/>
          <w:bCs/>
          <w:sz w:val="24"/>
          <w:szCs w:val="24"/>
        </w:rPr>
        <w:t>:83–90. doi:10.1016/j.cub.2011.11.045.</w:t>
      </w:r>
    </w:p>
    <w:p w14:paraId="3D7D6CE1" w14:textId="77777777" w:rsidR="0009479C" w:rsidRPr="0009479C" w:rsidRDefault="0009479C" w:rsidP="00C153C9">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70. </w:t>
      </w:r>
      <w:proofErr w:type="spellStart"/>
      <w:r w:rsidRPr="0009479C">
        <w:rPr>
          <w:rFonts w:asciiTheme="majorBidi" w:hAnsiTheme="majorBidi" w:cstheme="majorBidi"/>
          <w:bCs/>
          <w:sz w:val="24"/>
          <w:szCs w:val="24"/>
        </w:rPr>
        <w:t>Scharsack</w:t>
      </w:r>
      <w:proofErr w:type="spellEnd"/>
      <w:r w:rsidRPr="0009479C">
        <w:rPr>
          <w:rFonts w:asciiTheme="majorBidi" w:hAnsiTheme="majorBidi" w:cstheme="majorBidi"/>
          <w:bCs/>
          <w:sz w:val="24"/>
          <w:szCs w:val="24"/>
        </w:rPr>
        <w:t xml:space="preserve"> JP, Kalbe M, Harrod C, Rauch G. Habitat-specific adaptation of immune responses of stickleback (</w:t>
      </w:r>
      <w:proofErr w:type="spellStart"/>
      <w:r w:rsidRPr="00C153C9">
        <w:rPr>
          <w:rFonts w:asciiTheme="majorBidi" w:hAnsiTheme="majorBidi" w:cstheme="majorBidi"/>
          <w:bCs/>
          <w:i/>
          <w:iCs/>
          <w:sz w:val="24"/>
          <w:szCs w:val="24"/>
        </w:rPr>
        <w:t>Gastetosteus</w:t>
      </w:r>
      <w:proofErr w:type="spellEnd"/>
      <w:r w:rsidRPr="00C153C9">
        <w:rPr>
          <w:rFonts w:asciiTheme="majorBidi" w:hAnsiTheme="majorBidi" w:cstheme="majorBidi"/>
          <w:bCs/>
          <w:i/>
          <w:iCs/>
          <w:sz w:val="24"/>
          <w:szCs w:val="24"/>
        </w:rPr>
        <w:t xml:space="preserve"> aculeatus</w:t>
      </w:r>
      <w:r w:rsidRPr="0009479C">
        <w:rPr>
          <w:rFonts w:asciiTheme="majorBidi" w:hAnsiTheme="majorBidi" w:cstheme="majorBidi"/>
          <w:bCs/>
          <w:sz w:val="24"/>
          <w:szCs w:val="24"/>
        </w:rPr>
        <w:t xml:space="preserve">) lake and river ecotypes. </w:t>
      </w:r>
      <w:r w:rsidRPr="00C153C9">
        <w:rPr>
          <w:rFonts w:asciiTheme="majorBidi" w:hAnsiTheme="majorBidi" w:cstheme="majorBidi"/>
          <w:bCs/>
          <w:i/>
          <w:iCs/>
          <w:sz w:val="24"/>
          <w:szCs w:val="24"/>
        </w:rPr>
        <w:t>Proc R Soc B Biol Sci.</w:t>
      </w:r>
      <w:r w:rsidRPr="0009479C">
        <w:rPr>
          <w:rFonts w:asciiTheme="majorBidi" w:hAnsiTheme="majorBidi" w:cstheme="majorBidi"/>
          <w:bCs/>
          <w:sz w:val="24"/>
          <w:szCs w:val="24"/>
        </w:rPr>
        <w:t xml:space="preserve"> 2007;</w:t>
      </w:r>
      <w:r w:rsidRPr="00C153C9">
        <w:rPr>
          <w:rFonts w:asciiTheme="majorBidi" w:hAnsiTheme="majorBidi" w:cstheme="majorBidi"/>
          <w:b/>
          <w:sz w:val="24"/>
          <w:szCs w:val="24"/>
        </w:rPr>
        <w:t>274</w:t>
      </w:r>
      <w:r w:rsidRPr="0009479C">
        <w:rPr>
          <w:rFonts w:asciiTheme="majorBidi" w:hAnsiTheme="majorBidi" w:cstheme="majorBidi"/>
          <w:bCs/>
          <w:sz w:val="24"/>
          <w:szCs w:val="24"/>
        </w:rPr>
        <w:t>:1523–32.</w:t>
      </w:r>
    </w:p>
    <w:p w14:paraId="0FC6CDCE" w14:textId="77777777" w:rsidR="0009479C" w:rsidRPr="0009479C" w:rsidRDefault="0009479C" w:rsidP="00C153C9">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71. Leck KJ, Zhang S, Hauser CAE. Study of bioengineered zebra fish olfactory receptor 131-2: Receptor purification and secondary structure analysis. </w:t>
      </w:r>
      <w:proofErr w:type="spellStart"/>
      <w:r w:rsidRPr="00C153C9">
        <w:rPr>
          <w:rFonts w:asciiTheme="majorBidi" w:hAnsiTheme="majorBidi" w:cstheme="majorBidi"/>
          <w:bCs/>
          <w:i/>
          <w:iCs/>
          <w:sz w:val="24"/>
          <w:szCs w:val="24"/>
        </w:rPr>
        <w:t>PLoS</w:t>
      </w:r>
      <w:proofErr w:type="spellEnd"/>
      <w:r w:rsidRPr="00C153C9">
        <w:rPr>
          <w:rFonts w:asciiTheme="majorBidi" w:hAnsiTheme="majorBidi" w:cstheme="majorBidi"/>
          <w:bCs/>
          <w:i/>
          <w:iCs/>
          <w:sz w:val="24"/>
          <w:szCs w:val="24"/>
        </w:rPr>
        <w:t xml:space="preserve"> One</w:t>
      </w:r>
      <w:r w:rsidRPr="0009479C">
        <w:rPr>
          <w:rFonts w:asciiTheme="majorBidi" w:hAnsiTheme="majorBidi" w:cstheme="majorBidi"/>
          <w:bCs/>
          <w:sz w:val="24"/>
          <w:szCs w:val="24"/>
        </w:rPr>
        <w:t>. 2010;5.</w:t>
      </w:r>
    </w:p>
    <w:p w14:paraId="58D2180C" w14:textId="77777777" w:rsidR="0009479C" w:rsidRPr="0009479C" w:rsidRDefault="0009479C" w:rsidP="00C153C9">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72. Jimenez Baltazar J, Hernández Morales R, Domínguez </w:t>
      </w:r>
      <w:proofErr w:type="spellStart"/>
      <w:r w:rsidRPr="0009479C">
        <w:rPr>
          <w:rFonts w:asciiTheme="majorBidi" w:hAnsiTheme="majorBidi" w:cstheme="majorBidi"/>
          <w:bCs/>
          <w:sz w:val="24"/>
          <w:szCs w:val="24"/>
        </w:rPr>
        <w:t>Domínguez</w:t>
      </w:r>
      <w:proofErr w:type="spellEnd"/>
      <w:r w:rsidRPr="0009479C">
        <w:rPr>
          <w:rFonts w:asciiTheme="majorBidi" w:hAnsiTheme="majorBidi" w:cstheme="majorBidi"/>
          <w:bCs/>
          <w:sz w:val="24"/>
          <w:szCs w:val="24"/>
        </w:rPr>
        <w:t xml:space="preserve"> O. </w:t>
      </w:r>
      <w:proofErr w:type="spellStart"/>
      <w:r w:rsidRPr="0009479C">
        <w:rPr>
          <w:rFonts w:asciiTheme="majorBidi" w:hAnsiTheme="majorBidi" w:cstheme="majorBidi"/>
          <w:bCs/>
          <w:sz w:val="24"/>
          <w:szCs w:val="24"/>
        </w:rPr>
        <w:t>Caracterización</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fisicoquímica</w:t>
      </w:r>
      <w:proofErr w:type="spellEnd"/>
      <w:r w:rsidRPr="0009479C">
        <w:rPr>
          <w:rFonts w:asciiTheme="majorBidi" w:hAnsiTheme="majorBidi" w:cstheme="majorBidi"/>
          <w:bCs/>
          <w:sz w:val="24"/>
          <w:szCs w:val="24"/>
        </w:rPr>
        <w:t xml:space="preserve"> y </w:t>
      </w:r>
      <w:proofErr w:type="spellStart"/>
      <w:r w:rsidRPr="0009479C">
        <w:rPr>
          <w:rFonts w:asciiTheme="majorBidi" w:hAnsiTheme="majorBidi" w:cstheme="majorBidi"/>
          <w:bCs/>
          <w:sz w:val="24"/>
          <w:szCs w:val="24"/>
        </w:rPr>
        <w:t>microbiológica</w:t>
      </w:r>
      <w:proofErr w:type="spellEnd"/>
      <w:r w:rsidRPr="0009479C">
        <w:rPr>
          <w:rFonts w:asciiTheme="majorBidi" w:hAnsiTheme="majorBidi" w:cstheme="majorBidi"/>
          <w:bCs/>
          <w:sz w:val="24"/>
          <w:szCs w:val="24"/>
        </w:rPr>
        <w:t xml:space="preserve"> del </w:t>
      </w:r>
      <w:proofErr w:type="spellStart"/>
      <w:r w:rsidRPr="0009479C">
        <w:rPr>
          <w:rFonts w:asciiTheme="majorBidi" w:hAnsiTheme="majorBidi" w:cstheme="majorBidi"/>
          <w:bCs/>
          <w:sz w:val="24"/>
          <w:szCs w:val="24"/>
        </w:rPr>
        <w:t>vaso</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norte</w:t>
      </w:r>
      <w:proofErr w:type="spellEnd"/>
      <w:r w:rsidRPr="0009479C">
        <w:rPr>
          <w:rFonts w:asciiTheme="majorBidi" w:hAnsiTheme="majorBidi" w:cstheme="majorBidi"/>
          <w:bCs/>
          <w:sz w:val="24"/>
          <w:szCs w:val="24"/>
        </w:rPr>
        <w:t xml:space="preserve"> de Lago de Pátzcuaro, Michoacán, México. </w:t>
      </w:r>
      <w:r w:rsidRPr="00177C8B">
        <w:rPr>
          <w:rFonts w:asciiTheme="majorBidi" w:hAnsiTheme="majorBidi" w:cstheme="majorBidi"/>
          <w:bCs/>
          <w:i/>
          <w:iCs/>
          <w:sz w:val="24"/>
          <w:szCs w:val="24"/>
        </w:rPr>
        <w:t xml:space="preserve">Rev </w:t>
      </w:r>
      <w:proofErr w:type="spellStart"/>
      <w:r w:rsidRPr="00177C8B">
        <w:rPr>
          <w:rFonts w:asciiTheme="majorBidi" w:hAnsiTheme="majorBidi" w:cstheme="majorBidi"/>
          <w:bCs/>
          <w:i/>
          <w:iCs/>
          <w:sz w:val="24"/>
          <w:szCs w:val="24"/>
        </w:rPr>
        <w:t>Latinoam</w:t>
      </w:r>
      <w:proofErr w:type="spellEnd"/>
      <w:r w:rsidRPr="00177C8B">
        <w:rPr>
          <w:rFonts w:asciiTheme="majorBidi" w:hAnsiTheme="majorBidi" w:cstheme="majorBidi"/>
          <w:bCs/>
          <w:i/>
          <w:iCs/>
          <w:sz w:val="24"/>
          <w:szCs w:val="24"/>
        </w:rPr>
        <w:t xml:space="preserve"> </w:t>
      </w:r>
      <w:proofErr w:type="spellStart"/>
      <w:r w:rsidRPr="00177C8B">
        <w:rPr>
          <w:rFonts w:asciiTheme="majorBidi" w:hAnsiTheme="majorBidi" w:cstheme="majorBidi"/>
          <w:bCs/>
          <w:i/>
          <w:iCs/>
          <w:sz w:val="24"/>
          <w:szCs w:val="24"/>
        </w:rPr>
        <w:t>el</w:t>
      </w:r>
      <w:proofErr w:type="spellEnd"/>
      <w:r w:rsidRPr="00177C8B">
        <w:rPr>
          <w:rFonts w:asciiTheme="majorBidi" w:hAnsiTheme="majorBidi" w:cstheme="majorBidi"/>
          <w:bCs/>
          <w:i/>
          <w:iCs/>
          <w:sz w:val="24"/>
          <w:szCs w:val="24"/>
        </w:rPr>
        <w:t xml:space="preserve"> Ambient y las </w:t>
      </w:r>
      <w:proofErr w:type="spellStart"/>
      <w:r w:rsidRPr="00177C8B">
        <w:rPr>
          <w:rFonts w:asciiTheme="majorBidi" w:hAnsiTheme="majorBidi" w:cstheme="majorBidi"/>
          <w:bCs/>
          <w:i/>
          <w:iCs/>
          <w:sz w:val="24"/>
          <w:szCs w:val="24"/>
        </w:rPr>
        <w:t>Ciencias</w:t>
      </w:r>
      <w:proofErr w:type="spellEnd"/>
      <w:r w:rsidRPr="0009479C">
        <w:rPr>
          <w:rFonts w:asciiTheme="majorBidi" w:hAnsiTheme="majorBidi" w:cstheme="majorBidi"/>
          <w:bCs/>
          <w:sz w:val="24"/>
          <w:szCs w:val="24"/>
        </w:rPr>
        <w:t>. 2018;</w:t>
      </w:r>
      <w:r w:rsidRPr="00177C8B">
        <w:rPr>
          <w:rFonts w:asciiTheme="majorBidi" w:hAnsiTheme="majorBidi" w:cstheme="majorBidi"/>
          <w:b/>
          <w:sz w:val="24"/>
          <w:szCs w:val="24"/>
        </w:rPr>
        <w:t>9</w:t>
      </w:r>
      <w:r w:rsidRPr="0009479C">
        <w:rPr>
          <w:rFonts w:asciiTheme="majorBidi" w:hAnsiTheme="majorBidi" w:cstheme="majorBidi"/>
          <w:bCs/>
          <w:sz w:val="24"/>
          <w:szCs w:val="24"/>
        </w:rPr>
        <w:t>:400–15.</w:t>
      </w:r>
    </w:p>
    <w:p w14:paraId="0EF177C1" w14:textId="3734F7E1" w:rsidR="0009479C" w:rsidRPr="0009479C" w:rsidRDefault="0009479C" w:rsidP="00C153C9">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73. Lind OT, </w:t>
      </w:r>
      <w:proofErr w:type="spellStart"/>
      <w:r w:rsidRPr="0009479C">
        <w:rPr>
          <w:rFonts w:asciiTheme="majorBidi" w:hAnsiTheme="majorBidi" w:cstheme="majorBidi"/>
          <w:bCs/>
          <w:sz w:val="24"/>
          <w:szCs w:val="24"/>
        </w:rPr>
        <w:t>Dávalos</w:t>
      </w:r>
      <w:proofErr w:type="spellEnd"/>
      <w:r w:rsidRPr="0009479C">
        <w:rPr>
          <w:rFonts w:asciiTheme="majorBidi" w:hAnsiTheme="majorBidi" w:cstheme="majorBidi"/>
          <w:bCs/>
          <w:sz w:val="24"/>
          <w:szCs w:val="24"/>
        </w:rPr>
        <w:t xml:space="preserve">-Lind L. An Introduction to the Limnology of Lake Chapala, Jalisco, Mexico. In: Hansen AM, van </w:t>
      </w:r>
      <w:proofErr w:type="spellStart"/>
      <w:r w:rsidRPr="0009479C">
        <w:rPr>
          <w:rFonts w:asciiTheme="majorBidi" w:hAnsiTheme="majorBidi" w:cstheme="majorBidi"/>
          <w:bCs/>
          <w:sz w:val="24"/>
          <w:szCs w:val="24"/>
        </w:rPr>
        <w:t>Afferden</w:t>
      </w:r>
      <w:proofErr w:type="spellEnd"/>
      <w:r w:rsidRPr="0009479C">
        <w:rPr>
          <w:rFonts w:asciiTheme="majorBidi" w:hAnsiTheme="majorBidi" w:cstheme="majorBidi"/>
          <w:bCs/>
          <w:sz w:val="24"/>
          <w:szCs w:val="24"/>
        </w:rPr>
        <w:t xml:space="preserve"> M, editors. The Lerma-Chapala Watershed: Evaluation and Management. Boston, MA: Springer US; 2001. p</w:t>
      </w:r>
      <w:r w:rsidR="00177C8B">
        <w:rPr>
          <w:rFonts w:asciiTheme="majorBidi" w:hAnsiTheme="majorBidi" w:cstheme="majorBidi"/>
          <w:bCs/>
          <w:sz w:val="24"/>
          <w:szCs w:val="24"/>
        </w:rPr>
        <w:t>p</w:t>
      </w:r>
      <w:r w:rsidRPr="0009479C">
        <w:rPr>
          <w:rFonts w:asciiTheme="majorBidi" w:hAnsiTheme="majorBidi" w:cstheme="majorBidi"/>
          <w:bCs/>
          <w:sz w:val="24"/>
          <w:szCs w:val="24"/>
        </w:rPr>
        <w:t>. 139–49. doi:10.1007/978-1-4615-0545-7_6.</w:t>
      </w:r>
    </w:p>
    <w:p w14:paraId="608BD019" w14:textId="77777777" w:rsidR="0009479C" w:rsidRPr="0009479C" w:rsidRDefault="0009479C" w:rsidP="00C153C9">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74. Hollenbeck CM, Portnoy DS, Gold JR. Evolution of population structure in an estuarine-dependent marine fish. </w:t>
      </w:r>
      <w:proofErr w:type="spellStart"/>
      <w:r w:rsidRPr="00177C8B">
        <w:rPr>
          <w:rFonts w:asciiTheme="majorBidi" w:hAnsiTheme="majorBidi" w:cstheme="majorBidi"/>
          <w:bCs/>
          <w:i/>
          <w:iCs/>
          <w:sz w:val="24"/>
          <w:szCs w:val="24"/>
        </w:rPr>
        <w:t>Ecol</w:t>
      </w:r>
      <w:proofErr w:type="spellEnd"/>
      <w:r w:rsidRPr="00177C8B">
        <w:rPr>
          <w:rFonts w:asciiTheme="majorBidi" w:hAnsiTheme="majorBidi" w:cstheme="majorBidi"/>
          <w:bCs/>
          <w:i/>
          <w:iCs/>
          <w:sz w:val="24"/>
          <w:szCs w:val="24"/>
        </w:rPr>
        <w:t xml:space="preserve"> Evol</w:t>
      </w:r>
      <w:r w:rsidRPr="0009479C">
        <w:rPr>
          <w:rFonts w:asciiTheme="majorBidi" w:hAnsiTheme="majorBidi" w:cstheme="majorBidi"/>
          <w:bCs/>
          <w:sz w:val="24"/>
          <w:szCs w:val="24"/>
        </w:rPr>
        <w:t>. 2019;</w:t>
      </w:r>
      <w:r w:rsidRPr="00177C8B">
        <w:rPr>
          <w:rFonts w:asciiTheme="majorBidi" w:hAnsiTheme="majorBidi" w:cstheme="majorBidi"/>
          <w:b/>
          <w:sz w:val="24"/>
          <w:szCs w:val="24"/>
        </w:rPr>
        <w:t>9</w:t>
      </w:r>
      <w:r w:rsidRPr="0009479C">
        <w:rPr>
          <w:rFonts w:asciiTheme="majorBidi" w:hAnsiTheme="majorBidi" w:cstheme="majorBidi"/>
          <w:bCs/>
          <w:sz w:val="24"/>
          <w:szCs w:val="24"/>
        </w:rPr>
        <w:t>:3141–52.</w:t>
      </w:r>
    </w:p>
    <w:p w14:paraId="6EBB36A1" w14:textId="77777777" w:rsidR="0009479C" w:rsidRPr="0009479C" w:rsidRDefault="0009479C" w:rsidP="00C153C9">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75. </w:t>
      </w:r>
      <w:proofErr w:type="spellStart"/>
      <w:r w:rsidRPr="0009479C">
        <w:rPr>
          <w:rFonts w:asciiTheme="majorBidi" w:hAnsiTheme="majorBidi" w:cstheme="majorBidi"/>
          <w:bCs/>
          <w:sz w:val="24"/>
          <w:szCs w:val="24"/>
        </w:rPr>
        <w:t>Theodorou</w:t>
      </w:r>
      <w:proofErr w:type="spellEnd"/>
      <w:r w:rsidRPr="0009479C">
        <w:rPr>
          <w:rFonts w:asciiTheme="majorBidi" w:hAnsiTheme="majorBidi" w:cstheme="majorBidi"/>
          <w:bCs/>
          <w:sz w:val="24"/>
          <w:szCs w:val="24"/>
        </w:rPr>
        <w:t xml:space="preserve"> P, </w:t>
      </w:r>
      <w:proofErr w:type="spellStart"/>
      <w:r w:rsidRPr="0009479C">
        <w:rPr>
          <w:rFonts w:asciiTheme="majorBidi" w:hAnsiTheme="majorBidi" w:cstheme="majorBidi"/>
          <w:bCs/>
          <w:sz w:val="24"/>
          <w:szCs w:val="24"/>
        </w:rPr>
        <w:t>Radzevičiūtė</w:t>
      </w:r>
      <w:proofErr w:type="spellEnd"/>
      <w:r w:rsidRPr="0009479C">
        <w:rPr>
          <w:rFonts w:asciiTheme="majorBidi" w:hAnsiTheme="majorBidi" w:cstheme="majorBidi"/>
          <w:bCs/>
          <w:sz w:val="24"/>
          <w:szCs w:val="24"/>
        </w:rPr>
        <w:t xml:space="preserve"> R, </w:t>
      </w:r>
      <w:proofErr w:type="spellStart"/>
      <w:r w:rsidRPr="0009479C">
        <w:rPr>
          <w:rFonts w:asciiTheme="majorBidi" w:hAnsiTheme="majorBidi" w:cstheme="majorBidi"/>
          <w:bCs/>
          <w:sz w:val="24"/>
          <w:szCs w:val="24"/>
        </w:rPr>
        <w:t>Kahnt</w:t>
      </w:r>
      <w:proofErr w:type="spellEnd"/>
      <w:r w:rsidRPr="0009479C">
        <w:rPr>
          <w:rFonts w:asciiTheme="majorBidi" w:hAnsiTheme="majorBidi" w:cstheme="majorBidi"/>
          <w:bCs/>
          <w:sz w:val="24"/>
          <w:szCs w:val="24"/>
        </w:rPr>
        <w:t xml:space="preserve"> B, </w:t>
      </w:r>
      <w:proofErr w:type="spellStart"/>
      <w:r w:rsidRPr="0009479C">
        <w:rPr>
          <w:rFonts w:asciiTheme="majorBidi" w:hAnsiTheme="majorBidi" w:cstheme="majorBidi"/>
          <w:bCs/>
          <w:sz w:val="24"/>
          <w:szCs w:val="24"/>
        </w:rPr>
        <w:t>Soro</w:t>
      </w:r>
      <w:proofErr w:type="spellEnd"/>
      <w:r w:rsidRPr="0009479C">
        <w:rPr>
          <w:rFonts w:asciiTheme="majorBidi" w:hAnsiTheme="majorBidi" w:cstheme="majorBidi"/>
          <w:bCs/>
          <w:sz w:val="24"/>
          <w:szCs w:val="24"/>
        </w:rPr>
        <w:t xml:space="preserve"> A, Grosse I, Paxton RJ. Genome-wide single nucleotide polymorphism scan suggests adaptation to urbanization in an important </w:t>
      </w:r>
      <w:r w:rsidRPr="0009479C">
        <w:rPr>
          <w:rFonts w:asciiTheme="majorBidi" w:hAnsiTheme="majorBidi" w:cstheme="majorBidi"/>
          <w:bCs/>
          <w:sz w:val="24"/>
          <w:szCs w:val="24"/>
        </w:rPr>
        <w:lastRenderedPageBreak/>
        <w:t>pollinator, the red-tailed bumblebee (</w:t>
      </w:r>
      <w:r w:rsidRPr="00177C8B">
        <w:rPr>
          <w:rFonts w:asciiTheme="majorBidi" w:hAnsiTheme="majorBidi" w:cstheme="majorBidi"/>
          <w:bCs/>
          <w:i/>
          <w:iCs/>
          <w:sz w:val="24"/>
          <w:szCs w:val="24"/>
        </w:rPr>
        <w:t xml:space="preserve">Bombus </w:t>
      </w:r>
      <w:proofErr w:type="spellStart"/>
      <w:r w:rsidRPr="00177C8B">
        <w:rPr>
          <w:rFonts w:asciiTheme="majorBidi" w:hAnsiTheme="majorBidi" w:cstheme="majorBidi"/>
          <w:bCs/>
          <w:i/>
          <w:iCs/>
          <w:sz w:val="24"/>
          <w:szCs w:val="24"/>
        </w:rPr>
        <w:t>lapidarius</w:t>
      </w:r>
      <w:proofErr w:type="spellEnd"/>
      <w:r w:rsidRPr="0009479C">
        <w:rPr>
          <w:rFonts w:asciiTheme="majorBidi" w:hAnsiTheme="majorBidi" w:cstheme="majorBidi"/>
          <w:bCs/>
          <w:sz w:val="24"/>
          <w:szCs w:val="24"/>
        </w:rPr>
        <w:t xml:space="preserve"> L.). </w:t>
      </w:r>
      <w:r w:rsidRPr="00177C8B">
        <w:rPr>
          <w:rFonts w:asciiTheme="majorBidi" w:hAnsiTheme="majorBidi" w:cstheme="majorBidi"/>
          <w:bCs/>
          <w:i/>
          <w:iCs/>
          <w:sz w:val="24"/>
          <w:szCs w:val="24"/>
        </w:rPr>
        <w:t>Proc R Soc B Biol Sci.</w:t>
      </w:r>
      <w:r w:rsidRPr="0009479C">
        <w:rPr>
          <w:rFonts w:asciiTheme="majorBidi" w:hAnsiTheme="majorBidi" w:cstheme="majorBidi"/>
          <w:bCs/>
          <w:sz w:val="24"/>
          <w:szCs w:val="24"/>
        </w:rPr>
        <w:t xml:space="preserve"> 2018;285.</w:t>
      </w:r>
    </w:p>
    <w:p w14:paraId="1F2BBFBE"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76. Whitlock MC, </w:t>
      </w:r>
      <w:proofErr w:type="spellStart"/>
      <w:r w:rsidRPr="0009479C">
        <w:rPr>
          <w:rFonts w:asciiTheme="majorBidi" w:hAnsiTheme="majorBidi" w:cstheme="majorBidi"/>
          <w:bCs/>
          <w:sz w:val="24"/>
          <w:szCs w:val="24"/>
        </w:rPr>
        <w:t>Lotterhos</w:t>
      </w:r>
      <w:proofErr w:type="spellEnd"/>
      <w:r w:rsidRPr="0009479C">
        <w:rPr>
          <w:rFonts w:asciiTheme="majorBidi" w:hAnsiTheme="majorBidi" w:cstheme="majorBidi"/>
          <w:bCs/>
          <w:sz w:val="24"/>
          <w:szCs w:val="24"/>
        </w:rPr>
        <w:t xml:space="preserve"> KE. Reliable detection of loci responsible for local adaptation: Inference of a null model through trimming the distribution of FST. </w:t>
      </w:r>
      <w:r w:rsidRPr="00177C8B">
        <w:rPr>
          <w:rFonts w:asciiTheme="majorBidi" w:hAnsiTheme="majorBidi" w:cstheme="majorBidi"/>
          <w:bCs/>
          <w:i/>
          <w:iCs/>
          <w:sz w:val="24"/>
          <w:szCs w:val="24"/>
        </w:rPr>
        <w:t>Am Nat.</w:t>
      </w:r>
      <w:r w:rsidRPr="0009479C">
        <w:rPr>
          <w:rFonts w:asciiTheme="majorBidi" w:hAnsiTheme="majorBidi" w:cstheme="majorBidi"/>
          <w:bCs/>
          <w:sz w:val="24"/>
          <w:szCs w:val="24"/>
        </w:rPr>
        <w:t xml:space="preserve"> 2015;186 October:S24–36.</w:t>
      </w:r>
    </w:p>
    <w:p w14:paraId="6C679C3C"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77. Andrews KR, Good JM, Miller MR, </w:t>
      </w:r>
      <w:proofErr w:type="spellStart"/>
      <w:r w:rsidRPr="0009479C">
        <w:rPr>
          <w:rFonts w:asciiTheme="majorBidi" w:hAnsiTheme="majorBidi" w:cstheme="majorBidi"/>
          <w:bCs/>
          <w:sz w:val="24"/>
          <w:szCs w:val="24"/>
        </w:rPr>
        <w:t>Luikart</w:t>
      </w:r>
      <w:proofErr w:type="spellEnd"/>
      <w:r w:rsidRPr="0009479C">
        <w:rPr>
          <w:rFonts w:asciiTheme="majorBidi" w:hAnsiTheme="majorBidi" w:cstheme="majorBidi"/>
          <w:bCs/>
          <w:sz w:val="24"/>
          <w:szCs w:val="24"/>
        </w:rPr>
        <w:t xml:space="preserve"> G, Hohenlohe PA. Harnessing the power of RADseq for ecological and evolutionary genomics. </w:t>
      </w:r>
      <w:r w:rsidRPr="00177C8B">
        <w:rPr>
          <w:rFonts w:asciiTheme="majorBidi" w:hAnsiTheme="majorBidi" w:cstheme="majorBidi"/>
          <w:bCs/>
          <w:i/>
          <w:iCs/>
          <w:sz w:val="24"/>
          <w:szCs w:val="24"/>
        </w:rPr>
        <w:t xml:space="preserve">Nat </w:t>
      </w:r>
      <w:proofErr w:type="spellStart"/>
      <w:r w:rsidRPr="00177C8B">
        <w:rPr>
          <w:rFonts w:asciiTheme="majorBidi" w:hAnsiTheme="majorBidi" w:cstheme="majorBidi"/>
          <w:bCs/>
          <w:i/>
          <w:iCs/>
          <w:sz w:val="24"/>
          <w:szCs w:val="24"/>
        </w:rPr>
        <w:t>Publ</w:t>
      </w:r>
      <w:proofErr w:type="spellEnd"/>
      <w:r w:rsidRPr="00177C8B">
        <w:rPr>
          <w:rFonts w:asciiTheme="majorBidi" w:hAnsiTheme="majorBidi" w:cstheme="majorBidi"/>
          <w:bCs/>
          <w:i/>
          <w:iCs/>
          <w:sz w:val="24"/>
          <w:szCs w:val="24"/>
        </w:rPr>
        <w:t xml:space="preserve"> Gr.</w:t>
      </w:r>
      <w:r w:rsidRPr="0009479C">
        <w:rPr>
          <w:rFonts w:asciiTheme="majorBidi" w:hAnsiTheme="majorBidi" w:cstheme="majorBidi"/>
          <w:bCs/>
          <w:sz w:val="24"/>
          <w:szCs w:val="24"/>
        </w:rPr>
        <w:t xml:space="preserve"> 2016. doi:10.1038/nrg.2015.28.</w:t>
      </w:r>
    </w:p>
    <w:p w14:paraId="5DE19D2F"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78. </w:t>
      </w:r>
      <w:proofErr w:type="spellStart"/>
      <w:r w:rsidRPr="0009479C">
        <w:rPr>
          <w:rFonts w:asciiTheme="majorBidi" w:hAnsiTheme="majorBidi" w:cstheme="majorBidi"/>
          <w:bCs/>
          <w:sz w:val="24"/>
          <w:szCs w:val="24"/>
        </w:rPr>
        <w:t>Schweyen</w:t>
      </w:r>
      <w:proofErr w:type="spellEnd"/>
      <w:r w:rsidRPr="0009479C">
        <w:rPr>
          <w:rFonts w:asciiTheme="majorBidi" w:hAnsiTheme="majorBidi" w:cstheme="majorBidi"/>
          <w:bCs/>
          <w:sz w:val="24"/>
          <w:szCs w:val="24"/>
        </w:rPr>
        <w:t xml:space="preserve"> H, </w:t>
      </w:r>
      <w:proofErr w:type="spellStart"/>
      <w:r w:rsidRPr="0009479C">
        <w:rPr>
          <w:rFonts w:asciiTheme="majorBidi" w:hAnsiTheme="majorBidi" w:cstheme="majorBidi"/>
          <w:bCs/>
          <w:sz w:val="24"/>
          <w:szCs w:val="24"/>
        </w:rPr>
        <w:t>Rozenberg</w:t>
      </w:r>
      <w:proofErr w:type="spellEnd"/>
      <w:r w:rsidRPr="0009479C">
        <w:rPr>
          <w:rFonts w:asciiTheme="majorBidi" w:hAnsiTheme="majorBidi" w:cstheme="majorBidi"/>
          <w:bCs/>
          <w:sz w:val="24"/>
          <w:szCs w:val="24"/>
        </w:rPr>
        <w:t xml:space="preserve"> A, Leese F. Detection and removal of PCR duplicates in population genomic ddRAD studies by addition of a degenerate base region (DBR) in sequencing adapters. </w:t>
      </w:r>
      <w:r w:rsidRPr="00177C8B">
        <w:rPr>
          <w:rFonts w:asciiTheme="majorBidi" w:hAnsiTheme="majorBidi" w:cstheme="majorBidi"/>
          <w:bCs/>
          <w:i/>
          <w:iCs/>
          <w:sz w:val="24"/>
          <w:szCs w:val="24"/>
        </w:rPr>
        <w:t>Biol Bull.</w:t>
      </w:r>
      <w:r w:rsidRPr="0009479C">
        <w:rPr>
          <w:rFonts w:asciiTheme="majorBidi" w:hAnsiTheme="majorBidi" w:cstheme="majorBidi"/>
          <w:bCs/>
          <w:sz w:val="24"/>
          <w:szCs w:val="24"/>
        </w:rPr>
        <w:t xml:space="preserve"> 2014;</w:t>
      </w:r>
      <w:r w:rsidRPr="00177C8B">
        <w:rPr>
          <w:rFonts w:asciiTheme="majorBidi" w:hAnsiTheme="majorBidi" w:cstheme="majorBidi"/>
          <w:b/>
          <w:sz w:val="24"/>
          <w:szCs w:val="24"/>
        </w:rPr>
        <w:t>227</w:t>
      </w:r>
      <w:r w:rsidRPr="0009479C">
        <w:rPr>
          <w:rFonts w:asciiTheme="majorBidi" w:hAnsiTheme="majorBidi" w:cstheme="majorBidi"/>
          <w:bCs/>
          <w:sz w:val="24"/>
          <w:szCs w:val="24"/>
        </w:rPr>
        <w:t>:146–60.</w:t>
      </w:r>
    </w:p>
    <w:p w14:paraId="335809CA"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79. Lowry DB, Hoban S, Kelley JL, </w:t>
      </w:r>
      <w:proofErr w:type="spellStart"/>
      <w:r w:rsidRPr="0009479C">
        <w:rPr>
          <w:rFonts w:asciiTheme="majorBidi" w:hAnsiTheme="majorBidi" w:cstheme="majorBidi"/>
          <w:bCs/>
          <w:sz w:val="24"/>
          <w:szCs w:val="24"/>
        </w:rPr>
        <w:t>Lotterhos</w:t>
      </w:r>
      <w:proofErr w:type="spellEnd"/>
      <w:r w:rsidRPr="0009479C">
        <w:rPr>
          <w:rFonts w:asciiTheme="majorBidi" w:hAnsiTheme="majorBidi" w:cstheme="majorBidi"/>
          <w:bCs/>
          <w:sz w:val="24"/>
          <w:szCs w:val="24"/>
        </w:rPr>
        <w:t xml:space="preserve"> KE, Reed LK, Antolin MF, </w:t>
      </w:r>
      <w:r w:rsidRPr="00177C8B">
        <w:rPr>
          <w:rFonts w:asciiTheme="majorBidi" w:hAnsiTheme="majorBidi" w:cstheme="majorBidi"/>
          <w:bCs/>
          <w:i/>
          <w:iCs/>
          <w:sz w:val="24"/>
          <w:szCs w:val="24"/>
        </w:rPr>
        <w:t>et al</w:t>
      </w:r>
      <w:r w:rsidRPr="0009479C">
        <w:rPr>
          <w:rFonts w:asciiTheme="majorBidi" w:hAnsiTheme="majorBidi" w:cstheme="majorBidi"/>
          <w:bCs/>
          <w:sz w:val="24"/>
          <w:szCs w:val="24"/>
        </w:rPr>
        <w:t xml:space="preserve">. Breaking RAD: an evaluation of the utility of restriction site-associated DNA sequencing for genome scans of adaptation. </w:t>
      </w:r>
      <w:r w:rsidRPr="00177C8B">
        <w:rPr>
          <w:rFonts w:asciiTheme="majorBidi" w:hAnsiTheme="majorBidi" w:cstheme="majorBidi"/>
          <w:bCs/>
          <w:i/>
          <w:iCs/>
          <w:sz w:val="24"/>
          <w:szCs w:val="24"/>
        </w:rPr>
        <w:t xml:space="preserve">Mol </w:t>
      </w:r>
      <w:proofErr w:type="spellStart"/>
      <w:r w:rsidRPr="00177C8B">
        <w:rPr>
          <w:rFonts w:asciiTheme="majorBidi" w:hAnsiTheme="majorBidi" w:cstheme="majorBidi"/>
          <w:bCs/>
          <w:i/>
          <w:iCs/>
          <w:sz w:val="24"/>
          <w:szCs w:val="24"/>
        </w:rPr>
        <w:t>Ecol</w:t>
      </w:r>
      <w:proofErr w:type="spellEnd"/>
      <w:r w:rsidRPr="00177C8B">
        <w:rPr>
          <w:rFonts w:asciiTheme="majorBidi" w:hAnsiTheme="majorBidi" w:cstheme="majorBidi"/>
          <w:bCs/>
          <w:i/>
          <w:iCs/>
          <w:sz w:val="24"/>
          <w:szCs w:val="24"/>
        </w:rPr>
        <w:t xml:space="preserve"> </w:t>
      </w:r>
      <w:proofErr w:type="spellStart"/>
      <w:r w:rsidRPr="00177C8B">
        <w:rPr>
          <w:rFonts w:asciiTheme="majorBidi" w:hAnsiTheme="majorBidi" w:cstheme="majorBidi"/>
          <w:bCs/>
          <w:i/>
          <w:iCs/>
          <w:sz w:val="24"/>
          <w:szCs w:val="24"/>
        </w:rPr>
        <w:t>Resour</w:t>
      </w:r>
      <w:proofErr w:type="spellEnd"/>
      <w:r w:rsidRPr="00177C8B">
        <w:rPr>
          <w:rFonts w:asciiTheme="majorBidi" w:hAnsiTheme="majorBidi" w:cstheme="majorBidi"/>
          <w:bCs/>
          <w:i/>
          <w:iCs/>
          <w:sz w:val="24"/>
          <w:szCs w:val="24"/>
        </w:rPr>
        <w:t>.</w:t>
      </w:r>
      <w:r w:rsidRPr="0009479C">
        <w:rPr>
          <w:rFonts w:asciiTheme="majorBidi" w:hAnsiTheme="majorBidi" w:cstheme="majorBidi"/>
          <w:bCs/>
          <w:sz w:val="24"/>
          <w:szCs w:val="24"/>
        </w:rPr>
        <w:t xml:space="preserve"> 2017;</w:t>
      </w:r>
      <w:r w:rsidRPr="00177C8B">
        <w:rPr>
          <w:rFonts w:asciiTheme="majorBidi" w:hAnsiTheme="majorBidi" w:cstheme="majorBidi"/>
          <w:b/>
          <w:sz w:val="24"/>
          <w:szCs w:val="24"/>
        </w:rPr>
        <w:t>17</w:t>
      </w:r>
      <w:r w:rsidRPr="0009479C">
        <w:rPr>
          <w:rFonts w:asciiTheme="majorBidi" w:hAnsiTheme="majorBidi" w:cstheme="majorBidi"/>
          <w:bCs/>
          <w:sz w:val="24"/>
          <w:szCs w:val="24"/>
        </w:rPr>
        <w:t>:142–52.</w:t>
      </w:r>
    </w:p>
    <w:p w14:paraId="537C4B92"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80. </w:t>
      </w:r>
      <w:proofErr w:type="spellStart"/>
      <w:r w:rsidRPr="0009479C">
        <w:rPr>
          <w:rFonts w:asciiTheme="majorBidi" w:hAnsiTheme="majorBidi" w:cstheme="majorBidi"/>
          <w:bCs/>
          <w:sz w:val="24"/>
          <w:szCs w:val="24"/>
        </w:rPr>
        <w:t>Kajungiro</w:t>
      </w:r>
      <w:proofErr w:type="spellEnd"/>
      <w:r w:rsidRPr="0009479C">
        <w:rPr>
          <w:rFonts w:asciiTheme="majorBidi" w:hAnsiTheme="majorBidi" w:cstheme="majorBidi"/>
          <w:bCs/>
          <w:sz w:val="24"/>
          <w:szCs w:val="24"/>
        </w:rPr>
        <w:t xml:space="preserve"> RA, </w:t>
      </w:r>
      <w:proofErr w:type="spellStart"/>
      <w:r w:rsidRPr="0009479C">
        <w:rPr>
          <w:rFonts w:asciiTheme="majorBidi" w:hAnsiTheme="majorBidi" w:cstheme="majorBidi"/>
          <w:bCs/>
          <w:sz w:val="24"/>
          <w:szCs w:val="24"/>
        </w:rPr>
        <w:t>Palaiokostas</w:t>
      </w:r>
      <w:proofErr w:type="spellEnd"/>
      <w:r w:rsidRPr="0009479C">
        <w:rPr>
          <w:rFonts w:asciiTheme="majorBidi" w:hAnsiTheme="majorBidi" w:cstheme="majorBidi"/>
          <w:bCs/>
          <w:sz w:val="24"/>
          <w:szCs w:val="24"/>
        </w:rPr>
        <w:t xml:space="preserve"> C, Pinto FAL, </w:t>
      </w:r>
      <w:proofErr w:type="spellStart"/>
      <w:r w:rsidRPr="0009479C">
        <w:rPr>
          <w:rFonts w:asciiTheme="majorBidi" w:hAnsiTheme="majorBidi" w:cstheme="majorBidi"/>
          <w:bCs/>
          <w:sz w:val="24"/>
          <w:szCs w:val="24"/>
        </w:rPr>
        <w:t>Mmochi</w:t>
      </w:r>
      <w:proofErr w:type="spellEnd"/>
      <w:r w:rsidRPr="0009479C">
        <w:rPr>
          <w:rFonts w:asciiTheme="majorBidi" w:hAnsiTheme="majorBidi" w:cstheme="majorBidi"/>
          <w:bCs/>
          <w:sz w:val="24"/>
          <w:szCs w:val="24"/>
        </w:rPr>
        <w:t xml:space="preserve"> AJ, </w:t>
      </w:r>
      <w:proofErr w:type="spellStart"/>
      <w:r w:rsidRPr="0009479C">
        <w:rPr>
          <w:rFonts w:asciiTheme="majorBidi" w:hAnsiTheme="majorBidi" w:cstheme="majorBidi"/>
          <w:bCs/>
          <w:sz w:val="24"/>
          <w:szCs w:val="24"/>
        </w:rPr>
        <w:t>Mtolera</w:t>
      </w:r>
      <w:proofErr w:type="spellEnd"/>
      <w:r w:rsidRPr="0009479C">
        <w:rPr>
          <w:rFonts w:asciiTheme="majorBidi" w:hAnsiTheme="majorBidi" w:cstheme="majorBidi"/>
          <w:bCs/>
          <w:sz w:val="24"/>
          <w:szCs w:val="24"/>
        </w:rPr>
        <w:t xml:space="preserve"> M, Houston RD, </w:t>
      </w:r>
      <w:r w:rsidRPr="00177C8B">
        <w:rPr>
          <w:rFonts w:asciiTheme="majorBidi" w:hAnsiTheme="majorBidi" w:cstheme="majorBidi"/>
          <w:bCs/>
          <w:i/>
          <w:iCs/>
          <w:sz w:val="24"/>
          <w:szCs w:val="24"/>
        </w:rPr>
        <w:t>et al</w:t>
      </w:r>
      <w:r w:rsidRPr="0009479C">
        <w:rPr>
          <w:rFonts w:asciiTheme="majorBidi" w:hAnsiTheme="majorBidi" w:cstheme="majorBidi"/>
          <w:bCs/>
          <w:sz w:val="24"/>
          <w:szCs w:val="24"/>
        </w:rPr>
        <w:t>. Population Structure and Genetic Diversity of Nile Tilapia (</w:t>
      </w:r>
      <w:r w:rsidRPr="00177C8B">
        <w:rPr>
          <w:rFonts w:asciiTheme="majorBidi" w:hAnsiTheme="majorBidi" w:cstheme="majorBidi"/>
          <w:bCs/>
          <w:i/>
          <w:iCs/>
          <w:sz w:val="24"/>
          <w:szCs w:val="24"/>
        </w:rPr>
        <w:t xml:space="preserve">Oreochromis </w:t>
      </w:r>
      <w:proofErr w:type="spellStart"/>
      <w:r w:rsidRPr="00177C8B">
        <w:rPr>
          <w:rFonts w:asciiTheme="majorBidi" w:hAnsiTheme="majorBidi" w:cstheme="majorBidi"/>
          <w:bCs/>
          <w:i/>
          <w:iCs/>
          <w:sz w:val="24"/>
          <w:szCs w:val="24"/>
        </w:rPr>
        <w:t>niloticus</w:t>
      </w:r>
      <w:proofErr w:type="spellEnd"/>
      <w:r w:rsidRPr="0009479C">
        <w:rPr>
          <w:rFonts w:asciiTheme="majorBidi" w:hAnsiTheme="majorBidi" w:cstheme="majorBidi"/>
          <w:bCs/>
          <w:sz w:val="24"/>
          <w:szCs w:val="24"/>
        </w:rPr>
        <w:t xml:space="preserve">) Strains Cultured in Tanzania. </w:t>
      </w:r>
      <w:r w:rsidRPr="00177C8B">
        <w:rPr>
          <w:rFonts w:asciiTheme="majorBidi" w:hAnsiTheme="majorBidi" w:cstheme="majorBidi"/>
          <w:bCs/>
          <w:i/>
          <w:iCs/>
          <w:sz w:val="24"/>
          <w:szCs w:val="24"/>
        </w:rPr>
        <w:t>Front Genet.</w:t>
      </w:r>
      <w:r w:rsidRPr="0009479C">
        <w:rPr>
          <w:rFonts w:asciiTheme="majorBidi" w:hAnsiTheme="majorBidi" w:cstheme="majorBidi"/>
          <w:bCs/>
          <w:sz w:val="24"/>
          <w:szCs w:val="24"/>
        </w:rPr>
        <w:t xml:space="preserve"> 2019;10 December:1–12.</w:t>
      </w:r>
    </w:p>
    <w:p w14:paraId="626BFAED"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81. García Martínez RM, Mejía O, García-De León FJ, </w:t>
      </w:r>
      <w:proofErr w:type="spellStart"/>
      <w:r w:rsidRPr="0009479C">
        <w:rPr>
          <w:rFonts w:asciiTheme="majorBidi" w:hAnsiTheme="majorBidi" w:cstheme="majorBidi"/>
          <w:bCs/>
          <w:sz w:val="24"/>
          <w:szCs w:val="24"/>
        </w:rPr>
        <w:t>Barriga</w:t>
      </w:r>
      <w:proofErr w:type="spellEnd"/>
      <w:r w:rsidRPr="0009479C">
        <w:rPr>
          <w:rFonts w:asciiTheme="majorBidi" w:hAnsiTheme="majorBidi" w:cstheme="majorBidi"/>
          <w:bCs/>
          <w:sz w:val="24"/>
          <w:szCs w:val="24"/>
        </w:rPr>
        <w:t xml:space="preserve">-Sosa IDLA. Extreme genetic divergence in the endemic fish </w:t>
      </w:r>
      <w:r w:rsidRPr="00177C8B">
        <w:rPr>
          <w:rFonts w:asciiTheme="majorBidi" w:hAnsiTheme="majorBidi" w:cstheme="majorBidi"/>
          <w:bCs/>
          <w:i/>
          <w:iCs/>
          <w:sz w:val="24"/>
          <w:szCs w:val="24"/>
        </w:rPr>
        <w:t>Chirostoma humboldtianum</w:t>
      </w:r>
      <w:r w:rsidRPr="0009479C">
        <w:rPr>
          <w:rFonts w:asciiTheme="majorBidi" w:hAnsiTheme="majorBidi" w:cstheme="majorBidi"/>
          <w:bCs/>
          <w:sz w:val="24"/>
          <w:szCs w:val="24"/>
        </w:rPr>
        <w:t xml:space="preserve">: Implications for its conservation. </w:t>
      </w:r>
      <w:proofErr w:type="spellStart"/>
      <w:r w:rsidRPr="00177C8B">
        <w:rPr>
          <w:rFonts w:asciiTheme="majorBidi" w:hAnsiTheme="majorBidi" w:cstheme="majorBidi"/>
          <w:bCs/>
          <w:i/>
          <w:iCs/>
          <w:sz w:val="24"/>
          <w:szCs w:val="24"/>
        </w:rPr>
        <w:t>Hidrobiologica</w:t>
      </w:r>
      <w:proofErr w:type="spellEnd"/>
      <w:r w:rsidRPr="0009479C">
        <w:rPr>
          <w:rFonts w:asciiTheme="majorBidi" w:hAnsiTheme="majorBidi" w:cstheme="majorBidi"/>
          <w:bCs/>
          <w:sz w:val="24"/>
          <w:szCs w:val="24"/>
        </w:rPr>
        <w:t>. 2015;</w:t>
      </w:r>
      <w:r w:rsidRPr="00177C8B">
        <w:rPr>
          <w:rFonts w:asciiTheme="majorBidi" w:hAnsiTheme="majorBidi" w:cstheme="majorBidi"/>
          <w:b/>
          <w:sz w:val="24"/>
          <w:szCs w:val="24"/>
        </w:rPr>
        <w:t>25</w:t>
      </w:r>
      <w:r w:rsidRPr="0009479C">
        <w:rPr>
          <w:rFonts w:asciiTheme="majorBidi" w:hAnsiTheme="majorBidi" w:cstheme="majorBidi"/>
          <w:bCs/>
          <w:sz w:val="24"/>
          <w:szCs w:val="24"/>
        </w:rPr>
        <w:t>:95–106.</w:t>
      </w:r>
    </w:p>
    <w:p w14:paraId="63863C99"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82. Navarrete Salgado NA. </w:t>
      </w:r>
      <w:r w:rsidRPr="00177C8B">
        <w:rPr>
          <w:rFonts w:asciiTheme="majorBidi" w:hAnsiTheme="majorBidi" w:cstheme="majorBidi"/>
          <w:bCs/>
          <w:i/>
          <w:iCs/>
          <w:sz w:val="24"/>
          <w:szCs w:val="24"/>
        </w:rPr>
        <w:t>Chirostoma</w:t>
      </w:r>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Menidia</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Ecología</w:t>
      </w:r>
      <w:proofErr w:type="spellEnd"/>
      <w:r w:rsidRPr="0009479C">
        <w:rPr>
          <w:rFonts w:asciiTheme="majorBidi" w:hAnsiTheme="majorBidi" w:cstheme="majorBidi"/>
          <w:bCs/>
          <w:sz w:val="24"/>
          <w:szCs w:val="24"/>
        </w:rPr>
        <w:t xml:space="preserve"> Y </w:t>
      </w:r>
      <w:proofErr w:type="spellStart"/>
      <w:r w:rsidRPr="0009479C">
        <w:rPr>
          <w:rFonts w:asciiTheme="majorBidi" w:hAnsiTheme="majorBidi" w:cstheme="majorBidi"/>
          <w:bCs/>
          <w:sz w:val="24"/>
          <w:szCs w:val="24"/>
        </w:rPr>
        <w:t>Utilización</w:t>
      </w:r>
      <w:proofErr w:type="spellEnd"/>
      <w:r w:rsidRPr="0009479C">
        <w:rPr>
          <w:rFonts w:asciiTheme="majorBidi" w:hAnsiTheme="majorBidi" w:cstheme="majorBidi"/>
          <w:bCs/>
          <w:sz w:val="24"/>
          <w:szCs w:val="24"/>
        </w:rPr>
        <w:t xml:space="preserve"> Como </w:t>
      </w:r>
      <w:proofErr w:type="spellStart"/>
      <w:r w:rsidRPr="0009479C">
        <w:rPr>
          <w:rFonts w:asciiTheme="majorBidi" w:hAnsiTheme="majorBidi" w:cstheme="majorBidi"/>
          <w:bCs/>
          <w:sz w:val="24"/>
          <w:szCs w:val="24"/>
        </w:rPr>
        <w:t>Especie</w:t>
      </w:r>
      <w:proofErr w:type="spellEnd"/>
      <w:r w:rsidRPr="0009479C">
        <w:rPr>
          <w:rFonts w:asciiTheme="majorBidi" w:hAnsiTheme="majorBidi" w:cstheme="majorBidi"/>
          <w:bCs/>
          <w:sz w:val="24"/>
          <w:szCs w:val="24"/>
        </w:rPr>
        <w:t xml:space="preserve"> De </w:t>
      </w:r>
      <w:proofErr w:type="spellStart"/>
      <w:r w:rsidRPr="0009479C">
        <w:rPr>
          <w:rFonts w:asciiTheme="majorBidi" w:hAnsiTheme="majorBidi" w:cstheme="majorBidi"/>
          <w:bCs/>
          <w:sz w:val="24"/>
          <w:szCs w:val="24"/>
        </w:rPr>
        <w:t>Cultivo</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En</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Estanques</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Rústicos</w:t>
      </w:r>
      <w:proofErr w:type="spellEnd"/>
      <w:r w:rsidRPr="0009479C">
        <w:rPr>
          <w:rFonts w:asciiTheme="majorBidi" w:hAnsiTheme="majorBidi" w:cstheme="majorBidi"/>
          <w:bCs/>
          <w:sz w:val="24"/>
          <w:szCs w:val="24"/>
        </w:rPr>
        <w:t xml:space="preserve">. </w:t>
      </w:r>
      <w:r w:rsidRPr="00177C8B">
        <w:rPr>
          <w:rFonts w:asciiTheme="majorBidi" w:hAnsiTheme="majorBidi" w:cstheme="majorBidi"/>
          <w:bCs/>
          <w:i/>
          <w:iCs/>
          <w:sz w:val="24"/>
          <w:szCs w:val="24"/>
        </w:rPr>
        <w:t xml:space="preserve">BIOCYT Biol </w:t>
      </w:r>
      <w:proofErr w:type="spellStart"/>
      <w:r w:rsidRPr="00177C8B">
        <w:rPr>
          <w:rFonts w:asciiTheme="majorBidi" w:hAnsiTheme="majorBidi" w:cstheme="majorBidi"/>
          <w:bCs/>
          <w:i/>
          <w:iCs/>
          <w:sz w:val="24"/>
          <w:szCs w:val="24"/>
        </w:rPr>
        <w:t>Cienc</w:t>
      </w:r>
      <w:proofErr w:type="spellEnd"/>
      <w:r w:rsidRPr="00177C8B">
        <w:rPr>
          <w:rFonts w:asciiTheme="majorBidi" w:hAnsiTheme="majorBidi" w:cstheme="majorBidi"/>
          <w:bCs/>
          <w:i/>
          <w:iCs/>
          <w:sz w:val="24"/>
          <w:szCs w:val="24"/>
        </w:rPr>
        <w:t xml:space="preserve"> y </w:t>
      </w:r>
      <w:proofErr w:type="spellStart"/>
      <w:r w:rsidRPr="00177C8B">
        <w:rPr>
          <w:rFonts w:asciiTheme="majorBidi" w:hAnsiTheme="majorBidi" w:cstheme="majorBidi"/>
          <w:bCs/>
          <w:i/>
          <w:iCs/>
          <w:sz w:val="24"/>
          <w:szCs w:val="24"/>
        </w:rPr>
        <w:t>Tecnol</w:t>
      </w:r>
      <w:proofErr w:type="spellEnd"/>
      <w:r w:rsidRPr="0009479C">
        <w:rPr>
          <w:rFonts w:asciiTheme="majorBidi" w:hAnsiTheme="majorBidi" w:cstheme="majorBidi"/>
          <w:bCs/>
          <w:sz w:val="24"/>
          <w:szCs w:val="24"/>
        </w:rPr>
        <w:t>. 2017;</w:t>
      </w:r>
      <w:r w:rsidRPr="00177C8B">
        <w:rPr>
          <w:rFonts w:asciiTheme="majorBidi" w:hAnsiTheme="majorBidi" w:cstheme="majorBidi"/>
          <w:b/>
          <w:sz w:val="24"/>
          <w:szCs w:val="24"/>
        </w:rPr>
        <w:t>10</w:t>
      </w:r>
      <w:r w:rsidRPr="0009479C">
        <w:rPr>
          <w:rFonts w:asciiTheme="majorBidi" w:hAnsiTheme="majorBidi" w:cstheme="majorBidi"/>
          <w:bCs/>
          <w:sz w:val="24"/>
          <w:szCs w:val="24"/>
        </w:rPr>
        <w:t>:736–48.</w:t>
      </w:r>
    </w:p>
    <w:p w14:paraId="2FCFA601"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83. </w:t>
      </w:r>
      <w:proofErr w:type="spellStart"/>
      <w:r w:rsidRPr="0009479C">
        <w:rPr>
          <w:rFonts w:asciiTheme="majorBidi" w:hAnsiTheme="majorBidi" w:cstheme="majorBidi"/>
          <w:bCs/>
          <w:sz w:val="24"/>
          <w:szCs w:val="24"/>
        </w:rPr>
        <w:t>Waples</w:t>
      </w:r>
      <w:proofErr w:type="spellEnd"/>
      <w:r w:rsidRPr="0009479C">
        <w:rPr>
          <w:rFonts w:asciiTheme="majorBidi" w:hAnsiTheme="majorBidi" w:cstheme="majorBidi"/>
          <w:bCs/>
          <w:sz w:val="24"/>
          <w:szCs w:val="24"/>
        </w:rPr>
        <w:t xml:space="preserve"> RS, Do C. Linkage disequilibrium estimates of contemporary </w:t>
      </w:r>
      <w:r w:rsidRPr="00177C8B">
        <w:rPr>
          <w:rFonts w:asciiTheme="majorBidi" w:hAnsiTheme="majorBidi" w:cstheme="majorBidi"/>
          <w:bCs/>
          <w:i/>
          <w:iCs/>
          <w:sz w:val="24"/>
          <w:szCs w:val="24"/>
        </w:rPr>
        <w:t>Ne</w:t>
      </w:r>
      <w:r w:rsidRPr="0009479C">
        <w:rPr>
          <w:rFonts w:asciiTheme="majorBidi" w:hAnsiTheme="majorBidi" w:cstheme="majorBidi"/>
          <w:bCs/>
          <w:sz w:val="24"/>
          <w:szCs w:val="24"/>
        </w:rPr>
        <w:t xml:space="preserve"> using highly variable genetic markers: A largely untapped resource for applied conservation and evolution. </w:t>
      </w:r>
      <w:r w:rsidRPr="00177C8B">
        <w:rPr>
          <w:rFonts w:asciiTheme="majorBidi" w:hAnsiTheme="majorBidi" w:cstheme="majorBidi"/>
          <w:bCs/>
          <w:i/>
          <w:iCs/>
          <w:sz w:val="24"/>
          <w:szCs w:val="24"/>
        </w:rPr>
        <w:t xml:space="preserve">Evol Appl. </w:t>
      </w:r>
      <w:r w:rsidRPr="0009479C">
        <w:rPr>
          <w:rFonts w:asciiTheme="majorBidi" w:hAnsiTheme="majorBidi" w:cstheme="majorBidi"/>
          <w:bCs/>
          <w:sz w:val="24"/>
          <w:szCs w:val="24"/>
        </w:rPr>
        <w:t>2010;</w:t>
      </w:r>
      <w:r w:rsidRPr="00177C8B">
        <w:rPr>
          <w:rFonts w:asciiTheme="majorBidi" w:hAnsiTheme="majorBidi" w:cstheme="majorBidi"/>
          <w:b/>
          <w:sz w:val="24"/>
          <w:szCs w:val="24"/>
        </w:rPr>
        <w:t>3</w:t>
      </w:r>
      <w:r w:rsidRPr="0009479C">
        <w:rPr>
          <w:rFonts w:asciiTheme="majorBidi" w:hAnsiTheme="majorBidi" w:cstheme="majorBidi"/>
          <w:bCs/>
          <w:sz w:val="24"/>
          <w:szCs w:val="24"/>
        </w:rPr>
        <w:t>:244–62.</w:t>
      </w:r>
    </w:p>
    <w:p w14:paraId="4C2047D5"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84. England PR, </w:t>
      </w:r>
      <w:proofErr w:type="spellStart"/>
      <w:r w:rsidRPr="0009479C">
        <w:rPr>
          <w:rFonts w:asciiTheme="majorBidi" w:hAnsiTheme="majorBidi" w:cstheme="majorBidi"/>
          <w:bCs/>
          <w:sz w:val="24"/>
          <w:szCs w:val="24"/>
        </w:rPr>
        <w:t>Cornuet</w:t>
      </w:r>
      <w:proofErr w:type="spellEnd"/>
      <w:r w:rsidRPr="0009479C">
        <w:rPr>
          <w:rFonts w:asciiTheme="majorBidi" w:hAnsiTheme="majorBidi" w:cstheme="majorBidi"/>
          <w:bCs/>
          <w:sz w:val="24"/>
          <w:szCs w:val="24"/>
        </w:rPr>
        <w:t xml:space="preserve"> JM, Berthier P, </w:t>
      </w:r>
      <w:proofErr w:type="spellStart"/>
      <w:r w:rsidRPr="0009479C">
        <w:rPr>
          <w:rFonts w:asciiTheme="majorBidi" w:hAnsiTheme="majorBidi" w:cstheme="majorBidi"/>
          <w:bCs/>
          <w:sz w:val="24"/>
          <w:szCs w:val="24"/>
        </w:rPr>
        <w:t>Tallmon</w:t>
      </w:r>
      <w:proofErr w:type="spellEnd"/>
      <w:r w:rsidRPr="0009479C">
        <w:rPr>
          <w:rFonts w:asciiTheme="majorBidi" w:hAnsiTheme="majorBidi" w:cstheme="majorBidi"/>
          <w:bCs/>
          <w:sz w:val="24"/>
          <w:szCs w:val="24"/>
        </w:rPr>
        <w:t xml:space="preserve"> DA, </w:t>
      </w:r>
      <w:proofErr w:type="spellStart"/>
      <w:r w:rsidRPr="0009479C">
        <w:rPr>
          <w:rFonts w:asciiTheme="majorBidi" w:hAnsiTheme="majorBidi" w:cstheme="majorBidi"/>
          <w:bCs/>
          <w:sz w:val="24"/>
          <w:szCs w:val="24"/>
        </w:rPr>
        <w:t>Luikart</w:t>
      </w:r>
      <w:proofErr w:type="spellEnd"/>
      <w:r w:rsidRPr="0009479C">
        <w:rPr>
          <w:rFonts w:asciiTheme="majorBidi" w:hAnsiTheme="majorBidi" w:cstheme="majorBidi"/>
          <w:bCs/>
          <w:sz w:val="24"/>
          <w:szCs w:val="24"/>
        </w:rPr>
        <w:t xml:space="preserve"> G. Estimating effective population size from linkage disequilibrium: Severe bias in small samples. </w:t>
      </w:r>
      <w:proofErr w:type="spellStart"/>
      <w:r w:rsidRPr="00177C8B">
        <w:rPr>
          <w:rFonts w:asciiTheme="majorBidi" w:hAnsiTheme="majorBidi" w:cstheme="majorBidi"/>
          <w:bCs/>
          <w:i/>
          <w:iCs/>
          <w:sz w:val="24"/>
          <w:szCs w:val="24"/>
        </w:rPr>
        <w:t>Conserv</w:t>
      </w:r>
      <w:proofErr w:type="spellEnd"/>
      <w:r w:rsidRPr="00177C8B">
        <w:rPr>
          <w:rFonts w:asciiTheme="majorBidi" w:hAnsiTheme="majorBidi" w:cstheme="majorBidi"/>
          <w:bCs/>
          <w:i/>
          <w:iCs/>
          <w:sz w:val="24"/>
          <w:szCs w:val="24"/>
        </w:rPr>
        <w:t xml:space="preserve"> Genet.</w:t>
      </w:r>
      <w:r w:rsidRPr="0009479C">
        <w:rPr>
          <w:rFonts w:asciiTheme="majorBidi" w:hAnsiTheme="majorBidi" w:cstheme="majorBidi"/>
          <w:bCs/>
          <w:sz w:val="24"/>
          <w:szCs w:val="24"/>
        </w:rPr>
        <w:t xml:space="preserve"> 2006;</w:t>
      </w:r>
      <w:r w:rsidRPr="00177C8B">
        <w:rPr>
          <w:rFonts w:asciiTheme="majorBidi" w:hAnsiTheme="majorBidi" w:cstheme="majorBidi"/>
          <w:b/>
          <w:sz w:val="24"/>
          <w:szCs w:val="24"/>
        </w:rPr>
        <w:t>7</w:t>
      </w:r>
      <w:r w:rsidRPr="0009479C">
        <w:rPr>
          <w:rFonts w:asciiTheme="majorBidi" w:hAnsiTheme="majorBidi" w:cstheme="majorBidi"/>
          <w:bCs/>
          <w:sz w:val="24"/>
          <w:szCs w:val="24"/>
        </w:rPr>
        <w:t>:303–8.</w:t>
      </w:r>
    </w:p>
    <w:p w14:paraId="0D709D8F"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85. </w:t>
      </w:r>
      <w:proofErr w:type="spellStart"/>
      <w:r w:rsidRPr="0009479C">
        <w:rPr>
          <w:rFonts w:asciiTheme="majorBidi" w:hAnsiTheme="majorBidi" w:cstheme="majorBidi"/>
          <w:bCs/>
          <w:sz w:val="24"/>
          <w:szCs w:val="24"/>
        </w:rPr>
        <w:t>Sowersby</w:t>
      </w:r>
      <w:proofErr w:type="spellEnd"/>
      <w:r w:rsidRPr="0009479C">
        <w:rPr>
          <w:rFonts w:asciiTheme="majorBidi" w:hAnsiTheme="majorBidi" w:cstheme="majorBidi"/>
          <w:bCs/>
          <w:sz w:val="24"/>
          <w:szCs w:val="24"/>
        </w:rPr>
        <w:t xml:space="preserve"> W, </w:t>
      </w:r>
      <w:proofErr w:type="spellStart"/>
      <w:r w:rsidRPr="0009479C">
        <w:rPr>
          <w:rFonts w:asciiTheme="majorBidi" w:hAnsiTheme="majorBidi" w:cstheme="majorBidi"/>
          <w:bCs/>
          <w:sz w:val="24"/>
          <w:szCs w:val="24"/>
        </w:rPr>
        <w:t>Cerca</w:t>
      </w:r>
      <w:proofErr w:type="spellEnd"/>
      <w:r w:rsidRPr="0009479C">
        <w:rPr>
          <w:rFonts w:asciiTheme="majorBidi" w:hAnsiTheme="majorBidi" w:cstheme="majorBidi"/>
          <w:bCs/>
          <w:sz w:val="24"/>
          <w:szCs w:val="24"/>
        </w:rPr>
        <w:t xml:space="preserve"> J, Wong BBM, Lehtonen TK, Chapple DG, Leal-</w:t>
      </w:r>
      <w:proofErr w:type="spellStart"/>
      <w:r w:rsidRPr="0009479C">
        <w:rPr>
          <w:rFonts w:asciiTheme="majorBidi" w:hAnsiTheme="majorBidi" w:cstheme="majorBidi"/>
          <w:bCs/>
          <w:sz w:val="24"/>
          <w:szCs w:val="24"/>
        </w:rPr>
        <w:t>Cardín</w:t>
      </w:r>
      <w:proofErr w:type="spellEnd"/>
      <w:r w:rsidRPr="0009479C">
        <w:rPr>
          <w:rFonts w:asciiTheme="majorBidi" w:hAnsiTheme="majorBidi" w:cstheme="majorBidi"/>
          <w:bCs/>
          <w:sz w:val="24"/>
          <w:szCs w:val="24"/>
        </w:rPr>
        <w:t xml:space="preserve"> M, </w:t>
      </w:r>
      <w:r w:rsidRPr="00564CC8">
        <w:rPr>
          <w:rFonts w:asciiTheme="majorBidi" w:hAnsiTheme="majorBidi" w:cstheme="majorBidi"/>
          <w:bCs/>
          <w:i/>
          <w:iCs/>
          <w:sz w:val="24"/>
          <w:szCs w:val="24"/>
        </w:rPr>
        <w:t>et al</w:t>
      </w:r>
      <w:r w:rsidRPr="0009479C">
        <w:rPr>
          <w:rFonts w:asciiTheme="majorBidi" w:hAnsiTheme="majorBidi" w:cstheme="majorBidi"/>
          <w:bCs/>
          <w:sz w:val="24"/>
          <w:szCs w:val="24"/>
        </w:rPr>
        <w:t xml:space="preserve">. Pervasive admixture and the spread of a large-lipped form in a cichlid fish radiation. </w:t>
      </w:r>
      <w:r w:rsidRPr="00564CC8">
        <w:rPr>
          <w:rFonts w:asciiTheme="majorBidi" w:hAnsiTheme="majorBidi" w:cstheme="majorBidi"/>
          <w:bCs/>
          <w:i/>
          <w:iCs/>
          <w:sz w:val="24"/>
          <w:szCs w:val="24"/>
        </w:rPr>
        <w:t>Mol Ecol.</w:t>
      </w:r>
      <w:r w:rsidRPr="0009479C">
        <w:rPr>
          <w:rFonts w:asciiTheme="majorBidi" w:hAnsiTheme="majorBidi" w:cstheme="majorBidi"/>
          <w:bCs/>
          <w:sz w:val="24"/>
          <w:szCs w:val="24"/>
        </w:rPr>
        <w:t xml:space="preserve"> 2021;</w:t>
      </w:r>
      <w:r w:rsidRPr="00564CC8">
        <w:rPr>
          <w:rFonts w:asciiTheme="majorBidi" w:hAnsiTheme="majorBidi" w:cstheme="majorBidi"/>
          <w:b/>
          <w:sz w:val="24"/>
          <w:szCs w:val="24"/>
        </w:rPr>
        <w:t>30</w:t>
      </w:r>
      <w:r w:rsidRPr="0009479C">
        <w:rPr>
          <w:rFonts w:asciiTheme="majorBidi" w:hAnsiTheme="majorBidi" w:cstheme="majorBidi"/>
          <w:bCs/>
          <w:sz w:val="24"/>
          <w:szCs w:val="24"/>
        </w:rPr>
        <w:t>:5551–71.</w:t>
      </w:r>
    </w:p>
    <w:p w14:paraId="34592EFF"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86. </w:t>
      </w:r>
      <w:proofErr w:type="spellStart"/>
      <w:r w:rsidRPr="0009479C">
        <w:rPr>
          <w:rFonts w:asciiTheme="majorBidi" w:hAnsiTheme="majorBidi" w:cstheme="majorBidi"/>
          <w:bCs/>
          <w:sz w:val="24"/>
          <w:szCs w:val="24"/>
        </w:rPr>
        <w:t>Setzke</w:t>
      </w:r>
      <w:proofErr w:type="spellEnd"/>
      <w:r w:rsidRPr="0009479C">
        <w:rPr>
          <w:rFonts w:asciiTheme="majorBidi" w:hAnsiTheme="majorBidi" w:cstheme="majorBidi"/>
          <w:bCs/>
          <w:sz w:val="24"/>
          <w:szCs w:val="24"/>
        </w:rPr>
        <w:t xml:space="preserve"> C, Wong C, </w:t>
      </w:r>
      <w:proofErr w:type="spellStart"/>
      <w:r w:rsidRPr="0009479C">
        <w:rPr>
          <w:rFonts w:asciiTheme="majorBidi" w:hAnsiTheme="majorBidi" w:cstheme="majorBidi"/>
          <w:bCs/>
          <w:sz w:val="24"/>
          <w:szCs w:val="24"/>
        </w:rPr>
        <w:t>Russello</w:t>
      </w:r>
      <w:proofErr w:type="spellEnd"/>
      <w:r w:rsidRPr="0009479C">
        <w:rPr>
          <w:rFonts w:asciiTheme="majorBidi" w:hAnsiTheme="majorBidi" w:cstheme="majorBidi"/>
          <w:bCs/>
          <w:sz w:val="24"/>
          <w:szCs w:val="24"/>
        </w:rPr>
        <w:t xml:space="preserve"> MA. Genotyping-in-Thousands by sequencing of archival fish scales reveals maintenance of genetic variation following a severe demographic contraction in kokanee salmon. </w:t>
      </w:r>
      <w:r w:rsidRPr="00564CC8">
        <w:rPr>
          <w:rFonts w:asciiTheme="majorBidi" w:hAnsiTheme="majorBidi" w:cstheme="majorBidi"/>
          <w:bCs/>
          <w:i/>
          <w:iCs/>
          <w:sz w:val="24"/>
          <w:szCs w:val="24"/>
        </w:rPr>
        <w:t>Sci Rep.</w:t>
      </w:r>
      <w:r w:rsidRPr="0009479C">
        <w:rPr>
          <w:rFonts w:asciiTheme="majorBidi" w:hAnsiTheme="majorBidi" w:cstheme="majorBidi"/>
          <w:bCs/>
          <w:sz w:val="24"/>
          <w:szCs w:val="24"/>
        </w:rPr>
        <w:t xml:space="preserve"> 2021;</w:t>
      </w:r>
      <w:r w:rsidRPr="00564CC8">
        <w:rPr>
          <w:rFonts w:asciiTheme="majorBidi" w:hAnsiTheme="majorBidi" w:cstheme="majorBidi"/>
          <w:b/>
          <w:sz w:val="24"/>
          <w:szCs w:val="24"/>
        </w:rPr>
        <w:t>11</w:t>
      </w:r>
      <w:r w:rsidRPr="0009479C">
        <w:rPr>
          <w:rFonts w:asciiTheme="majorBidi" w:hAnsiTheme="majorBidi" w:cstheme="majorBidi"/>
          <w:bCs/>
          <w:sz w:val="24"/>
          <w:szCs w:val="24"/>
        </w:rPr>
        <w:t>:1–10. doi:10.1038/s41598-021-01958-0.</w:t>
      </w:r>
    </w:p>
    <w:p w14:paraId="5C6CC161" w14:textId="77777777" w:rsidR="0009479C" w:rsidRPr="0009479C" w:rsidRDefault="0009479C" w:rsidP="00177C8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87. </w:t>
      </w:r>
      <w:proofErr w:type="spellStart"/>
      <w:r w:rsidRPr="0009479C">
        <w:rPr>
          <w:rFonts w:asciiTheme="majorBidi" w:hAnsiTheme="majorBidi" w:cstheme="majorBidi"/>
          <w:bCs/>
          <w:sz w:val="24"/>
          <w:szCs w:val="24"/>
        </w:rPr>
        <w:t>Alaye-Rahy</w:t>
      </w:r>
      <w:proofErr w:type="spellEnd"/>
      <w:r w:rsidRPr="0009479C">
        <w:rPr>
          <w:rFonts w:asciiTheme="majorBidi" w:hAnsiTheme="majorBidi" w:cstheme="majorBidi"/>
          <w:bCs/>
          <w:sz w:val="24"/>
          <w:szCs w:val="24"/>
        </w:rPr>
        <w:t xml:space="preserve"> N. </w:t>
      </w:r>
      <w:proofErr w:type="spellStart"/>
      <w:r w:rsidRPr="0009479C">
        <w:rPr>
          <w:rFonts w:asciiTheme="majorBidi" w:hAnsiTheme="majorBidi" w:cstheme="majorBidi"/>
          <w:bCs/>
          <w:sz w:val="24"/>
          <w:szCs w:val="24"/>
        </w:rPr>
        <w:t>Híbridos</w:t>
      </w:r>
      <w:proofErr w:type="spellEnd"/>
      <w:r w:rsidRPr="0009479C">
        <w:rPr>
          <w:rFonts w:asciiTheme="majorBidi" w:hAnsiTheme="majorBidi" w:cstheme="majorBidi"/>
          <w:bCs/>
          <w:sz w:val="24"/>
          <w:szCs w:val="24"/>
        </w:rPr>
        <w:t xml:space="preserve"> entre </w:t>
      </w:r>
      <w:proofErr w:type="spellStart"/>
      <w:r w:rsidRPr="0009479C">
        <w:rPr>
          <w:rFonts w:asciiTheme="majorBidi" w:hAnsiTheme="majorBidi" w:cstheme="majorBidi"/>
          <w:bCs/>
          <w:sz w:val="24"/>
          <w:szCs w:val="24"/>
        </w:rPr>
        <w:t>especies</w:t>
      </w:r>
      <w:proofErr w:type="spellEnd"/>
      <w:r w:rsidRPr="0009479C">
        <w:rPr>
          <w:rFonts w:asciiTheme="majorBidi" w:hAnsiTheme="majorBidi" w:cstheme="majorBidi"/>
          <w:bCs/>
          <w:sz w:val="24"/>
          <w:szCs w:val="24"/>
        </w:rPr>
        <w:t xml:space="preserve"> del </w:t>
      </w:r>
      <w:proofErr w:type="spellStart"/>
      <w:r w:rsidRPr="0009479C">
        <w:rPr>
          <w:rFonts w:asciiTheme="majorBidi" w:hAnsiTheme="majorBidi" w:cstheme="majorBidi"/>
          <w:bCs/>
          <w:sz w:val="24"/>
          <w:szCs w:val="24"/>
        </w:rPr>
        <w:t>género</w:t>
      </w:r>
      <w:proofErr w:type="spellEnd"/>
      <w:r w:rsidRPr="0009479C">
        <w:rPr>
          <w:rFonts w:asciiTheme="majorBidi" w:hAnsiTheme="majorBidi" w:cstheme="majorBidi"/>
          <w:bCs/>
          <w:sz w:val="24"/>
          <w:szCs w:val="24"/>
        </w:rPr>
        <w:t xml:space="preserve"> </w:t>
      </w:r>
      <w:r w:rsidRPr="00564CC8">
        <w:rPr>
          <w:rFonts w:asciiTheme="majorBidi" w:hAnsiTheme="majorBidi" w:cstheme="majorBidi"/>
          <w:bCs/>
          <w:i/>
          <w:iCs/>
          <w:sz w:val="24"/>
          <w:szCs w:val="24"/>
        </w:rPr>
        <w:t>Chirostoma</w:t>
      </w:r>
      <w:r w:rsidRPr="0009479C">
        <w:rPr>
          <w:rFonts w:asciiTheme="majorBidi" w:hAnsiTheme="majorBidi" w:cstheme="majorBidi"/>
          <w:bCs/>
          <w:sz w:val="24"/>
          <w:szCs w:val="24"/>
        </w:rPr>
        <w:t xml:space="preserve"> del Lago de Pátzcuaro, Michoacán, México. </w:t>
      </w:r>
      <w:proofErr w:type="spellStart"/>
      <w:r w:rsidRPr="00564CC8">
        <w:rPr>
          <w:rFonts w:asciiTheme="majorBidi" w:hAnsiTheme="majorBidi" w:cstheme="majorBidi"/>
          <w:bCs/>
          <w:i/>
          <w:iCs/>
          <w:sz w:val="24"/>
          <w:szCs w:val="24"/>
        </w:rPr>
        <w:t>Cienc</w:t>
      </w:r>
      <w:proofErr w:type="spellEnd"/>
      <w:r w:rsidRPr="00564CC8">
        <w:rPr>
          <w:rFonts w:asciiTheme="majorBidi" w:hAnsiTheme="majorBidi" w:cstheme="majorBidi"/>
          <w:bCs/>
          <w:i/>
          <w:iCs/>
          <w:sz w:val="24"/>
          <w:szCs w:val="24"/>
        </w:rPr>
        <w:t xml:space="preserve"> </w:t>
      </w:r>
      <w:proofErr w:type="spellStart"/>
      <w:r w:rsidRPr="00564CC8">
        <w:rPr>
          <w:rFonts w:asciiTheme="majorBidi" w:hAnsiTheme="majorBidi" w:cstheme="majorBidi"/>
          <w:bCs/>
          <w:i/>
          <w:iCs/>
          <w:sz w:val="24"/>
          <w:szCs w:val="24"/>
        </w:rPr>
        <w:t>Pesq</w:t>
      </w:r>
      <w:proofErr w:type="spellEnd"/>
      <w:r w:rsidRPr="00564CC8">
        <w:rPr>
          <w:rFonts w:asciiTheme="majorBidi" w:hAnsiTheme="majorBidi" w:cstheme="majorBidi"/>
          <w:bCs/>
          <w:i/>
          <w:iCs/>
          <w:sz w:val="24"/>
          <w:szCs w:val="24"/>
        </w:rPr>
        <w:t>.</w:t>
      </w:r>
      <w:r w:rsidRPr="0009479C">
        <w:rPr>
          <w:rFonts w:asciiTheme="majorBidi" w:hAnsiTheme="majorBidi" w:cstheme="majorBidi"/>
          <w:bCs/>
          <w:sz w:val="24"/>
          <w:szCs w:val="24"/>
        </w:rPr>
        <w:t xml:space="preserve"> 1996;</w:t>
      </w:r>
      <w:r w:rsidRPr="00564CC8">
        <w:rPr>
          <w:rFonts w:asciiTheme="majorBidi" w:hAnsiTheme="majorBidi" w:cstheme="majorBidi"/>
          <w:b/>
          <w:sz w:val="24"/>
          <w:szCs w:val="24"/>
        </w:rPr>
        <w:t>13</w:t>
      </w:r>
      <w:r w:rsidRPr="0009479C">
        <w:rPr>
          <w:rFonts w:asciiTheme="majorBidi" w:hAnsiTheme="majorBidi" w:cstheme="majorBidi"/>
          <w:bCs/>
          <w:sz w:val="24"/>
          <w:szCs w:val="24"/>
        </w:rPr>
        <w:t>:10–7.</w:t>
      </w:r>
    </w:p>
    <w:p w14:paraId="534390C9" w14:textId="77777777" w:rsidR="0009479C" w:rsidRPr="0009479C" w:rsidRDefault="0009479C" w:rsidP="00BE305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lastRenderedPageBreak/>
        <w:t xml:space="preserve">88. Medina-Nava M. </w:t>
      </w:r>
      <w:proofErr w:type="spellStart"/>
      <w:r w:rsidRPr="0009479C">
        <w:rPr>
          <w:rFonts w:asciiTheme="majorBidi" w:hAnsiTheme="majorBidi" w:cstheme="majorBidi"/>
          <w:bCs/>
          <w:sz w:val="24"/>
          <w:szCs w:val="24"/>
        </w:rPr>
        <w:t>Ictiofauna</w:t>
      </w:r>
      <w:proofErr w:type="spellEnd"/>
      <w:r w:rsidRPr="0009479C">
        <w:rPr>
          <w:rFonts w:asciiTheme="majorBidi" w:hAnsiTheme="majorBidi" w:cstheme="majorBidi"/>
          <w:bCs/>
          <w:sz w:val="24"/>
          <w:szCs w:val="24"/>
        </w:rPr>
        <w:t xml:space="preserve"> de la </w:t>
      </w:r>
      <w:proofErr w:type="spellStart"/>
      <w:r w:rsidRPr="0009479C">
        <w:rPr>
          <w:rFonts w:asciiTheme="majorBidi" w:hAnsiTheme="majorBidi" w:cstheme="majorBidi"/>
          <w:bCs/>
          <w:sz w:val="24"/>
          <w:szCs w:val="24"/>
        </w:rPr>
        <w:t>subcuenca</w:t>
      </w:r>
      <w:proofErr w:type="spellEnd"/>
      <w:r w:rsidRPr="0009479C">
        <w:rPr>
          <w:rFonts w:asciiTheme="majorBidi" w:hAnsiTheme="majorBidi" w:cstheme="majorBidi"/>
          <w:bCs/>
          <w:sz w:val="24"/>
          <w:szCs w:val="24"/>
        </w:rPr>
        <w:t xml:space="preserve"> del Río Angulo </w:t>
      </w:r>
      <w:proofErr w:type="spellStart"/>
      <w:r w:rsidRPr="0009479C">
        <w:rPr>
          <w:rFonts w:asciiTheme="majorBidi" w:hAnsiTheme="majorBidi" w:cstheme="majorBidi"/>
          <w:bCs/>
          <w:sz w:val="24"/>
          <w:szCs w:val="24"/>
        </w:rPr>
        <w:t>cuenca</w:t>
      </w:r>
      <w:proofErr w:type="spellEnd"/>
      <w:r w:rsidRPr="0009479C">
        <w:rPr>
          <w:rFonts w:asciiTheme="majorBidi" w:hAnsiTheme="majorBidi" w:cstheme="majorBidi"/>
          <w:bCs/>
          <w:sz w:val="24"/>
          <w:szCs w:val="24"/>
        </w:rPr>
        <w:t xml:space="preserve"> del Lerma-Chapala, Michoacán. </w:t>
      </w:r>
      <w:proofErr w:type="spellStart"/>
      <w:r w:rsidRPr="00BE305C">
        <w:rPr>
          <w:rFonts w:asciiTheme="majorBidi" w:hAnsiTheme="majorBidi" w:cstheme="majorBidi"/>
          <w:bCs/>
          <w:i/>
          <w:iCs/>
          <w:sz w:val="24"/>
          <w:szCs w:val="24"/>
        </w:rPr>
        <w:t>Zool</w:t>
      </w:r>
      <w:proofErr w:type="spellEnd"/>
      <w:r w:rsidRPr="00BE305C">
        <w:rPr>
          <w:rFonts w:asciiTheme="majorBidi" w:hAnsiTheme="majorBidi" w:cstheme="majorBidi"/>
          <w:bCs/>
          <w:i/>
          <w:iCs/>
          <w:sz w:val="24"/>
          <w:szCs w:val="24"/>
        </w:rPr>
        <w:t xml:space="preserve"> Inf.</w:t>
      </w:r>
      <w:r w:rsidRPr="0009479C">
        <w:rPr>
          <w:rFonts w:asciiTheme="majorBidi" w:hAnsiTheme="majorBidi" w:cstheme="majorBidi"/>
          <w:bCs/>
          <w:sz w:val="24"/>
          <w:szCs w:val="24"/>
        </w:rPr>
        <w:t xml:space="preserve"> 1997;</w:t>
      </w:r>
      <w:r w:rsidRPr="00BE305C">
        <w:rPr>
          <w:rFonts w:asciiTheme="majorBidi" w:hAnsiTheme="majorBidi" w:cstheme="majorBidi"/>
          <w:b/>
          <w:sz w:val="24"/>
          <w:szCs w:val="24"/>
        </w:rPr>
        <w:t>35</w:t>
      </w:r>
      <w:r w:rsidRPr="0009479C">
        <w:rPr>
          <w:rFonts w:asciiTheme="majorBidi" w:hAnsiTheme="majorBidi" w:cstheme="majorBidi"/>
          <w:bCs/>
          <w:sz w:val="24"/>
          <w:szCs w:val="24"/>
        </w:rPr>
        <w:t>:25–52.</w:t>
      </w:r>
    </w:p>
    <w:p w14:paraId="62165419" w14:textId="77777777" w:rsidR="0009479C" w:rsidRPr="0009479C" w:rsidRDefault="0009479C" w:rsidP="00BE305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89. Rojas-Carrillo PM, Fuentes-Castellanos D. Historia y </w:t>
      </w:r>
      <w:proofErr w:type="spellStart"/>
      <w:r w:rsidRPr="0009479C">
        <w:rPr>
          <w:rFonts w:asciiTheme="majorBidi" w:hAnsiTheme="majorBidi" w:cstheme="majorBidi"/>
          <w:bCs/>
          <w:sz w:val="24"/>
          <w:szCs w:val="24"/>
        </w:rPr>
        <w:t>avances</w:t>
      </w:r>
      <w:proofErr w:type="spellEnd"/>
      <w:r w:rsidRPr="0009479C">
        <w:rPr>
          <w:rFonts w:asciiTheme="majorBidi" w:hAnsiTheme="majorBidi" w:cstheme="majorBidi"/>
          <w:bCs/>
          <w:sz w:val="24"/>
          <w:szCs w:val="24"/>
        </w:rPr>
        <w:t xml:space="preserve"> del </w:t>
      </w:r>
      <w:proofErr w:type="spellStart"/>
      <w:r w:rsidRPr="0009479C">
        <w:rPr>
          <w:rFonts w:asciiTheme="majorBidi" w:hAnsiTheme="majorBidi" w:cstheme="majorBidi"/>
          <w:bCs/>
          <w:sz w:val="24"/>
          <w:szCs w:val="24"/>
        </w:rPr>
        <w:t>cultivo</w:t>
      </w:r>
      <w:proofErr w:type="spellEnd"/>
      <w:r w:rsidRPr="0009479C">
        <w:rPr>
          <w:rFonts w:asciiTheme="majorBidi" w:hAnsiTheme="majorBidi" w:cstheme="majorBidi"/>
          <w:bCs/>
          <w:sz w:val="24"/>
          <w:szCs w:val="24"/>
        </w:rPr>
        <w:t xml:space="preserve"> del </w:t>
      </w:r>
      <w:proofErr w:type="spellStart"/>
      <w:r w:rsidRPr="0009479C">
        <w:rPr>
          <w:rFonts w:asciiTheme="majorBidi" w:hAnsiTheme="majorBidi" w:cstheme="majorBidi"/>
          <w:bCs/>
          <w:sz w:val="24"/>
          <w:szCs w:val="24"/>
        </w:rPr>
        <w:t>pescado</w:t>
      </w:r>
      <w:proofErr w:type="spellEnd"/>
      <w:r w:rsidRPr="0009479C">
        <w:rPr>
          <w:rFonts w:asciiTheme="majorBidi" w:hAnsiTheme="majorBidi" w:cstheme="majorBidi"/>
          <w:bCs/>
          <w:sz w:val="24"/>
          <w:szCs w:val="24"/>
        </w:rPr>
        <w:t xml:space="preserve"> blanco. Instituto Nacional de </w:t>
      </w:r>
      <w:proofErr w:type="spellStart"/>
      <w:r w:rsidRPr="0009479C">
        <w:rPr>
          <w:rFonts w:asciiTheme="majorBidi" w:hAnsiTheme="majorBidi" w:cstheme="majorBidi"/>
          <w:bCs/>
          <w:sz w:val="24"/>
          <w:szCs w:val="24"/>
        </w:rPr>
        <w:t>Pesca</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Dirección</w:t>
      </w:r>
      <w:proofErr w:type="spellEnd"/>
      <w:r w:rsidRPr="0009479C">
        <w:rPr>
          <w:rFonts w:asciiTheme="majorBidi" w:hAnsiTheme="majorBidi" w:cstheme="majorBidi"/>
          <w:bCs/>
          <w:sz w:val="24"/>
          <w:szCs w:val="24"/>
        </w:rPr>
        <w:t xml:space="preserve"> General de </w:t>
      </w:r>
      <w:proofErr w:type="spellStart"/>
      <w:r w:rsidRPr="0009479C">
        <w:rPr>
          <w:rFonts w:asciiTheme="majorBidi" w:hAnsiTheme="majorBidi" w:cstheme="majorBidi"/>
          <w:bCs/>
          <w:sz w:val="24"/>
          <w:szCs w:val="24"/>
        </w:rPr>
        <w:t>Investigación</w:t>
      </w:r>
      <w:proofErr w:type="spellEnd"/>
      <w:r w:rsidRPr="0009479C">
        <w:rPr>
          <w:rFonts w:asciiTheme="majorBidi" w:hAnsiTheme="majorBidi" w:cstheme="majorBidi"/>
          <w:bCs/>
          <w:sz w:val="24"/>
          <w:szCs w:val="24"/>
        </w:rPr>
        <w:t xml:space="preserve"> y </w:t>
      </w:r>
      <w:proofErr w:type="spellStart"/>
      <w:r w:rsidRPr="0009479C">
        <w:rPr>
          <w:rFonts w:asciiTheme="majorBidi" w:hAnsiTheme="majorBidi" w:cstheme="majorBidi"/>
          <w:bCs/>
          <w:sz w:val="24"/>
          <w:szCs w:val="24"/>
        </w:rPr>
        <w:t>Acuacultura</w:t>
      </w:r>
      <w:proofErr w:type="spellEnd"/>
      <w:r w:rsidRPr="0009479C">
        <w:rPr>
          <w:rFonts w:asciiTheme="majorBidi" w:hAnsiTheme="majorBidi" w:cstheme="majorBidi"/>
          <w:bCs/>
          <w:sz w:val="24"/>
          <w:szCs w:val="24"/>
        </w:rPr>
        <w:t>; 2003.</w:t>
      </w:r>
    </w:p>
    <w:p w14:paraId="0DA51E33" w14:textId="77777777" w:rsidR="0009479C" w:rsidRPr="0009479C" w:rsidRDefault="0009479C" w:rsidP="00BE305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90. Reed DH, Frankham R. Correlation between fitness and genetic diversity. </w:t>
      </w:r>
      <w:proofErr w:type="spellStart"/>
      <w:r w:rsidRPr="00BE305C">
        <w:rPr>
          <w:rFonts w:asciiTheme="majorBidi" w:hAnsiTheme="majorBidi" w:cstheme="majorBidi"/>
          <w:bCs/>
          <w:i/>
          <w:iCs/>
          <w:sz w:val="24"/>
          <w:szCs w:val="24"/>
        </w:rPr>
        <w:t>Conserv</w:t>
      </w:r>
      <w:proofErr w:type="spellEnd"/>
      <w:r w:rsidRPr="00BE305C">
        <w:rPr>
          <w:rFonts w:asciiTheme="majorBidi" w:hAnsiTheme="majorBidi" w:cstheme="majorBidi"/>
          <w:bCs/>
          <w:i/>
          <w:iCs/>
          <w:sz w:val="24"/>
          <w:szCs w:val="24"/>
        </w:rPr>
        <w:t xml:space="preserve"> Biol</w:t>
      </w:r>
      <w:r w:rsidRPr="0009479C">
        <w:rPr>
          <w:rFonts w:asciiTheme="majorBidi" w:hAnsiTheme="majorBidi" w:cstheme="majorBidi"/>
          <w:bCs/>
          <w:sz w:val="24"/>
          <w:szCs w:val="24"/>
        </w:rPr>
        <w:t>. 2003;</w:t>
      </w:r>
      <w:r w:rsidRPr="00BE305C">
        <w:rPr>
          <w:rFonts w:asciiTheme="majorBidi" w:hAnsiTheme="majorBidi" w:cstheme="majorBidi"/>
          <w:b/>
          <w:sz w:val="24"/>
          <w:szCs w:val="24"/>
        </w:rPr>
        <w:t>17</w:t>
      </w:r>
      <w:r w:rsidRPr="0009479C">
        <w:rPr>
          <w:rFonts w:asciiTheme="majorBidi" w:hAnsiTheme="majorBidi" w:cstheme="majorBidi"/>
          <w:bCs/>
          <w:sz w:val="24"/>
          <w:szCs w:val="24"/>
        </w:rPr>
        <w:t>:230–7.</w:t>
      </w:r>
    </w:p>
    <w:p w14:paraId="12843936" w14:textId="77777777" w:rsidR="0009479C" w:rsidRPr="0009479C" w:rsidRDefault="0009479C" w:rsidP="00BE305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91. Peterson BK, Weber JN, Kay EH, Fisher HS, Hoekstra HE. Double digest RADseq: An inexpensive method for de novo SNP discovery and genotyping in model and non-model species. </w:t>
      </w:r>
      <w:proofErr w:type="spellStart"/>
      <w:r w:rsidRPr="003C6A1B">
        <w:rPr>
          <w:rFonts w:asciiTheme="majorBidi" w:hAnsiTheme="majorBidi" w:cstheme="majorBidi"/>
          <w:bCs/>
          <w:i/>
          <w:iCs/>
          <w:sz w:val="24"/>
          <w:szCs w:val="24"/>
        </w:rPr>
        <w:t>PLoS</w:t>
      </w:r>
      <w:proofErr w:type="spellEnd"/>
      <w:r w:rsidRPr="003C6A1B">
        <w:rPr>
          <w:rFonts w:asciiTheme="majorBidi" w:hAnsiTheme="majorBidi" w:cstheme="majorBidi"/>
          <w:bCs/>
          <w:i/>
          <w:iCs/>
          <w:sz w:val="24"/>
          <w:szCs w:val="24"/>
        </w:rPr>
        <w:t xml:space="preserve"> One</w:t>
      </w:r>
      <w:r w:rsidRPr="0009479C">
        <w:rPr>
          <w:rFonts w:asciiTheme="majorBidi" w:hAnsiTheme="majorBidi" w:cstheme="majorBidi"/>
          <w:bCs/>
          <w:sz w:val="24"/>
          <w:szCs w:val="24"/>
        </w:rPr>
        <w:t>. 2012;7.</w:t>
      </w:r>
    </w:p>
    <w:p w14:paraId="7593864F" w14:textId="77777777" w:rsidR="0009479C" w:rsidRPr="0009479C" w:rsidRDefault="0009479C" w:rsidP="00BE305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92. </w:t>
      </w:r>
      <w:proofErr w:type="spellStart"/>
      <w:r w:rsidRPr="0009479C">
        <w:rPr>
          <w:rFonts w:asciiTheme="majorBidi" w:hAnsiTheme="majorBidi" w:cstheme="majorBidi"/>
          <w:bCs/>
          <w:sz w:val="24"/>
          <w:szCs w:val="24"/>
        </w:rPr>
        <w:t>Catchen</w:t>
      </w:r>
      <w:proofErr w:type="spellEnd"/>
      <w:r w:rsidRPr="0009479C">
        <w:rPr>
          <w:rFonts w:asciiTheme="majorBidi" w:hAnsiTheme="majorBidi" w:cstheme="majorBidi"/>
          <w:bCs/>
          <w:sz w:val="24"/>
          <w:szCs w:val="24"/>
        </w:rPr>
        <w:t xml:space="preserve"> JM, Hohenlohe PA, </w:t>
      </w:r>
      <w:proofErr w:type="spellStart"/>
      <w:r w:rsidRPr="0009479C">
        <w:rPr>
          <w:rFonts w:asciiTheme="majorBidi" w:hAnsiTheme="majorBidi" w:cstheme="majorBidi"/>
          <w:bCs/>
          <w:sz w:val="24"/>
          <w:szCs w:val="24"/>
        </w:rPr>
        <w:t>Bassham</w:t>
      </w:r>
      <w:proofErr w:type="spellEnd"/>
      <w:r w:rsidRPr="0009479C">
        <w:rPr>
          <w:rFonts w:asciiTheme="majorBidi" w:hAnsiTheme="majorBidi" w:cstheme="majorBidi"/>
          <w:bCs/>
          <w:sz w:val="24"/>
          <w:szCs w:val="24"/>
        </w:rPr>
        <w:t xml:space="preserve"> S, </w:t>
      </w:r>
      <w:proofErr w:type="spellStart"/>
      <w:r w:rsidRPr="0009479C">
        <w:rPr>
          <w:rFonts w:asciiTheme="majorBidi" w:hAnsiTheme="majorBidi" w:cstheme="majorBidi"/>
          <w:bCs/>
          <w:sz w:val="24"/>
          <w:szCs w:val="24"/>
        </w:rPr>
        <w:t>Amores</w:t>
      </w:r>
      <w:proofErr w:type="spellEnd"/>
      <w:r w:rsidRPr="0009479C">
        <w:rPr>
          <w:rFonts w:asciiTheme="majorBidi" w:hAnsiTheme="majorBidi" w:cstheme="majorBidi"/>
          <w:bCs/>
          <w:sz w:val="24"/>
          <w:szCs w:val="24"/>
        </w:rPr>
        <w:t xml:space="preserve"> A, </w:t>
      </w:r>
      <w:proofErr w:type="spellStart"/>
      <w:r w:rsidRPr="0009479C">
        <w:rPr>
          <w:rFonts w:asciiTheme="majorBidi" w:hAnsiTheme="majorBidi" w:cstheme="majorBidi"/>
          <w:bCs/>
          <w:sz w:val="24"/>
          <w:szCs w:val="24"/>
        </w:rPr>
        <w:t>Cresko</w:t>
      </w:r>
      <w:proofErr w:type="spellEnd"/>
      <w:r w:rsidRPr="0009479C">
        <w:rPr>
          <w:rFonts w:asciiTheme="majorBidi" w:hAnsiTheme="majorBidi" w:cstheme="majorBidi"/>
          <w:bCs/>
          <w:sz w:val="24"/>
          <w:szCs w:val="24"/>
        </w:rPr>
        <w:t xml:space="preserve"> WA. Stacks: an analysis tool set for population genomics. </w:t>
      </w:r>
      <w:r w:rsidRPr="003C6A1B">
        <w:rPr>
          <w:rFonts w:asciiTheme="majorBidi" w:hAnsiTheme="majorBidi" w:cstheme="majorBidi"/>
          <w:bCs/>
          <w:i/>
          <w:iCs/>
          <w:sz w:val="24"/>
          <w:szCs w:val="24"/>
        </w:rPr>
        <w:t>Mol Ecol</w:t>
      </w:r>
      <w:r w:rsidRPr="0009479C">
        <w:rPr>
          <w:rFonts w:asciiTheme="majorBidi" w:hAnsiTheme="majorBidi" w:cstheme="majorBidi"/>
          <w:bCs/>
          <w:sz w:val="24"/>
          <w:szCs w:val="24"/>
        </w:rPr>
        <w:t>. 2013;</w:t>
      </w:r>
      <w:r w:rsidRPr="003C6A1B">
        <w:rPr>
          <w:rFonts w:asciiTheme="majorBidi" w:hAnsiTheme="majorBidi" w:cstheme="majorBidi"/>
          <w:b/>
          <w:sz w:val="24"/>
          <w:szCs w:val="24"/>
        </w:rPr>
        <w:t>22</w:t>
      </w:r>
      <w:r w:rsidRPr="0009479C">
        <w:rPr>
          <w:rFonts w:asciiTheme="majorBidi" w:hAnsiTheme="majorBidi" w:cstheme="majorBidi"/>
          <w:bCs/>
          <w:sz w:val="24"/>
          <w:szCs w:val="24"/>
        </w:rPr>
        <w:t>:3124–40.</w:t>
      </w:r>
    </w:p>
    <w:p w14:paraId="37947FA8" w14:textId="77777777" w:rsidR="0009479C" w:rsidRPr="0009479C" w:rsidRDefault="0009479C" w:rsidP="00BE305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93. </w:t>
      </w:r>
      <w:proofErr w:type="spellStart"/>
      <w:r w:rsidRPr="0009479C">
        <w:rPr>
          <w:rFonts w:asciiTheme="majorBidi" w:hAnsiTheme="majorBidi" w:cstheme="majorBidi"/>
          <w:bCs/>
          <w:sz w:val="24"/>
          <w:szCs w:val="24"/>
        </w:rPr>
        <w:t>Catchen</w:t>
      </w:r>
      <w:proofErr w:type="spellEnd"/>
      <w:r w:rsidRPr="0009479C">
        <w:rPr>
          <w:rFonts w:asciiTheme="majorBidi" w:hAnsiTheme="majorBidi" w:cstheme="majorBidi"/>
          <w:bCs/>
          <w:sz w:val="24"/>
          <w:szCs w:val="24"/>
        </w:rPr>
        <w:t xml:space="preserve"> JM, </w:t>
      </w:r>
      <w:proofErr w:type="spellStart"/>
      <w:r w:rsidRPr="0009479C">
        <w:rPr>
          <w:rFonts w:asciiTheme="majorBidi" w:hAnsiTheme="majorBidi" w:cstheme="majorBidi"/>
          <w:bCs/>
          <w:sz w:val="24"/>
          <w:szCs w:val="24"/>
        </w:rPr>
        <w:t>Amores</w:t>
      </w:r>
      <w:proofErr w:type="spellEnd"/>
      <w:r w:rsidRPr="0009479C">
        <w:rPr>
          <w:rFonts w:asciiTheme="majorBidi" w:hAnsiTheme="majorBidi" w:cstheme="majorBidi"/>
          <w:bCs/>
          <w:sz w:val="24"/>
          <w:szCs w:val="24"/>
        </w:rPr>
        <w:t xml:space="preserve"> A, Hohenlohe P, </w:t>
      </w:r>
      <w:proofErr w:type="spellStart"/>
      <w:r w:rsidRPr="0009479C">
        <w:rPr>
          <w:rFonts w:asciiTheme="majorBidi" w:hAnsiTheme="majorBidi" w:cstheme="majorBidi"/>
          <w:bCs/>
          <w:sz w:val="24"/>
          <w:szCs w:val="24"/>
        </w:rPr>
        <w:t>Cresko</w:t>
      </w:r>
      <w:proofErr w:type="spellEnd"/>
      <w:r w:rsidRPr="0009479C">
        <w:rPr>
          <w:rFonts w:asciiTheme="majorBidi" w:hAnsiTheme="majorBidi" w:cstheme="majorBidi"/>
          <w:bCs/>
          <w:sz w:val="24"/>
          <w:szCs w:val="24"/>
        </w:rPr>
        <w:t xml:space="preserve"> W, </w:t>
      </w:r>
      <w:proofErr w:type="spellStart"/>
      <w:r w:rsidRPr="0009479C">
        <w:rPr>
          <w:rFonts w:asciiTheme="majorBidi" w:hAnsiTheme="majorBidi" w:cstheme="majorBidi"/>
          <w:bCs/>
          <w:sz w:val="24"/>
          <w:szCs w:val="24"/>
        </w:rPr>
        <w:t>Postlethwait</w:t>
      </w:r>
      <w:proofErr w:type="spellEnd"/>
      <w:r w:rsidRPr="0009479C">
        <w:rPr>
          <w:rFonts w:asciiTheme="majorBidi" w:hAnsiTheme="majorBidi" w:cstheme="majorBidi"/>
          <w:bCs/>
          <w:sz w:val="24"/>
          <w:szCs w:val="24"/>
        </w:rPr>
        <w:t xml:space="preserve"> JH. Stacks : Building and Genotyping Loci De Novo From Short-Read Sequences. </w:t>
      </w:r>
      <w:r w:rsidRPr="003C6A1B">
        <w:rPr>
          <w:rFonts w:asciiTheme="majorBidi" w:hAnsiTheme="majorBidi" w:cstheme="majorBidi"/>
          <w:bCs/>
          <w:i/>
          <w:iCs/>
          <w:sz w:val="24"/>
          <w:szCs w:val="24"/>
        </w:rPr>
        <w:t>Genes, Genomes</w:t>
      </w:r>
      <w:r w:rsidRPr="0009479C">
        <w:rPr>
          <w:rFonts w:asciiTheme="majorBidi" w:hAnsiTheme="majorBidi" w:cstheme="majorBidi"/>
          <w:bCs/>
          <w:sz w:val="24"/>
          <w:szCs w:val="24"/>
        </w:rPr>
        <w:t>. 2011;</w:t>
      </w:r>
      <w:r w:rsidRPr="003C6A1B">
        <w:rPr>
          <w:rFonts w:asciiTheme="majorBidi" w:hAnsiTheme="majorBidi" w:cstheme="majorBidi"/>
          <w:b/>
          <w:sz w:val="24"/>
          <w:szCs w:val="24"/>
        </w:rPr>
        <w:t>1</w:t>
      </w:r>
      <w:r w:rsidRPr="0009479C">
        <w:rPr>
          <w:rFonts w:asciiTheme="majorBidi" w:hAnsiTheme="majorBidi" w:cstheme="majorBidi"/>
          <w:bCs/>
          <w:sz w:val="24"/>
          <w:szCs w:val="24"/>
        </w:rPr>
        <w:t xml:space="preserve"> August:171–82.</w:t>
      </w:r>
    </w:p>
    <w:p w14:paraId="56F22CB7" w14:textId="6E7D5023" w:rsidR="0009479C" w:rsidRPr="0009479C" w:rsidRDefault="0009479C" w:rsidP="00BE305C">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94. Mastretta-Yanes A, Arrigo N, Alvarez N, Jorgensen TH, </w:t>
      </w:r>
      <w:proofErr w:type="spellStart"/>
      <w:r w:rsidRPr="0009479C">
        <w:rPr>
          <w:rFonts w:asciiTheme="majorBidi" w:hAnsiTheme="majorBidi" w:cstheme="majorBidi"/>
          <w:bCs/>
          <w:sz w:val="24"/>
          <w:szCs w:val="24"/>
        </w:rPr>
        <w:t>Piñeros</w:t>
      </w:r>
      <w:proofErr w:type="spellEnd"/>
      <w:r w:rsidRPr="0009479C">
        <w:rPr>
          <w:rFonts w:asciiTheme="majorBidi" w:hAnsiTheme="majorBidi" w:cstheme="majorBidi"/>
          <w:bCs/>
          <w:sz w:val="24"/>
          <w:szCs w:val="24"/>
        </w:rPr>
        <w:t xml:space="preserve"> D, Emerson BC. Restriction site-associated DNA sequencing, genotyping error estimation and </w:t>
      </w:r>
      <w:r w:rsidRPr="003C6A1B">
        <w:rPr>
          <w:rFonts w:asciiTheme="majorBidi" w:hAnsiTheme="majorBidi" w:cstheme="majorBidi"/>
          <w:bCs/>
          <w:i/>
          <w:iCs/>
          <w:sz w:val="24"/>
          <w:szCs w:val="24"/>
        </w:rPr>
        <w:t>de novo</w:t>
      </w:r>
      <w:r w:rsidRPr="0009479C">
        <w:rPr>
          <w:rFonts w:asciiTheme="majorBidi" w:hAnsiTheme="majorBidi" w:cstheme="majorBidi"/>
          <w:bCs/>
          <w:sz w:val="24"/>
          <w:szCs w:val="24"/>
        </w:rPr>
        <w:t xml:space="preserve"> assembly optimization for population genetic inference. </w:t>
      </w:r>
      <w:r w:rsidRPr="003C6A1B">
        <w:rPr>
          <w:rFonts w:asciiTheme="majorBidi" w:hAnsiTheme="majorBidi" w:cstheme="majorBidi"/>
          <w:bCs/>
          <w:i/>
          <w:iCs/>
          <w:sz w:val="24"/>
          <w:szCs w:val="24"/>
        </w:rPr>
        <w:t>Mol Ecol</w:t>
      </w:r>
      <w:r w:rsidRPr="0009479C">
        <w:rPr>
          <w:rFonts w:asciiTheme="majorBidi" w:hAnsiTheme="majorBidi" w:cstheme="majorBidi"/>
          <w:bCs/>
          <w:sz w:val="24"/>
          <w:szCs w:val="24"/>
        </w:rPr>
        <w:t>. 2015;28–41.</w:t>
      </w:r>
    </w:p>
    <w:p w14:paraId="23AA5CC5" w14:textId="77777777" w:rsidR="0009479C" w:rsidRPr="0009479C" w:rsidRDefault="0009479C" w:rsidP="003C6A1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95. Paris JR, Stevens JR, </w:t>
      </w:r>
      <w:proofErr w:type="spellStart"/>
      <w:r w:rsidRPr="0009479C">
        <w:rPr>
          <w:rFonts w:asciiTheme="majorBidi" w:hAnsiTheme="majorBidi" w:cstheme="majorBidi"/>
          <w:bCs/>
          <w:sz w:val="24"/>
          <w:szCs w:val="24"/>
        </w:rPr>
        <w:t>Catchen</w:t>
      </w:r>
      <w:proofErr w:type="spellEnd"/>
      <w:r w:rsidRPr="0009479C">
        <w:rPr>
          <w:rFonts w:asciiTheme="majorBidi" w:hAnsiTheme="majorBidi" w:cstheme="majorBidi"/>
          <w:bCs/>
          <w:sz w:val="24"/>
          <w:szCs w:val="24"/>
        </w:rPr>
        <w:t xml:space="preserve"> JM. Lost in parameter space: A road map for Stacks. </w:t>
      </w:r>
      <w:r w:rsidRPr="008F35BA">
        <w:rPr>
          <w:rFonts w:asciiTheme="majorBidi" w:hAnsiTheme="majorBidi" w:cstheme="majorBidi"/>
          <w:bCs/>
          <w:i/>
          <w:iCs/>
          <w:sz w:val="24"/>
          <w:szCs w:val="24"/>
        </w:rPr>
        <w:t xml:space="preserve">Methods </w:t>
      </w:r>
      <w:proofErr w:type="spellStart"/>
      <w:r w:rsidRPr="008F35BA">
        <w:rPr>
          <w:rFonts w:asciiTheme="majorBidi" w:hAnsiTheme="majorBidi" w:cstheme="majorBidi"/>
          <w:bCs/>
          <w:i/>
          <w:iCs/>
          <w:sz w:val="24"/>
          <w:szCs w:val="24"/>
        </w:rPr>
        <w:t>Ecol</w:t>
      </w:r>
      <w:proofErr w:type="spellEnd"/>
      <w:r w:rsidRPr="008F35BA">
        <w:rPr>
          <w:rFonts w:asciiTheme="majorBidi" w:hAnsiTheme="majorBidi" w:cstheme="majorBidi"/>
          <w:bCs/>
          <w:i/>
          <w:iCs/>
          <w:sz w:val="24"/>
          <w:szCs w:val="24"/>
        </w:rPr>
        <w:t xml:space="preserve"> Evol</w:t>
      </w:r>
      <w:r w:rsidRPr="0009479C">
        <w:rPr>
          <w:rFonts w:asciiTheme="majorBidi" w:hAnsiTheme="majorBidi" w:cstheme="majorBidi"/>
          <w:bCs/>
          <w:sz w:val="24"/>
          <w:szCs w:val="24"/>
        </w:rPr>
        <w:t>. 2017;</w:t>
      </w:r>
      <w:r w:rsidRPr="008F35BA">
        <w:rPr>
          <w:rFonts w:asciiTheme="majorBidi" w:hAnsiTheme="majorBidi" w:cstheme="majorBidi"/>
          <w:b/>
          <w:sz w:val="24"/>
          <w:szCs w:val="24"/>
        </w:rPr>
        <w:t>8</w:t>
      </w:r>
      <w:r w:rsidRPr="0009479C">
        <w:rPr>
          <w:rFonts w:asciiTheme="majorBidi" w:hAnsiTheme="majorBidi" w:cstheme="majorBidi"/>
          <w:bCs/>
          <w:sz w:val="24"/>
          <w:szCs w:val="24"/>
        </w:rPr>
        <w:t>:1360–73.</w:t>
      </w:r>
    </w:p>
    <w:p w14:paraId="2DBF2CAA" w14:textId="1EBD3A5F" w:rsidR="0009479C" w:rsidRPr="0009479C" w:rsidRDefault="0009479C" w:rsidP="003C6A1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96. Pedraza-Marrón C del R, Silva R, Deeds J, Van Belleghem SM, Mastretta-Yanes A, Domínguez-Domínguez O, </w:t>
      </w:r>
      <w:r w:rsidRPr="008F35BA">
        <w:rPr>
          <w:rFonts w:asciiTheme="majorBidi" w:hAnsiTheme="majorBidi" w:cstheme="majorBidi"/>
          <w:bCs/>
          <w:i/>
          <w:iCs/>
          <w:sz w:val="24"/>
          <w:szCs w:val="24"/>
        </w:rPr>
        <w:t>et al</w:t>
      </w:r>
      <w:r w:rsidRPr="0009479C">
        <w:rPr>
          <w:rFonts w:asciiTheme="majorBidi" w:hAnsiTheme="majorBidi" w:cstheme="majorBidi"/>
          <w:bCs/>
          <w:sz w:val="24"/>
          <w:szCs w:val="24"/>
        </w:rPr>
        <w:t xml:space="preserve">. Genomics overrules mitochondrial DNA, siding with morphology on a controversial case of species delimitation. </w:t>
      </w:r>
      <w:r w:rsidRPr="008F35BA">
        <w:rPr>
          <w:rFonts w:asciiTheme="majorBidi" w:hAnsiTheme="majorBidi" w:cstheme="majorBidi"/>
          <w:bCs/>
          <w:i/>
          <w:iCs/>
          <w:sz w:val="24"/>
          <w:szCs w:val="24"/>
        </w:rPr>
        <w:t>Proc R Soc B Biol Sci.</w:t>
      </w:r>
      <w:r w:rsidRPr="0009479C">
        <w:rPr>
          <w:rFonts w:asciiTheme="majorBidi" w:hAnsiTheme="majorBidi" w:cstheme="majorBidi"/>
          <w:bCs/>
          <w:sz w:val="24"/>
          <w:szCs w:val="24"/>
        </w:rPr>
        <w:t xml:space="preserve"> 2019;286.</w:t>
      </w:r>
    </w:p>
    <w:p w14:paraId="1A212EC8" w14:textId="77777777" w:rsidR="0009479C" w:rsidRPr="0009479C" w:rsidRDefault="0009479C" w:rsidP="003C6A1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97. Díaz-Arce N, Rodríguez-</w:t>
      </w:r>
      <w:proofErr w:type="spellStart"/>
      <w:r w:rsidRPr="0009479C">
        <w:rPr>
          <w:rFonts w:asciiTheme="majorBidi" w:hAnsiTheme="majorBidi" w:cstheme="majorBidi"/>
          <w:bCs/>
          <w:sz w:val="24"/>
          <w:szCs w:val="24"/>
        </w:rPr>
        <w:t>Ezpeleta</w:t>
      </w:r>
      <w:proofErr w:type="spellEnd"/>
      <w:r w:rsidRPr="0009479C">
        <w:rPr>
          <w:rFonts w:asciiTheme="majorBidi" w:hAnsiTheme="majorBidi" w:cstheme="majorBidi"/>
          <w:bCs/>
          <w:sz w:val="24"/>
          <w:szCs w:val="24"/>
        </w:rPr>
        <w:t xml:space="preserve"> N. Selecting RAD-Seq data analysis parameters for population genetics: The more the better? </w:t>
      </w:r>
      <w:r w:rsidRPr="008F35BA">
        <w:rPr>
          <w:rFonts w:asciiTheme="majorBidi" w:hAnsiTheme="majorBidi" w:cstheme="majorBidi"/>
          <w:bCs/>
          <w:i/>
          <w:iCs/>
          <w:sz w:val="24"/>
          <w:szCs w:val="24"/>
        </w:rPr>
        <w:t>Front Genet.</w:t>
      </w:r>
      <w:r w:rsidRPr="0009479C">
        <w:rPr>
          <w:rFonts w:asciiTheme="majorBidi" w:hAnsiTheme="majorBidi" w:cstheme="majorBidi"/>
          <w:bCs/>
          <w:sz w:val="24"/>
          <w:szCs w:val="24"/>
        </w:rPr>
        <w:t xml:space="preserve"> 2019;</w:t>
      </w:r>
      <w:r w:rsidRPr="008F35BA">
        <w:rPr>
          <w:rFonts w:asciiTheme="majorBidi" w:hAnsiTheme="majorBidi" w:cstheme="majorBidi"/>
          <w:b/>
          <w:sz w:val="24"/>
          <w:szCs w:val="24"/>
        </w:rPr>
        <w:t>10</w:t>
      </w:r>
      <w:r w:rsidRPr="0009479C">
        <w:rPr>
          <w:rFonts w:asciiTheme="majorBidi" w:hAnsiTheme="majorBidi" w:cstheme="majorBidi"/>
          <w:bCs/>
          <w:sz w:val="24"/>
          <w:szCs w:val="24"/>
        </w:rPr>
        <w:t xml:space="preserve"> MAY:1–10.</w:t>
      </w:r>
    </w:p>
    <w:p w14:paraId="060C6AE7" w14:textId="77777777" w:rsidR="0009479C" w:rsidRPr="0009479C" w:rsidRDefault="0009479C" w:rsidP="003C6A1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98. </w:t>
      </w:r>
      <w:proofErr w:type="spellStart"/>
      <w:r w:rsidRPr="0009479C">
        <w:rPr>
          <w:rFonts w:asciiTheme="majorBidi" w:hAnsiTheme="majorBidi" w:cstheme="majorBidi"/>
          <w:bCs/>
          <w:sz w:val="24"/>
          <w:szCs w:val="24"/>
        </w:rPr>
        <w:t>Linck</w:t>
      </w:r>
      <w:proofErr w:type="spellEnd"/>
      <w:r w:rsidRPr="0009479C">
        <w:rPr>
          <w:rFonts w:asciiTheme="majorBidi" w:hAnsiTheme="majorBidi" w:cstheme="majorBidi"/>
          <w:bCs/>
          <w:sz w:val="24"/>
          <w:szCs w:val="24"/>
        </w:rPr>
        <w:t xml:space="preserve"> E, Battey CJ. Minor allele frequency thresholds strongly affect population structure inference with genomic data sets. </w:t>
      </w:r>
      <w:r w:rsidRPr="008F35BA">
        <w:rPr>
          <w:rFonts w:asciiTheme="majorBidi" w:hAnsiTheme="majorBidi" w:cstheme="majorBidi"/>
          <w:bCs/>
          <w:i/>
          <w:iCs/>
          <w:sz w:val="24"/>
          <w:szCs w:val="24"/>
        </w:rPr>
        <w:t xml:space="preserve">Mol </w:t>
      </w:r>
      <w:proofErr w:type="spellStart"/>
      <w:r w:rsidRPr="008F35BA">
        <w:rPr>
          <w:rFonts w:asciiTheme="majorBidi" w:hAnsiTheme="majorBidi" w:cstheme="majorBidi"/>
          <w:bCs/>
          <w:i/>
          <w:iCs/>
          <w:sz w:val="24"/>
          <w:szCs w:val="24"/>
        </w:rPr>
        <w:t>Ecol</w:t>
      </w:r>
      <w:proofErr w:type="spellEnd"/>
      <w:r w:rsidRPr="008F35BA">
        <w:rPr>
          <w:rFonts w:asciiTheme="majorBidi" w:hAnsiTheme="majorBidi" w:cstheme="majorBidi"/>
          <w:bCs/>
          <w:i/>
          <w:iCs/>
          <w:sz w:val="24"/>
          <w:szCs w:val="24"/>
        </w:rPr>
        <w:t xml:space="preserve"> </w:t>
      </w:r>
      <w:proofErr w:type="spellStart"/>
      <w:r w:rsidRPr="008F35BA">
        <w:rPr>
          <w:rFonts w:asciiTheme="majorBidi" w:hAnsiTheme="majorBidi" w:cstheme="majorBidi"/>
          <w:bCs/>
          <w:i/>
          <w:iCs/>
          <w:sz w:val="24"/>
          <w:szCs w:val="24"/>
        </w:rPr>
        <w:t>Resour</w:t>
      </w:r>
      <w:proofErr w:type="spellEnd"/>
      <w:r w:rsidRPr="0009479C">
        <w:rPr>
          <w:rFonts w:asciiTheme="majorBidi" w:hAnsiTheme="majorBidi" w:cstheme="majorBidi"/>
          <w:bCs/>
          <w:sz w:val="24"/>
          <w:szCs w:val="24"/>
        </w:rPr>
        <w:t>. 2019;</w:t>
      </w:r>
      <w:r w:rsidRPr="008F35BA">
        <w:rPr>
          <w:rFonts w:asciiTheme="majorBidi" w:hAnsiTheme="majorBidi" w:cstheme="majorBidi"/>
          <w:b/>
          <w:sz w:val="24"/>
          <w:szCs w:val="24"/>
        </w:rPr>
        <w:t>19</w:t>
      </w:r>
      <w:r w:rsidRPr="0009479C">
        <w:rPr>
          <w:rFonts w:asciiTheme="majorBidi" w:hAnsiTheme="majorBidi" w:cstheme="majorBidi"/>
          <w:bCs/>
          <w:sz w:val="24"/>
          <w:szCs w:val="24"/>
        </w:rPr>
        <w:t>:639–47.</w:t>
      </w:r>
    </w:p>
    <w:p w14:paraId="256DD4E5" w14:textId="6B9A5B62" w:rsidR="0009479C" w:rsidRPr="0009479C" w:rsidRDefault="0009479C" w:rsidP="003C6A1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99. Patterson N, Price AL, Reich D. Population structure and eigen</w:t>
      </w:r>
      <w:r w:rsidR="008F35BA">
        <w:rPr>
          <w:rFonts w:asciiTheme="majorBidi" w:hAnsiTheme="majorBidi" w:cstheme="majorBidi"/>
          <w:bCs/>
          <w:sz w:val="24"/>
          <w:szCs w:val="24"/>
        </w:rPr>
        <w:t xml:space="preserve"> </w:t>
      </w:r>
      <w:r w:rsidRPr="0009479C">
        <w:rPr>
          <w:rFonts w:asciiTheme="majorBidi" w:hAnsiTheme="majorBidi" w:cstheme="majorBidi"/>
          <w:bCs/>
          <w:sz w:val="24"/>
          <w:szCs w:val="24"/>
        </w:rPr>
        <w:t xml:space="preserve">analysis. </w:t>
      </w:r>
      <w:proofErr w:type="spellStart"/>
      <w:r w:rsidRPr="008F35BA">
        <w:rPr>
          <w:rFonts w:asciiTheme="majorBidi" w:hAnsiTheme="majorBidi" w:cstheme="majorBidi"/>
          <w:bCs/>
          <w:i/>
          <w:iCs/>
          <w:sz w:val="24"/>
          <w:szCs w:val="24"/>
        </w:rPr>
        <w:t>PLoS</w:t>
      </w:r>
      <w:proofErr w:type="spellEnd"/>
      <w:r w:rsidRPr="008F35BA">
        <w:rPr>
          <w:rFonts w:asciiTheme="majorBidi" w:hAnsiTheme="majorBidi" w:cstheme="majorBidi"/>
          <w:bCs/>
          <w:i/>
          <w:iCs/>
          <w:sz w:val="24"/>
          <w:szCs w:val="24"/>
        </w:rPr>
        <w:t xml:space="preserve"> Genet.</w:t>
      </w:r>
      <w:r w:rsidRPr="0009479C">
        <w:rPr>
          <w:rFonts w:asciiTheme="majorBidi" w:hAnsiTheme="majorBidi" w:cstheme="majorBidi"/>
          <w:bCs/>
          <w:sz w:val="24"/>
          <w:szCs w:val="24"/>
        </w:rPr>
        <w:t xml:space="preserve"> 2006;</w:t>
      </w:r>
      <w:r w:rsidRPr="008F35BA">
        <w:rPr>
          <w:rFonts w:asciiTheme="majorBidi" w:hAnsiTheme="majorBidi" w:cstheme="majorBidi"/>
          <w:b/>
          <w:sz w:val="24"/>
          <w:szCs w:val="24"/>
        </w:rPr>
        <w:t>2</w:t>
      </w:r>
      <w:r w:rsidRPr="0009479C">
        <w:rPr>
          <w:rFonts w:asciiTheme="majorBidi" w:hAnsiTheme="majorBidi" w:cstheme="majorBidi"/>
          <w:bCs/>
          <w:sz w:val="24"/>
          <w:szCs w:val="24"/>
        </w:rPr>
        <w:t>:2074–93.</w:t>
      </w:r>
    </w:p>
    <w:p w14:paraId="018D18C8" w14:textId="77777777" w:rsidR="0009479C" w:rsidRPr="0009479C" w:rsidRDefault="0009479C" w:rsidP="003C6A1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100. </w:t>
      </w:r>
      <w:proofErr w:type="spellStart"/>
      <w:r w:rsidRPr="0009479C">
        <w:rPr>
          <w:rFonts w:asciiTheme="majorBidi" w:hAnsiTheme="majorBidi" w:cstheme="majorBidi"/>
          <w:bCs/>
          <w:sz w:val="24"/>
          <w:szCs w:val="24"/>
        </w:rPr>
        <w:t>Jombart</w:t>
      </w:r>
      <w:proofErr w:type="spellEnd"/>
      <w:r w:rsidRPr="0009479C">
        <w:rPr>
          <w:rFonts w:asciiTheme="majorBidi" w:hAnsiTheme="majorBidi" w:cstheme="majorBidi"/>
          <w:bCs/>
          <w:sz w:val="24"/>
          <w:szCs w:val="24"/>
        </w:rPr>
        <w:t xml:space="preserve"> T, </w:t>
      </w:r>
      <w:proofErr w:type="spellStart"/>
      <w:r w:rsidRPr="0009479C">
        <w:rPr>
          <w:rFonts w:asciiTheme="majorBidi" w:hAnsiTheme="majorBidi" w:cstheme="majorBidi"/>
          <w:bCs/>
          <w:sz w:val="24"/>
          <w:szCs w:val="24"/>
        </w:rPr>
        <w:t>Devillard</w:t>
      </w:r>
      <w:proofErr w:type="spellEnd"/>
      <w:r w:rsidRPr="0009479C">
        <w:rPr>
          <w:rFonts w:asciiTheme="majorBidi" w:hAnsiTheme="majorBidi" w:cstheme="majorBidi"/>
          <w:bCs/>
          <w:sz w:val="24"/>
          <w:szCs w:val="24"/>
        </w:rPr>
        <w:t xml:space="preserve"> S, </w:t>
      </w:r>
      <w:proofErr w:type="spellStart"/>
      <w:r w:rsidRPr="0009479C">
        <w:rPr>
          <w:rFonts w:asciiTheme="majorBidi" w:hAnsiTheme="majorBidi" w:cstheme="majorBidi"/>
          <w:bCs/>
          <w:sz w:val="24"/>
          <w:szCs w:val="24"/>
        </w:rPr>
        <w:t>Balloux</w:t>
      </w:r>
      <w:proofErr w:type="spellEnd"/>
      <w:r w:rsidRPr="0009479C">
        <w:rPr>
          <w:rFonts w:asciiTheme="majorBidi" w:hAnsiTheme="majorBidi" w:cstheme="majorBidi"/>
          <w:bCs/>
          <w:sz w:val="24"/>
          <w:szCs w:val="24"/>
        </w:rPr>
        <w:t xml:space="preserve"> F. Discriminant analysis of principal components: a new method for the analysis of genetically structured populations. </w:t>
      </w:r>
      <w:r w:rsidRPr="008F35BA">
        <w:rPr>
          <w:rFonts w:asciiTheme="majorBidi" w:hAnsiTheme="majorBidi" w:cstheme="majorBidi"/>
          <w:bCs/>
          <w:i/>
          <w:iCs/>
          <w:sz w:val="24"/>
          <w:szCs w:val="24"/>
        </w:rPr>
        <w:t>BMC Genet.</w:t>
      </w:r>
      <w:r w:rsidRPr="0009479C">
        <w:rPr>
          <w:rFonts w:asciiTheme="majorBidi" w:hAnsiTheme="majorBidi" w:cstheme="majorBidi"/>
          <w:bCs/>
          <w:sz w:val="24"/>
          <w:szCs w:val="24"/>
        </w:rPr>
        <w:t xml:space="preserve"> 2010;</w:t>
      </w:r>
      <w:r w:rsidRPr="008F35BA">
        <w:rPr>
          <w:rFonts w:asciiTheme="majorBidi" w:hAnsiTheme="majorBidi" w:cstheme="majorBidi"/>
          <w:b/>
          <w:sz w:val="24"/>
          <w:szCs w:val="24"/>
        </w:rPr>
        <w:t>11</w:t>
      </w:r>
      <w:r w:rsidRPr="0009479C">
        <w:rPr>
          <w:rFonts w:asciiTheme="majorBidi" w:hAnsiTheme="majorBidi" w:cstheme="majorBidi"/>
          <w:bCs/>
          <w:sz w:val="24"/>
          <w:szCs w:val="24"/>
        </w:rPr>
        <w:t>:1–15.</w:t>
      </w:r>
    </w:p>
    <w:p w14:paraId="1CFC5DFE" w14:textId="1BB0B8AA" w:rsidR="0009479C" w:rsidRPr="0009479C" w:rsidRDefault="0009479C" w:rsidP="003C6A1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101. Miller JM, </w:t>
      </w:r>
      <w:proofErr w:type="spellStart"/>
      <w:r w:rsidRPr="0009479C">
        <w:rPr>
          <w:rFonts w:asciiTheme="majorBidi" w:hAnsiTheme="majorBidi" w:cstheme="majorBidi"/>
          <w:bCs/>
          <w:sz w:val="24"/>
          <w:szCs w:val="24"/>
        </w:rPr>
        <w:t>Cullingham</w:t>
      </w:r>
      <w:proofErr w:type="spellEnd"/>
      <w:r w:rsidRPr="0009479C">
        <w:rPr>
          <w:rFonts w:asciiTheme="majorBidi" w:hAnsiTheme="majorBidi" w:cstheme="majorBidi"/>
          <w:bCs/>
          <w:sz w:val="24"/>
          <w:szCs w:val="24"/>
        </w:rPr>
        <w:t xml:space="preserve"> CI, Peery RM. The influence of a priori grouping on inference of genetic clusters: simulation study and literature review of the DAPC method. </w:t>
      </w:r>
      <w:r w:rsidRPr="008F35BA">
        <w:rPr>
          <w:rFonts w:asciiTheme="majorBidi" w:hAnsiTheme="majorBidi" w:cstheme="majorBidi"/>
          <w:bCs/>
          <w:i/>
          <w:iCs/>
          <w:sz w:val="24"/>
          <w:szCs w:val="24"/>
        </w:rPr>
        <w:t>Heredity</w:t>
      </w:r>
      <w:r w:rsidRPr="0009479C">
        <w:rPr>
          <w:rFonts w:asciiTheme="majorBidi" w:hAnsiTheme="majorBidi" w:cstheme="majorBidi"/>
          <w:bCs/>
          <w:sz w:val="24"/>
          <w:szCs w:val="24"/>
        </w:rPr>
        <w:t xml:space="preserve"> 2020;</w:t>
      </w:r>
      <w:r w:rsidRPr="008F35BA">
        <w:rPr>
          <w:rFonts w:asciiTheme="majorBidi" w:hAnsiTheme="majorBidi" w:cstheme="majorBidi"/>
          <w:b/>
          <w:sz w:val="24"/>
          <w:szCs w:val="24"/>
        </w:rPr>
        <w:t>125</w:t>
      </w:r>
      <w:r w:rsidRPr="0009479C">
        <w:rPr>
          <w:rFonts w:asciiTheme="majorBidi" w:hAnsiTheme="majorBidi" w:cstheme="majorBidi"/>
          <w:bCs/>
          <w:sz w:val="24"/>
          <w:szCs w:val="24"/>
        </w:rPr>
        <w:t>:269–80. doi:10.1038/s41437-020-0348-2.</w:t>
      </w:r>
    </w:p>
    <w:p w14:paraId="18AE88A2" w14:textId="77777777" w:rsidR="0009479C" w:rsidRPr="0009479C" w:rsidRDefault="0009479C" w:rsidP="003C6A1B">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102. </w:t>
      </w:r>
      <w:proofErr w:type="spellStart"/>
      <w:r w:rsidRPr="0009479C">
        <w:rPr>
          <w:rFonts w:asciiTheme="majorBidi" w:hAnsiTheme="majorBidi" w:cstheme="majorBidi"/>
          <w:bCs/>
          <w:sz w:val="24"/>
          <w:szCs w:val="24"/>
        </w:rPr>
        <w:t>Jombart</w:t>
      </w:r>
      <w:proofErr w:type="spellEnd"/>
      <w:r w:rsidRPr="0009479C">
        <w:rPr>
          <w:rFonts w:asciiTheme="majorBidi" w:hAnsiTheme="majorBidi" w:cstheme="majorBidi"/>
          <w:bCs/>
          <w:sz w:val="24"/>
          <w:szCs w:val="24"/>
        </w:rPr>
        <w:t xml:space="preserve"> T. Adegenet: A R package for the multivariate analysis of genetic markers. </w:t>
      </w:r>
      <w:r w:rsidRPr="008F35BA">
        <w:rPr>
          <w:rFonts w:asciiTheme="majorBidi" w:hAnsiTheme="majorBidi" w:cstheme="majorBidi"/>
          <w:bCs/>
          <w:i/>
          <w:iCs/>
          <w:sz w:val="24"/>
          <w:szCs w:val="24"/>
        </w:rPr>
        <w:t>Bioinformatics</w:t>
      </w:r>
      <w:r w:rsidRPr="0009479C">
        <w:rPr>
          <w:rFonts w:asciiTheme="majorBidi" w:hAnsiTheme="majorBidi" w:cstheme="majorBidi"/>
          <w:bCs/>
          <w:sz w:val="24"/>
          <w:szCs w:val="24"/>
        </w:rPr>
        <w:t>. 2008;</w:t>
      </w:r>
      <w:r w:rsidRPr="008F35BA">
        <w:rPr>
          <w:rFonts w:asciiTheme="majorBidi" w:hAnsiTheme="majorBidi" w:cstheme="majorBidi"/>
          <w:b/>
          <w:sz w:val="24"/>
          <w:szCs w:val="24"/>
        </w:rPr>
        <w:t>24</w:t>
      </w:r>
      <w:r w:rsidRPr="0009479C">
        <w:rPr>
          <w:rFonts w:asciiTheme="majorBidi" w:hAnsiTheme="majorBidi" w:cstheme="majorBidi"/>
          <w:bCs/>
          <w:sz w:val="24"/>
          <w:szCs w:val="24"/>
        </w:rPr>
        <w:t>:1403–5.</w:t>
      </w:r>
    </w:p>
    <w:p w14:paraId="7ABC6608"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lastRenderedPageBreak/>
        <w:t xml:space="preserve">103. Alexander DH, </w:t>
      </w:r>
      <w:proofErr w:type="spellStart"/>
      <w:r w:rsidRPr="0009479C">
        <w:rPr>
          <w:rFonts w:asciiTheme="majorBidi" w:hAnsiTheme="majorBidi" w:cstheme="majorBidi"/>
          <w:bCs/>
          <w:sz w:val="24"/>
          <w:szCs w:val="24"/>
        </w:rPr>
        <w:t>Novembre</w:t>
      </w:r>
      <w:proofErr w:type="spellEnd"/>
      <w:r w:rsidRPr="0009479C">
        <w:rPr>
          <w:rFonts w:asciiTheme="majorBidi" w:hAnsiTheme="majorBidi" w:cstheme="majorBidi"/>
          <w:bCs/>
          <w:sz w:val="24"/>
          <w:szCs w:val="24"/>
        </w:rPr>
        <w:t xml:space="preserve"> J, Lange K. Fast model-based estimation of ancestry in unrelated individuals. </w:t>
      </w:r>
      <w:r w:rsidRPr="008F35BA">
        <w:rPr>
          <w:rFonts w:asciiTheme="majorBidi" w:hAnsiTheme="majorBidi" w:cstheme="majorBidi"/>
          <w:bCs/>
          <w:i/>
          <w:iCs/>
          <w:sz w:val="24"/>
          <w:szCs w:val="24"/>
        </w:rPr>
        <w:t>Genome Res</w:t>
      </w:r>
      <w:r w:rsidRPr="0009479C">
        <w:rPr>
          <w:rFonts w:asciiTheme="majorBidi" w:hAnsiTheme="majorBidi" w:cstheme="majorBidi"/>
          <w:bCs/>
          <w:sz w:val="24"/>
          <w:szCs w:val="24"/>
        </w:rPr>
        <w:t>. 2009;</w:t>
      </w:r>
      <w:r w:rsidRPr="008F35BA">
        <w:rPr>
          <w:rFonts w:asciiTheme="majorBidi" w:hAnsiTheme="majorBidi" w:cstheme="majorBidi"/>
          <w:b/>
          <w:sz w:val="24"/>
          <w:szCs w:val="24"/>
        </w:rPr>
        <w:t>19</w:t>
      </w:r>
      <w:r w:rsidRPr="0009479C">
        <w:rPr>
          <w:rFonts w:asciiTheme="majorBidi" w:hAnsiTheme="majorBidi" w:cstheme="majorBidi"/>
          <w:bCs/>
          <w:sz w:val="24"/>
          <w:szCs w:val="24"/>
        </w:rPr>
        <w:t>:1655–64.</w:t>
      </w:r>
    </w:p>
    <w:p w14:paraId="28A34BCA"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104. Alexander DH, Lange K. Enhancements to the ADMIXTURE algorithm for individual ancestry estimation. </w:t>
      </w:r>
      <w:r w:rsidRPr="008F35BA">
        <w:rPr>
          <w:rFonts w:asciiTheme="majorBidi" w:hAnsiTheme="majorBidi" w:cstheme="majorBidi"/>
          <w:bCs/>
          <w:i/>
          <w:iCs/>
          <w:sz w:val="24"/>
          <w:szCs w:val="24"/>
        </w:rPr>
        <w:t>BMC Bioinformatics</w:t>
      </w:r>
      <w:r w:rsidRPr="0009479C">
        <w:rPr>
          <w:rFonts w:asciiTheme="majorBidi" w:hAnsiTheme="majorBidi" w:cstheme="majorBidi"/>
          <w:bCs/>
          <w:sz w:val="24"/>
          <w:szCs w:val="24"/>
        </w:rPr>
        <w:t>. 2011;12.</w:t>
      </w:r>
    </w:p>
    <w:p w14:paraId="1B9F3E74"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105. Wickham H. ggplot2: Elegant Graphics for Data Analysis. Springer-Verlag New York; 2016. http://ggplot2.org.</w:t>
      </w:r>
    </w:p>
    <w:p w14:paraId="472BB937"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106. Francis RM. pophelper: an R package and web app to </w:t>
      </w:r>
      <w:proofErr w:type="spellStart"/>
      <w:r w:rsidRPr="0009479C">
        <w:rPr>
          <w:rFonts w:asciiTheme="majorBidi" w:hAnsiTheme="majorBidi" w:cstheme="majorBidi"/>
          <w:bCs/>
          <w:sz w:val="24"/>
          <w:szCs w:val="24"/>
        </w:rPr>
        <w:t>analyse</w:t>
      </w:r>
      <w:proofErr w:type="spellEnd"/>
      <w:r w:rsidRPr="0009479C">
        <w:rPr>
          <w:rFonts w:asciiTheme="majorBidi" w:hAnsiTheme="majorBidi" w:cstheme="majorBidi"/>
          <w:bCs/>
          <w:sz w:val="24"/>
          <w:szCs w:val="24"/>
        </w:rPr>
        <w:t xml:space="preserve"> and visualize population structure. </w:t>
      </w:r>
      <w:r w:rsidRPr="008F35BA">
        <w:rPr>
          <w:rFonts w:asciiTheme="majorBidi" w:hAnsiTheme="majorBidi" w:cstheme="majorBidi"/>
          <w:bCs/>
          <w:i/>
          <w:iCs/>
          <w:sz w:val="24"/>
          <w:szCs w:val="24"/>
        </w:rPr>
        <w:t xml:space="preserve">Mol </w:t>
      </w:r>
      <w:proofErr w:type="spellStart"/>
      <w:r w:rsidRPr="008F35BA">
        <w:rPr>
          <w:rFonts w:asciiTheme="majorBidi" w:hAnsiTheme="majorBidi" w:cstheme="majorBidi"/>
          <w:bCs/>
          <w:i/>
          <w:iCs/>
          <w:sz w:val="24"/>
          <w:szCs w:val="24"/>
        </w:rPr>
        <w:t>Ecol</w:t>
      </w:r>
      <w:proofErr w:type="spellEnd"/>
      <w:r w:rsidRPr="008F35BA">
        <w:rPr>
          <w:rFonts w:asciiTheme="majorBidi" w:hAnsiTheme="majorBidi" w:cstheme="majorBidi"/>
          <w:bCs/>
          <w:i/>
          <w:iCs/>
          <w:sz w:val="24"/>
          <w:szCs w:val="24"/>
        </w:rPr>
        <w:t xml:space="preserve"> </w:t>
      </w:r>
      <w:proofErr w:type="spellStart"/>
      <w:r w:rsidRPr="008F35BA">
        <w:rPr>
          <w:rFonts w:asciiTheme="majorBidi" w:hAnsiTheme="majorBidi" w:cstheme="majorBidi"/>
          <w:bCs/>
          <w:i/>
          <w:iCs/>
          <w:sz w:val="24"/>
          <w:szCs w:val="24"/>
        </w:rPr>
        <w:t>Resour</w:t>
      </w:r>
      <w:proofErr w:type="spellEnd"/>
      <w:r w:rsidRPr="0009479C">
        <w:rPr>
          <w:rFonts w:asciiTheme="majorBidi" w:hAnsiTheme="majorBidi" w:cstheme="majorBidi"/>
          <w:bCs/>
          <w:sz w:val="24"/>
          <w:szCs w:val="24"/>
        </w:rPr>
        <w:t>. 2017;</w:t>
      </w:r>
      <w:r w:rsidRPr="008F35BA">
        <w:rPr>
          <w:rFonts w:asciiTheme="majorBidi" w:hAnsiTheme="majorBidi" w:cstheme="majorBidi"/>
          <w:b/>
          <w:sz w:val="24"/>
          <w:szCs w:val="24"/>
        </w:rPr>
        <w:t>17</w:t>
      </w:r>
      <w:r w:rsidRPr="0009479C">
        <w:rPr>
          <w:rFonts w:asciiTheme="majorBidi" w:hAnsiTheme="majorBidi" w:cstheme="majorBidi"/>
          <w:bCs/>
          <w:sz w:val="24"/>
          <w:szCs w:val="24"/>
        </w:rPr>
        <w:t>:27–32.</w:t>
      </w:r>
    </w:p>
    <w:p w14:paraId="736D3AFC"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107. </w:t>
      </w:r>
      <w:proofErr w:type="spellStart"/>
      <w:r w:rsidRPr="0009479C">
        <w:rPr>
          <w:rFonts w:asciiTheme="majorBidi" w:hAnsiTheme="majorBidi" w:cstheme="majorBidi"/>
          <w:bCs/>
          <w:sz w:val="24"/>
          <w:szCs w:val="24"/>
        </w:rPr>
        <w:t>Excoffier</w:t>
      </w:r>
      <w:proofErr w:type="spellEnd"/>
      <w:r w:rsidRPr="0009479C">
        <w:rPr>
          <w:rFonts w:asciiTheme="majorBidi" w:hAnsiTheme="majorBidi" w:cstheme="majorBidi"/>
          <w:bCs/>
          <w:sz w:val="24"/>
          <w:szCs w:val="24"/>
        </w:rPr>
        <w:t xml:space="preserve"> L, Laval G, Schneider S. Arlequin (version 3.0): An integrated software package for population genetics data analysis. </w:t>
      </w:r>
      <w:r w:rsidRPr="008F35BA">
        <w:rPr>
          <w:rFonts w:asciiTheme="majorBidi" w:hAnsiTheme="majorBidi" w:cstheme="majorBidi"/>
          <w:bCs/>
          <w:i/>
          <w:iCs/>
          <w:sz w:val="24"/>
          <w:szCs w:val="24"/>
        </w:rPr>
        <w:t xml:space="preserve">Evol </w:t>
      </w:r>
      <w:proofErr w:type="spellStart"/>
      <w:r w:rsidRPr="008F35BA">
        <w:rPr>
          <w:rFonts w:asciiTheme="majorBidi" w:hAnsiTheme="majorBidi" w:cstheme="majorBidi"/>
          <w:bCs/>
          <w:i/>
          <w:iCs/>
          <w:sz w:val="24"/>
          <w:szCs w:val="24"/>
        </w:rPr>
        <w:t>Bioinforma</w:t>
      </w:r>
      <w:proofErr w:type="spellEnd"/>
      <w:r w:rsidRPr="008F35BA">
        <w:rPr>
          <w:rFonts w:asciiTheme="majorBidi" w:hAnsiTheme="majorBidi" w:cstheme="majorBidi"/>
          <w:bCs/>
          <w:i/>
          <w:iCs/>
          <w:sz w:val="24"/>
          <w:szCs w:val="24"/>
        </w:rPr>
        <w:t>.</w:t>
      </w:r>
      <w:r w:rsidRPr="0009479C">
        <w:rPr>
          <w:rFonts w:asciiTheme="majorBidi" w:hAnsiTheme="majorBidi" w:cstheme="majorBidi"/>
          <w:bCs/>
          <w:sz w:val="24"/>
          <w:szCs w:val="24"/>
        </w:rPr>
        <w:t xml:space="preserve"> 2005;1 May 2016:117693430500100.</w:t>
      </w:r>
    </w:p>
    <w:p w14:paraId="407CC4BE"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108. Rice WR. Analyzing Tables of Statistical Tests. </w:t>
      </w:r>
      <w:r w:rsidRPr="008F35BA">
        <w:rPr>
          <w:rFonts w:asciiTheme="majorBidi" w:hAnsiTheme="majorBidi" w:cstheme="majorBidi"/>
          <w:bCs/>
          <w:i/>
          <w:iCs/>
          <w:sz w:val="24"/>
          <w:szCs w:val="24"/>
        </w:rPr>
        <w:t>Evolution</w:t>
      </w:r>
      <w:r w:rsidRPr="0009479C">
        <w:rPr>
          <w:rFonts w:asciiTheme="majorBidi" w:hAnsiTheme="majorBidi" w:cstheme="majorBidi"/>
          <w:bCs/>
          <w:sz w:val="24"/>
          <w:szCs w:val="24"/>
        </w:rPr>
        <w:t xml:space="preserve"> (N Y). 1989;43:223–5.</w:t>
      </w:r>
    </w:p>
    <w:p w14:paraId="0D9475C8"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109. Nguyen LT, Schmidt HA, Von </w:t>
      </w:r>
      <w:proofErr w:type="spellStart"/>
      <w:r w:rsidRPr="0009479C">
        <w:rPr>
          <w:rFonts w:asciiTheme="majorBidi" w:hAnsiTheme="majorBidi" w:cstheme="majorBidi"/>
          <w:bCs/>
          <w:sz w:val="24"/>
          <w:szCs w:val="24"/>
        </w:rPr>
        <w:t>Haeseler</w:t>
      </w:r>
      <w:proofErr w:type="spellEnd"/>
      <w:r w:rsidRPr="0009479C">
        <w:rPr>
          <w:rFonts w:asciiTheme="majorBidi" w:hAnsiTheme="majorBidi" w:cstheme="majorBidi"/>
          <w:bCs/>
          <w:sz w:val="24"/>
          <w:szCs w:val="24"/>
        </w:rPr>
        <w:t xml:space="preserve"> A, Minh BQ. IQ-TREE: A fast and effective stochastic algorithm for estimating maximum-likelihood phylogenies. </w:t>
      </w:r>
      <w:r w:rsidRPr="008F35BA">
        <w:rPr>
          <w:rFonts w:asciiTheme="majorBidi" w:hAnsiTheme="majorBidi" w:cstheme="majorBidi"/>
          <w:bCs/>
          <w:i/>
          <w:iCs/>
          <w:sz w:val="24"/>
          <w:szCs w:val="24"/>
        </w:rPr>
        <w:t>Mol Biol Evol.</w:t>
      </w:r>
      <w:r w:rsidRPr="0009479C">
        <w:rPr>
          <w:rFonts w:asciiTheme="majorBidi" w:hAnsiTheme="majorBidi" w:cstheme="majorBidi"/>
          <w:bCs/>
          <w:sz w:val="24"/>
          <w:szCs w:val="24"/>
        </w:rPr>
        <w:t xml:space="preserve"> 2015;</w:t>
      </w:r>
      <w:r w:rsidRPr="008F35BA">
        <w:rPr>
          <w:rFonts w:asciiTheme="majorBidi" w:hAnsiTheme="majorBidi" w:cstheme="majorBidi"/>
          <w:b/>
          <w:sz w:val="24"/>
          <w:szCs w:val="24"/>
        </w:rPr>
        <w:t>32</w:t>
      </w:r>
      <w:r w:rsidRPr="0009479C">
        <w:rPr>
          <w:rFonts w:asciiTheme="majorBidi" w:hAnsiTheme="majorBidi" w:cstheme="majorBidi"/>
          <w:bCs/>
          <w:sz w:val="24"/>
          <w:szCs w:val="24"/>
        </w:rPr>
        <w:t>:268–74.</w:t>
      </w:r>
    </w:p>
    <w:p w14:paraId="13773B72"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110. Hoang DT, </w:t>
      </w:r>
      <w:proofErr w:type="spellStart"/>
      <w:r w:rsidRPr="0009479C">
        <w:rPr>
          <w:rFonts w:asciiTheme="majorBidi" w:hAnsiTheme="majorBidi" w:cstheme="majorBidi"/>
          <w:bCs/>
          <w:sz w:val="24"/>
          <w:szCs w:val="24"/>
        </w:rPr>
        <w:t>Chernomor</w:t>
      </w:r>
      <w:proofErr w:type="spellEnd"/>
      <w:r w:rsidRPr="0009479C">
        <w:rPr>
          <w:rFonts w:asciiTheme="majorBidi" w:hAnsiTheme="majorBidi" w:cstheme="majorBidi"/>
          <w:bCs/>
          <w:sz w:val="24"/>
          <w:szCs w:val="24"/>
        </w:rPr>
        <w:t xml:space="preserve"> O, Von </w:t>
      </w:r>
      <w:proofErr w:type="spellStart"/>
      <w:r w:rsidRPr="0009479C">
        <w:rPr>
          <w:rFonts w:asciiTheme="majorBidi" w:hAnsiTheme="majorBidi" w:cstheme="majorBidi"/>
          <w:bCs/>
          <w:sz w:val="24"/>
          <w:szCs w:val="24"/>
        </w:rPr>
        <w:t>Haeseler</w:t>
      </w:r>
      <w:proofErr w:type="spellEnd"/>
      <w:r w:rsidRPr="0009479C">
        <w:rPr>
          <w:rFonts w:asciiTheme="majorBidi" w:hAnsiTheme="majorBidi" w:cstheme="majorBidi"/>
          <w:bCs/>
          <w:sz w:val="24"/>
          <w:szCs w:val="24"/>
        </w:rPr>
        <w:t xml:space="preserve"> A, Minh BQ, Vinh LS. UFBoot2: Improving the ultrafast bootstrap approximation. </w:t>
      </w:r>
      <w:r w:rsidRPr="008F35BA">
        <w:rPr>
          <w:rFonts w:asciiTheme="majorBidi" w:hAnsiTheme="majorBidi" w:cstheme="majorBidi"/>
          <w:bCs/>
          <w:i/>
          <w:iCs/>
          <w:sz w:val="24"/>
          <w:szCs w:val="24"/>
        </w:rPr>
        <w:t>Mol Biol Evol</w:t>
      </w:r>
      <w:r w:rsidRPr="0009479C">
        <w:rPr>
          <w:rFonts w:asciiTheme="majorBidi" w:hAnsiTheme="majorBidi" w:cstheme="majorBidi"/>
          <w:bCs/>
          <w:sz w:val="24"/>
          <w:szCs w:val="24"/>
        </w:rPr>
        <w:t>. 2018;</w:t>
      </w:r>
      <w:r w:rsidRPr="008F35BA">
        <w:rPr>
          <w:rFonts w:asciiTheme="majorBidi" w:hAnsiTheme="majorBidi" w:cstheme="majorBidi"/>
          <w:b/>
          <w:sz w:val="24"/>
          <w:szCs w:val="24"/>
        </w:rPr>
        <w:t>35</w:t>
      </w:r>
      <w:r w:rsidRPr="0009479C">
        <w:rPr>
          <w:rFonts w:asciiTheme="majorBidi" w:hAnsiTheme="majorBidi" w:cstheme="majorBidi"/>
          <w:bCs/>
          <w:sz w:val="24"/>
          <w:szCs w:val="24"/>
        </w:rPr>
        <w:t>:518–22.</w:t>
      </w:r>
    </w:p>
    <w:p w14:paraId="60304A52"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111. Revell LJ. phytools: An R package for phylogenetic comparative biology (and other things). </w:t>
      </w:r>
      <w:r w:rsidRPr="008F35BA">
        <w:rPr>
          <w:rFonts w:asciiTheme="majorBidi" w:hAnsiTheme="majorBidi" w:cstheme="majorBidi"/>
          <w:bCs/>
          <w:i/>
          <w:iCs/>
          <w:sz w:val="24"/>
          <w:szCs w:val="24"/>
        </w:rPr>
        <w:t xml:space="preserve">Methods </w:t>
      </w:r>
      <w:proofErr w:type="spellStart"/>
      <w:r w:rsidRPr="008F35BA">
        <w:rPr>
          <w:rFonts w:asciiTheme="majorBidi" w:hAnsiTheme="majorBidi" w:cstheme="majorBidi"/>
          <w:bCs/>
          <w:i/>
          <w:iCs/>
          <w:sz w:val="24"/>
          <w:szCs w:val="24"/>
        </w:rPr>
        <w:t>Ecol</w:t>
      </w:r>
      <w:proofErr w:type="spellEnd"/>
      <w:r w:rsidRPr="008F35BA">
        <w:rPr>
          <w:rFonts w:asciiTheme="majorBidi" w:hAnsiTheme="majorBidi" w:cstheme="majorBidi"/>
          <w:bCs/>
          <w:i/>
          <w:iCs/>
          <w:sz w:val="24"/>
          <w:szCs w:val="24"/>
        </w:rPr>
        <w:t xml:space="preserve"> Evol</w:t>
      </w:r>
      <w:r w:rsidRPr="0009479C">
        <w:rPr>
          <w:rFonts w:asciiTheme="majorBidi" w:hAnsiTheme="majorBidi" w:cstheme="majorBidi"/>
          <w:bCs/>
          <w:sz w:val="24"/>
          <w:szCs w:val="24"/>
        </w:rPr>
        <w:t>. 2012;</w:t>
      </w:r>
      <w:r w:rsidRPr="008F35BA">
        <w:rPr>
          <w:rFonts w:asciiTheme="majorBidi" w:hAnsiTheme="majorBidi" w:cstheme="majorBidi"/>
          <w:b/>
          <w:sz w:val="24"/>
          <w:szCs w:val="24"/>
        </w:rPr>
        <w:t>3</w:t>
      </w:r>
      <w:r w:rsidRPr="0009479C">
        <w:rPr>
          <w:rFonts w:asciiTheme="majorBidi" w:hAnsiTheme="majorBidi" w:cstheme="majorBidi"/>
          <w:bCs/>
          <w:sz w:val="24"/>
          <w:szCs w:val="24"/>
        </w:rPr>
        <w:t>:217–23.</w:t>
      </w:r>
    </w:p>
    <w:p w14:paraId="37A017B0" w14:textId="27D7973D"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112. Bryant D, Bouckaert R, Felsenstein J, Rosenberg NA, Roy</w:t>
      </w:r>
      <w:r w:rsidR="008F35BA">
        <w:rPr>
          <w:rFonts w:asciiTheme="majorBidi" w:hAnsiTheme="majorBidi" w:cstheme="majorBidi"/>
          <w:bCs/>
          <w:sz w:val="24"/>
          <w:szCs w:val="24"/>
        </w:rPr>
        <w:t xml:space="preserve"> </w:t>
      </w:r>
      <w:r w:rsidRPr="0009479C">
        <w:rPr>
          <w:rFonts w:asciiTheme="majorBidi" w:hAnsiTheme="majorBidi" w:cstheme="majorBidi"/>
          <w:bCs/>
          <w:sz w:val="24"/>
          <w:szCs w:val="24"/>
        </w:rPr>
        <w:t xml:space="preserve">Choudhury A. Inferring Species Trees Directly from Biallelic Genetic Markers : Bypassing Gene Trees in a Full Coalescent Analysis. </w:t>
      </w:r>
      <w:r w:rsidRPr="008F35BA">
        <w:rPr>
          <w:rFonts w:asciiTheme="majorBidi" w:hAnsiTheme="majorBidi" w:cstheme="majorBidi"/>
          <w:bCs/>
          <w:i/>
          <w:iCs/>
          <w:sz w:val="24"/>
          <w:szCs w:val="24"/>
        </w:rPr>
        <w:t>Mol Biol Evol.</w:t>
      </w:r>
      <w:r w:rsidRPr="0009479C">
        <w:rPr>
          <w:rFonts w:asciiTheme="majorBidi" w:hAnsiTheme="majorBidi" w:cstheme="majorBidi"/>
          <w:bCs/>
          <w:sz w:val="24"/>
          <w:szCs w:val="24"/>
        </w:rPr>
        <w:t xml:space="preserve"> 2012;</w:t>
      </w:r>
      <w:r w:rsidRPr="008F35BA">
        <w:rPr>
          <w:rFonts w:asciiTheme="majorBidi" w:hAnsiTheme="majorBidi" w:cstheme="majorBidi"/>
          <w:b/>
          <w:sz w:val="24"/>
          <w:szCs w:val="24"/>
        </w:rPr>
        <w:t>29</w:t>
      </w:r>
      <w:r w:rsidRPr="0009479C">
        <w:rPr>
          <w:rFonts w:asciiTheme="majorBidi" w:hAnsiTheme="majorBidi" w:cstheme="majorBidi"/>
          <w:bCs/>
          <w:sz w:val="24"/>
          <w:szCs w:val="24"/>
        </w:rPr>
        <w:t>:1917–32.</w:t>
      </w:r>
    </w:p>
    <w:p w14:paraId="13B983FF"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113. Bouckaert R, Heled J, </w:t>
      </w:r>
      <w:proofErr w:type="spellStart"/>
      <w:r w:rsidRPr="0009479C">
        <w:rPr>
          <w:rFonts w:asciiTheme="majorBidi" w:hAnsiTheme="majorBidi" w:cstheme="majorBidi"/>
          <w:bCs/>
          <w:sz w:val="24"/>
          <w:szCs w:val="24"/>
        </w:rPr>
        <w:t>Kühnert</w:t>
      </w:r>
      <w:proofErr w:type="spellEnd"/>
      <w:r w:rsidRPr="0009479C">
        <w:rPr>
          <w:rFonts w:asciiTheme="majorBidi" w:hAnsiTheme="majorBidi" w:cstheme="majorBidi"/>
          <w:bCs/>
          <w:sz w:val="24"/>
          <w:szCs w:val="24"/>
        </w:rPr>
        <w:t xml:space="preserve"> D, Vaughan T, Wu CH, </w:t>
      </w:r>
      <w:proofErr w:type="spellStart"/>
      <w:r w:rsidRPr="0009479C">
        <w:rPr>
          <w:rFonts w:asciiTheme="majorBidi" w:hAnsiTheme="majorBidi" w:cstheme="majorBidi"/>
          <w:bCs/>
          <w:sz w:val="24"/>
          <w:szCs w:val="24"/>
        </w:rPr>
        <w:t>Xie</w:t>
      </w:r>
      <w:proofErr w:type="spellEnd"/>
      <w:r w:rsidRPr="0009479C">
        <w:rPr>
          <w:rFonts w:asciiTheme="majorBidi" w:hAnsiTheme="majorBidi" w:cstheme="majorBidi"/>
          <w:bCs/>
          <w:sz w:val="24"/>
          <w:szCs w:val="24"/>
        </w:rPr>
        <w:t xml:space="preserve"> D, </w:t>
      </w:r>
      <w:r w:rsidRPr="008F35BA">
        <w:rPr>
          <w:rFonts w:asciiTheme="majorBidi" w:hAnsiTheme="majorBidi" w:cstheme="majorBidi"/>
          <w:bCs/>
          <w:i/>
          <w:iCs/>
          <w:sz w:val="24"/>
          <w:szCs w:val="24"/>
        </w:rPr>
        <w:t>et al</w:t>
      </w:r>
      <w:r w:rsidRPr="0009479C">
        <w:rPr>
          <w:rFonts w:asciiTheme="majorBidi" w:hAnsiTheme="majorBidi" w:cstheme="majorBidi"/>
          <w:bCs/>
          <w:sz w:val="24"/>
          <w:szCs w:val="24"/>
        </w:rPr>
        <w:t>. BEAST 2: A Software Platform for Bayesian Evolutionary Analysis</w:t>
      </w:r>
      <w:r w:rsidRPr="008F35BA">
        <w:rPr>
          <w:rFonts w:asciiTheme="majorBidi" w:hAnsiTheme="majorBidi" w:cstheme="majorBidi"/>
          <w:bCs/>
          <w:i/>
          <w:iCs/>
          <w:sz w:val="24"/>
          <w:szCs w:val="24"/>
        </w:rPr>
        <w:t xml:space="preserve">. </w:t>
      </w:r>
      <w:proofErr w:type="spellStart"/>
      <w:r w:rsidRPr="008F35BA">
        <w:rPr>
          <w:rFonts w:asciiTheme="majorBidi" w:hAnsiTheme="majorBidi" w:cstheme="majorBidi"/>
          <w:bCs/>
          <w:i/>
          <w:iCs/>
          <w:sz w:val="24"/>
          <w:szCs w:val="24"/>
        </w:rPr>
        <w:t>PLoS</w:t>
      </w:r>
      <w:proofErr w:type="spellEnd"/>
      <w:r w:rsidRPr="008F35BA">
        <w:rPr>
          <w:rFonts w:asciiTheme="majorBidi" w:hAnsiTheme="majorBidi" w:cstheme="majorBidi"/>
          <w:bCs/>
          <w:i/>
          <w:iCs/>
          <w:sz w:val="24"/>
          <w:szCs w:val="24"/>
        </w:rPr>
        <w:t xml:space="preserve"> </w:t>
      </w:r>
      <w:proofErr w:type="spellStart"/>
      <w:r w:rsidRPr="008F35BA">
        <w:rPr>
          <w:rFonts w:asciiTheme="majorBidi" w:hAnsiTheme="majorBidi" w:cstheme="majorBidi"/>
          <w:bCs/>
          <w:i/>
          <w:iCs/>
          <w:sz w:val="24"/>
          <w:szCs w:val="24"/>
        </w:rPr>
        <w:t>Comput</w:t>
      </w:r>
      <w:proofErr w:type="spellEnd"/>
      <w:r w:rsidRPr="008F35BA">
        <w:rPr>
          <w:rFonts w:asciiTheme="majorBidi" w:hAnsiTheme="majorBidi" w:cstheme="majorBidi"/>
          <w:bCs/>
          <w:i/>
          <w:iCs/>
          <w:sz w:val="24"/>
          <w:szCs w:val="24"/>
        </w:rPr>
        <w:t xml:space="preserve"> Biol</w:t>
      </w:r>
      <w:r w:rsidRPr="0009479C">
        <w:rPr>
          <w:rFonts w:asciiTheme="majorBidi" w:hAnsiTheme="majorBidi" w:cstheme="majorBidi"/>
          <w:bCs/>
          <w:sz w:val="24"/>
          <w:szCs w:val="24"/>
        </w:rPr>
        <w:t>. 2014;</w:t>
      </w:r>
      <w:r w:rsidRPr="008F35BA">
        <w:rPr>
          <w:rFonts w:asciiTheme="majorBidi" w:hAnsiTheme="majorBidi" w:cstheme="majorBidi"/>
          <w:b/>
          <w:sz w:val="24"/>
          <w:szCs w:val="24"/>
        </w:rPr>
        <w:t>10</w:t>
      </w:r>
      <w:r w:rsidRPr="0009479C">
        <w:rPr>
          <w:rFonts w:asciiTheme="majorBidi" w:hAnsiTheme="majorBidi" w:cstheme="majorBidi"/>
          <w:bCs/>
          <w:sz w:val="24"/>
          <w:szCs w:val="24"/>
        </w:rPr>
        <w:t>:1–6.</w:t>
      </w:r>
    </w:p>
    <w:p w14:paraId="4F0984EF"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114. </w:t>
      </w:r>
      <w:proofErr w:type="spellStart"/>
      <w:r w:rsidRPr="0009479C">
        <w:rPr>
          <w:rFonts w:asciiTheme="majorBidi" w:hAnsiTheme="majorBidi" w:cstheme="majorBidi"/>
          <w:bCs/>
          <w:sz w:val="24"/>
          <w:szCs w:val="24"/>
        </w:rPr>
        <w:t>Rambaut</w:t>
      </w:r>
      <w:proofErr w:type="spellEnd"/>
      <w:r w:rsidRPr="0009479C">
        <w:rPr>
          <w:rFonts w:asciiTheme="majorBidi" w:hAnsiTheme="majorBidi" w:cstheme="majorBidi"/>
          <w:bCs/>
          <w:sz w:val="24"/>
          <w:szCs w:val="24"/>
        </w:rPr>
        <w:t xml:space="preserve"> A, Drummond AJ, </w:t>
      </w:r>
      <w:proofErr w:type="spellStart"/>
      <w:r w:rsidRPr="0009479C">
        <w:rPr>
          <w:rFonts w:asciiTheme="majorBidi" w:hAnsiTheme="majorBidi" w:cstheme="majorBidi"/>
          <w:bCs/>
          <w:sz w:val="24"/>
          <w:szCs w:val="24"/>
        </w:rPr>
        <w:t>Xie</w:t>
      </w:r>
      <w:proofErr w:type="spellEnd"/>
      <w:r w:rsidRPr="0009479C">
        <w:rPr>
          <w:rFonts w:asciiTheme="majorBidi" w:hAnsiTheme="majorBidi" w:cstheme="majorBidi"/>
          <w:bCs/>
          <w:sz w:val="24"/>
          <w:szCs w:val="24"/>
        </w:rPr>
        <w:t xml:space="preserve"> D, </w:t>
      </w:r>
      <w:proofErr w:type="spellStart"/>
      <w:r w:rsidRPr="0009479C">
        <w:rPr>
          <w:rFonts w:asciiTheme="majorBidi" w:hAnsiTheme="majorBidi" w:cstheme="majorBidi"/>
          <w:bCs/>
          <w:sz w:val="24"/>
          <w:szCs w:val="24"/>
        </w:rPr>
        <w:t>Baele</w:t>
      </w:r>
      <w:proofErr w:type="spellEnd"/>
      <w:r w:rsidRPr="0009479C">
        <w:rPr>
          <w:rFonts w:asciiTheme="majorBidi" w:hAnsiTheme="majorBidi" w:cstheme="majorBidi"/>
          <w:bCs/>
          <w:sz w:val="24"/>
          <w:szCs w:val="24"/>
        </w:rPr>
        <w:t xml:space="preserve"> G, </w:t>
      </w:r>
      <w:proofErr w:type="spellStart"/>
      <w:r w:rsidRPr="0009479C">
        <w:rPr>
          <w:rFonts w:asciiTheme="majorBidi" w:hAnsiTheme="majorBidi" w:cstheme="majorBidi"/>
          <w:bCs/>
          <w:sz w:val="24"/>
          <w:szCs w:val="24"/>
        </w:rPr>
        <w:t>Suchard</w:t>
      </w:r>
      <w:proofErr w:type="spellEnd"/>
      <w:r w:rsidRPr="0009479C">
        <w:rPr>
          <w:rFonts w:asciiTheme="majorBidi" w:hAnsiTheme="majorBidi" w:cstheme="majorBidi"/>
          <w:bCs/>
          <w:sz w:val="24"/>
          <w:szCs w:val="24"/>
        </w:rPr>
        <w:t xml:space="preserve"> MA. Posterior summarization in Bayesian phylogenetics using Tracer 1.7. </w:t>
      </w:r>
      <w:r w:rsidRPr="008F35BA">
        <w:rPr>
          <w:rFonts w:asciiTheme="majorBidi" w:hAnsiTheme="majorBidi" w:cstheme="majorBidi"/>
          <w:bCs/>
          <w:i/>
          <w:iCs/>
          <w:sz w:val="24"/>
          <w:szCs w:val="24"/>
        </w:rPr>
        <w:t>Syst Biol</w:t>
      </w:r>
      <w:r w:rsidRPr="0009479C">
        <w:rPr>
          <w:rFonts w:asciiTheme="majorBidi" w:hAnsiTheme="majorBidi" w:cstheme="majorBidi"/>
          <w:bCs/>
          <w:sz w:val="24"/>
          <w:szCs w:val="24"/>
        </w:rPr>
        <w:t>. 2018;</w:t>
      </w:r>
      <w:r w:rsidRPr="008F35BA">
        <w:rPr>
          <w:rFonts w:asciiTheme="majorBidi" w:hAnsiTheme="majorBidi" w:cstheme="majorBidi"/>
          <w:b/>
          <w:sz w:val="24"/>
          <w:szCs w:val="24"/>
        </w:rPr>
        <w:t>67</w:t>
      </w:r>
      <w:r w:rsidRPr="0009479C">
        <w:rPr>
          <w:rFonts w:asciiTheme="majorBidi" w:hAnsiTheme="majorBidi" w:cstheme="majorBidi"/>
          <w:bCs/>
          <w:sz w:val="24"/>
          <w:szCs w:val="24"/>
        </w:rPr>
        <w:t>:901–4.</w:t>
      </w:r>
    </w:p>
    <w:p w14:paraId="3B3DA09D"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115. Bouckaert RR. </w:t>
      </w:r>
      <w:proofErr w:type="spellStart"/>
      <w:r w:rsidRPr="0009479C">
        <w:rPr>
          <w:rFonts w:asciiTheme="majorBidi" w:hAnsiTheme="majorBidi" w:cstheme="majorBidi"/>
          <w:bCs/>
          <w:sz w:val="24"/>
          <w:szCs w:val="24"/>
        </w:rPr>
        <w:t>DensiTree</w:t>
      </w:r>
      <w:proofErr w:type="spellEnd"/>
      <w:r w:rsidRPr="0009479C">
        <w:rPr>
          <w:rFonts w:asciiTheme="majorBidi" w:hAnsiTheme="majorBidi" w:cstheme="majorBidi"/>
          <w:bCs/>
          <w:sz w:val="24"/>
          <w:szCs w:val="24"/>
        </w:rPr>
        <w:t xml:space="preserve">: Making sense of sets of phylogenetic trees. </w:t>
      </w:r>
      <w:r w:rsidRPr="008F35BA">
        <w:rPr>
          <w:rFonts w:asciiTheme="majorBidi" w:hAnsiTheme="majorBidi" w:cstheme="majorBidi"/>
          <w:bCs/>
          <w:i/>
          <w:iCs/>
          <w:sz w:val="24"/>
          <w:szCs w:val="24"/>
        </w:rPr>
        <w:t>Bioinformatics</w:t>
      </w:r>
      <w:r w:rsidRPr="0009479C">
        <w:rPr>
          <w:rFonts w:asciiTheme="majorBidi" w:hAnsiTheme="majorBidi" w:cstheme="majorBidi"/>
          <w:bCs/>
          <w:sz w:val="24"/>
          <w:szCs w:val="24"/>
        </w:rPr>
        <w:t>. 2010;</w:t>
      </w:r>
      <w:r w:rsidRPr="008F35BA">
        <w:rPr>
          <w:rFonts w:asciiTheme="majorBidi" w:hAnsiTheme="majorBidi" w:cstheme="majorBidi"/>
          <w:b/>
          <w:sz w:val="24"/>
          <w:szCs w:val="24"/>
        </w:rPr>
        <w:t>26</w:t>
      </w:r>
      <w:r w:rsidRPr="0009479C">
        <w:rPr>
          <w:rFonts w:asciiTheme="majorBidi" w:hAnsiTheme="majorBidi" w:cstheme="majorBidi"/>
          <w:bCs/>
          <w:sz w:val="24"/>
          <w:szCs w:val="24"/>
        </w:rPr>
        <w:t>:1372–3.</w:t>
      </w:r>
    </w:p>
    <w:p w14:paraId="46476E11"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116. Leaché A, Fujita M, Minin V, Bouckaert R. Species Delimitation using Genome-Wide SNP Data. </w:t>
      </w:r>
      <w:r w:rsidRPr="008F35BA">
        <w:rPr>
          <w:rFonts w:asciiTheme="majorBidi" w:hAnsiTheme="majorBidi" w:cstheme="majorBidi"/>
          <w:bCs/>
          <w:i/>
          <w:iCs/>
          <w:sz w:val="24"/>
          <w:szCs w:val="24"/>
        </w:rPr>
        <w:t>Syst Biol</w:t>
      </w:r>
      <w:r w:rsidRPr="0009479C">
        <w:rPr>
          <w:rFonts w:asciiTheme="majorBidi" w:hAnsiTheme="majorBidi" w:cstheme="majorBidi"/>
          <w:bCs/>
          <w:sz w:val="24"/>
          <w:szCs w:val="24"/>
        </w:rPr>
        <w:t>. 2014. doi:10.1101/001172.</w:t>
      </w:r>
    </w:p>
    <w:p w14:paraId="3D566382"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117. </w:t>
      </w:r>
      <w:proofErr w:type="spellStart"/>
      <w:r w:rsidRPr="0009479C">
        <w:rPr>
          <w:rFonts w:asciiTheme="majorBidi" w:hAnsiTheme="majorBidi" w:cstheme="majorBidi"/>
          <w:bCs/>
          <w:sz w:val="24"/>
          <w:szCs w:val="24"/>
        </w:rPr>
        <w:t>Kass</w:t>
      </w:r>
      <w:proofErr w:type="spellEnd"/>
      <w:r w:rsidRPr="0009479C">
        <w:rPr>
          <w:rFonts w:asciiTheme="majorBidi" w:hAnsiTheme="majorBidi" w:cstheme="majorBidi"/>
          <w:bCs/>
          <w:sz w:val="24"/>
          <w:szCs w:val="24"/>
        </w:rPr>
        <w:t xml:space="preserve"> RE, Raftery AE. Bayes Factors. </w:t>
      </w:r>
      <w:r w:rsidRPr="008F35BA">
        <w:rPr>
          <w:rFonts w:asciiTheme="majorBidi" w:hAnsiTheme="majorBidi" w:cstheme="majorBidi"/>
          <w:bCs/>
          <w:i/>
          <w:iCs/>
          <w:sz w:val="24"/>
          <w:szCs w:val="24"/>
        </w:rPr>
        <w:t>J Am Stat Assoc</w:t>
      </w:r>
      <w:r w:rsidRPr="0009479C">
        <w:rPr>
          <w:rFonts w:asciiTheme="majorBidi" w:hAnsiTheme="majorBidi" w:cstheme="majorBidi"/>
          <w:bCs/>
          <w:sz w:val="24"/>
          <w:szCs w:val="24"/>
        </w:rPr>
        <w:t>. 1995;</w:t>
      </w:r>
      <w:r w:rsidRPr="008F35BA">
        <w:rPr>
          <w:rFonts w:asciiTheme="majorBidi" w:hAnsiTheme="majorBidi" w:cstheme="majorBidi"/>
          <w:b/>
          <w:sz w:val="24"/>
          <w:szCs w:val="24"/>
        </w:rPr>
        <w:t>90</w:t>
      </w:r>
      <w:r w:rsidRPr="0009479C">
        <w:rPr>
          <w:rFonts w:asciiTheme="majorBidi" w:hAnsiTheme="majorBidi" w:cstheme="majorBidi"/>
          <w:bCs/>
          <w:sz w:val="24"/>
          <w:szCs w:val="24"/>
        </w:rPr>
        <w:t>:773–95.</w:t>
      </w:r>
    </w:p>
    <w:p w14:paraId="36344A31"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118. Leaché AD, Bouckaert RR. Species trees and species delimitation with SNAPP: a tutorial and worked example. 2018.</w:t>
      </w:r>
    </w:p>
    <w:p w14:paraId="0F0F1D16"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lastRenderedPageBreak/>
        <w:t xml:space="preserve">119. </w:t>
      </w:r>
      <w:proofErr w:type="spellStart"/>
      <w:r w:rsidRPr="0009479C">
        <w:rPr>
          <w:rFonts w:asciiTheme="majorBidi" w:hAnsiTheme="majorBidi" w:cstheme="majorBidi"/>
          <w:bCs/>
          <w:sz w:val="24"/>
          <w:szCs w:val="24"/>
        </w:rPr>
        <w:t>Peakall</w:t>
      </w:r>
      <w:proofErr w:type="spellEnd"/>
      <w:r w:rsidRPr="0009479C">
        <w:rPr>
          <w:rFonts w:asciiTheme="majorBidi" w:hAnsiTheme="majorBidi" w:cstheme="majorBidi"/>
          <w:bCs/>
          <w:sz w:val="24"/>
          <w:szCs w:val="24"/>
        </w:rPr>
        <w:t xml:space="preserve"> R, </w:t>
      </w:r>
      <w:proofErr w:type="spellStart"/>
      <w:r w:rsidRPr="0009479C">
        <w:rPr>
          <w:rFonts w:asciiTheme="majorBidi" w:hAnsiTheme="majorBidi" w:cstheme="majorBidi"/>
          <w:bCs/>
          <w:sz w:val="24"/>
          <w:szCs w:val="24"/>
        </w:rPr>
        <w:t>Smouse</w:t>
      </w:r>
      <w:proofErr w:type="spellEnd"/>
      <w:r w:rsidRPr="0009479C">
        <w:rPr>
          <w:rFonts w:asciiTheme="majorBidi" w:hAnsiTheme="majorBidi" w:cstheme="majorBidi"/>
          <w:bCs/>
          <w:sz w:val="24"/>
          <w:szCs w:val="24"/>
        </w:rPr>
        <w:t xml:space="preserve"> PE. GENALEX 6: Genetic analysis in Excel. Population genetic software for teaching and research. </w:t>
      </w:r>
      <w:r w:rsidRPr="008F35BA">
        <w:rPr>
          <w:rFonts w:asciiTheme="majorBidi" w:hAnsiTheme="majorBidi" w:cstheme="majorBidi"/>
          <w:bCs/>
          <w:i/>
          <w:iCs/>
          <w:sz w:val="24"/>
          <w:szCs w:val="24"/>
        </w:rPr>
        <w:t xml:space="preserve">Mol </w:t>
      </w:r>
      <w:proofErr w:type="spellStart"/>
      <w:r w:rsidRPr="008F35BA">
        <w:rPr>
          <w:rFonts w:asciiTheme="majorBidi" w:hAnsiTheme="majorBidi" w:cstheme="majorBidi"/>
          <w:bCs/>
          <w:i/>
          <w:iCs/>
          <w:sz w:val="24"/>
          <w:szCs w:val="24"/>
        </w:rPr>
        <w:t>Ecol</w:t>
      </w:r>
      <w:proofErr w:type="spellEnd"/>
      <w:r w:rsidRPr="008F35BA">
        <w:rPr>
          <w:rFonts w:asciiTheme="majorBidi" w:hAnsiTheme="majorBidi" w:cstheme="majorBidi"/>
          <w:bCs/>
          <w:i/>
          <w:iCs/>
          <w:sz w:val="24"/>
          <w:szCs w:val="24"/>
        </w:rPr>
        <w:t xml:space="preserve"> Notes</w:t>
      </w:r>
      <w:r w:rsidRPr="0009479C">
        <w:rPr>
          <w:rFonts w:asciiTheme="majorBidi" w:hAnsiTheme="majorBidi" w:cstheme="majorBidi"/>
          <w:bCs/>
          <w:sz w:val="24"/>
          <w:szCs w:val="24"/>
        </w:rPr>
        <w:t>. 2006;</w:t>
      </w:r>
      <w:r w:rsidRPr="008F35BA">
        <w:rPr>
          <w:rFonts w:asciiTheme="majorBidi" w:hAnsiTheme="majorBidi" w:cstheme="majorBidi"/>
          <w:b/>
          <w:sz w:val="24"/>
          <w:szCs w:val="24"/>
        </w:rPr>
        <w:t>6</w:t>
      </w:r>
      <w:r w:rsidRPr="0009479C">
        <w:rPr>
          <w:rFonts w:asciiTheme="majorBidi" w:hAnsiTheme="majorBidi" w:cstheme="majorBidi"/>
          <w:bCs/>
          <w:sz w:val="24"/>
          <w:szCs w:val="24"/>
        </w:rPr>
        <w:t>:288–95.</w:t>
      </w:r>
    </w:p>
    <w:p w14:paraId="51DB7BF4"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120. </w:t>
      </w:r>
      <w:proofErr w:type="spellStart"/>
      <w:r w:rsidRPr="0009479C">
        <w:rPr>
          <w:rFonts w:asciiTheme="majorBidi" w:hAnsiTheme="majorBidi" w:cstheme="majorBidi"/>
          <w:bCs/>
          <w:sz w:val="24"/>
          <w:szCs w:val="24"/>
        </w:rPr>
        <w:t>Zhdanova</w:t>
      </w:r>
      <w:proofErr w:type="spellEnd"/>
      <w:r w:rsidRPr="0009479C">
        <w:rPr>
          <w:rFonts w:asciiTheme="majorBidi" w:hAnsiTheme="majorBidi" w:cstheme="majorBidi"/>
          <w:bCs/>
          <w:sz w:val="24"/>
          <w:szCs w:val="24"/>
        </w:rPr>
        <w:t xml:space="preserve"> OL, </w:t>
      </w:r>
      <w:proofErr w:type="spellStart"/>
      <w:r w:rsidRPr="0009479C">
        <w:rPr>
          <w:rFonts w:asciiTheme="majorBidi" w:hAnsiTheme="majorBidi" w:cstheme="majorBidi"/>
          <w:bCs/>
          <w:sz w:val="24"/>
          <w:szCs w:val="24"/>
        </w:rPr>
        <w:t>Pudovkin</w:t>
      </w:r>
      <w:proofErr w:type="spellEnd"/>
      <w:r w:rsidRPr="0009479C">
        <w:rPr>
          <w:rFonts w:asciiTheme="majorBidi" w:hAnsiTheme="majorBidi" w:cstheme="majorBidi"/>
          <w:bCs/>
          <w:sz w:val="24"/>
          <w:szCs w:val="24"/>
        </w:rPr>
        <w:t xml:space="preserve"> AI. </w:t>
      </w:r>
      <w:proofErr w:type="spellStart"/>
      <w:r w:rsidRPr="0009479C">
        <w:rPr>
          <w:rFonts w:asciiTheme="majorBidi" w:hAnsiTheme="majorBidi" w:cstheme="majorBidi"/>
          <w:bCs/>
          <w:sz w:val="24"/>
          <w:szCs w:val="24"/>
        </w:rPr>
        <w:t>Nb_HetEx</w:t>
      </w:r>
      <w:proofErr w:type="spellEnd"/>
      <w:r w:rsidRPr="0009479C">
        <w:rPr>
          <w:rFonts w:asciiTheme="majorBidi" w:hAnsiTheme="majorBidi" w:cstheme="majorBidi"/>
          <w:bCs/>
          <w:sz w:val="24"/>
          <w:szCs w:val="24"/>
        </w:rPr>
        <w:t xml:space="preserve">: A program to estimate the effective number of breeders. </w:t>
      </w:r>
      <w:r w:rsidRPr="008F35BA">
        <w:rPr>
          <w:rFonts w:asciiTheme="majorBidi" w:hAnsiTheme="majorBidi" w:cstheme="majorBidi"/>
          <w:bCs/>
          <w:i/>
          <w:iCs/>
          <w:sz w:val="24"/>
          <w:szCs w:val="24"/>
        </w:rPr>
        <w:t xml:space="preserve">J </w:t>
      </w:r>
      <w:proofErr w:type="spellStart"/>
      <w:r w:rsidRPr="008F35BA">
        <w:rPr>
          <w:rFonts w:asciiTheme="majorBidi" w:hAnsiTheme="majorBidi" w:cstheme="majorBidi"/>
          <w:bCs/>
          <w:i/>
          <w:iCs/>
          <w:sz w:val="24"/>
          <w:szCs w:val="24"/>
        </w:rPr>
        <w:t>Hered</w:t>
      </w:r>
      <w:proofErr w:type="spellEnd"/>
      <w:r w:rsidRPr="0009479C">
        <w:rPr>
          <w:rFonts w:asciiTheme="majorBidi" w:hAnsiTheme="majorBidi" w:cstheme="majorBidi"/>
          <w:bCs/>
          <w:sz w:val="24"/>
          <w:szCs w:val="24"/>
        </w:rPr>
        <w:t>. 2008;</w:t>
      </w:r>
      <w:r w:rsidRPr="008F35BA">
        <w:rPr>
          <w:rFonts w:asciiTheme="majorBidi" w:hAnsiTheme="majorBidi" w:cstheme="majorBidi"/>
          <w:b/>
          <w:sz w:val="24"/>
          <w:szCs w:val="24"/>
        </w:rPr>
        <w:t>99</w:t>
      </w:r>
      <w:r w:rsidRPr="0009479C">
        <w:rPr>
          <w:rFonts w:asciiTheme="majorBidi" w:hAnsiTheme="majorBidi" w:cstheme="majorBidi"/>
          <w:bCs/>
          <w:sz w:val="24"/>
          <w:szCs w:val="24"/>
        </w:rPr>
        <w:t>:694–5.</w:t>
      </w:r>
    </w:p>
    <w:p w14:paraId="6C2F2ADC"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121. Nomura T. Estimation of effective number of breeders from molecular </w:t>
      </w:r>
      <w:proofErr w:type="spellStart"/>
      <w:r w:rsidRPr="0009479C">
        <w:rPr>
          <w:rFonts w:asciiTheme="majorBidi" w:hAnsiTheme="majorBidi" w:cstheme="majorBidi"/>
          <w:bCs/>
          <w:sz w:val="24"/>
          <w:szCs w:val="24"/>
        </w:rPr>
        <w:t>coancestry</w:t>
      </w:r>
      <w:proofErr w:type="spellEnd"/>
      <w:r w:rsidRPr="0009479C">
        <w:rPr>
          <w:rFonts w:asciiTheme="majorBidi" w:hAnsiTheme="majorBidi" w:cstheme="majorBidi"/>
          <w:bCs/>
          <w:sz w:val="24"/>
          <w:szCs w:val="24"/>
        </w:rPr>
        <w:t xml:space="preserve"> of single cohort sample. </w:t>
      </w:r>
      <w:r w:rsidRPr="003E126F">
        <w:rPr>
          <w:rFonts w:asciiTheme="majorBidi" w:hAnsiTheme="majorBidi" w:cstheme="majorBidi"/>
          <w:bCs/>
          <w:i/>
          <w:iCs/>
          <w:sz w:val="24"/>
          <w:szCs w:val="24"/>
        </w:rPr>
        <w:t>Evol Appl</w:t>
      </w:r>
      <w:r w:rsidRPr="0009479C">
        <w:rPr>
          <w:rFonts w:asciiTheme="majorBidi" w:hAnsiTheme="majorBidi" w:cstheme="majorBidi"/>
          <w:bCs/>
          <w:sz w:val="24"/>
          <w:szCs w:val="24"/>
        </w:rPr>
        <w:t>. 2008;</w:t>
      </w:r>
      <w:r w:rsidRPr="003E126F">
        <w:rPr>
          <w:rFonts w:asciiTheme="majorBidi" w:hAnsiTheme="majorBidi" w:cstheme="majorBidi"/>
          <w:b/>
          <w:sz w:val="24"/>
          <w:szCs w:val="24"/>
        </w:rPr>
        <w:t>1</w:t>
      </w:r>
      <w:r w:rsidRPr="0009479C">
        <w:rPr>
          <w:rFonts w:asciiTheme="majorBidi" w:hAnsiTheme="majorBidi" w:cstheme="majorBidi"/>
          <w:bCs/>
          <w:sz w:val="24"/>
          <w:szCs w:val="24"/>
        </w:rPr>
        <w:t>:462–74.</w:t>
      </w:r>
    </w:p>
    <w:p w14:paraId="688C375A"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122. Do C, </w:t>
      </w:r>
      <w:proofErr w:type="spellStart"/>
      <w:r w:rsidRPr="0009479C">
        <w:rPr>
          <w:rFonts w:asciiTheme="majorBidi" w:hAnsiTheme="majorBidi" w:cstheme="majorBidi"/>
          <w:bCs/>
          <w:sz w:val="24"/>
          <w:szCs w:val="24"/>
        </w:rPr>
        <w:t>Waples</w:t>
      </w:r>
      <w:proofErr w:type="spellEnd"/>
      <w:r w:rsidRPr="0009479C">
        <w:rPr>
          <w:rFonts w:asciiTheme="majorBidi" w:hAnsiTheme="majorBidi" w:cstheme="majorBidi"/>
          <w:bCs/>
          <w:sz w:val="24"/>
          <w:szCs w:val="24"/>
        </w:rPr>
        <w:t xml:space="preserve"> RS, Peel D, Macbeth GM, Tillett BJ, Ovenden JR. NeEstimator v2: Re-implementation of software for the estimation of contemporary effective population size (</w:t>
      </w:r>
      <w:r w:rsidRPr="003E126F">
        <w:rPr>
          <w:rFonts w:asciiTheme="majorBidi" w:hAnsiTheme="majorBidi" w:cstheme="majorBidi"/>
          <w:bCs/>
          <w:i/>
          <w:iCs/>
          <w:sz w:val="24"/>
          <w:szCs w:val="24"/>
        </w:rPr>
        <w:t>Ne</w:t>
      </w:r>
      <w:r w:rsidRPr="0009479C">
        <w:rPr>
          <w:rFonts w:asciiTheme="majorBidi" w:hAnsiTheme="majorBidi" w:cstheme="majorBidi"/>
          <w:bCs/>
          <w:sz w:val="24"/>
          <w:szCs w:val="24"/>
        </w:rPr>
        <w:t xml:space="preserve">) from genetic data. </w:t>
      </w:r>
      <w:r w:rsidRPr="003E126F">
        <w:rPr>
          <w:rFonts w:asciiTheme="majorBidi" w:hAnsiTheme="majorBidi" w:cstheme="majorBidi"/>
          <w:bCs/>
          <w:i/>
          <w:iCs/>
          <w:sz w:val="24"/>
          <w:szCs w:val="24"/>
        </w:rPr>
        <w:t xml:space="preserve">Mol </w:t>
      </w:r>
      <w:proofErr w:type="spellStart"/>
      <w:r w:rsidRPr="003E126F">
        <w:rPr>
          <w:rFonts w:asciiTheme="majorBidi" w:hAnsiTheme="majorBidi" w:cstheme="majorBidi"/>
          <w:bCs/>
          <w:i/>
          <w:iCs/>
          <w:sz w:val="24"/>
          <w:szCs w:val="24"/>
        </w:rPr>
        <w:t>Ecol</w:t>
      </w:r>
      <w:proofErr w:type="spellEnd"/>
      <w:r w:rsidRPr="003E126F">
        <w:rPr>
          <w:rFonts w:asciiTheme="majorBidi" w:hAnsiTheme="majorBidi" w:cstheme="majorBidi"/>
          <w:bCs/>
          <w:i/>
          <w:iCs/>
          <w:sz w:val="24"/>
          <w:szCs w:val="24"/>
        </w:rPr>
        <w:t xml:space="preserve"> </w:t>
      </w:r>
      <w:proofErr w:type="spellStart"/>
      <w:r w:rsidRPr="003E126F">
        <w:rPr>
          <w:rFonts w:asciiTheme="majorBidi" w:hAnsiTheme="majorBidi" w:cstheme="majorBidi"/>
          <w:bCs/>
          <w:i/>
          <w:iCs/>
          <w:sz w:val="24"/>
          <w:szCs w:val="24"/>
        </w:rPr>
        <w:t>Resour</w:t>
      </w:r>
      <w:proofErr w:type="spellEnd"/>
      <w:r w:rsidRPr="0009479C">
        <w:rPr>
          <w:rFonts w:asciiTheme="majorBidi" w:hAnsiTheme="majorBidi" w:cstheme="majorBidi"/>
          <w:bCs/>
          <w:sz w:val="24"/>
          <w:szCs w:val="24"/>
        </w:rPr>
        <w:t>. 2014;</w:t>
      </w:r>
      <w:r w:rsidRPr="003E126F">
        <w:rPr>
          <w:rFonts w:asciiTheme="majorBidi" w:hAnsiTheme="majorBidi" w:cstheme="majorBidi"/>
          <w:b/>
          <w:sz w:val="24"/>
          <w:szCs w:val="24"/>
        </w:rPr>
        <w:t>14</w:t>
      </w:r>
      <w:r w:rsidRPr="0009479C">
        <w:rPr>
          <w:rFonts w:asciiTheme="majorBidi" w:hAnsiTheme="majorBidi" w:cstheme="majorBidi"/>
          <w:bCs/>
          <w:sz w:val="24"/>
          <w:szCs w:val="24"/>
        </w:rPr>
        <w:t>:209–14.</w:t>
      </w:r>
    </w:p>
    <w:p w14:paraId="6634543B"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123. </w:t>
      </w:r>
      <w:proofErr w:type="spellStart"/>
      <w:r w:rsidRPr="0009479C">
        <w:rPr>
          <w:rFonts w:asciiTheme="majorBidi" w:hAnsiTheme="majorBidi" w:cstheme="majorBidi"/>
          <w:bCs/>
          <w:sz w:val="24"/>
          <w:szCs w:val="24"/>
        </w:rPr>
        <w:t>Foll</w:t>
      </w:r>
      <w:proofErr w:type="spellEnd"/>
      <w:r w:rsidRPr="0009479C">
        <w:rPr>
          <w:rFonts w:asciiTheme="majorBidi" w:hAnsiTheme="majorBidi" w:cstheme="majorBidi"/>
          <w:bCs/>
          <w:sz w:val="24"/>
          <w:szCs w:val="24"/>
        </w:rPr>
        <w:t xml:space="preserve"> M, </w:t>
      </w:r>
      <w:proofErr w:type="spellStart"/>
      <w:r w:rsidRPr="0009479C">
        <w:rPr>
          <w:rFonts w:asciiTheme="majorBidi" w:hAnsiTheme="majorBidi" w:cstheme="majorBidi"/>
          <w:bCs/>
          <w:sz w:val="24"/>
          <w:szCs w:val="24"/>
        </w:rPr>
        <w:t>Gaggiotti</w:t>
      </w:r>
      <w:proofErr w:type="spellEnd"/>
      <w:r w:rsidRPr="0009479C">
        <w:rPr>
          <w:rFonts w:asciiTheme="majorBidi" w:hAnsiTheme="majorBidi" w:cstheme="majorBidi"/>
          <w:bCs/>
          <w:sz w:val="24"/>
          <w:szCs w:val="24"/>
        </w:rPr>
        <w:t xml:space="preserve"> O. A genome-scan method to identify selected loci appropriate for both dominant and codominant markers: A Bayesian perspective. </w:t>
      </w:r>
      <w:r w:rsidRPr="003E126F">
        <w:rPr>
          <w:rFonts w:asciiTheme="majorBidi" w:hAnsiTheme="majorBidi" w:cstheme="majorBidi"/>
          <w:bCs/>
          <w:i/>
          <w:iCs/>
          <w:sz w:val="24"/>
          <w:szCs w:val="24"/>
        </w:rPr>
        <w:t>Genetics</w:t>
      </w:r>
      <w:r w:rsidRPr="0009479C">
        <w:rPr>
          <w:rFonts w:asciiTheme="majorBidi" w:hAnsiTheme="majorBidi" w:cstheme="majorBidi"/>
          <w:bCs/>
          <w:sz w:val="24"/>
          <w:szCs w:val="24"/>
        </w:rPr>
        <w:t>. 2008;</w:t>
      </w:r>
      <w:r w:rsidRPr="003E126F">
        <w:rPr>
          <w:rFonts w:asciiTheme="majorBidi" w:hAnsiTheme="majorBidi" w:cstheme="majorBidi"/>
          <w:b/>
          <w:sz w:val="24"/>
          <w:szCs w:val="24"/>
        </w:rPr>
        <w:t>180</w:t>
      </w:r>
      <w:r w:rsidRPr="0009479C">
        <w:rPr>
          <w:rFonts w:asciiTheme="majorBidi" w:hAnsiTheme="majorBidi" w:cstheme="majorBidi"/>
          <w:bCs/>
          <w:sz w:val="24"/>
          <w:szCs w:val="24"/>
        </w:rPr>
        <w:t>:977–93.</w:t>
      </w:r>
    </w:p>
    <w:p w14:paraId="009041CA" w14:textId="4E8253F4"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124. </w:t>
      </w:r>
      <w:proofErr w:type="spellStart"/>
      <w:r w:rsidRPr="0009479C">
        <w:rPr>
          <w:rFonts w:asciiTheme="majorBidi" w:hAnsiTheme="majorBidi" w:cstheme="majorBidi"/>
          <w:bCs/>
          <w:sz w:val="24"/>
          <w:szCs w:val="24"/>
        </w:rPr>
        <w:t>Foll</w:t>
      </w:r>
      <w:proofErr w:type="spellEnd"/>
      <w:r w:rsidRPr="0009479C">
        <w:rPr>
          <w:rFonts w:asciiTheme="majorBidi" w:hAnsiTheme="majorBidi" w:cstheme="majorBidi"/>
          <w:bCs/>
          <w:sz w:val="24"/>
          <w:szCs w:val="24"/>
        </w:rPr>
        <w:t xml:space="preserve"> M. BayeScan v2.0 User Manual. 2010;1–9.</w:t>
      </w:r>
    </w:p>
    <w:p w14:paraId="39389A81" w14:textId="77777777" w:rsidR="0009479C" w:rsidRPr="0009479C"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125. R Core Team. R: A Language and Environment for Statistical Computing. 2020. https://www.r-project.org/.</w:t>
      </w:r>
    </w:p>
    <w:p w14:paraId="3280BB63" w14:textId="2C8FABC4" w:rsidR="001B2940" w:rsidRDefault="0009479C" w:rsidP="008F35BA">
      <w:pPr>
        <w:ind w:left="720" w:hanging="720"/>
        <w:jc w:val="both"/>
        <w:rPr>
          <w:rFonts w:asciiTheme="majorBidi" w:hAnsiTheme="majorBidi" w:cstheme="majorBidi"/>
          <w:bCs/>
          <w:sz w:val="24"/>
          <w:szCs w:val="24"/>
        </w:rPr>
      </w:pPr>
      <w:r w:rsidRPr="0009479C">
        <w:rPr>
          <w:rFonts w:asciiTheme="majorBidi" w:hAnsiTheme="majorBidi" w:cstheme="majorBidi"/>
          <w:bCs/>
          <w:sz w:val="24"/>
          <w:szCs w:val="24"/>
        </w:rPr>
        <w:t xml:space="preserve">126. Del Pedraza-Marrón CR. </w:t>
      </w:r>
      <w:proofErr w:type="spellStart"/>
      <w:r w:rsidRPr="0009479C">
        <w:rPr>
          <w:rFonts w:asciiTheme="majorBidi" w:hAnsiTheme="majorBidi" w:cstheme="majorBidi"/>
          <w:bCs/>
          <w:sz w:val="24"/>
          <w:szCs w:val="24"/>
        </w:rPr>
        <w:t>Cambios</w:t>
      </w:r>
      <w:proofErr w:type="spellEnd"/>
      <w:r w:rsidRPr="0009479C">
        <w:rPr>
          <w:rFonts w:asciiTheme="majorBidi" w:hAnsiTheme="majorBidi" w:cstheme="majorBidi"/>
          <w:bCs/>
          <w:sz w:val="24"/>
          <w:szCs w:val="24"/>
        </w:rPr>
        <w:t xml:space="preserve"> en la </w:t>
      </w:r>
      <w:proofErr w:type="spellStart"/>
      <w:r w:rsidRPr="0009479C">
        <w:rPr>
          <w:rFonts w:asciiTheme="majorBidi" w:hAnsiTheme="majorBidi" w:cstheme="majorBidi"/>
          <w:bCs/>
          <w:sz w:val="24"/>
          <w:szCs w:val="24"/>
        </w:rPr>
        <w:t>distribución</w:t>
      </w:r>
      <w:proofErr w:type="spellEnd"/>
      <w:r w:rsidRPr="0009479C">
        <w:rPr>
          <w:rFonts w:asciiTheme="majorBidi" w:hAnsiTheme="majorBidi" w:cstheme="majorBidi"/>
          <w:bCs/>
          <w:sz w:val="24"/>
          <w:szCs w:val="24"/>
        </w:rPr>
        <w:t xml:space="preserve"> de </w:t>
      </w:r>
      <w:proofErr w:type="spellStart"/>
      <w:r w:rsidRPr="0009479C">
        <w:rPr>
          <w:rFonts w:asciiTheme="majorBidi" w:hAnsiTheme="majorBidi" w:cstheme="majorBidi"/>
          <w:bCs/>
          <w:sz w:val="24"/>
          <w:szCs w:val="24"/>
        </w:rPr>
        <w:t>los</w:t>
      </w:r>
      <w:proofErr w:type="spellEnd"/>
      <w:r w:rsidRPr="0009479C">
        <w:rPr>
          <w:rFonts w:asciiTheme="majorBidi" w:hAnsiTheme="majorBidi" w:cstheme="majorBidi"/>
          <w:bCs/>
          <w:sz w:val="24"/>
          <w:szCs w:val="24"/>
        </w:rPr>
        <w:t xml:space="preserve"> peces de </w:t>
      </w:r>
      <w:proofErr w:type="spellStart"/>
      <w:r w:rsidRPr="0009479C">
        <w:rPr>
          <w:rFonts w:asciiTheme="majorBidi" w:hAnsiTheme="majorBidi" w:cstheme="majorBidi"/>
          <w:bCs/>
          <w:sz w:val="24"/>
          <w:szCs w:val="24"/>
        </w:rPr>
        <w:t>agua</w:t>
      </w:r>
      <w:proofErr w:type="spellEnd"/>
      <w:r w:rsidRPr="0009479C">
        <w:rPr>
          <w:rFonts w:asciiTheme="majorBidi" w:hAnsiTheme="majorBidi" w:cstheme="majorBidi"/>
          <w:bCs/>
          <w:sz w:val="24"/>
          <w:szCs w:val="24"/>
        </w:rPr>
        <w:t xml:space="preserve"> dulce del Centro de México y sus </w:t>
      </w:r>
      <w:proofErr w:type="spellStart"/>
      <w:r w:rsidRPr="0009479C">
        <w:rPr>
          <w:rFonts w:asciiTheme="majorBidi" w:hAnsiTheme="majorBidi" w:cstheme="majorBidi"/>
          <w:bCs/>
          <w:sz w:val="24"/>
          <w:szCs w:val="24"/>
        </w:rPr>
        <w:t>posibles</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causas</w:t>
      </w:r>
      <w:proofErr w:type="spellEnd"/>
      <w:r w:rsidRPr="0009479C">
        <w:rPr>
          <w:rFonts w:asciiTheme="majorBidi" w:hAnsiTheme="majorBidi" w:cstheme="majorBidi"/>
          <w:bCs/>
          <w:sz w:val="24"/>
          <w:szCs w:val="24"/>
        </w:rPr>
        <w:t xml:space="preserve"> </w:t>
      </w:r>
      <w:proofErr w:type="spellStart"/>
      <w:r w:rsidRPr="0009479C">
        <w:rPr>
          <w:rFonts w:asciiTheme="majorBidi" w:hAnsiTheme="majorBidi" w:cstheme="majorBidi"/>
          <w:bCs/>
          <w:sz w:val="24"/>
          <w:szCs w:val="24"/>
        </w:rPr>
        <w:t>antropogénicas</w:t>
      </w:r>
      <w:proofErr w:type="spellEnd"/>
      <w:r w:rsidRPr="0009479C">
        <w:rPr>
          <w:rFonts w:asciiTheme="majorBidi" w:hAnsiTheme="majorBidi" w:cstheme="majorBidi"/>
          <w:bCs/>
          <w:sz w:val="24"/>
          <w:szCs w:val="24"/>
        </w:rPr>
        <w:t>. Universidad Michoacana de San Nicolás de Hidalgo; 2012.</w:t>
      </w:r>
    </w:p>
    <w:p w14:paraId="1179C922" w14:textId="77777777" w:rsidR="00FE5299" w:rsidRDefault="00FE5299" w:rsidP="008F35BA">
      <w:pPr>
        <w:ind w:left="720" w:hanging="720"/>
        <w:jc w:val="both"/>
        <w:rPr>
          <w:rFonts w:asciiTheme="majorBidi" w:hAnsiTheme="majorBidi" w:cstheme="majorBidi"/>
          <w:bCs/>
          <w:sz w:val="24"/>
          <w:szCs w:val="24"/>
        </w:rPr>
      </w:pPr>
    </w:p>
    <w:p w14:paraId="30F3C238" w14:textId="77777777" w:rsidR="00FE5299" w:rsidRDefault="00FE5299" w:rsidP="008F35BA">
      <w:pPr>
        <w:ind w:left="720" w:hanging="720"/>
        <w:jc w:val="both"/>
        <w:rPr>
          <w:rFonts w:asciiTheme="majorBidi" w:hAnsiTheme="majorBidi" w:cstheme="majorBidi"/>
          <w:bCs/>
          <w:sz w:val="24"/>
          <w:szCs w:val="24"/>
        </w:rPr>
      </w:pPr>
    </w:p>
    <w:p w14:paraId="3ADC48EC" w14:textId="77777777" w:rsidR="00FE5299" w:rsidRDefault="00FE5299" w:rsidP="008F35BA">
      <w:pPr>
        <w:ind w:left="720" w:hanging="720"/>
        <w:jc w:val="both"/>
        <w:rPr>
          <w:rFonts w:asciiTheme="majorBidi" w:hAnsiTheme="majorBidi" w:cstheme="majorBidi"/>
          <w:bCs/>
          <w:sz w:val="24"/>
          <w:szCs w:val="24"/>
        </w:rPr>
      </w:pPr>
    </w:p>
    <w:p w14:paraId="3277ACE3" w14:textId="77777777" w:rsidR="00FE5299" w:rsidRDefault="00FE5299" w:rsidP="008F35BA">
      <w:pPr>
        <w:ind w:left="720" w:hanging="720"/>
        <w:jc w:val="both"/>
        <w:rPr>
          <w:rFonts w:asciiTheme="majorBidi" w:hAnsiTheme="majorBidi" w:cstheme="majorBidi"/>
          <w:bCs/>
          <w:sz w:val="24"/>
          <w:szCs w:val="24"/>
        </w:rPr>
      </w:pPr>
    </w:p>
    <w:p w14:paraId="3DC0371D" w14:textId="77777777" w:rsidR="00FE5299" w:rsidRDefault="00FE5299" w:rsidP="008F35BA">
      <w:pPr>
        <w:ind w:left="720" w:hanging="720"/>
        <w:jc w:val="both"/>
        <w:rPr>
          <w:rFonts w:asciiTheme="majorBidi" w:hAnsiTheme="majorBidi" w:cstheme="majorBidi"/>
          <w:bCs/>
          <w:sz w:val="24"/>
          <w:szCs w:val="24"/>
        </w:rPr>
      </w:pPr>
    </w:p>
    <w:p w14:paraId="68CE6A41" w14:textId="77777777" w:rsidR="00FE5299" w:rsidRDefault="00FE5299" w:rsidP="008F35BA">
      <w:pPr>
        <w:ind w:left="720" w:hanging="720"/>
        <w:jc w:val="both"/>
        <w:rPr>
          <w:rFonts w:asciiTheme="majorBidi" w:hAnsiTheme="majorBidi" w:cstheme="majorBidi"/>
          <w:bCs/>
          <w:sz w:val="24"/>
          <w:szCs w:val="24"/>
        </w:rPr>
      </w:pPr>
    </w:p>
    <w:p w14:paraId="15DE9177" w14:textId="77777777" w:rsidR="00FE5299" w:rsidRDefault="00FE5299" w:rsidP="008F35BA">
      <w:pPr>
        <w:ind w:left="720" w:hanging="720"/>
        <w:jc w:val="both"/>
        <w:rPr>
          <w:rFonts w:asciiTheme="majorBidi" w:hAnsiTheme="majorBidi" w:cstheme="majorBidi"/>
          <w:bCs/>
          <w:sz w:val="24"/>
          <w:szCs w:val="24"/>
        </w:rPr>
      </w:pPr>
    </w:p>
    <w:p w14:paraId="294D71A7" w14:textId="77777777" w:rsidR="00FE5299" w:rsidRDefault="00FE5299" w:rsidP="008F35BA">
      <w:pPr>
        <w:ind w:left="720" w:hanging="720"/>
        <w:jc w:val="both"/>
        <w:rPr>
          <w:rFonts w:asciiTheme="majorBidi" w:hAnsiTheme="majorBidi" w:cstheme="majorBidi"/>
          <w:bCs/>
          <w:sz w:val="24"/>
          <w:szCs w:val="24"/>
        </w:rPr>
      </w:pPr>
    </w:p>
    <w:p w14:paraId="7C979159" w14:textId="77777777" w:rsidR="00FE5299" w:rsidRDefault="00FE5299" w:rsidP="008F35BA">
      <w:pPr>
        <w:ind w:left="720" w:hanging="720"/>
        <w:jc w:val="both"/>
        <w:rPr>
          <w:rFonts w:asciiTheme="majorBidi" w:hAnsiTheme="majorBidi" w:cstheme="majorBidi"/>
          <w:bCs/>
          <w:sz w:val="24"/>
          <w:szCs w:val="24"/>
        </w:rPr>
      </w:pPr>
    </w:p>
    <w:p w14:paraId="44FD2B16" w14:textId="77777777" w:rsidR="00FE5299" w:rsidRDefault="00FE5299" w:rsidP="008F35BA">
      <w:pPr>
        <w:ind w:left="720" w:hanging="720"/>
        <w:jc w:val="both"/>
        <w:rPr>
          <w:rFonts w:asciiTheme="majorBidi" w:hAnsiTheme="majorBidi" w:cstheme="majorBidi"/>
          <w:bCs/>
          <w:sz w:val="24"/>
          <w:szCs w:val="24"/>
        </w:rPr>
      </w:pPr>
    </w:p>
    <w:p w14:paraId="7C16E7AE" w14:textId="77777777" w:rsidR="00FE5299" w:rsidRDefault="00FE5299" w:rsidP="008F35BA">
      <w:pPr>
        <w:ind w:left="720" w:hanging="720"/>
        <w:jc w:val="both"/>
        <w:rPr>
          <w:rFonts w:asciiTheme="majorBidi" w:hAnsiTheme="majorBidi" w:cstheme="majorBidi"/>
          <w:bCs/>
          <w:sz w:val="24"/>
          <w:szCs w:val="24"/>
        </w:rPr>
      </w:pPr>
    </w:p>
    <w:p w14:paraId="736DA86C" w14:textId="77777777" w:rsidR="00FE5299" w:rsidRDefault="00FE5299" w:rsidP="008F35BA">
      <w:pPr>
        <w:ind w:left="720" w:hanging="720"/>
        <w:jc w:val="both"/>
        <w:rPr>
          <w:rFonts w:asciiTheme="majorBidi" w:hAnsiTheme="majorBidi" w:cstheme="majorBidi"/>
          <w:bCs/>
          <w:sz w:val="24"/>
          <w:szCs w:val="24"/>
        </w:rPr>
      </w:pPr>
    </w:p>
    <w:p w14:paraId="382BB180" w14:textId="77777777" w:rsidR="00FE5299" w:rsidRDefault="00FE5299" w:rsidP="008F35BA">
      <w:pPr>
        <w:ind w:left="720" w:hanging="720"/>
        <w:jc w:val="both"/>
        <w:rPr>
          <w:rFonts w:asciiTheme="majorBidi" w:hAnsiTheme="majorBidi" w:cstheme="majorBidi"/>
          <w:bCs/>
          <w:sz w:val="24"/>
          <w:szCs w:val="24"/>
        </w:rPr>
      </w:pPr>
    </w:p>
    <w:p w14:paraId="22075ADB" w14:textId="77777777" w:rsidR="00FE5299" w:rsidRDefault="00FE5299" w:rsidP="008F35BA">
      <w:pPr>
        <w:ind w:left="720" w:hanging="720"/>
        <w:jc w:val="both"/>
        <w:rPr>
          <w:rFonts w:asciiTheme="majorBidi" w:hAnsiTheme="majorBidi" w:cstheme="majorBidi"/>
          <w:bCs/>
          <w:sz w:val="24"/>
          <w:szCs w:val="24"/>
        </w:rPr>
      </w:pPr>
    </w:p>
    <w:p w14:paraId="044E9964" w14:textId="452EB362" w:rsidR="00FE5299" w:rsidRDefault="00FE5299" w:rsidP="00FE5299">
      <w:pPr>
        <w:rPr>
          <w:rFonts w:asciiTheme="majorBidi" w:hAnsiTheme="majorBidi" w:cstheme="majorBidi"/>
          <w:b/>
          <w:bCs/>
          <w:sz w:val="56"/>
          <w:szCs w:val="56"/>
        </w:rPr>
      </w:pPr>
      <w:r>
        <w:rPr>
          <w:rFonts w:asciiTheme="majorBidi" w:hAnsiTheme="majorBidi" w:cstheme="majorBidi"/>
          <w:b/>
          <w:bCs/>
          <w:sz w:val="56"/>
          <w:szCs w:val="56"/>
        </w:rPr>
        <w:lastRenderedPageBreak/>
        <w:t>Chapter 3</w:t>
      </w:r>
    </w:p>
    <w:p w14:paraId="565F38E4" w14:textId="77777777" w:rsidR="00FE5299" w:rsidRDefault="00FE5299" w:rsidP="00FE5299">
      <w:pPr>
        <w:rPr>
          <w:rFonts w:asciiTheme="majorBidi" w:hAnsiTheme="majorBidi" w:cstheme="majorBidi"/>
          <w:b/>
          <w:bCs/>
          <w:sz w:val="56"/>
          <w:szCs w:val="56"/>
        </w:rPr>
      </w:pPr>
    </w:p>
    <w:p w14:paraId="1E165913" w14:textId="007CF8B9" w:rsidR="00FE5299" w:rsidRDefault="00FE5299" w:rsidP="00FE5299">
      <w:pPr>
        <w:rPr>
          <w:rFonts w:asciiTheme="majorBidi" w:hAnsiTheme="majorBidi" w:cstheme="majorBidi"/>
          <w:b/>
          <w:bCs/>
          <w:sz w:val="56"/>
          <w:szCs w:val="56"/>
        </w:rPr>
      </w:pPr>
      <w:r w:rsidRPr="00FE5299">
        <w:rPr>
          <w:rFonts w:asciiTheme="majorBidi" w:hAnsiTheme="majorBidi" w:cstheme="majorBidi"/>
          <w:b/>
          <w:bCs/>
          <w:sz w:val="56"/>
          <w:szCs w:val="56"/>
        </w:rPr>
        <w:t>Beneath the Waves: Depth, Temperature, and Spatial Components Driving Genetic Differentiation at Micro and Macroevolutionary Scales in Tropical Blennies</w:t>
      </w:r>
    </w:p>
    <w:p w14:paraId="5E231E4F" w14:textId="77777777" w:rsidR="00FE5299" w:rsidRDefault="00FE5299" w:rsidP="008F35BA">
      <w:pPr>
        <w:ind w:left="720" w:hanging="720"/>
        <w:jc w:val="both"/>
        <w:rPr>
          <w:rFonts w:asciiTheme="majorBidi" w:hAnsiTheme="majorBidi" w:cstheme="majorBidi"/>
          <w:bCs/>
          <w:sz w:val="24"/>
          <w:szCs w:val="24"/>
        </w:rPr>
      </w:pPr>
    </w:p>
    <w:p w14:paraId="17885882" w14:textId="3875417D" w:rsidR="005A6797" w:rsidRPr="005A6797" w:rsidRDefault="005A6797" w:rsidP="005A6797">
      <w:pPr>
        <w:pStyle w:val="ListParagraph"/>
        <w:numPr>
          <w:ilvl w:val="1"/>
          <w:numId w:val="5"/>
        </w:numPr>
        <w:rPr>
          <w:rFonts w:asciiTheme="majorBidi" w:hAnsiTheme="majorBidi" w:cstheme="majorBidi"/>
          <w:b/>
          <w:bCs/>
          <w:sz w:val="32"/>
          <w:szCs w:val="32"/>
        </w:rPr>
      </w:pPr>
      <w:r w:rsidRPr="005A6797">
        <w:rPr>
          <w:rFonts w:asciiTheme="majorBidi" w:hAnsiTheme="majorBidi" w:cstheme="majorBidi"/>
          <w:b/>
          <w:bCs/>
          <w:sz w:val="32"/>
          <w:szCs w:val="32"/>
        </w:rPr>
        <w:t>Abstract</w:t>
      </w:r>
    </w:p>
    <w:p w14:paraId="13C717E2" w14:textId="77777777" w:rsidR="000803F9" w:rsidRPr="000803F9" w:rsidRDefault="000803F9" w:rsidP="000803F9">
      <w:pPr>
        <w:jc w:val="both"/>
        <w:rPr>
          <w:rFonts w:asciiTheme="majorBidi" w:hAnsiTheme="majorBidi" w:cstheme="majorBidi"/>
          <w:bCs/>
          <w:sz w:val="24"/>
          <w:szCs w:val="24"/>
        </w:rPr>
      </w:pPr>
      <w:r w:rsidRPr="000803F9">
        <w:rPr>
          <w:rFonts w:asciiTheme="majorBidi" w:hAnsiTheme="majorBidi" w:cstheme="majorBidi"/>
          <w:bCs/>
          <w:sz w:val="24"/>
          <w:szCs w:val="24"/>
        </w:rPr>
        <w:t xml:space="preserve">The study of spatio-temporal phylogenetic concordance of co-distributed lineages—comparative phylogeography—provides invaluable insights into understanding the influence of historical (e.g., geophysical events) and contemporary barriers (e.g., habitat gaps) promoting population divergence and ultimately speciation. Here, we investigated the labrisomid blennies (genus </w:t>
      </w:r>
      <w:r w:rsidRPr="000803F9">
        <w:rPr>
          <w:rFonts w:asciiTheme="majorBidi" w:hAnsiTheme="majorBidi" w:cstheme="majorBidi"/>
          <w:bCs/>
          <w:i/>
          <w:iCs/>
          <w:sz w:val="24"/>
          <w:szCs w:val="24"/>
        </w:rPr>
        <w:t>Malacoctenus</w:t>
      </w:r>
      <w:r w:rsidRPr="000803F9">
        <w:rPr>
          <w:rFonts w:asciiTheme="majorBidi" w:hAnsiTheme="majorBidi" w:cstheme="majorBidi"/>
          <w:bCs/>
          <w:sz w:val="24"/>
          <w:szCs w:val="24"/>
        </w:rPr>
        <w:t xml:space="preserve">), sequencing </w:t>
      </w:r>
      <w:r w:rsidRPr="000803F9">
        <w:rPr>
          <w:rFonts w:asciiTheme="majorBidi" w:hAnsiTheme="majorBidi" w:cstheme="majorBidi"/>
          <w:bCs/>
          <w:i/>
          <w:iCs/>
          <w:sz w:val="24"/>
          <w:szCs w:val="24"/>
        </w:rPr>
        <w:t>ca.</w:t>
      </w:r>
      <w:r w:rsidRPr="000803F9">
        <w:rPr>
          <w:rFonts w:asciiTheme="majorBidi" w:hAnsiTheme="majorBidi" w:cstheme="majorBidi"/>
          <w:bCs/>
          <w:sz w:val="24"/>
          <w:szCs w:val="24"/>
        </w:rPr>
        <w:t xml:space="preserve"> 28K SNPs from over 500 individuals representing 23 (92%) species, to assess the effect of historical and contemporary barriers in the Tropical Eastern Pacific (TEP) and the Tropical Atlantic (TA) biogeographic realms. Given their strong association with reefs, subtle habitat disruptions may lead to genetic isolation, providing an ideal system for comparative phylogeography. The observed population structure patterns identified the Sinaloan and Central American breaks in the TEP; and the Bahamas and Eastern Caribbean breaks in the TA, as major barriers. We identified five independent evolutionary lineages, one supported by the geometric morphometric analyses. Major seascape genomic features variables promoting divergence at the population and interspecies levels included depth, temperature, and physical features. Notably, depth appeared as a primary cladogenetic driver in the TEP, leading to niche divergence between tide pool- and reef-associated clades. Finally, our time-calibrated analyses elucidated an Eastern Atlantic origin of the clade followed by an east-to-west dispersal. The Isthmus of Panama influenced the evolutionary history of the genus but cladogenetic events were not synchronous. In summary, through an integrative framework that encompasses genomic, morphological, and environmental data, this study evaluated the relative contributions of barriers in the TEP and TA, as well as other contemporary and historical factors influencing divergence.</w:t>
      </w:r>
    </w:p>
    <w:p w14:paraId="1EAE15D5" w14:textId="1A784A4C" w:rsidR="005A6797" w:rsidRDefault="005A6797" w:rsidP="000803F9">
      <w:pPr>
        <w:ind w:left="720" w:hanging="720"/>
        <w:jc w:val="both"/>
        <w:rPr>
          <w:rFonts w:asciiTheme="majorBidi" w:hAnsiTheme="majorBidi" w:cstheme="majorBidi"/>
          <w:bCs/>
          <w:sz w:val="24"/>
          <w:szCs w:val="24"/>
        </w:rPr>
      </w:pPr>
    </w:p>
    <w:p w14:paraId="2C4C7361" w14:textId="18D7BEA7" w:rsidR="000803F9" w:rsidRDefault="000803F9" w:rsidP="000803F9">
      <w:pPr>
        <w:pStyle w:val="ListParagraph"/>
        <w:numPr>
          <w:ilvl w:val="1"/>
          <w:numId w:val="5"/>
        </w:numPr>
        <w:rPr>
          <w:rFonts w:asciiTheme="majorBidi" w:hAnsiTheme="majorBidi" w:cstheme="majorBidi"/>
          <w:b/>
          <w:bCs/>
          <w:sz w:val="32"/>
          <w:szCs w:val="32"/>
        </w:rPr>
      </w:pPr>
      <w:r>
        <w:rPr>
          <w:rFonts w:asciiTheme="majorBidi" w:hAnsiTheme="majorBidi" w:cstheme="majorBidi"/>
          <w:b/>
          <w:bCs/>
          <w:sz w:val="32"/>
          <w:szCs w:val="32"/>
        </w:rPr>
        <w:lastRenderedPageBreak/>
        <w:t>Introduction</w:t>
      </w:r>
    </w:p>
    <w:p w14:paraId="77E21719" w14:textId="77777777" w:rsidR="000803F9" w:rsidRPr="000803F9" w:rsidRDefault="000803F9" w:rsidP="000803F9">
      <w:pPr>
        <w:jc w:val="both"/>
        <w:rPr>
          <w:rFonts w:asciiTheme="majorBidi" w:hAnsiTheme="majorBidi" w:cstheme="majorBidi"/>
          <w:sz w:val="24"/>
          <w:szCs w:val="24"/>
        </w:rPr>
      </w:pPr>
      <w:r w:rsidRPr="000803F9">
        <w:rPr>
          <w:rFonts w:asciiTheme="majorBidi" w:hAnsiTheme="majorBidi" w:cstheme="majorBidi"/>
          <w:sz w:val="24"/>
          <w:szCs w:val="24"/>
        </w:rPr>
        <w:t xml:space="preserve">Understanding the mechanisms governing diversification and speciation processes in nature is a major goal in evolutionary biology. Because microevolutionary processes operating at population levels ultimately drive macroevolution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{"citationItems":[{"id":"ITEM-1","itemData":{"DOI":"10.1186/s12862-018-1236-8","ISSN":"14712148","PMID":"30097006","abstract":"Background: Macroevolutionary modeling of species diversification plays important roles in inferring large-scale biodiversity patterns. It allows estimation of speciation and extinction rates and statistically testing their relationships with different ecological factors. However, macroevolutionary patterns are ultimately generated by microevolutionary processes acting at population levels, especially when speciation and extinction are considered protracted instead of point events. Neglecting the connection between micro- and macroevolution may hinder our ability to fully understand the underlying mechanisms that drive the observed patterns. Results: In this simulation study, we used the protracted speciation framework to demonstrate that distinct microevolutionary scenarios can generate very similar biodiversity patterns (e.g., latitudinal diversity gradient). We also showed that current macroevolutionary models may not be able to distinguish these different scenarios. Conclusions: Given the compounded nature of speciation and extinction rates, one needs to be cautious when inferring causal relationships between ecological factors and macroevolutioanry rates. Future studies that incorporate microevolutionary processes into current modeling approaches are in need.","author":[{"dropping-particle":"","family":"Li","given":"Jingchun","non-dropping-particle":"","parse-names":false,"suffix":""},{"dropping-particle":"","family":"Huang","given":"Jen Pen","non-dropping-particle":"","parse-names":false,"suffix":""},{"dropping-particle":"","family":"Sukumaran","given":"Jeet","non-dropping-particle":"","parse-names":false,"suffix":""},{"dropping-particle":"","family":"Knowles","given":"L. Lacey","non-dropping-particle":"","parse-names":false,"suffix":""}],"container-title":"BMC Evolutionary Biology","id":"ITEM-1","issue":"1","issued":{"date-parts":[["2018"]]},"page":"1-8","publisher":"BMC Evolutionary Biology","title":"Microevolutionary processes impact macroevolutionary patterns","type":"article-journal","volume":"18"},"uris":["http://www.mendeley.com/documents/?uuid=e697c2db-9ac1-48fa-be7d-f295aaa07df4"]}],"mendeley":{"formattedCitation":"(1)","plainTextFormattedCitation":"(1)","previouslyFormattedCitation":"(1)"},"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(1)</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the study of patterns and processes generating genetic divergences at short-, intermediate-, and long-term evolutionary scales, going through a continuum from micro- to macro-evolution is of primary interest. In this context, phylogeography, which involves the study of spatial patterns of genetic diversity within populations or among closely related species, serves as a bridge between microevolution and broader spatial and temporal phylogenetic scales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{"citationItems":[{"id":"ITEM-1","itemData":{"DOI":"10.1073/pnas.1602237113","ISSN":"1091-6490","PMID":"27432983","abstract":"Almost 30 y ago, the field of intraspecific phylogeography laid the foundation for spatially explicit and genealogically informed studies of population divergence. With new methods and markers, the focus in phylogeography shifted to previously unrecognized geographic genetic variation, thus reducing the attention paid to phenotypic variation in those same diverging lineages. Although phenotypic differences among lineages once provided the main data for studies of evolutionary change, the mechanisms shaping phenotypic differentiation and their integration with intraspecific genetic structure have been underexplored in phylogeographic studies. However, phenotypes are targets of selection and play important roles in species performance, recognition, and diversification. Here, we focus on three questions. First, how can phenotypes elucidate mechanisms underlying concordant or idiosyncratic responses of vertebrate species evolving in shared landscapes? Second, what mechanisms underlie the concordance or discordance of phenotypic and phylogeographic differentiation? Third, how can phylogeography contribute to our understanding of functional phenotypic evolution? We demonstrate that the integration of phenotypic data extends the reach of phylogeography to explain the origin and maintenance of biodiversity. Finally, we stress the importance of natural history collections as sources of high-quality phenotypic data that span temporal and spatial axes.","author":[{"dropping-particle":"","family":"Zamudio","given":"Kelly R","non-dropping-particle":"","parse-names":false,"suffix":""},{"dropping-particle":"","family":"Bell","given":"Rayna C","non-dropping-particle":"","parse-names":false,"suffix":""},{"dropping-particle":"","family":"Mason","given":"Nicholas A","non-dropping-particle":"","parse-names":false,"suffix":""}],"container-title":"Proceedings of the National Academy of Sciences of the United States of America","id":"ITEM-1","issue":"29","issued":{"date-parts":[["2016"]]},"page":"8041-8","title":"Phenotypes in phylogeography: Species' traits, environmental variation, and vertebrate diversification.","type":"article-journal","volume":"113"},"uris":["http://www.mendeley.com/documents/?uuid=ff4db238-226d-4b1a-8d73-db3cff5d5c34"]}],"mendeley":{"formattedCitation":"(2)","plainTextFormattedCitation":"(2)","previouslyFormattedCitation":"(2)"},"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(2)</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As current geographic structure can potentially reflect past phylogeographic history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{"citationItems":[{"id":"ITEM-1","itemData":{"DOI":"10.1111/j.1365-294X.2006.02820.x","ISSN":"09621083","PMID":"16499695","abstract":"Geographic barriers that limit the movement of individuals between populations may create or maintain phylogenetically discrete lineages. Such barriers are often inferred from geographic surveys of a single mitochondrial marker to identify phylogenetic splits. Mitochondrial DNA, however, has an effective population size one-fourth that of nuclear DNA, which can facilitate the rapid evolution of monophyletic mtDNA lineages in the absence of geographic barriers. The identification of geographic barriers will thus be more robust if barriers are proposed a priori, and tested with multiple independent genetic markers in multiple species. Here, we tested two proposed marine biogeographic breaks located at the Mona Passage in the Caribbean Sea and at the southern end of Exuma Sound in the Bahamas. We sequenced mitochondrial cytochrome b (400 bp) and nuclear rag1 (573 bp) for nine species and colour forms (183 individuals total) within the teleost genus Elacatinus (Gobiidae) that span the proposed breaks. Our results showed that Mona Passage separated mtcyb and rag1 lineages, with no genetic exchange between populations separated by just 23 km. However, the Central Bahamas barrier was only weakly supported by our data. Importantly, neither barrier coincided with deep genetic splits. This suggests that these two barriers did not initially isolate regional populations, but instead disrupt ongoing gene flow between regions. Our inferred relationships further suggested a division of the Caribbean region into northwestern and southeastern regions, a pattern reflected by some freshwater and terrestrial vertebrates. Our results, coupled with genetic and demographic data from other reef fishes and corals, provide robust support for the Mona Passage as a long-term biogeographic barrier for Caribbean animals. © 2006 Blackwell Publishing Ltd.","author":[{"dropping-particle":"","family":"Taylor","given":"Michael S.","non-dropping-particle":"","parse-names":false,"suffix":""},{"dropping-particle":"","family":"Hellberg","given":"Michael E.","non-dropping-particle":"","parse-names":false,"suffix":""}],"container-title":"Molecular Ecology","id":"ITEM-1","issue":"3","issued":{"date-parts":[["2006"]]},"page":"695-707","title":"Comparative phylogeography in a genus of coral reef fishes: Biogeographic and genetic concordance in the Caribbean","type":"article-journal","volume":"15"},"uris":["http://www.mendeley.com/documents/?uuid=593a44fb-f841-463c-b9fe-42553c2281bd"]}],"mendeley":{"formattedCitation":"(3)","plainTextFormattedCitation":"(3)","previouslyFormattedCitation":"(3)"},"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(3)</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the assessment of barriers to dispersal promoting population structure, lineage diversification, and ultimately speciation is likewise crucial to understand the evolution of biodiversity.</w:t>
      </w:r>
    </w:p>
    <w:p w14:paraId="379D19B0" w14:textId="77777777" w:rsidR="000803F9" w:rsidRPr="000803F9" w:rsidRDefault="000803F9" w:rsidP="000803F9">
      <w:pPr>
        <w:ind w:firstLine="720"/>
        <w:jc w:val="both"/>
        <w:rPr>
          <w:rFonts w:asciiTheme="majorBidi" w:hAnsiTheme="majorBidi" w:cstheme="majorBidi"/>
          <w:sz w:val="24"/>
          <w:szCs w:val="24"/>
        </w:rPr>
      </w:pPr>
      <w:r w:rsidRPr="000803F9">
        <w:rPr>
          <w:rFonts w:asciiTheme="majorBidi" w:hAnsiTheme="majorBidi" w:cstheme="majorBidi"/>
          <w:sz w:val="24"/>
          <w:szCs w:val="24"/>
        </w:rPr>
        <w:t xml:space="preserve">Unlike terrestrial environments where visible geographical features like mountain chains or rivers can physically isolate animal populations, the vast expanses of water in the ocean are subtler, posing greater challenges in identifying such barriers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{"citationItems":[{"id":"ITEM-1","itemData":{"author":[{"dropping-particle":"","family":"Hellberg","given":"Michael E","non-dropping-particle":"","parse-names":false,"suffix":""},{"dropping-particle":"","family":"Burton","given":"Ronald S","non-dropping-particle":"","parse-names":false,"suffix":""},{"dropping-particle":"","family":"Neigel","given":"Joseph E","non-dropping-particle":"","parse-names":false,"suffix":""},{"dropping-particle":"","family":"Palumbi","given":"Stephen R","non-dropping-particle":"","parse-names":false,"suffix":""}],"container-title":"Bulletin of Marine Science","id":"ITEM-1","issue":"1","issued":{"date-parts":[["2002"]]},"page":"273-290","title":"GENETIC ASSESSMENT OF CONNECTIVITY AMONG MARINE POPULATIONS","type":"article-journal","volume":"70"},"uris":["http://www.mendeley.com/documents/?uuid=7d5e9b2a-cd84-4ee0-b2e1-43ad0f1d46ea"]},{"id":"ITEM-2","itemData":{"author":[{"dropping-particle":"","family":"Palumbi","given":"Stephen R","non-dropping-particle":"","parse-names":false,"suffix":""}],"id":"ITEM-2","issued":{"date-parts":[["1996"]]},"page":"75-92","title":"What can molecular genetics contribute to marine biogeography ? An urchin ’ s tale","type":"article-journal","volume":"203"},"uris":["http://www.mendeley.com/documents/?uuid=bd4d4ed0-12bf-4565-bb16-35aabf5fd040"]}],"mendeley":{"formattedCitation":"(4, 5)","plainTextFormattedCitation":"(4, 5)","previouslyFormattedCitation":"(4, 5)"},"properties":{"noteIndex":0},"schema":"https://github.com/citation-style-language/schema/raw/master/csl-citation.json"}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(4, 5)</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While life history traits of marine organisms strongly influences their dispersal capacity (e.g., pelagic larvae can be transported large distances via oceanic currents)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{"citationItems":[{"id":"ITEM-1","itemData":{"DOI":"10.1098/rspb.2001.1748","ISSN":"14712970","abstract":"In marine organisms, a pelagic larval stage increases the opportunities for long-distance dispersal and is often associated with little genetic differentiation over large geographical distances. Here we test the hypothesis that early life-history characteristics, including larval spatial distributions, affect the rates of dispersal and, therefore, the levels of genetic partitioning among three Gulf of California reef fishes: Axoclinus nigricaudus, Malacoctenus hubbsi and Ophioblennius steindachneri. These three blennioid fishes have markedly different early life histories: A. nigricaudus has a short larval duration (18 days) and develops inshore, M. hubbsi has an intermediate larval duration (94 days) and most individuals develop inshore and O. steindachneri has a long larval life (50 days) and disperses offshore. Estimates of genetic partitioning from mtDNA control region sequences differed greatly between these species and were in the same rank order as predicted by their early life-history characteristics (A. nigricaudus NST = 0.536, M. hubbsi NST = 0.261 and O. steindachneri NST = 0.000). These results indicate that larval strategies may be good predictors of population genetic structure in some marine fishes.","author":[{"dropping-particle":"","family":"Riginos","given":"C.","non-dropping-particle":"","parse-names":false,"suffix":""},{"dropping-particle":"","family":"Victor","given":"B. C.","non-dropping-particle":"","parse-names":false,"suffix":""}],"container-title":"Proceedings of the Royal Society B: Biological Sciences","id":"ITEM-1","issue":"1479","issued":{"date-parts":[["2001"]]},"page":"1931-1936","title":"Larval spatial distributions and other early life-history characteristics predict genetic differentiation in eastern Pacific blennioid fishes","type":"article-journal","volume":"268"},"uris":["http://www.mendeley.com/documents/?uuid=0084bbcb-363d-4bf2-a305-45e14eab8b3e"]},{"id":"ITEM-2","itemData":{"DOI":"10.1111/j.1600-0587.2010.06511.x","author":[{"dropping-particle":"","family":"Riginos","given":"Cynthia","non-dropping-particle":"","parse-names":false,"suffix":""},{"dropping-particle":"","family":"Douglas","given":"Kristin E","non-dropping-particle":"","parse-names":false,"suffix":""},{"dropping-particle":"","family":"Jin","given":"Young","non-dropping-particle":"","parse-names":false,"suffix":""},{"dropping-particle":"","family":"Shanahan","given":"Danielle F","non-dropping-particle":"","parse-names":false,"suffix":""},{"dropping-particle":"","family":"Treml","given":"Eric A","non-dropping-particle":"","parse-names":false,"suffix":""}],"id":"ITEM-2","issue":"August 2010","issued":{"date-parts":[["2011"]]},"title":"Effects of geography and life history traits on genetic differentiation in benthic marine fishes","type":"article-journal"},"uris":["http://www.mendeley.com/documents/?uuid=04b3767d-d6e5-4d93-8bb7-4d47be5102b4"]}],"mendeley":{"formattedCitation":"(6, 7)","plainTextFormattedCitation":"(6, 7)","previouslyFormattedCitation":"(6, 7)"},"properties":{"noteIndex":0},"schema":"https://github.com/citation-style-language/schema/raw/master/csl-citation.json"}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(6, 7)</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recent studies utilizing a seascape genomic framework provide evidence that seascape composition (ecological variables) and seascape configuration (spatial features) may hinder connectivity even in species with high dispersal capacities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{"citationItems":[{"id":"ITEM-1","itemData":{"DOI":"10.1007/s00227-023-04299-w","ISBN":"0123456789","ISSN":"14321793","abstract":"The tropical eastern Pacific (TEP) has been divided into several biogeographic provinces separated by two types of habitat gaps: stretches of sandy shoreline that separate rocky reefs on the mainland (Sinaloan and Central American gaps) and expanses of deep ocean between offshore TEP islands and the mainland. Those gaps are known to influence the distribution and evolution of TEP reef fishes by acting as barriers to gene flow. We investigated potential effects of those gaps on the genetic structure and connectivity of populations of five widely distributed TEP reef-fish species that have different modes of life, habitat preferences and reproductive strategies: Caranx caballus, Rypticus bicolor, Hypsoblennius brevipinnis, Plagiotremus azaleus and Stegastes flavilatus. We used the coxI mitochondrial DNA marker to make phylogeographic, population genetics, and coalescent analyses of geographic patterns of genetic variation in these species. Those analyses showed high variation in levels of genetic diversity. We found no geographic genetic differentiation relating to mainland gaps in any species. Such genetic homogeneity may relate to factors such as migratory behavior, high pelagic dispersal potential and wide environmental tolerance. In two species, differentiation across oceanic gaps separating oceanic islands from the mainland may reflect differences between insular and mainland environments. Historical population expansions that occurred between 400 and 100 thousand years ago in different species may have shaped by patterns of Pleistocene climatic dynamics. The lack of polymorphism of coxI in the damselfish Stegastes flavilatus may relate to the effects of a historical population collapse, although we were not able to detect that genetically.","author":[{"dropping-particle":"","family":"Palmerín-Serrano","given":"Paola N.","non-dropping-particle":"","parse-names":false,"suffix":""},{"dropping-particle":"","family":"Piñeros","given":"Victor J.","non-dropping-particle":"","parse-names":false,"suffix":""},{"dropping-particle":"","family":"Robertson","given":"D. Ross","non-dropping-particle":"","parse-names":false,"suffix":""},{"dropping-particle":"","family":"Angulo","given":"Arturo","non-dropping-particle":"","parse-names":false,"suffix":""},{"dropping-particle":"","family":"Espinoza","given":"Eduardo","non-dropping-particle":"","parse-names":false,"suffix":""},{"dropping-particle":"","family":"Barraza","given":"Enrique","non-dropping-particle":"","parse-names":false,"suffix":""},{"dropping-particle":"","family":"Martínez-Gómez","given":"Juan E.","non-dropping-particle":"","parse-names":false,"suffix":""},{"dropping-particle":"","family":"Solís-Gúzman","given":"María G.","non-dropping-particle":"","parse-names":false,"suffix":""},{"dropping-particle":"","family":"Calderón-Cortés","given":"Nancy","non-dropping-particle":"","parse-names":false,"suffix":""},{"dropping-particle":"","family":"Valdiviezo-Rivera","given":"Jonathan","non-dropping-particle":"","parse-names":false,"suffix":""},{"dropping-particle":"","family":"Domínguez-Domínguez","given":"Omar","non-dropping-particle":"","parse-names":false,"suffix":""}],"container-title":"Marine Biology","id":"ITEM-1","issue":"12","issued":{"date-parts":[["2023"]]},"publisher":"Springer Berlin Heidelberg","title":"Comparative phylogeography and demographic histories of five widely distributed tropical eastern Pacific fishes","type":"article-journal","volume":"170"},"uris":["http://www.mendeley.com/documents/?uuid=3acedd04-28a3-400e-8eb1-25ff04a3eef6"]},{"id":"ITEM-2","itemData":{"DOI":"10.1111/jfb.14450","ISSN":"10958649","PMID":"32598029","abstract":"The almaco jack, Seriola rivoliana, is a circumtropical pelagic fish of importance both in commercial fisheries and in aquaculture. To understand levels of genetic diversity within and among populations in the wild, population genetic structure and the relative magnitude of migration were assessed using mtDNA sequence data and single nucleotide polymorphisms (SNPs) from individuals sampled from locations in the Pacific and Atlantic Oceans. A total of 25 variable sites of cytochrome c oxidase subunit 1 and 3678 neutral SNPs were recovered. Three genetic groups were identified, with both marker types distributed in different oceanic regions: Pacific-1 in central Pacific, Pacific-2 in eastern Pacific and Atlantic in western Atlantic. Nonetheless, the analysis of SNP identified a fourth population in the Pacific coast of Baja California Sur, Mexico (Pacific-3), whereas that of mtDNA did not. This mito-nuclear discordance is likely explained by a recently diverged Pacific-3 population. In addition, two mtDNA haplogroups were found within the western Atlantic, likely indicating that the species came into the Atlantic from the Indian Ocean with historical gene flow from the eastern Pacific. Relative gene flow among ocean basins was low with rm &lt; 0.2, whereas in the eastern Pacific it was asymmetric and higher from south to north (rm &gt; 0.79). The results reflect the importance of assessing genetic structure and gene flow of natural populations for the purposes of sustainable management.","author":[{"dropping-particle":"","family":"Mendoza-Portillo","given":"Verónica","non-dropping-particle":"","parse-names":false,"suffix":""},{"dropping-particle":"","family":"Galván-Tirado","given":"Carolina","non-dropping-particle":"","parse-names":false,"suffix":""},{"dropping-particle":"","family":"Portnoy","given":"David S.","non-dropping-particle":"","parse-names":false,"suffix":""},{"dropping-particle":"","family":"Valenzuela-Quiñonez","given":"Fausto","non-dropping-particle":"","parse-names":false,"suffix":""},{"dropping-particle":"","family":"Domínguez-Domínguez","given":"Omar","non-dropping-particle":"","parse-names":false,"suffix":""},{"dropping-particle":"","family":"Durand","given":"Jean Dominique","non-dropping-particle":"","parse-names":false,"suffix":""},{"dropping-particle":"","family":"Pérez-Urbiola","given":"Juan Carlos","non-dropping-particle":"","parse-names":false,"suffix":""},{"dropping-particle":"","family":"García-De León","given":"Francisco J.","non-dropping-particle":"","parse-names":false,"suffix":""}],"container-title":"Journal of Fish Biology","id":"ITEM-2","issue":"3","issued":{"date-parts":[["2020"]]},"page":"882-894","title":"Genetic diversity and structure of circumtropical almaco jack, Seriola rivoliana: tool for conservation and management","type":"article-journal","volume":"97"},"uris":["http://www.mendeley.com/documents/?uuid=e2e7bec3-5cb9-439c-b49d-2ef7888641e6"]}],"mendeley":{"formattedCitation":"(8, 9)","plainTextFormattedCitation":"(8, 9)","previouslyFormattedCitation":"(8, 9)"},"properties":{"noteIndex":0},"schema":"https://github.com/citation-style-language/schema/raw/master/csl-citation.json"}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(8, 9)</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Such environmental variables (e.g., temperature) or oceanographic features (e.g., oceanic currents) may limit dispersal capacity. In this scenario, the comparison of phylogeographic patterns of co-distributed marine species—comparative phylogeography—provides an opportunity to identify historical (e.g., geophysical events) and contemporary (e.g., habitat gaps)</w:t>
      </w:r>
      <w:r w:rsidRPr="000803F9">
        <w:rPr>
          <w:rFonts w:asciiTheme="majorBidi" w:hAnsiTheme="majorBidi" w:cstheme="majorBidi"/>
          <w:b/>
          <w:bCs/>
          <w:sz w:val="24"/>
          <w:szCs w:val="24"/>
        </w:rPr>
        <w:t xml:space="preserve"> </w:t>
      </w:r>
      <w:r w:rsidRPr="000803F9">
        <w:rPr>
          <w:rFonts w:asciiTheme="majorBidi" w:hAnsiTheme="majorBidi" w:cstheme="majorBidi"/>
          <w:sz w:val="24"/>
          <w:szCs w:val="24"/>
        </w:rPr>
        <w:t>barriers that restrict gene flow, isolate populations, and ultimately promote speciation in the marine realm.</w:t>
      </w:r>
    </w:p>
    <w:p w14:paraId="20EF354E" w14:textId="77777777" w:rsidR="000803F9" w:rsidRPr="000803F9" w:rsidRDefault="000803F9" w:rsidP="000803F9">
      <w:pPr>
        <w:ind w:firstLine="720"/>
        <w:jc w:val="both"/>
        <w:rPr>
          <w:rFonts w:asciiTheme="majorBidi" w:hAnsiTheme="majorBidi" w:cstheme="majorBidi"/>
          <w:sz w:val="24"/>
          <w:szCs w:val="24"/>
        </w:rPr>
      </w:pPr>
      <w:r w:rsidRPr="000803F9">
        <w:rPr>
          <w:rFonts w:asciiTheme="majorBidi" w:hAnsiTheme="majorBidi" w:cstheme="majorBidi"/>
          <w:sz w:val="24"/>
          <w:szCs w:val="24"/>
        </w:rPr>
        <w:t xml:space="preserve">The last emergence of the Isthmus of Panama during the Pliocene (~2.8 Mya) embodies one of the best-known large-scale geophysical events that generated an impassible barrier for marine organisms distributed in the Tropical Eastern Pacific (TEP) and the Tropical Atlantic (TA), unchaining a series of diversification events in the Neotropics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{"citationItems":[{"id":"ITEM-1","itemData":{"DOI":"10.1126/sciadv.1600883","ISSN":"23752548","PMID":"27540590","abstract":"The formation of the Isthmus of Panama stands as one of the greatest natural events of the Cenozoic, driving profound biotic transformations on land and in the oceans. Some recent studies suggest that the Isthmus formed many millions of years earlier than the widely recognized age of approximately 3 million years ago (Ma), a result that if true would revolutionize our understanding of environmental, ecological, and evolutionary change across the Americas. To bring clarity to the question of when the Isthmus of Panama formed, we provide an exhaustive review and reanalysis of geological, paleontological, and molecular records. These independent lines of evidence converge upon a cohesive narrative of gradually emerging land and constricting seaways, with formation of the Isthmus of Panama sensu stricto around 2.8 Ma. The evidence used to support an older isthmus is inconclusive, and we caution against the uncritical acceptance of an isthmus before the Pliocene.","author":[{"dropping-particle":"","family":"O’Dea","given":"Aaron","non-dropping-particle":"","parse-names":false,"suffix":""},{"dropping-particle":"","family":"Lessios","given":"Harilaos A.","non-dropping-particle":"","parse-names":false,"suffix":""},{"dropping-particle":"","family":"Coates","given":"Anthony G.","non-dropping-particle":"","parse-names":false,"suffix":""},{"dropping-particle":"","family":"Eytan","given":"Ron I.","non-dropping-particle":"","parse-names":false,"suffix":""},{"dropping-particle":"","family":"Restrepo-Moreno","given":"Sergio A.","non-dropping-particle":"","parse-names":false,"suffix":""},{"dropping-particle":"","family":"Cione","given":"Alberto L.","non-dropping-particle":"","parse-names":false,"suffix":""},{"dropping-particle":"","family":"Collins","given":"Laurel S.","non-dropping-particle":"","parse-names":false,"suffix":""},{"dropping-particle":"","family":"Queiroz","given":"Alan","non-dropping-particle":"De","parse-names":false,"suffix":""},{"dropping-particle":"","family":"Farris","given":"David W.","non-dropping-particle":"","parse-names":false,"suffix":""},{"dropping-particle":"","family":"Norris","given":"Richard D.","non-dropping-particle":"","parse-names":false,"suffix":""},{"dropping-particle":"","family":"Stallard","given":"Robert F.","non-dropping-particle":"","parse-names":false,"suffix":""},{"dropping-particle":"","family":"Woodburne","given":"Michael O.","non-dropping-particle":"","parse-names":false,"suffix":""},{"dropping-particle":"","family":"Aguilera","given":"Orangel","non-dropping-particle":"","parse-names":false,"suffix":""},{"dropping-particle":"","family":"Aubry","given":"Marie Pierre","non-dropping-particle":"","parse-names":false,"suffix":""},{"dropping-particle":"","family":"Berggren","given":"William A.","non-dropping-particle":"","parse-names":false,"suffix":""},{"dropping-particle":"","family":"Budd","given":"Ann F.","non-dropping-particle":"","parse-names":false,"suffix":""},{"dropping-particle":"","family":"Cozzuol","given":"Mario A.","non-dropping-particle":"","parse-names":false,"suffix":""},{"dropping-particle":"","family":"Coppard","given":"Simon E.","non-dropping-particle":"","parse-names":false,"suffix":""},{"dropping-particle":"","family":"Duque-Caro","given":"Herman","non-dropping-particle":"","parse-names":false,"suffix":""},{"dropping-particle":"","family":"Finnegan","given":"Seth","non-dropping-particle":"","parse-names":false,"suffix":""},{"dropping-particle":"","family":"Gasparini","given":"Germán M.","non-dropping-particle":"","parse-names":false,"suffix":""},{"dropping-particle":"","family":"Grossman","given":"Ethan L.","non-dropping-particle":"","parse-names":false,"suffix":""},{"dropping-particle":"","family":"Johnson","given":"Kenneth G.","non-dropping-particle":"","parse-names":false,"suffix":""},{"dropping-particle":"","family":"Keigwin","given":"Lloyd D.","non-dropping-particle":"","parse-names":false,"suffix":""},{"dropping-particle":"","family":"Knowlton","given":"Nancy","non-dropping-particle":"","parse-names":false,"suffix":""},{"dropping-particle":"","family":"Leigh","given":"Egbert G.","non-dropping-particle":"","parse-names":false,"suffix":""},{"dropping-particle":"","family":"Leonard-Pingel","given":"Jill S.","non-dropping-particle":"","parse-names":false,"suffix":""},{"dropping-particle":"","family":"Marko","given":"Peter B.","non-dropping-particle":"","parse-names":false,"suffix":""},{"dropping-particle":"","family":"Pyenson","given":"Nicholas D.","non-dropping-particle":"","parse-names":false,"suffix":""},{"dropping-particle":"","family":"Rachello-Dolmen","given":"Paola G.","non-dropping-particle":"","parse-names":false,"suffix":""},{"dropping-particle":"","family":"Soibelzon","given":"Esteban","non-dropping-particle":"","parse-names":false,"suffix":""},{"dropping-particle":"","family":"Soibelzon","given":"Leopoldo","non-dropping-particle":"","parse-names":false,"suffix":""},{"dropping-particle":"","family":"Todd","given":"Jonathan A.","non-dropping-particle":"","parse-names":false,"suffix":""},{"dropping-particle":"","family":"Vermeij","given":"Geerat J.","non-dropping-particle":"","parse-names":false,"suffix":""},{"dropping-particle":"","family":"Jackson","given":"Jeremy B.C.","non-dropping-particle":"","parse-names":false,"suffix":""}],"container-title":"Science Advances","id":"ITEM-1","issue":"8","issued":{"date-parts":[["2016"]]},"page":"1-12","title":"Formation of the Isthmus of Panama","type":"article-journal","volume":"2"},"uris":["http://www.mendeley.com/documents/?uuid=7b8b97de-f013-4de5-a408-77d7a05289bc"]}],"mendeley":{"formattedCitation":"(10)","plainTextFormattedCitation":"(10)","previouslyFormattedCitation":"(10)"},"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(10)</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This historical barrier is known to have triggered geminate or sister-species pairs on each side of the isthmus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{"citationItems":[{"id":"ITEM-1","itemData":{"author":[{"dropping-particle":"","family":"Jordan","given":"David Starr","non-dropping-particle":"","parse-names":false,"suffix":""}],"container-title":"The American Naturalist","id":"ITEM-1","issue":"494","issued":{"date-parts":[["1908"]]},"page":"73-80","title":"The Law of Geminate Species","type":"article-journal","volume":"42"},"uris":["http://www.mendeley.com/documents/?uuid=cf0936be-9291-41b5-abda-1bcc2a5f84a7"]}],"mendeley":{"formattedCitation":"(11)","plainTextFormattedCitation":"(11)","previouslyFormattedCitation":"(11)"},"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(11)</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At more recent scales, several studies have also highlighted habitat gaps within the TEP and the TA as contemporary barriers to gene flow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Hubbs","type":"thesis"},"uris":["http://www.mendeley.com/documents/?uuid=2bbfe69c-07bb-49dc-a59b-8bc4e67312a5"]},{"id":"ITEM-2","itemData":{"author":[{"dropping-particle":"","family":"Hastings","given":"Philip A","non-dropping-particle":"","parse-names":false,"suffix":""}],"container-title":"Zoological Journal of the Linnean Society","id":"ITEM-2","issued":{"date-parts":[["2000"]]},"page":"319-335","title":"Biogeography of the Tropical Eastern Pacific : distribution and phylogeny of chaenopsid fishes","type":"article-journal","volume":"128"},"uris":["http://www.mendeley.com/documents/?uuid=adfe0f8f-5f0b-4a86-8324-8cc7d41aa829"]},{"id":"ITEM-3","itemData":{"DOI":"10.7717/peerj.15029","ISSN":"21678359","abstract":"Background. The lack of barriers in the marine environment has promoted the idea of panmixia in marine organisms. However, oceanographic conditions and habitat characteristics have recently been linked to genetic structure in marine species. The Tropical Eastern Pacific (TEP) is characterized by dynamic current systems and heterogeneous oceanographic conditions. The Gulf of Panama (part of the equatorial segment for the TEP) is influenced by a complex current system and heterogeneous environment, which has been shown to limit the gene flow for shoreline species. Next Generation Sequencing (NGS) has contributed to detect genetic differences in previously reported panmictic species by the assessment of loci associated with selection and to understand how selection acts affects marine populations. Lutjanus guttatus is a species distributed in the TEP for which previous studies using mitochondrial data recovered a panmictic pattern along its distributional range. In this study, we used SNP data of L. guttatus individuals sampled along its range to evaluate population genetic structure and investigate whether oceanographic factors influence the species’ genetic architecture. Finally, we assessed the role of adaptive selection by evaluating the contribution of outlier and neutral loci to genetic divergence. Methods. The RADcap method was used to obtain 24 million paired reads for 123 individuals of L. guttatus covering nearly all its distributional area. Genetic variation was assessed using both spatial and non-spatial methods by comparing three different data sets: (i) a Combined Loci (CL dataset = 2003 SNPs); a search for putative loci under selection allowed the evaluation of (ii) Neutral Loci (NL dataset = 1858 SNPs) and (iii) Outlier Loci (OL dataset = 145 SNPs). We used the estimating effective migration surface (EEMS) approach to detect possible barriers to gene flow. Results. Genetic differences were found in the OL dataset, showing two clusters (Northern and Southern), whereas NL showed no differences. This result may be related to the Selection-Migration balance model. The limit between the Northern and Southern groups was in the Gulf of Panama, which has been previously identified as a barrier to gene flow for other species, mainly due to its heterogeneous oceanographic conditions. The results suggest that selection plays an important role in generating genetic differences in Lutjanus guttatus. A migration corridor was detected that coincides with …","author":[{"dropping-particle":"","family":"Mar-Silva","given":"Adán F.","non-dropping-particle":"","parse-names":false,"suffix":""},{"dropping-particle":"","family":"Diaz-Jaimes","given":"Pindaro","non-dropping-particle":"","parse-names":false,"suffix":""},{"dropping-particle":"","family":"Domínguez-Mendoza","given":"Cristina","non-dropping-particle":"","parse-names":false,"suffix":""},{"dropping-particle":"","family":"Domínguez-Domínguez","given":"Omar","non-dropping-particle":"","parse-names":false,"suffix":""},{"dropping-particle":"","family":"Valdiviezo-Rivera","given":"Jonathan","non-dropping-particle":"","parse-names":false,"suffix":""},{"dropping-particle":"","family":"Espinoza-Herrera","given":"Eduardo","non-dropping-particle":"","parse-names":false,"suffix":""}],"container-title":"PeerJ","id":"ITEM-3","issued":{"date-parts":[["2023"]]},"page":"1-30","title":"Genomic assessment reveals signal of adaptive selection in populations of the Spotted rose snapper Lutjanus guttatus from the Tropical Eastern Pacific","type":"article-journal","volume":"11"},"uris":["http://www.mendeley.com/documents/?uuid=933e67a2-a486-4455-9022-8e09fc51f44a"]},{"id":"ITEM-4","itemData":{"DOI":"10.1016/j.ympev.2018.10.020","ISSN":"10959513","abstract":"Habitat discontinuities, temperature gradients, upwelling systems, and ocean currents, gyres and fronts, can affect distributions of species with narrow environmental tolerance or motility and influence the dispersal of pelagic larvae, with effects ranging from the isolation of adjacent populations to connections between them. The coast of the Tropical Eastern Pacific (TEP) is a highly dynamic environment, with various large gyres and upwelling systems, alternating currents and large rocky-habitat discontinuities, which may greatly influence the genetic connectivity of populations in different parts of the coast. Elacatinus puncticulatus is a cryptic, shallow-living goby that is distributed along the continental shore of virtually the entire TEP, which makes it a good model for testing the influence of these environmental characteristics in the molecular evolution of widespread species in this region. A multilocus phylogeny was used to evaluate the influence of habitat gaps, and oceanographic processes in the evolutionary history of E. puncticulatus throughout its geographical range in the TEP. Two well-supported allopatric clades (one with two allopatric subclades) were recovered, the geographic distribution of which does not correspond to any previously proposed major biogeographic provinces. These populations show strong genetic structure and substantial genetic distances between clades and sub-clades (cytb 0.8–7.3%), with divergence times between them ranging from 0.53 to 4.88 Mya, and recent population expansions dated at 170–130 Kya. The ancestral area of all populations appears to be the Gulf of Panama, while several isolation events have formed the phylogeographic patterns evident in this species. Local and regional oceanographic processes as well as habitat discontinuities have shaped the distribution patterns of the genetic lineages along the continental TEP. Large genetic distances, high genetic differentiation, and the results of species-tree and phylogenetic analyses indicate that E. puncticulatus comprises a complex of three allopatric species with an unusual geographic arrangement.","author":[{"dropping-particle":"","family":"Sandoval-Huerta","given":"E. R.","non-dropping-particle":"","parse-names":false,"suffix":""},{"dropping-particle":"","family":"Beltrán-López","given":"R. G.","non-dropping-particle":"","parse-names":false,"suffix":""},{"dropping-particle":"","family":"Pedraza-Marrón","given":"C. R.","non-dropping-particle":"","parse-names":false,"suffix":""},{"dropping-particle":"","family":"Paz-Velásquez","given":"M. A.","non-dropping-particle":"","parse-names":false,"suffix":""},{"dropping-particle":"","family":"Angulo","given":"A.","non-dropping-particle":"","parse-names":false,"suffix":""},{"dropping-particle":"","family":"Robertson","given":"D. R.","non-dropping-particle":"","parse-names":false,"suffix":""},{"dropping-particle":"","family":"Espinoza","given":"E.","non-dropping-particle":"","parse-names":false,"suffix":""},{"dropping-particle":"","family":"Domínguez-Domínguez","given":"O.","non-dropping-particle":"","parse-names":false,"suffix":""}],"container-title":"Molecular Phylogenetics and Evolution","id":"ITEM-4","issue":"May 2018","issued":{"date-parts":[["2019"]]},"page":"269-285","publisher":"Elsevier","title":"The evolutionary history of the goby Elacatinus puncticulatus in the tropical eastern pacific: Effects of habitat discontinuities and local environmental variability","type":"article-journal","volume":"130"},"uris":["http://www.mendeley.com/documents/?uuid=208f8326-03fb-4a29-a3a4-6413277c0e7b"]}],"mendeley":{"formattedCitation":"(12–15)","plainTextFormattedCitation":"(12–15)","previouslyFormattedCitation":"(12–15)"},"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(12–15)</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Furthermore, these habitat gaps are believed to delineate the boundaries between biogeographic provinces within the TEP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{"citationItems":[{"id":"ITEM-1","itemData":{"author":[{"dropping-particle":"","family":"Hastings","given":"Philip A","non-dropping-particle":"","parse-names":false,"suffix":""}],"container-title":"Zoological Journal of the Linnean Society","id":"ITEM-1","issued":{"date-parts":[["2000"]]},"page":"319-335","title":"Biogeography of the Tropical Eastern Pacific : distribution and phylogeny of chaenopsid fishes","type":"article-journal","volume":"128"},"uris":["http://www.mendeley.com/documents/?uuid=adfe0f8f-5f0b-4a86-8324-8cc7d41aa829"]}],"mendeley":{"formattedCitation":"(13)","plainTextFormattedCitation":"(13)","previouslyFormattedCitation":"(13)"},"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(13)</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Although the limit of biogeographic provinces in the TA relates more to oceanographic processes, biogeographic provinces within both regions feature major environmental differences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{"citationItems":[{"id":"ITEM-1","itemData":{"DOI":"10.1007/s00227-007-0620-5","ISBN":"0022700706","ISSN":"00253162","abstract":"The patchy distribution of rocky intertidal communities in the tropical eastern Pacific (TEP) may impose severe constraints on the genetic connectivity among populations of marine invertebrates associated with this habitat. In this study, we analyzed a portion of the mitochondrial cytochrome c oxidase subunit I (COI) gene in two sympatric species of marine snails, Nerita scabricosta and Nerita funiculata, common inhabitants of the rocky intertidal from the Gulf of California (Sea of Cortez) and outer Pacific coast of the southern Baja California (Baja) peninsula to northern South America, to assess genetic connectivity among populations of each species. One of our aims was to determine whether the morphological, behavioral, and ecological differences observed among populations of both species throughout their range in the TEP corresponded to population genetic differences. In addition, we were interested in elucidating the demographic history of both species. We found no evidence of genetic structure throughout the Gulf of California and outer coast of the Baja peninsula region for either species. Comparisons between Gulf of California/Baja and Panama populations, however, showed significant genetic differentiation for N. scabricosta, but not for N. funiculata. The genetic differences between Mexican and Panamanian populations of N. scabricosta were consistent with previously reported ecological and behavioral differences for this species between these two distant regions. However, previously reported size differences between northern and central/southern Gulf of California individuals of N. scabricosta do not correspond with our findings of genetic connectivity among these populations. Results from neutrality tests (Tajima's D and Fu's F S), the mismatch distribution, and Bayesian skyline analyses suggested that both species have experienced dramatic population expansions dating to the Pleistocene. © 2007 Springer-Verlag.","author":[{"dropping-particle":"","family":"Hurtado","given":"L. A.","non-dropping-particle":"","parse-names":false,"suffix":""},{"dropping-particle":"","family":"Frey","given":"M.","non-dropping-particle":"","parse-names":false,"suffix":""},{"dropping-particle":"","family":"Gaube","given":"P.","non-dropping-particle":"","parse-names":false,"suffix":""},{"dropping-particle":"","family":"Pfeiler","given":"E.","non-dropping-particle":"","parse-names":false,"suffix":""},{"dropping-particle":"","family":"Markow","given":"T. A.","non-dropping-particle":"","parse-names":false,"suffix":""}],"container-title":"Marine Biology","id":"ITEM-1","issue":"5","issued":{"date-parts":[["2007"]]},"page":"1863-1873","title":"Geographical subdivision, demographic history and gene flow in two sympatric species of intertidal snails, Nerita scabricosta and Nerita funiculata, from the tropical eastern Pacific","type":"article-journal","volume":"151"},"uris":["http://www.mendeley.com/documents/?uuid=54793e02-99a4-450e-80af-f2f4c83c3568"]},{"id":"ITEM-2","itemData":{"DOI":"10.1371/journal.pone.0102918","author":[{"dropping-particle":"","family":"Robertson","given":"D Ross","non-dropping-particle":"","parse-names":false,"suffix":""},{"dropping-particle":"","family":"Cramer","given":"Katie L","non-dropping-particle":"","parse-names":false,"suffix":""}],"container-title":"PLoS ONE","id":"ITEM-2","issue":"7","issued":{"date-parts":[["2014"]]},"title":"Defining and Dividing the Greater Caribbean : Insights from the Biogeography of Shorefishes","type":"article-journal","volume":"9"},"uris":["http://www.mendeley.com/documents/?uuid=c7950928-07af-4d2a-8d99-2a7f8e3dba85"]},{"id":"ITEM-3","itemData":{"DOI":"10.3354/meps07925","author":[{"dropping-particle":"","family":"April","given":"Published","non-dropping-particle":"","parse-names":false,"suffix":""},{"dropping-particle":"","family":"Pen","given":"O","non-dropping-particle":"","parse-names":false,"suffix":""},{"dropping-particle":"","family":"Robertson","given":"D Ross","non-dropping-particle":"","parse-names":false,"suffix":""},{"dropping-particle":"","family":"Cramer","given":"Katie L","non-dropping-particle":"","parse-names":false,"suffix":""}],"id":"ITEM-3","issue":"Ekman 1953","issued":{"date-parts":[["2009"]]},"page":"1-17","title":"Shore fishes and biogeographic subdivisions of the Tropical Eastern Pacific","type":"article-journal","volume":"380"},"uris":["http://www.mendeley.com/documents/?uuid=4d7cd0b3-01a3-41c3-9ff2-6baa1bd29794"]}],"mendeley":{"formattedCitation":"(16–18)","plainTextFormattedCitation":"(16–18)","previouslyFormattedCitation":"(16–18)"},"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(16–18)</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Thus, mayor connectivity patterns may arise from large-scale environmental variation across biogeographic realms. Molecular research investigating intraspecific population structure have identified several marine breaks, primarily linked to environmental changes driven by seasonal upwellings, oceanographic gyres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{"citationItems":[{"id":"ITEM-1","itemData":{"DOI":"10.7717/peerj.15029","ISSN":"21678359","abstract":"Background. The lack of barriers in the marine environment has promoted the idea of panmixia in marine organisms. However, oceanographic conditions and habitat characteristics have recently been linked to genetic structure in marine species. The Tropical Eastern Pacific (TEP) is characterized by dynamic current systems and heterogeneous oceanographic conditions. The Gulf of Panama (part of the equatorial segment for the TEP) is influenced by a complex current system and heterogeneous environment, which has been shown to limit the gene flow for shoreline species. Next Generation Sequencing (NGS) has contributed to detect genetic differences in previously reported panmictic species by the assessment of loci associated with selection and to understand how selection acts affects marine populations. Lutjanus guttatus is a species distributed in the TEP for which previous studies using mitochondrial data recovered a panmictic pattern along its distributional range. In this study, we used SNP data of L. guttatus individuals sampled along its range to evaluate population genetic structure and investigate whether oceanographic factors influence the species’ genetic architecture. Finally, we assessed the role of adaptive selection by evaluating the contribution of outlier and neutral loci to genetic divergence. Methods. The RADcap method was used to obtain 24 million paired reads for 123 individuals of L. guttatus covering nearly all its distributional area. Genetic variation was assessed using both spatial and non-spatial methods by comparing three different data sets: (i) a Combined Loci (CL dataset = 2003 SNPs); a search for putative loci under selection allowed the evaluation of (ii) Neutral Loci (NL dataset = 1858 SNPs) and (iii) Outlier Loci (OL dataset = 145 SNPs). We used the estimating effective migration surface (EEMS) approach to detect possible barriers to gene flow. Results. Genetic differences were found in the OL dataset, showing two clusters (Northern and Southern), whereas NL showed no differences. This result may be related to the Selection-Migration balance model. The limit between the Northern and Southern groups was in the Gulf of Panama, which has been previously identified as a barrier to gene flow for other species, mainly due to its heterogeneous oceanographic conditions. The results suggest that selection plays an important role in generating genetic differences in Lutjanus guttatus. A migration corridor was detected that coincides with …","author":[{"dropping-particle":"","family":"Mar-Silva","given":"Adán F.","non-dropping-particle":"","parse-names":false,"suffix":""},{"dropping-particle":"","family":"Diaz-Jaimes","given":"Pindaro","non-dropping-particle":"","parse-names":false,"suffix":""},{"dropping-particle":"","family":"Domínguez-Mendoza","given":"Cristina","non-dropping-particle":"","parse-names":false,"suffix":""},{"dropping-particle":"","family":"Domínguez-Domínguez","given":"Omar","non-dropping-particle":"","parse-names":false,"suffix":""},{"dropping-particle":"","family":"Valdiviezo-Rivera","given":"Jonathan","non-dropping-particle":"","parse-names":false,"suffix":""},{"dropping-particle":"","family":"Espinoza-Herrera","given":"Eduardo","non-dropping-particle":"","parse-names":false,"suffix":""}],"container-title":"PeerJ","id":"ITEM-1","issued":{"date-parts":[["2023"]]},"page":"1-30","title":"Genomic assessment reveals signal of adaptive selection in populations of the Spotted rose snapper Lutjanus guttatus from the Tropical Eastern Pacific","type":"article-journal","volume":"11"},"uris":["http://www.mendeley.com/documents/?uuid=933e67a2-a486-4455-9022-8e09fc51f44a"]},{"id":"ITEM-2","itemData":{"DOI":"10.1016/j.ympev.2018.10.020","ISSN":"10959513","abstract":"Habitat discontinuities, temperature gradients, upwelling systems, and ocean currents, gyres and fronts, can affect distributions of species with narrow environmental tolerance or motility and influence the dispersal of pelagic larvae, with effects ranging from the isolation of adjacent populations to connections between them. The coast of the Tropical Eastern Pacific (TEP) is a highly dynamic environment, with various large gyres and upwelling systems, alternating currents and large rocky-habitat discontinuities, which may greatly influence the genetic connectivity of populations in different parts of the coast. Elacatinus puncticulatus is a cryptic, shallow-living goby that is distributed along the continental shore of virtually the entire TEP, which makes it a good model for testing the influence of these environmental characteristics in the molecular evolution of widespread species in this region. A multilocus phylogeny was used to evaluate the influence of habitat gaps, and oceanographic processes in the evolutionary history of E. puncticulatus throughout its geographical range in the TEP. Two well-supported allopatric clades (one with two allopatric subclades) were recovered, the geographic distribution of which does not correspond to any previously proposed major biogeographic provinces. These populations show strong genetic structure and substantial genetic distances between clades and sub-clades (cytb 0.8–7.3%), with divergence times between them ranging from 0.53 to 4.88 Mya, and recent population expansions dated at 170–130 Kya. The ancestral area of all populations appears to be the Gulf of Panama, while several isolation events have formed the phylogeographic patterns evident in this species. Local and regional oceanographic processes as well as habitat discontinuities have shaped the distribution patterns of the genetic lineages along the continental TEP. Large genetic distances, high genetic differentiation, and the results of species-tree and phylogenetic analyses indicate that E. puncticulatus comprises a complex of three allopatric species with an unusual geographic arrangement.","author":[{"dropping-particle":"","family":"Sandoval-Huerta","given":"E. R.","non-dropping-particle":"","parse-names":false,"suffix":""},{"dropping-particle":"","family":"Beltrán-López","given":"R. G.","non-dropping-particle":"","parse-names":false,"suffix":""},{"dropping-particle":"","family":"Pedraza-Marrón","given":"C. R.","non-dropping-particle":"","parse-names":false,"suffix":""},{"dropping-particle":"","family":"Paz-Velásquez","given":"M. A.","non-dropping-particle":"","parse-names":false,"suffix":""},{"dropping-particle":"","family":"Angulo","given":"A.","non-dropping-particle":"","parse-names":false,"suffix":""},{"dropping-particle":"","family":"Robertson","given":"D. R.","non-dropping-particle":"","parse-names":false,"suffix":""},{"dropping-particle":"","family":"Espinoza","given":"E.","non-dropping-particle":"","parse-names":false,"suffix":""},{"dropping-particle":"","family":"Domínguez-Domínguez","given":"O.","non-dropping-particle":"","parse-names":false,"suffix":""}],"container-title":"Molecular Phylogenetics and Evolution","id":"ITEM-2","issue":"May 2018","issued":{"date-parts":[["2019"]]},"page":"269-285","publisher":"Elsevier","title":"The evolutionary history of the goby Elacatinus puncticulatus in the tropical eastern pacific: Effects of habitat discontinuities and local environmental variability","type":"article-journal","volume":"130"},"uris":["http://www.mendeley.com/documents/?uuid=208f8326-03fb-4a29-a3a4-6413277c0e7b"]}],"mendeley":{"formattedCitation":"(14, 15)","plainTextFormattedCitation":"(14, 15)","previouslyFormattedCitation":"(14, 15)"},"properties":{"noteIndex":0},"schema":"https://github.com/citation-style-language/schema/raw/master/csl-citation.json"}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(14, 15)</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w:t>
      </w:r>
    </w:p>
    <w:p w14:paraId="13DCA5F0" w14:textId="77777777" w:rsidR="000803F9" w:rsidRPr="000803F9" w:rsidRDefault="000803F9" w:rsidP="000803F9">
      <w:pPr>
        <w:ind w:firstLine="720"/>
        <w:jc w:val="both"/>
        <w:rPr>
          <w:rFonts w:asciiTheme="majorBidi" w:hAnsiTheme="majorBidi" w:cstheme="majorBidi"/>
          <w:sz w:val="24"/>
          <w:szCs w:val="24"/>
        </w:rPr>
      </w:pPr>
      <w:r w:rsidRPr="000803F9">
        <w:rPr>
          <w:rFonts w:asciiTheme="majorBidi" w:hAnsiTheme="majorBidi" w:cstheme="majorBidi"/>
          <w:sz w:val="24"/>
          <w:szCs w:val="24"/>
        </w:rPr>
        <w:t xml:space="preserve">In the TEP, a rocky coast that goes from the Peninsula of Baja California through the north of Peru is mainly interrupted in two major geographic stretches characterized by sandy bottoms: </w:t>
      </w:r>
      <w:r w:rsidRPr="000803F9">
        <w:rPr>
          <w:rFonts w:asciiTheme="majorBidi" w:hAnsiTheme="majorBidi" w:cstheme="majorBidi"/>
          <w:sz w:val="24"/>
          <w:szCs w:val="24"/>
        </w:rPr>
        <w:lastRenderedPageBreak/>
        <w:t xml:space="preserve">the Sinaloan and the Central American Breaks. The large expanse of open ocean between the Galápagos Archipelago and the continental shelf, and an oceanographic gyre west of Panama, although less effective, have also been suggested to impact connectivity in the region (Fig. 1A). In the TA, a wide variety of environments from rocky, coralline reefs, mangroves, and sandy shorelines that stretch from the coast of Florida through the Gulf of Mexico and northern South America are hypothesized to act as phylogeographic breaks. These include the Bahamas, the Gulf of Mexico, the Yucatán Current, the Mona Passage, the Northeastern Colombian Coast, and the Western and Eastern Caribbean breaks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{"citationItems":[{"id":"ITEM-1","itemData":{"DOI":"10.1111/j.1558-5646.2010.01071.x","ISBN":"1558-5646","ISSN":"00143820","PMID":"20584072","abstract":"Mitochondrial and nuclear sequence data should recover historical demographic events at different temporal scales due to differences in their effective population sizes and substitution rates. This expectation was tested for two closely related coral reef fish, the tube blennies Acanthemblemaria aspera and A. spinosa. These two have similar life histories and dispersal potentials, and co-occur throughout the Caribbean. Sequence data for one mitochondrial and two nuclear markers were collected for 168 individuals across the species' Caribbean ranges. Although both species shared a similar pattern of genetic subdivision, A. spinosa had 20-25 times greater nucleotide sequence divergence among populations than A. aspera at all three markers. Substitution rates estimated using a relaxed clock approach revealed that mitochondrial COI is evolving at 11.2% pairwise sequence divergence per million years. This rapid mitochondrial rate had obscured the signal of old population expansions for both species, which were only recovered using the more slowly evolving nuclear markers. However, the rapid COI rate allowed the recovery of a recent expansion in A. aspera corresponding to a period of increased habitat availability. Only by combining both nuclear and mitochondrial data were we able to recover the complex demographic history of these fish.","author":[{"dropping-particle":"","family":"Eytan","given":"Ron I.","non-dropping-particle":"","parse-names":false,"suffix":""},{"dropping-particle":"","family":"Hellberg","given":"Michael E.","non-dropping-particle":"","parse-names":false,"suffix":""}],"container-title":"Evolution","id":"ITEM-1","issue":"12","issued":{"date-parts":[["2010"]]},"page":"3380-3397","title":"Nuclear and mitochondrial sequence data reveal and conceal different demographic histories and population genetic processes in caribbean reef fishes","type":"article-journal","volume":"64"},"uris":["http://www.mendeley.com/documents/?uuid=61f2f43f-f3a4-45b5-b083-3040926ce51e"]},{"id":"ITEM-2","itemData":{"DOI":"10.1111/j.1365-2699.2011.02496.x","author":[{"dropping-particle":"","family":"Betancur-r","given":"Ricardo","non-dropping-particle":"","parse-names":false,"suffix":""},{"dropping-particle":"","family":"Hines","given":"Andrew","non-dropping-particle":"","parse-names":false,"suffix":""},{"dropping-particle":"","family":"P","given":"Arturo Acero","non-dropping-particle":"","parse-names":false,"suffix":""},{"dropping-particle":"","family":"Ortı","given":"Guillermo","non-dropping-particle":"","parse-names":false,"suffix":""},{"dropping-particle":"","family":"Wilbur","given":"Ami E","non-dropping-particle":"","parse-names":false,"suffix":""},{"dropping-particle":"","family":"Freshwater","given":"D Wilson","non-dropping-particle":"","parse-names":false,"suffix":""}],"container-title":"Journal of Biogeography","id":"ITEM-2","issued":{"date-parts":[["2011"]]},"page":"1281-1293","title":"Reconstructing the lionfish invasion : insights into Greater Caribbean biogeography","type":"article-journal","volume":"38"},"uris":["http://www.mendeley.com/documents/?uuid=c887fa9a-bbb2-409e-949b-8c12d9eaf8c8"]},{"id":"ITEM-3","itemData":{"DOI":"10.1146/annurev.marine.010908.163757","author":[{"dropping-particle":"","family":"Cowen","given":"Robert K","non-dropping-particle":"","parse-names":false,"suffix":""},{"dropping-particle":"","family":"Sponaugle","given":"Su","non-dropping-particle":"","parse-names":false,"suffix":""}],"container-title":"Annual Review of Marine Science","id":"ITEM-3","issued":{"date-parts":[["2009"]]},"page":"443-466","title":"Larval Dispersal and Marine Population Connectivity","type":"article-journal","volume":"1"},"uris":["http://www.mendeley.com/documents/?uuid=f0b54e6f-263e-4d77-a671-2d8c13986151"]},{"id":"ITEM-4","itemData":{"author":[{"dropping-particle":"","family":"Hastings","given":"Philip A","non-dropping-particle":"","parse-names":false,"suffix":""}],"container-title":"Zoological Journal of the Linnean Society","id":"ITEM-4","issued":{"date-parts":[["2000"]]},"page":"319-335","title":"Biogeography of the Tropical Eastern Pacific : distribution and phylogeny of chaenopsid fishes","type":"article-journal","volume":"128"},"uris":["http://www.mendeley.com/documents/?uuid=adfe0f8f-5f0b-4a86-8324-8cc7d41aa829"]},{"id":"ITEM-5","itemData":{"DOI":"10.1126/science.1122039","author":[{"dropping-particle":"","family":"Cowen","given":"R K","non-dropping-particle":"","parse-names":false,"suffix":""}],"container-title":"Science","id":"ITEM-5","issued":{"date-parts":[["2006"]]},"page":"522-527","title":"Scaling of Connectivity in Marine Populations","type":"article-journal","volume":"311"},"uris":["http://www.mendeley.com/documents/?uuid=fe07149d-671e-4b5c-a4fc-3b1e59c012b8"]}],"mendeley":{"formattedCitation":"(13, 19–22)","plainTextFormattedCitation":"(13, 19–22)","previouslyFormattedCitation":"(13, 19–22)"},"properties":{"noteIndex":0},"schema":"https://github.com/citation-style-language/schema/raw/master/csl-citation.json"}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(13, 19–22)</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(Fig. 1B). Phylogeographic studies examining the influence of these contemporary barriers in the TEP and TA have primarily focused on a limited number of species or relied on a scant number of mitochondrial and nuclear markers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{"citationItems":[{"id":"ITEM-1","itemData":{"DOI":"10.1007/s00227-023-04299-w","ISBN":"0123456789","ISSN":"14321793","abstract":"The tropical eastern Pacific (TEP) has been divided into several biogeographic provinces separated by two types of habitat gaps: stretches of sandy shoreline that separate rocky reefs on the mainland (Sinaloan and Central American gaps) and expanses of deep ocean between offshore TEP islands and the mainland. Those gaps are known to influence the distribution and evolution of TEP reef fishes by acting as barriers to gene flow. We investigated potential effects of those gaps on the genetic structure and connectivity of populations of five widely distributed TEP reef-fish species that have different modes of life, habitat preferences and reproductive strategies: Caranx caballus, Rypticus bicolor, Hypsoblennius brevipinnis, Plagiotremus azaleus and Stegastes flavilatus. We used the coxI mitochondrial DNA marker to make phylogeographic, population genetics, and coalescent analyses of geographic patterns of genetic variation in these species. Those analyses showed high variation in levels of genetic diversity. We found no geographic genetic differentiation relating to mainland gaps in any species. Such genetic homogeneity may relate to factors such as migratory behavior, high pelagic dispersal potential and wide environmental tolerance. In two species, differentiation across oceanic gaps separating oceanic islands from the mainland may reflect differences between insular and mainland environments. Historical population expansions that occurred between 400 and 100 thousand years ago in different species may have shaped by patterns of Pleistocene climatic dynamics. The lack of polymorphism of coxI in the damselfish Stegastes flavilatus may relate to the effects of a historical population collapse, although we were not able to detect that genetically.","author":[{"dropping-particle":"","family":"Palmerín-Serrano","given":"Paola N.","non-dropping-particle":"","parse-names":false,"suffix":""},{"dropping-particle":"","family":"Piñeros","given":"Victor J.","non-dropping-particle":"","parse-names":false,"suffix":""},{"dropping-particle":"","family":"Robertson","given":"D. Ross","non-dropping-particle":"","parse-names":false,"suffix":""},{"dropping-particle":"","family":"Angulo","given":"Arturo","non-dropping-particle":"","parse-names":false,"suffix":""},{"dropping-particle":"","family":"Espinoza","given":"Eduardo","non-dropping-particle":"","parse-names":false,"suffix":""},{"dropping-particle":"","family":"Barraza","given":"Enrique","non-dropping-particle":"","parse-names":false,"suffix":""},{"dropping-particle":"","family":"Martínez-Gómez","given":"Juan E.","non-dropping-particle":"","parse-names":false,"suffix":""},{"dropping-particle":"","family":"Solís-Gúzman","given":"María G.","non-dropping-particle":"","parse-names":false,"suffix":""},{"dropping-particle":"","family":"Calderón-Cortés","given":"Nancy","non-dropping-particle":"","parse-names":false,"suffix":""},{"dropping-particle":"","family":"Valdiviezo-Rivera","given":"Jonathan","non-dropping-particle":"","parse-names":false,"suffix":""},{"dropping-particle":"","family":"Domínguez-Domínguez","given":"Omar","non-dropping-particle":"","parse-names":false,"suffix":""}],"container-title":"Marine Biology","id":"ITEM-1","issue":"12","issued":{"date-parts":[["2023"]]},"publisher":"Springer Berlin Heidelberg","title":"Comparative phylogeography and demographic histories of five widely distributed tropical eastern Pacific fishes","type":"article-journal","volume":"170"},"uris":["http://www.mendeley.com/documents/?uuid=3acedd04-28a3-400e-8eb1-25ff04a3eef6"]},{"id":"ITEM-2","itemData":{"DOI":"10.3389/fevo.2014.00053","ISSN":"2296701X","abstract":"Baja California disjuncts, which are marine species that are present in the northern Sea of Cortez and along the Pacific Coast of California and Baja California, but absent from the south, have been shown to be interesting models of allopatric speciation. While at least 19 species of fish are Baja California disjuncts, no study has ever evaluated the genetic patterns of closely related species. Here, we used three sympatric California blennies (genus Hypsoblennius), where two species have disjunct populations and one does not. Based on one mitochondrial and one nuclear molecular marker, we found that the two disjunct species exhibit different genetic patterns, one species showing disjunct populations as reciprocally monophyletic assemblages, while the other species showed evidence of gene flow between disjunct populations. In addition, the non-disjunct species, H. gilberti, exhibits high gene flow along the California and Baja California coasts. I hypothesized that adult habitat and historical vicariant events, more so than pelagic larval duration, played major roles in shaping the currently observed distribution and genetic patterns for these species.","author":[{"dropping-particle":"","family":"Bernardi","given":"Giacomo","non-dropping-particle":"","parse-names":false,"suffix":""}],"container-title":"Frontiers in Ecology and Evolution","id":"ITEM-2","issue":"AUG","issued":{"date-parts":[["2014"]]},"page":"1-9","title":"Baja California disjunctions and phylogeographic patterns in sympatric California blennies","type":"article-journal","volume":"2"},"uris":["http://www.mendeley.com/documents/?uuid=9908693d-9914-495a-a722-ba07ee5be931"]},{"id":"ITEM-3","itemData":{"DOI":"10.1016/j.ympev.2022.107496","ISSN":"10959513","PMID":"35569809","abstract":"The Panamic Clingfish Gobiesox adustus is widely distributed in the Tropical Eastern Pacific (TEP), from the central Gulf of California, Mexico to Ecuador, including the oceanic Revillagigedo Archipelago, and Isla del Coco. This cryptobenthic species is restricted to very shallow rocky-reef habitats. Here, we used one mitochondrial and three nuclear DNA markers from 155 individuals collected across the distribution range of the species in order to evaluate if geographically structured populations exist and to elucidate its evolutionary history. Phylogenetic analyses recovered a monophyletic group, with four well-supported, allopatric subgroups. Each subgroup corresponded to one of the following well-known biogeographic regions/provinces: 1) the Revillagigedo Archipelago, 2) the Cortez + Mexican provinces (Mexico), 3) the Panamic province (from El Salvador to Ecuador), and 4) Isla del Coco. A molecular-clock analysis showed a mean date for the divergence between clade I (the Revillagigedos and Cortez + Mexican provinces) and clade II (Panamic province and Isla del Coco) in the Pliocene, at ca. 5.33 Mya. Within clade I, the segregation between the Revillagigedos and Cortez + Mexican province populations was dated at ca. 1.18 Mya, during the Pleistocene. Within clade II, the segregation between samples of Isla del Coco and the Panamic province samples was dated at ca. 0.77 Mya, during the Pleistocene. The species tree, Bayesian species delimitation tests (BPP and STACEY), the ΦST, AMOVA, and the substantial genetic distances that exist between those four subgroups, indicate that they are independent evolutionary units. These cladogenetic events seem to be related to habitat discontinuities, and oceanographic and geological processes that produce barriers to gene flow for G. adustus, effects of which are enhanced by the intrinsic ecological characteristics of this species.","author":[{"dropping-particle":"","family":"Torres-Hernández","given":"Eloísa","non-dropping-particle":"","parse-names":false,"suffix":""},{"dropping-particle":"","family":"Betancourt-Resendes","given":"Isai","non-dropping-particle":"","parse-names":false,"suffix":""},{"dropping-particle":"","family":"Solís-Guzmán","given":"María Gloria","non-dropping-particle":"","parse-names":false,"suffix":""},{"dropping-particle":"","family":"Ross Robertson","given":"D.","non-dropping-particle":"","parse-names":false,"suffix":""},{"dropping-particle":"","family":"Angulo","given":"Arturo","non-dropping-particle":"","parse-names":false,"suffix":""},{"dropping-particle":"","family":"Martínez-Gómez","given":"Juan E.","non-dropping-particle":"","parse-names":false,"suffix":""},{"dropping-particle":"","family":"Espinoza","given":"Eduardo","non-dropping-particle":"","parse-names":false,"suffix":""},{"dropping-particle":"","family":"Domínguez-Domínguez","given":"Omar","non-dropping-particle":"","parse-names":false,"suffix":""}],"container-title":"Molecular Phylogenetics and Evolution","id":"ITEM-3","issue":"April","issued":{"date-parts":[["2022"]]},"title":"Phylogeography and evolutionary history of the Panamic Clingfish Gobiesox adustus in the Tropical Eastern Pacific","type":"article-journal","volume":"173"},"uris":["http://www.mendeley.com/documents/?uuid=0171c665-44f8-40cc-86a0-f36e55c65ded"]},{"id":"ITEM-4","itemData":{"DOI":"10.1016/j.ympev.2021.107316","ISSN":"10959513","PMID":"34537324","abstract":"Marine species that are widely distributed in the Tropical Eastern Pacific (TEP) has served as a model for studying biogeographic patterns resulting from the effects of intraregional habitat discontinuities and oceanographic processes on the diversification and evolution of cryptobenthic reef fishes. Tomicodon petersii, a clingfish (Gobiesocidae) endemic to the TEP, is found on very shallow rocky reefs from central Mexico to northern Peru, and in the Cocos and Galapagos islands. We evaluated the effect of likely biogeographic barriers in different parts of the TEP on the diversification process of this species. We used one mitochondrial and three nuclear DNA markers from 112 individuals collected across the distribution range of T. petersii. Our phylogenetic results showed the samples constituted a monophyletic group, with three well-supported, allopatric subgroups: in the Mexican province, the Panamic province (from El Salvador to Ecuador), and the Galapagos Islands. The split between the Mexican and more southerly clades was estimated to occur at the end of the Miocene ca. 5.74 Mya, and the subsequent cladogenetic event separating the Galapagos population from the Panamic population at the junction of the Pliocene and Pleistocene, ca. 2.85 Mya. The species tree, Bayesian species delimitation tests (BPP), STACEY, and substantial genetic distances separating these three populations indicate that these three independent evolutionary units likely include two unnamed species. The cladogenetic events that promoted the formation of those genetically differentiated groups are consistent with disruptive effects on gene flow of habitat discontinuities and oceanographic processes along the mainland shoreline in the TEP and of ocean-island isolation, in conjunction with the species intrinsic life-history characteristics.","author":[{"dropping-particle":"","family":"Torres-Hernández","given":"Eloísa","non-dropping-particle":"","parse-names":false,"suffix":""},{"dropping-particle":"","family":"Betancourt-Resendes","given":"Isai","non-dropping-particle":"","parse-names":false,"suffix":""},{"dropping-particle":"","family":"Angulo","given":"Arturo","non-dropping-particle":"","parse-names":false,"suffix":""},{"dropping-particle":"","family":"Robertson","given":"D. Ross","non-dropping-particle":"","parse-names":false,"suffix":""},{"dropping-particle":"","family":"Barraza","given":"Enrique","non-dropping-particle":"","parse-names":false,"suffix":""},{"dropping-particle":"","family":"Espinoza","given":"Eduardo","non-dropping-particle":"","parse-names":false,"suffix":""},{"dropping-particle":"","family":"Díaz-Jaimes","given":"Píndaro","non-dropping-particle":"","parse-names":false,"suffix":""},{"dropping-particle":"","family":"Domínguez-Domínguez","given":"Omar","non-dropping-particle":"","parse-names":false,"suffix":""}],"container-title":"Molecular Phylogenetics and Evolution","id":"ITEM-4","issue":"September 2021","issued":{"date-parts":[["2022"]]},"title":"A multi-locus approach to elucidating the evolutionary history of the clingfish Tomicodon petersii (Gobiesocidae) in the Tropical Eastern Pacific","type":"article-journal","volume":"166"},"uris":["http://www.mendeley.com/documents/?uuid=b5c89450-e46d-4f70-8ba4-5a9f09932e9d"]},{"id":"ITEM-5","itemData":{"DOI":"10.7717/peerj.15029","ISSN":"21678359","abstract":"Background. The lack of barriers in the marine environment has promoted the idea of panmixia in marine organisms. However, oceanographic conditions and habitat characteristics have recently been linked to genetic structure in marine species. The Tropical Eastern Pacific (TEP) is characterized by dynamic current systems and heterogeneous oceanographic conditions. The Gulf of Panama (part of the equatorial segment for the TEP) is influenced by a complex current system and heterogeneous environment, which has been shown to limit the gene flow for shoreline species. Next Generation Sequencing (NGS) has contributed to detect genetic differences in previously reported panmictic species by the assessment of loci associated with selection and to understand how selection acts affects marine populations. Lutjanus guttatus is a species distributed in the TEP for which previous studies using mitochondrial data recovered a panmictic pattern along its distributional range. In this study, we used SNP data of L. guttatus individuals sampled along its range to evaluate population genetic structure and investigate whether oceanographic factors influence the species’ genetic architecture. Finally, we assessed the role of adaptive selection by evaluating the contribution of outlier and neutral loci to genetic divergence. Methods. The RADcap method was used to obtain 24 million paired reads for 123 individuals of L. guttatus covering nearly all its distributional area. Genetic variation was assessed using both spatial and non-spatial methods by comparing three different data sets: (i) a Combined Loci (CL dataset = 2003 SNPs); a search for putative loci under selection allowed the evaluation of (ii) Neutral Loci (NL dataset = 1858 SNPs) and (iii) Outlier Loci (OL dataset = 145 SNPs). We used the estimating effective migration surface (EEMS) approach to detect possible barriers to gene flow. Results. Genetic differences were found in the OL dataset, showing two clusters (Northern and Southern), whereas NL showed no differences. This result may be related to the Selection-Migration balance model. The limit between the Northern and Southern groups was in the Gulf of Panama, which has been previously identified as a barrier to gene flow for other species, mainly due to its heterogeneous oceanographic conditions. The results suggest that selection plays an important role in generating genetic differences in Lutjanus guttatus. A migration corridor was detected that coincides with …","author":[{"dropping-particle":"","family":"Mar-Silva","given":"Adán F.","non-dropping-particle":"","parse-names":false,"suffix":""},{"dropping-particle":"","family":"Diaz-Jaimes","given":"Pindaro","non-dropping-particle":"","parse-names":false,"suffix":""},{"dropping-particle":"","family":"Domínguez-Mendoza","given":"Cristina","non-dropping-particle":"","parse-names":false,"suffix":""},{"dropping-particle":"","family":"Domínguez-Domínguez","given":"Omar","non-dropping-particle":"","parse-names":false,"suffix":""},{"dropping-particle":"","family":"Valdiviezo-Rivera","given":"Jonathan","non-dropping-particle":"","parse-names":false,"suffix":""},{"dropping-particle":"","family":"Espinoza-Herrera","given":"Eduardo","non-dropping-particle":"","parse-names":false,"suffix":""}],"container-title":"PeerJ","id":"ITEM-5","issued":{"date-parts":[["2023"]]},"page":"1-30","title":"Genomic assessment reveals signal of adaptive selection in populations of the Spotted rose snapper Lutjanus guttatus from the Tropical Eastern Pacific","type":"article-journal","volume":"11"},"uris":["http://www.mendeley.com/documents/?uuid=933e67a2-a486-4455-9022-8e09fc51f44a"]},{"id":"ITEM-6","itemData":{"author":[{"dropping-particle":"","family":"Victor","given":"Benjamin C","non-dropping-particle":"","parse-names":false,"suffix":""}],"container-title":"Ecology of Fishes on Coral Reefs: The Functioning of an Ecosystem in a Changing World. Cambridge University Press, Cambridge, United Kingdom","id":"ITEM-6","issued":{"date-parts":[["2015"]]},"page":"76-87","title":"How many coral reef fish species are there? Cryptic diversity and the new molecular taxonomy","type":"chapter"},"uris":["http://www.mendeley.com/documents/?uuid=c96b7de7-6d97-469b-b470-8e53662ec2f7"]}],"mendeley":{"formattedCitation":"(8, 14, 23–26)","plainTextFormattedCitation":"(8, 14, 23–26)","previouslyFormattedCitation":"(8, 14, 23–26)"},"properties":{"noteIndex":0},"schema":"https://github.com/citation-style-language/schema/raw/master/csl-citation.json"}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(8, 14, 23–26)</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As a result, many of these studies have failed to identify shared genetic structure patterns, which are crucial for understanding the overall impact of dispersal barriers on population connectivity in marine environments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{"citationItems":[{"id":"ITEM-1","itemData":{"DOI":"10.1007/s00227-023-04299-w","ISBN":"0123456789","ISSN":"14321793","abstract":"The tropical eastern Pacific (TEP) has been divided into several biogeographic provinces separated by two types of habitat gaps: stretches of sandy shoreline that separate rocky reefs on the mainland (Sinaloan and Central American gaps) and expanses of deep ocean between offshore TEP islands and the mainland. Those gaps are known to influence the distribution and evolution of TEP reef fishes by acting as barriers to gene flow. We investigated potential effects of those gaps on the genetic structure and connectivity of populations of five widely distributed TEP reef-fish species that have different modes of life, habitat preferences and reproductive strategies: Caranx caballus, Rypticus bicolor, Hypsoblennius brevipinnis, Plagiotremus azaleus and Stegastes flavilatus. We used the coxI mitochondrial DNA marker to make phylogeographic, population genetics, and coalescent analyses of geographic patterns of genetic variation in these species. Those analyses showed high variation in levels of genetic diversity. We found no geographic genetic differentiation relating to mainland gaps in any species. Such genetic homogeneity may relate to factors such as migratory behavior, high pelagic dispersal potential and wide environmental tolerance. In two species, differentiation across oceanic gaps separating oceanic islands from the mainland may reflect differences between insular and mainland environments. Historical population expansions that occurred between 400 and 100 thousand years ago in different species may have shaped by patterns of Pleistocene climatic dynamics. The lack of polymorphism of coxI in the damselfish Stegastes flavilatus may relate to the effects of a historical population collapse, although we were not able to detect that genetically.","author":[{"dropping-particle":"","family":"Palmerín-Serrano","given":"Paola N.","non-dropping-particle":"","parse-names":false,"suffix":""},{"dropping-particle":"","family":"Piñeros","given":"Victor J.","non-dropping-particle":"","parse-names":false,"suffix":""},{"dropping-particle":"","family":"Robertson","given":"D. Ross","non-dropping-particle":"","parse-names":false,"suffix":""},{"dropping-particle":"","family":"Angulo","given":"Arturo","non-dropping-particle":"","parse-names":false,"suffix":""},{"dropping-particle":"","family":"Espinoza","given":"Eduardo","non-dropping-particle":"","parse-names":false,"suffix":""},{"dropping-particle":"","family":"Barraza","given":"Enrique","non-dropping-particle":"","parse-names":false,"suffix":""},{"dropping-particle":"","family":"Martínez-Gómez","given":"Juan E.","non-dropping-particle":"","parse-names":false,"suffix":""},{"dropping-particle":"","family":"Solís-Gúzman","given":"María G.","non-dropping-particle":"","parse-names":false,"suffix":""},{"dropping-particle":"","family":"Calderón-Cortés","given":"Nancy","non-dropping-particle":"","parse-names":false,"suffix":""},{"dropping-particle":"","family":"Valdiviezo-Rivera","given":"Jonathan","non-dropping-particle":"","parse-names":false,"suffix":""},{"dropping-particle":"","family":"Domínguez-Domínguez","given":"Omar","non-dropping-particle":"","parse-names":false,"suffix":""}],"container-title":"Marine Biology","id":"ITEM-1","issue":"12","issued":{"date-parts":[["2023"]]},"publisher":"Springer Berlin Heidelberg","title":"Comparative phylogeography and demographic histories of five widely distributed tropical eastern Pacific fishes","type":"article-journal","volume":"170"},"uris":["http://www.mendeley.com/documents/?uuid=3acedd04-28a3-400e-8eb1-25ff04a3eef6"]},{"id":"ITEM-2","itemData":{"DOI":"10.3389/fevo.2014.00053","ISSN":"2296701X","abstract":"Baja California disjuncts, which are marine species that are present in the northern Sea of Cortez and along the Pacific Coast of California and Baja California, but absent from the south, have been shown to be interesting models of allopatric speciation. While at least 19 species of fish are Baja California disjuncts, no study has ever evaluated the genetic patterns of closely related species. Here, we used three sympatric California blennies (genus Hypsoblennius), where two species have disjunct populations and one does not. Based on one mitochondrial and one nuclear molecular marker, we found that the two disjunct species exhibit different genetic patterns, one species showing disjunct populations as reciprocally monophyletic assemblages, while the other species showed evidence of gene flow between disjunct populations. In addition, the non-disjunct species, H. gilberti, exhibits high gene flow along the California and Baja California coasts. I hypothesized that adult habitat and historical vicariant events, more so than pelagic larval duration, played major roles in shaping the currently observed distribution and genetic patterns for these species.","author":[{"dropping-particle":"","family":"Bernardi","given":"Giacomo","non-dropping-particle":"","parse-names":false,"suffix":""}],"container-title":"Frontiers in Ecology and Evolution","id":"ITEM-2","issue":"AUG","issued":{"date-parts":[["2014"]]},"page":"1-9","title":"Baja California disjunctions and phylogeographic patterns in sympatric California blennies","type":"article-journal","volume":"2"},"uris":["http://www.mendeley.com/documents/?uuid=9908693d-9914-495a-a722-ba07ee5be931"]}],"mendeley":{"formattedCitation":"(8, 23)","manualFormatting":"(e.g., 8, 14, 23–26)","plainTextFormattedCitation":"(8, 23)","previouslyFormattedCitation":"(8, 23)"},"properties":{"noteIndex":0},"schema":"https://github.com/citation-style-language/schema/raw/master/csl-citation.json"}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(e.g., 8, 14, 23–26)</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w:t>
      </w:r>
    </w:p>
    <w:p w14:paraId="12D6AF4C" w14:textId="77777777" w:rsidR="000803F9" w:rsidRPr="000803F9" w:rsidRDefault="000803F9" w:rsidP="000803F9">
      <w:pPr>
        <w:ind w:firstLine="720"/>
        <w:jc w:val="both"/>
        <w:rPr>
          <w:rFonts w:asciiTheme="majorBidi" w:hAnsiTheme="majorBidi" w:cstheme="majorBidi"/>
          <w:sz w:val="24"/>
          <w:szCs w:val="24"/>
        </w:rPr>
      </w:pPr>
      <w:r w:rsidRPr="000803F9">
        <w:rPr>
          <w:rFonts w:asciiTheme="majorBidi" w:hAnsiTheme="majorBidi" w:cstheme="majorBidi"/>
          <w:sz w:val="24"/>
          <w:szCs w:val="24"/>
        </w:rPr>
        <w:t xml:space="preserve">Comprising 25 species, primarily New World endemics, labrisomid blennies within the genus </w:t>
      </w:r>
      <w:r w:rsidRPr="000803F9">
        <w:rPr>
          <w:rFonts w:asciiTheme="majorBidi" w:hAnsiTheme="majorBidi" w:cstheme="majorBidi"/>
          <w:i/>
          <w:iCs/>
          <w:sz w:val="24"/>
          <w:szCs w:val="24"/>
        </w:rPr>
        <w:t>Malacoctenus</w:t>
      </w:r>
      <w:r w:rsidRPr="000803F9">
        <w:rPr>
          <w:rFonts w:asciiTheme="majorBidi" w:hAnsiTheme="majorBidi" w:cstheme="majorBidi"/>
          <w:sz w:val="24"/>
          <w:szCs w:val="24"/>
        </w:rPr>
        <w:t xml:space="preserve"> offer an excellent system for marine phylogeographic analysis in the Neotropics. Due to their strong association with rocky habitats and coral reefs, even minor disturbances in their habitat can result in genetic isolation. Identifying these species can be quite challenging, as traditional taxonomic characteristics used for differentiation often exhibit overlap among closely related species. There have been suggestions of concealed cryptic diversity and the presence of species complexes within these regions </w:t>
      </w:r>
      <w:r w:rsidRPr="000803F9">
        <w:rPr>
          <w:rFonts w:asciiTheme="majorBidi" w:hAnsiTheme="majorBidi" w:cstheme="majorBidi"/>
          <w:sz w:val="24"/>
          <w:szCs w:val="24"/>
        </w:rPr>
        <w:fldChar w:fldCharType="begin" w:fldLock="1"/>
      </w:r>
      <w:r w:rsidRPr="000803F9">
        <w:rPr>
          <w:rFonts w:asciiTheme="majorBidi" w:hAnsiTheme="majorBidi" w:cstheme="majorBidi"/>
          <w:sz w:val="24"/>
          <w:szCs w:val="24"/>
        </w:rPr>
        <w:instrText>ADDIN CSL_CITATION {"citationItems":[{"id":"ITEM-1","itemData":{"author":[{"dropping-particle":"","family":"Victor","given":"Benjamin C","non-dropping-particle":"","parse-names":false,"suffix":""}],"container-title":"Ecology of Fishes on Coral Reefs: The Functioning of an Ecosystem in a Changing World. Cambridge University Press, Cambridge, United Kingdom","id":"ITEM-1","issued":{"date-parts":[["2015"]]},"page":"76-87","title":"How many coral reef fish species are there? Cryptic diversity and the new molecular taxonomy","type":"chapter"},"uris":["http://www.mendeley.com/documents/?uuid=c96b7de7-6d97-469b-b470-8e53662ec2f7"]},{"id":"ITEM-2","itemData":{"author":[{"dropping-particle":"","family":"Springer","given":"Victor G.","non-dropping-particle":"","parse-names":false,"suffix":""}],"id":"ITEM-2","issued":{"date-parts":[["1959"]]},"number-of-pages":"5: 417-492","publisher":"University of Texas","title":"Systematics and Zoogeography of the Clinid Fishes of the Subtribe Labrisomini Hubbs","type":"thesis"},"uris":["http://www.mendeley.com/documents/?uuid=2bbfe69c-07bb-49dc-a59b-8bc4e67312a5"]}],"mendeley":{"formattedCitation":"(12, 26)","plainTextFormattedCitation":"(12, 26)","previouslyFormattedCitation":"(12, 26)"},"properties":{"noteIndex":0},"schema":"https://github.com/citation-style-language/schema/raw/master/csl-citation.json"}</w:instrText>
      </w:r>
      <w:r w:rsidRPr="000803F9">
        <w:rPr>
          <w:rFonts w:asciiTheme="majorBidi" w:hAnsiTheme="majorBidi" w:cstheme="majorBidi"/>
          <w:sz w:val="24"/>
          <w:szCs w:val="24"/>
        </w:rPr>
        <w:fldChar w:fldCharType="separate"/>
      </w:r>
      <w:r w:rsidRPr="000803F9">
        <w:rPr>
          <w:rFonts w:asciiTheme="majorBidi" w:hAnsiTheme="majorBidi" w:cstheme="majorBidi"/>
          <w:sz w:val="24"/>
          <w:szCs w:val="24"/>
        </w:rPr>
        <w:t>(12, 26)</w:t>
      </w:r>
      <w:r w:rsidRPr="000803F9">
        <w:rPr>
          <w:rFonts w:asciiTheme="majorBidi" w:hAnsiTheme="majorBidi" w:cstheme="majorBidi"/>
          <w:sz w:val="24"/>
          <w:szCs w:val="24"/>
        </w:rPr>
        <w:fldChar w:fldCharType="end"/>
      </w:r>
      <w:r w:rsidRPr="000803F9">
        <w:rPr>
          <w:rFonts w:asciiTheme="majorBidi" w:hAnsiTheme="majorBidi" w:cstheme="majorBidi"/>
          <w:sz w:val="24"/>
          <w:szCs w:val="24"/>
        </w:rPr>
        <w:t xml:space="preserve">. Notwithstanding these challenges, </w:t>
      </w:r>
      <w:r w:rsidRPr="000803F9">
        <w:rPr>
          <w:rFonts w:asciiTheme="majorBidi" w:hAnsiTheme="majorBidi" w:cstheme="majorBidi"/>
          <w:i/>
          <w:iCs/>
          <w:sz w:val="24"/>
          <w:szCs w:val="24"/>
        </w:rPr>
        <w:t>Malacoctenus</w:t>
      </w:r>
      <w:r w:rsidRPr="000803F9">
        <w:rPr>
          <w:rFonts w:asciiTheme="majorBidi" w:hAnsiTheme="majorBidi" w:cstheme="majorBidi"/>
          <w:sz w:val="24"/>
          <w:szCs w:val="24"/>
        </w:rPr>
        <w:t xml:space="preserve"> provides an opportunity to investigate the influence of historical factors, such as the Isthmus of Panama, and contemporary barriers like the Sinaloan Break, on population divergence in the Tropical Eastern Pacific (TEP) and the Tropical Atlantic (TA)</w:t>
      </w:r>
      <w:r w:rsidRPr="000803F9" w:rsidDel="008F5C70">
        <w:rPr>
          <w:rFonts w:asciiTheme="majorBidi" w:hAnsiTheme="majorBidi" w:cstheme="majorBidi"/>
          <w:sz w:val="24"/>
          <w:szCs w:val="24"/>
        </w:rPr>
        <w:t>.</w:t>
      </w:r>
    </w:p>
    <w:p w14:paraId="63F86D46" w14:textId="510FB88C" w:rsidR="000803F9" w:rsidRPr="000803F9" w:rsidRDefault="000803F9" w:rsidP="000803F9">
      <w:pPr>
        <w:ind w:firstLine="720"/>
        <w:jc w:val="both"/>
        <w:rPr>
          <w:rFonts w:asciiTheme="majorBidi" w:hAnsiTheme="majorBidi" w:cstheme="majorBidi"/>
          <w:sz w:val="24"/>
          <w:szCs w:val="24"/>
        </w:rPr>
      </w:pPr>
      <w:r w:rsidRPr="000803F9">
        <w:rPr>
          <w:rFonts w:asciiTheme="majorBidi" w:hAnsiTheme="majorBidi" w:cstheme="majorBidi"/>
          <w:sz w:val="24"/>
          <w:szCs w:val="24"/>
        </w:rPr>
        <w:t xml:space="preserve">This study employs a multifaceted approach that integrates population genetics, comparative phylogeography, phylogenomics, geometric morphometrics, and seascape genomics. It is based on a dataset of thousands of loci obtained through restriction-site-associated DNA sequencing (RADseq). The dataset comprises hundreds of individuals, representing 23 out of the 25 </w:t>
      </w:r>
      <w:r w:rsidRPr="000803F9">
        <w:rPr>
          <w:rFonts w:asciiTheme="majorBidi" w:hAnsiTheme="majorBidi" w:cstheme="majorBidi"/>
          <w:i/>
          <w:iCs/>
          <w:sz w:val="24"/>
          <w:szCs w:val="24"/>
        </w:rPr>
        <w:t>Malacoctenus</w:t>
      </w:r>
      <w:r w:rsidRPr="000803F9">
        <w:rPr>
          <w:rFonts w:asciiTheme="majorBidi" w:hAnsiTheme="majorBidi" w:cstheme="majorBidi"/>
          <w:sz w:val="24"/>
          <w:szCs w:val="24"/>
        </w:rPr>
        <w:t xml:space="preserve"> species, collected from numerous locations across their distribution ranges in the TEP and TA regions. With this dataset we aimed to: (i) identify current patterns of population structure of co-distributed species and test whether these patterns are concordant with previously-identified contemporary barriers in the regions; (ii) evaluate whether morphological variation is correlated with genetic breaks and population structure analyses; (iii) elucidate major environmental variables and spatial components influencing genetic differentiation at both intra- and inter-species levels using seascape genomic analyses; and (iv), at broader macroevolutionary scales, investigate the biogeographic history and macroevolutionary ecology of the group and assess the extent to which cladogenetic events in multiple subclades prompted by the rise of the isthmus of Panama have occurred synchronously. Our results ultimately contribute to our understanding of the evolutionary history of reef fishes and the forces driving marine connectivity and speciation in the marine realm more generally and the Neotropics in particular.</w:t>
      </w:r>
    </w:p>
    <w:p w14:paraId="4FFBEDD1" w14:textId="77777777" w:rsidR="000803F9" w:rsidRDefault="000803F9" w:rsidP="000803F9">
      <w:pPr>
        <w:rPr>
          <w:rFonts w:asciiTheme="majorBidi" w:hAnsiTheme="majorBidi" w:cstheme="majorBidi"/>
          <w:sz w:val="24"/>
          <w:szCs w:val="24"/>
        </w:rPr>
      </w:pPr>
    </w:p>
    <w:p w14:paraId="52FFE6B1" w14:textId="77777777" w:rsidR="000803F9" w:rsidRPr="000803F9" w:rsidRDefault="000803F9" w:rsidP="000803F9">
      <w:pPr>
        <w:rPr>
          <w:rFonts w:asciiTheme="majorBidi" w:hAnsiTheme="majorBidi" w:cstheme="majorBidi"/>
          <w:sz w:val="24"/>
          <w:szCs w:val="24"/>
        </w:rPr>
      </w:pPr>
    </w:p>
    <w:p w14:paraId="1BD67F93" w14:textId="7A4015DA" w:rsidR="000803F9" w:rsidRDefault="000803F9" w:rsidP="000803F9">
      <w:pPr>
        <w:pStyle w:val="ListParagraph"/>
        <w:numPr>
          <w:ilvl w:val="1"/>
          <w:numId w:val="5"/>
        </w:numPr>
        <w:rPr>
          <w:rFonts w:asciiTheme="majorBidi" w:hAnsiTheme="majorBidi" w:cstheme="majorBidi"/>
          <w:b/>
          <w:bCs/>
          <w:sz w:val="32"/>
          <w:szCs w:val="32"/>
        </w:rPr>
      </w:pPr>
      <w:r>
        <w:rPr>
          <w:rFonts w:asciiTheme="majorBidi" w:hAnsiTheme="majorBidi" w:cstheme="majorBidi"/>
          <w:b/>
          <w:bCs/>
          <w:sz w:val="32"/>
          <w:szCs w:val="32"/>
        </w:rPr>
        <w:lastRenderedPageBreak/>
        <w:t>Materials and Methods</w:t>
      </w:r>
    </w:p>
    <w:p w14:paraId="3E69C62B" w14:textId="098EF513" w:rsidR="005B0999" w:rsidRPr="005B0999" w:rsidRDefault="005B0999" w:rsidP="005B0999">
      <w:pPr>
        <w:pBdr>
          <w:top w:val="nil"/>
          <w:left w:val="nil"/>
          <w:bottom w:val="nil"/>
          <w:right w:val="nil"/>
          <w:between w:val="nil"/>
        </w:pBdr>
        <w:jc w:val="both"/>
        <w:rPr>
          <w:rFonts w:ascii="Times New Roman" w:hAnsi="Times New Roman" w:cs="Times New Roman"/>
          <w:color w:val="000000"/>
          <w:sz w:val="24"/>
          <w:szCs w:val="24"/>
        </w:rPr>
      </w:pPr>
      <w:r w:rsidRPr="005B0999">
        <w:rPr>
          <w:rFonts w:ascii="Times New Roman" w:hAnsi="Times New Roman" w:cs="Times New Roman"/>
          <w:color w:val="000000"/>
          <w:sz w:val="24"/>
          <w:szCs w:val="24"/>
        </w:rPr>
        <w:t>Extended information on the methods used in this study and supplementary information are provided in the</w:t>
      </w:r>
      <w:r w:rsidRPr="005B0999">
        <w:rPr>
          <w:rFonts w:ascii="Times New Roman" w:hAnsi="Times New Roman" w:cs="Times New Roman"/>
          <w:i/>
          <w:iCs/>
          <w:color w:val="000000"/>
          <w:sz w:val="24"/>
          <w:szCs w:val="24"/>
        </w:rPr>
        <w:t xml:space="preserve"> Appendix</w:t>
      </w:r>
      <w:r>
        <w:rPr>
          <w:rFonts w:ascii="Times New Roman" w:hAnsi="Times New Roman" w:cs="Times New Roman"/>
          <w:i/>
          <w:iCs/>
          <w:color w:val="000000"/>
          <w:sz w:val="24"/>
          <w:szCs w:val="24"/>
        </w:rPr>
        <w:t xml:space="preserve"> C</w:t>
      </w:r>
      <w:r w:rsidRPr="005B0999">
        <w:rPr>
          <w:rFonts w:ascii="Times New Roman" w:hAnsi="Times New Roman" w:cs="Times New Roman"/>
          <w:i/>
          <w:iCs/>
          <w:color w:val="000000"/>
          <w:sz w:val="24"/>
          <w:szCs w:val="24"/>
        </w:rPr>
        <w:t>, Materials and Methods</w:t>
      </w:r>
      <w:r w:rsidRPr="005B0999">
        <w:rPr>
          <w:rFonts w:ascii="Times New Roman" w:hAnsi="Times New Roman" w:cs="Times New Roman"/>
          <w:color w:val="000000"/>
          <w:sz w:val="24"/>
          <w:szCs w:val="24"/>
        </w:rPr>
        <w:t>.</w:t>
      </w:r>
    </w:p>
    <w:p w14:paraId="3C28B558" w14:textId="42E8E2A2" w:rsidR="005B0999" w:rsidRDefault="00801192" w:rsidP="005B0999">
      <w:pPr>
        <w:jc w:val="both"/>
        <w:rPr>
          <w:rFonts w:asciiTheme="majorBidi" w:hAnsiTheme="majorBidi" w:cstheme="majorBidi"/>
          <w:b/>
          <w:bCs/>
          <w:sz w:val="28"/>
          <w:szCs w:val="28"/>
        </w:rPr>
      </w:pPr>
      <w:r w:rsidRPr="00801192">
        <w:rPr>
          <w:rFonts w:asciiTheme="majorBidi" w:hAnsiTheme="majorBidi" w:cstheme="majorBidi"/>
          <w:b/>
          <w:bCs/>
          <w:sz w:val="28"/>
          <w:szCs w:val="28"/>
        </w:rPr>
        <w:t>Sample collection and genomic data generation</w:t>
      </w:r>
    </w:p>
    <w:p w14:paraId="1B680860" w14:textId="0798D9D6" w:rsidR="00801192" w:rsidRPr="00801192" w:rsidRDefault="00801192" w:rsidP="00801192">
      <w:pPr>
        <w:jc w:val="both"/>
        <w:rPr>
          <w:rFonts w:asciiTheme="majorBidi" w:hAnsiTheme="majorBidi" w:cstheme="majorBidi"/>
          <w:sz w:val="24"/>
          <w:szCs w:val="24"/>
        </w:rPr>
      </w:pPr>
      <w:r w:rsidRPr="00801192">
        <w:rPr>
          <w:rFonts w:asciiTheme="majorBidi" w:hAnsiTheme="majorBidi" w:cstheme="majorBidi"/>
          <w:sz w:val="24"/>
          <w:szCs w:val="24"/>
        </w:rPr>
        <w:t xml:space="preserve">We generated restriction site associated DNA sequencing (RADseq) data from 506 individuals, representing 23 out of the 25 species of </w:t>
      </w:r>
      <w:r w:rsidRPr="00801192">
        <w:rPr>
          <w:rFonts w:asciiTheme="majorBidi" w:hAnsiTheme="majorBidi" w:cstheme="majorBidi"/>
          <w:i/>
          <w:iCs/>
          <w:sz w:val="24"/>
          <w:szCs w:val="24"/>
        </w:rPr>
        <w:t>Malacoctenus</w:t>
      </w:r>
      <w:r w:rsidRPr="00801192">
        <w:rPr>
          <w:rFonts w:asciiTheme="majorBidi" w:hAnsiTheme="majorBidi" w:cstheme="majorBidi"/>
          <w:sz w:val="24"/>
          <w:szCs w:val="24"/>
        </w:rPr>
        <w:t xml:space="preserve"> plus an outgroup (</w:t>
      </w:r>
      <w:r w:rsidRPr="00801192">
        <w:rPr>
          <w:rFonts w:asciiTheme="majorBidi" w:hAnsiTheme="majorBidi" w:cstheme="majorBidi"/>
          <w:i/>
          <w:iCs/>
          <w:sz w:val="24"/>
          <w:szCs w:val="24"/>
        </w:rPr>
        <w:t>Brockius striatus</w:t>
      </w:r>
      <w:r w:rsidRPr="00801192">
        <w:rPr>
          <w:rFonts w:asciiTheme="majorBidi" w:hAnsiTheme="majorBidi" w:cstheme="majorBidi"/>
          <w:sz w:val="24"/>
          <w:szCs w:val="24"/>
        </w:rPr>
        <w:t xml:space="preserve">), collected across 38 localities in the Tropical Eastern Pacific (TEP) and Tropical Atlantic (TA) </w:t>
      </w:r>
      <w:r w:rsidRPr="00801192">
        <w:rPr>
          <w:rFonts w:asciiTheme="majorBidi" w:hAnsiTheme="majorBidi" w:cstheme="majorBidi"/>
          <w:sz w:val="24"/>
          <w:szCs w:val="24"/>
        </w:rPr>
        <w:fldChar w:fldCharType="begin" w:fldLock="1"/>
      </w:r>
      <w:r w:rsidRPr="00801192">
        <w:rPr>
          <w:rFonts w:asciiTheme="majorBidi" w:hAnsiTheme="majorBidi" w:cstheme="majorBidi"/>
          <w:sz w:val="24"/>
          <w:szCs w:val="24"/>
        </w:rPr>
        <w:instrText>ADDIN CSL_CITATION {"citationItems":[{"id":"ITEM-1","itemData":{"author":[{"dropping-particle":"","family":"Spalding","given":"Mark D","non-dropping-particle":"","parse-names":false,"suffix":""},{"dropping-particle":"","family":"Fox","given":"Helen E","non-dropping-particle":"","parse-names":false,"suffix":""},{"dropping-particle":"","family":"Allen","given":"Gerald R","non-dropping-particle":"","parse-names":false,"suffix":""},{"dropping-particle":"","family":"Davidson","given":"Nick","non-dropping-particle":"","parse-names":false,"suffix":""},{"dropping-particle":"","family":"Ferdaña","given":"Zach A","non-dropping-particle":"","parse-names":false,"suffix":""},{"dropping-particle":"","family":"Finlayson","given":"M A X","non-dropping-particle":"","parse-names":false,"suffix":""},{"dropping-particle":"","family":"Halpern","given":"Benjamin S","non-dropping-particle":"","parse-names":false,"suffix":""},{"dropping-particle":"","family":"Jorge","given":"Miguel A","non-dropping-particle":"","parse-names":false,"suffix":""},{"dropping-particle":"","family":"Lombana","given":"A L","non-dropping-particle":"","parse-names":false,"suffix":""},{"dropping-particle":"","family":"Lourie","given":"Sara A","non-dropping-particle":"","parse-names":false,"suffix":""},{"dropping-particle":"","family":"Martin","given":"Kirsten D","non-dropping-particle":"","parse-names":false,"suffix":""},{"dropping-particle":"","family":"Manus","given":"M C","non-dropping-particle":"","parse-names":false,"suffix":""},{"dropping-particle":"","family":"Molnar","given":"Jennifer","non-dropping-particle":"","parse-names":false,"suffix":""},{"dropping-particle":"","family":"Recchia","given":"Cheri A","non-dropping-particle":"","parse-names":false,"suffix":""},{"dropping-particle":"","family":"Robertson","given":"James","non-dropping-particle":"","parse-names":false,"suffix":""}],"id":"ITEM-1","issue":"7","issued":{"date-parts":[["2007"]]},"page":"573-583","title":"Marine Ecoregions of the World : A Bioregionalization of Coastal and Shelf Areas","type":"article-journal","volume":"57"},"uris":["http://www.mendeley.com/documents/?uuid=75a3a620-dfd5-4c2d-ad6f-09ce8a83f173"]}],"mendeley":{"formattedCitation":"(30)","plainTextFormattedCitation":"(30)","previouslyFormattedCitation":"(30)"},"properties":{"noteIndex":0},"schema":"https://github.com/citation-style-language/schema/raw/master/csl-citation.json"}</w:instrText>
      </w:r>
      <w:r w:rsidRPr="00801192">
        <w:rPr>
          <w:rFonts w:asciiTheme="majorBidi" w:hAnsiTheme="majorBidi" w:cstheme="majorBidi"/>
          <w:sz w:val="24"/>
          <w:szCs w:val="24"/>
        </w:rPr>
        <w:fldChar w:fldCharType="separate"/>
      </w:r>
      <w:r w:rsidRPr="00801192">
        <w:rPr>
          <w:rFonts w:asciiTheme="majorBidi" w:hAnsiTheme="majorBidi" w:cstheme="majorBidi"/>
          <w:sz w:val="24"/>
          <w:szCs w:val="24"/>
        </w:rPr>
        <w:t>(30)</w:t>
      </w:r>
      <w:r w:rsidRPr="00801192">
        <w:rPr>
          <w:rFonts w:asciiTheme="majorBidi" w:hAnsiTheme="majorBidi" w:cstheme="majorBidi"/>
          <w:sz w:val="24"/>
          <w:szCs w:val="24"/>
        </w:rPr>
        <w:fldChar w:fldCharType="end"/>
      </w:r>
      <w:r w:rsidRPr="00801192">
        <w:rPr>
          <w:rFonts w:asciiTheme="majorBidi" w:hAnsiTheme="majorBidi" w:cstheme="majorBidi"/>
          <w:sz w:val="24"/>
          <w:szCs w:val="24"/>
        </w:rPr>
        <w:t xml:space="preserve"> (</w:t>
      </w:r>
      <w:r w:rsidRPr="00801192">
        <w:rPr>
          <w:rFonts w:asciiTheme="majorBidi" w:hAnsiTheme="majorBidi" w:cstheme="majorBidi"/>
          <w:i/>
          <w:iCs/>
          <w:sz w:val="24"/>
          <w:szCs w:val="24"/>
        </w:rPr>
        <w:t>Appendix</w:t>
      </w:r>
      <w:r w:rsidR="001E6375">
        <w:rPr>
          <w:rFonts w:asciiTheme="majorBidi" w:hAnsiTheme="majorBidi" w:cstheme="majorBidi"/>
          <w:i/>
          <w:iCs/>
          <w:sz w:val="24"/>
          <w:szCs w:val="24"/>
        </w:rPr>
        <w:t xml:space="preserve"> C</w:t>
      </w:r>
      <w:r w:rsidRPr="00801192">
        <w:rPr>
          <w:rFonts w:asciiTheme="majorBidi" w:hAnsiTheme="majorBidi" w:cstheme="majorBidi"/>
          <w:i/>
          <w:iCs/>
          <w:sz w:val="24"/>
          <w:szCs w:val="24"/>
        </w:rPr>
        <w:t xml:space="preserve">, Materials and Methods, </w:t>
      </w:r>
      <w:r w:rsidRPr="00801192">
        <w:rPr>
          <w:rFonts w:asciiTheme="majorBidi" w:hAnsiTheme="majorBidi" w:cstheme="majorBidi"/>
          <w:sz w:val="24"/>
          <w:szCs w:val="24"/>
        </w:rPr>
        <w:t xml:space="preserve">Fig. S1). High-yield DNA extractions and RADseq libraries were prepared at the University of Wisconsin Biotechnology Center (UWBC) by applying the double-digest (ddRADseq) protocol of </w:t>
      </w:r>
      <w:r w:rsidRPr="00801192">
        <w:rPr>
          <w:rFonts w:asciiTheme="majorBidi" w:hAnsiTheme="majorBidi" w:cstheme="majorBidi"/>
          <w:sz w:val="24"/>
          <w:szCs w:val="24"/>
        </w:rPr>
        <w:fldChar w:fldCharType="begin" w:fldLock="1"/>
      </w:r>
      <w:r w:rsidRPr="00801192">
        <w:rPr>
          <w:rFonts w:asciiTheme="majorBidi" w:hAnsiTheme="majorBidi" w:cstheme="majorBidi"/>
          <w:sz w:val="24"/>
          <w:szCs w:val="24"/>
        </w:rPr>
        <w:instrText>ADDIN CSL_CITATION {"citationItems":[{"id":"ITEM-1","itemData":{"DOI":"10.1371/journal.pone.0019379","ISSN":"19326203","PMID":"21573248","abstract":"Advances in next generation technologies have driven the costs of DNA sequencing down to the point that genotyping-by-sequencing (GBS) is now feasible for high diversity, large genome species. Here, we report a procedure for constructing GBS libraries based on reducing genome complexity with restriction enzymes (REs). This approach is simple, quick, extremely specific, highly reproducible, and may reach important regions of the genome that are inaccessible to sequence capture approaches. By using methylation-sensitive REs, repetitive regions of genomes can be avoided and lower copy regions targeted with two to three fold higher efficiency. This tremendously simplifies computationally challenging alignment problems in species with high levels of genetic diversity. The GBS procedure is demonstrated with maize (IBM) and barley (Oregon Wolfe Barley) recombinant inbred populations where roughly 200,000 and 25,000 sequence tags were mapped, respectively. An advantage in species like barley that lack a complete genome sequence is that a reference map need only be developed around the restriction sites, and this can be done in the process of sample genotyping. In such cases, the consensus of the read clusters across the sequence tagged sites becomes the reference. Alternatively, for kinship analyses in the absence of a reference genome, the sequence tags can simply be treated as dominant markers. Future application of GBS to breeding, conservation, and global species and population surveys may allow plant breeders to conduct genomic selection on a novel germplasm or species without first having to develop any prior molecular tools, or conservation biologists to determine population structure without prior knowledge of the genome or diversity in the species.","author":[{"dropping-particle":"","family":"Elshire","given":"Robert J.","non-dropping-particle":"","parse-names":false,"suffix":""},{"dropping-particle":"","family":"Glaubitz","given":"Jeffrey C.","non-dropping-particle":"","parse-names":false,"suffix":""},{"dropping-particle":"","family":"Sun","given":"Qi","non-dropping-particle":"","parse-names":false,"suffix":""},{"dropping-particle":"","family":"Poland","given":"Jesse A.","non-dropping-particle":"","parse-names":false,"suffix":""},{"dropping-particle":"","family":"Kawamoto","given":"Ken","non-dropping-particle":"","parse-names":false,"suffix":""},{"dropping-particle":"","family":"Buckler","given":"Edward S.","non-dropping-particle":"","parse-names":false,"suffix":""},{"dropping-particle":"","family":"Mitchell","given":"Sharon E.","non-dropping-particle":"","parse-names":false,"suffix":""}],"container-title":"PLoS ONE","id":"ITEM-1","issue":"5","issued":{"date-parts":[["2011"]]},"page":"1-10","title":"A robust, simple genotyping-by-sequencing (GBS) approach for high diversity species","type":"article-journal","volume":"6"},"uris":["http://www.mendeley.com/documents/?uuid=d8e79383-a391-4f2b-8b84-af252bcf0942"]}],"mendeley":{"formattedCitation":"(68)","plainTextFormattedCitation":"(68)","previouslyFormattedCitation":"(68)"},"properties":{"noteIndex":0},"schema":"https://github.com/citation-style-language/schema/raw/master/csl-citation.json"}</w:instrText>
      </w:r>
      <w:r w:rsidRPr="00801192">
        <w:rPr>
          <w:rFonts w:asciiTheme="majorBidi" w:hAnsiTheme="majorBidi" w:cstheme="majorBidi"/>
          <w:sz w:val="24"/>
          <w:szCs w:val="24"/>
        </w:rPr>
        <w:fldChar w:fldCharType="separate"/>
      </w:r>
      <w:r w:rsidRPr="00801192">
        <w:rPr>
          <w:rFonts w:asciiTheme="majorBidi" w:hAnsiTheme="majorBidi" w:cstheme="majorBidi"/>
          <w:sz w:val="24"/>
          <w:szCs w:val="24"/>
        </w:rPr>
        <w:t>(68)</w:t>
      </w:r>
      <w:r w:rsidRPr="00801192">
        <w:rPr>
          <w:rFonts w:asciiTheme="majorBidi" w:hAnsiTheme="majorBidi" w:cstheme="majorBidi"/>
          <w:sz w:val="24"/>
          <w:szCs w:val="24"/>
        </w:rPr>
        <w:fldChar w:fldCharType="end"/>
      </w:r>
      <w:r w:rsidRPr="00801192">
        <w:rPr>
          <w:rFonts w:asciiTheme="majorBidi" w:hAnsiTheme="majorBidi" w:cstheme="majorBidi"/>
          <w:sz w:val="24"/>
          <w:szCs w:val="24"/>
        </w:rPr>
        <w:t xml:space="preserve">, using the enzymes </w:t>
      </w:r>
      <w:r w:rsidRPr="00801192">
        <w:rPr>
          <w:rFonts w:asciiTheme="majorBidi" w:hAnsiTheme="majorBidi" w:cstheme="majorBidi"/>
          <w:i/>
          <w:iCs/>
          <w:sz w:val="24"/>
          <w:szCs w:val="24"/>
        </w:rPr>
        <w:t>Pstl</w:t>
      </w:r>
      <w:r w:rsidRPr="00801192">
        <w:rPr>
          <w:rFonts w:asciiTheme="majorBidi" w:hAnsiTheme="majorBidi" w:cstheme="majorBidi"/>
          <w:sz w:val="24"/>
          <w:szCs w:val="24"/>
        </w:rPr>
        <w:t xml:space="preserve"> and </w:t>
      </w:r>
      <w:r w:rsidRPr="00801192">
        <w:rPr>
          <w:rFonts w:asciiTheme="majorBidi" w:hAnsiTheme="majorBidi" w:cstheme="majorBidi"/>
          <w:i/>
          <w:iCs/>
          <w:sz w:val="24"/>
          <w:szCs w:val="24"/>
        </w:rPr>
        <w:t xml:space="preserve">Bfal </w:t>
      </w:r>
      <w:r w:rsidRPr="00801192">
        <w:rPr>
          <w:rFonts w:asciiTheme="majorBidi" w:hAnsiTheme="majorBidi" w:cstheme="majorBidi"/>
          <w:sz w:val="24"/>
          <w:szCs w:val="24"/>
        </w:rPr>
        <w:t>with a size selection window of 350–550 bp. ddRADseq libraries were sequenced at Novogene Company Inc. (CA, USA) using a partial lane of Illumina NovaSeq 6000 PE150.</w:t>
      </w:r>
    </w:p>
    <w:p w14:paraId="1C2C086C" w14:textId="604BC64A" w:rsidR="00801192" w:rsidRDefault="00801192" w:rsidP="00801192">
      <w:pPr>
        <w:jc w:val="both"/>
        <w:rPr>
          <w:rFonts w:asciiTheme="majorBidi" w:hAnsiTheme="majorBidi" w:cstheme="majorBidi"/>
          <w:b/>
          <w:bCs/>
          <w:sz w:val="28"/>
          <w:szCs w:val="28"/>
        </w:rPr>
      </w:pPr>
      <w:r w:rsidRPr="00801192">
        <w:rPr>
          <w:rFonts w:asciiTheme="majorBidi" w:hAnsiTheme="majorBidi" w:cstheme="majorBidi"/>
          <w:b/>
          <w:bCs/>
          <w:sz w:val="28"/>
          <w:szCs w:val="28"/>
        </w:rPr>
        <w:t>Matrix assembly for evolutionary analyses at different scales</w:t>
      </w:r>
    </w:p>
    <w:p w14:paraId="3DC87903" w14:textId="2B732F26" w:rsidR="00801192" w:rsidRPr="00801192" w:rsidRDefault="00801192" w:rsidP="00801192">
      <w:pPr>
        <w:jc w:val="both"/>
        <w:rPr>
          <w:rFonts w:asciiTheme="majorBidi" w:hAnsiTheme="majorBidi" w:cstheme="majorBidi"/>
          <w:sz w:val="24"/>
          <w:szCs w:val="24"/>
        </w:rPr>
      </w:pPr>
      <w:r w:rsidRPr="00801192">
        <w:rPr>
          <w:rFonts w:asciiTheme="majorBidi" w:hAnsiTheme="majorBidi" w:cstheme="majorBidi"/>
          <w:sz w:val="24"/>
          <w:szCs w:val="24"/>
        </w:rPr>
        <w:t xml:space="preserve">Because genomic datasets are commonly affected by quality control issues </w:t>
      </w:r>
      <w:r w:rsidRPr="00801192">
        <w:rPr>
          <w:rFonts w:asciiTheme="majorBidi" w:hAnsiTheme="majorBidi" w:cstheme="majorBidi"/>
          <w:sz w:val="24"/>
          <w:szCs w:val="24"/>
        </w:rPr>
        <w:fldChar w:fldCharType="begin" w:fldLock="1"/>
      </w:r>
      <w:r w:rsidRPr="00801192">
        <w:rPr>
          <w:rFonts w:asciiTheme="majorBidi" w:hAnsiTheme="majorBidi" w:cstheme="majorBidi"/>
          <w:sz w:val="24"/>
          <w:szCs w:val="24"/>
        </w:rPr>
        <w:instrText>ADDIN CSL_CITATION {"citationItems":[{"id":"ITEM-1","itemData":{"DOI":"10.1186/s13059-022-02619-9","ISSN":"1474760X","PMID":"35189924","abstract":"The decreasing cost of sequencing and concomitant augmentation of publicly available genomes have created an acute need for automated software to assess genomic contamination. During the last 6 years, 18 programs have been published, each with its own strengths and weaknesses. Deciding which tools to use becomes more and more difficult without an understanding of the underlying algorithms. We review these programs, benchmarking six of them, and present their main operating principles. This article is intended to guide researchers in the selection of appropriate tools for specific applications. Finally, we present future challenges in the developing field of contamination detection.","author":[{"dropping-particle":"","family":"Cornet","given":"Luc","non-dropping-particle":"","parse-names":false,"suffix":""},{"dropping-particle":"","family":"Baurain","given":"Denis","non-dropping-particle":"","parse-names":false,"suffix":""}],"container-title":"Genome Biology","id":"ITEM-1","issue":"1","issued":{"date-parts":[["2022"]]},"page":"1-15","publisher":"BioMed Central","title":"Contamination detection in genomic data: more is not enough","type":"article-journal","volume":"23"},"uris":["http://www.mendeley.com/documents/?uuid=7dfcce90-9438-456f-ae3a-a0d8634662c4"]}],"mendeley":{"formattedCitation":"(69)","plainTextFormattedCitation":"(69)","previouslyFormattedCitation":"(69)"},"properties":{"noteIndex":0},"schema":"https://github.com/citation-style-language/schema/raw/master/csl-citation.json"}</w:instrText>
      </w:r>
      <w:r w:rsidRPr="00801192">
        <w:rPr>
          <w:rFonts w:asciiTheme="majorBidi" w:hAnsiTheme="majorBidi" w:cstheme="majorBidi"/>
          <w:sz w:val="24"/>
          <w:szCs w:val="24"/>
        </w:rPr>
        <w:fldChar w:fldCharType="separate"/>
      </w:r>
      <w:r w:rsidRPr="00801192">
        <w:rPr>
          <w:rFonts w:asciiTheme="majorBidi" w:hAnsiTheme="majorBidi" w:cstheme="majorBidi"/>
          <w:sz w:val="24"/>
          <w:szCs w:val="24"/>
        </w:rPr>
        <w:t>(69)</w:t>
      </w:r>
      <w:r w:rsidRPr="00801192">
        <w:rPr>
          <w:rFonts w:asciiTheme="majorBidi" w:hAnsiTheme="majorBidi" w:cstheme="majorBidi"/>
          <w:sz w:val="24"/>
          <w:szCs w:val="24"/>
        </w:rPr>
        <w:fldChar w:fldCharType="end"/>
      </w:r>
      <w:r w:rsidRPr="00801192">
        <w:rPr>
          <w:rFonts w:asciiTheme="majorBidi" w:hAnsiTheme="majorBidi" w:cstheme="majorBidi"/>
          <w:sz w:val="24"/>
          <w:szCs w:val="24"/>
        </w:rPr>
        <w:t xml:space="preserve">, we conducted several steps to tackle this, including corroborating taxonomic identification and performing an extensive quality assessment of the raw sequences. As we were interested in analyzing the genetic structure at both intra- and inter-specific levels, we assembled SNP-loci matrices in two different ways. At the microevolutionary scale, we conducted </w:t>
      </w:r>
      <w:r w:rsidRPr="00801192">
        <w:rPr>
          <w:rFonts w:asciiTheme="majorBidi" w:hAnsiTheme="majorBidi" w:cstheme="majorBidi"/>
          <w:i/>
          <w:iCs/>
          <w:sz w:val="24"/>
          <w:szCs w:val="24"/>
        </w:rPr>
        <w:t>de novo</w:t>
      </w:r>
      <w:r w:rsidRPr="00801192">
        <w:rPr>
          <w:rFonts w:asciiTheme="majorBidi" w:hAnsiTheme="majorBidi" w:cstheme="majorBidi"/>
          <w:sz w:val="24"/>
          <w:szCs w:val="24"/>
        </w:rPr>
        <w:t xml:space="preserve"> assemblies for each of the 14 species across several populations. We used Stacks v2.59 </w:t>
      </w:r>
      <w:r w:rsidRPr="00801192">
        <w:rPr>
          <w:rFonts w:asciiTheme="majorBidi" w:hAnsiTheme="majorBidi" w:cstheme="majorBidi"/>
          <w:sz w:val="24"/>
          <w:szCs w:val="24"/>
        </w:rPr>
        <w:fldChar w:fldCharType="begin" w:fldLock="1"/>
      </w:r>
      <w:r w:rsidRPr="00801192">
        <w:rPr>
          <w:rFonts w:asciiTheme="majorBidi" w:hAnsiTheme="majorBidi" w:cstheme="majorBidi"/>
          <w:sz w:val="24"/>
          <w:szCs w:val="24"/>
        </w:rPr>
        <w:instrText>ADDIN CSL_CITATION {"citationItems":[{"id":"ITEM-1","itemData":{"DOI":"10.1111/mec.15253","ISSN":"1365294X","PMID":"31550391","abstract":"For half a century population genetics studies have put type II restriction endonucleases to work. Now, coupled with massively-parallel, short-read sequencing, the family of RAD protocols that wields these enzymes has generated vast genetic knowledge from the natural world. Here, we describe the first software natively capable of using paired-end sequencing to derive short contigs from de novo RAD data. Stacks version 2 employs a de Bruijn graph assembler to build and connect contigs from forward and reverse reads for each de novo RAD locus, which it then uses as a reference for read alignments. The new architecture allows all the individuals in a metapopulation to be considered at the same time as each RAD locus is processed. This enables a Bayesian genotype caller to provide precise SNPs, and a robust algorithm to phase those SNPs into long haplotypes, generating RAD loci that are 400–800 bp in length. To prove its recall and precision, we tested the software with simulated data and compared reference-aligned and de novo analyses of three empirical data sets. Our study shows that the latest version of Stacks is highly accurate and outperforms other software in assembling and genotyping paired-end de novo data sets.","author":[{"dropping-particle":"","family":"Rochette","given":"Nicolas C.","non-dropping-particle":"","parse-names":false,"suffix":""},{"dropping-particle":"","family":"Rivera-Colón","given":"Angel G.","non-dropping-particle":"","parse-names":false,"suffix":""},{"dropping-particle":"","family":"Catchen","given":"Julian M.","non-dropping-particle":"","parse-names":false,"suffix":""}],"container-title":"Molecular Ecology","id":"ITEM-1","issue":"21","issued":{"date-parts":[["2019"]]},"page":"4737-4754","title":"Stacks 2: Analytical methods for paired-end sequencing improve RADseq-based population genomics","type":"article-journal","volume":"28"},"uris":["http://www.mendeley.com/documents/?uuid=57a71087-2b34-4381-97f6-eb1264833486"]}],"mendeley":{"formattedCitation":"(70)","plainTextFormattedCitation":"(70)","previouslyFormattedCitation":"(70)"},"properties":{"noteIndex":0},"schema":"https://github.com/citation-style-language/schema/raw/master/csl-citation.json"}</w:instrText>
      </w:r>
      <w:r w:rsidRPr="00801192">
        <w:rPr>
          <w:rFonts w:asciiTheme="majorBidi" w:hAnsiTheme="majorBidi" w:cstheme="majorBidi"/>
          <w:sz w:val="24"/>
          <w:szCs w:val="24"/>
        </w:rPr>
        <w:fldChar w:fldCharType="separate"/>
      </w:r>
      <w:r w:rsidRPr="00801192">
        <w:rPr>
          <w:rFonts w:asciiTheme="majorBidi" w:hAnsiTheme="majorBidi" w:cstheme="majorBidi"/>
          <w:sz w:val="24"/>
          <w:szCs w:val="24"/>
        </w:rPr>
        <w:t>(70)</w:t>
      </w:r>
      <w:r w:rsidRPr="00801192">
        <w:rPr>
          <w:rFonts w:asciiTheme="majorBidi" w:hAnsiTheme="majorBidi" w:cstheme="majorBidi"/>
          <w:sz w:val="24"/>
          <w:szCs w:val="24"/>
        </w:rPr>
        <w:fldChar w:fldCharType="end"/>
      </w:r>
      <w:r w:rsidRPr="00801192">
        <w:rPr>
          <w:rFonts w:asciiTheme="majorBidi" w:hAnsiTheme="majorBidi" w:cstheme="majorBidi"/>
          <w:sz w:val="24"/>
          <w:szCs w:val="24"/>
        </w:rPr>
        <w:t>, setting a minimum of three raw reads required to form a stack (</w:t>
      </w:r>
      <w:r w:rsidRPr="00801192">
        <w:rPr>
          <w:rFonts w:asciiTheme="majorBidi" w:hAnsiTheme="majorBidi" w:cstheme="majorBidi"/>
          <w:i/>
          <w:iCs/>
          <w:sz w:val="24"/>
          <w:szCs w:val="24"/>
        </w:rPr>
        <w:t>m</w:t>
      </w:r>
      <w:r w:rsidRPr="00801192">
        <w:rPr>
          <w:rFonts w:asciiTheme="majorBidi" w:hAnsiTheme="majorBidi" w:cstheme="majorBidi"/>
          <w:sz w:val="24"/>
          <w:szCs w:val="24"/>
        </w:rPr>
        <w:t>), allowing a maximum of five mismatches between loci (</w:t>
      </w:r>
      <w:r w:rsidRPr="00801192">
        <w:rPr>
          <w:rFonts w:asciiTheme="majorBidi" w:hAnsiTheme="majorBidi" w:cstheme="majorBidi"/>
          <w:i/>
          <w:iCs/>
          <w:sz w:val="24"/>
          <w:szCs w:val="24"/>
        </w:rPr>
        <w:t>M</w:t>
      </w:r>
      <w:r w:rsidRPr="00801192">
        <w:rPr>
          <w:rFonts w:asciiTheme="majorBidi" w:hAnsiTheme="majorBidi" w:cstheme="majorBidi"/>
          <w:sz w:val="24"/>
          <w:szCs w:val="24"/>
        </w:rPr>
        <w:t>), and six mismatches between loci of different individuals (</w:t>
      </w:r>
      <w:r w:rsidRPr="00801192">
        <w:rPr>
          <w:rFonts w:asciiTheme="majorBidi" w:hAnsiTheme="majorBidi" w:cstheme="majorBidi"/>
          <w:i/>
          <w:iCs/>
          <w:sz w:val="24"/>
          <w:szCs w:val="24"/>
        </w:rPr>
        <w:t>n</w:t>
      </w:r>
      <w:r w:rsidRPr="00801192">
        <w:rPr>
          <w:rFonts w:asciiTheme="majorBidi" w:hAnsiTheme="majorBidi" w:cstheme="majorBidi"/>
          <w:sz w:val="24"/>
          <w:szCs w:val="24"/>
        </w:rPr>
        <w:t xml:space="preserve">). At the macroevolutionary level, we conducted reference-based assemblies for 41 individuals spanning the 23 species of </w:t>
      </w:r>
      <w:r w:rsidRPr="00801192">
        <w:rPr>
          <w:rFonts w:asciiTheme="majorBidi" w:hAnsiTheme="majorBidi" w:cstheme="majorBidi"/>
          <w:i/>
          <w:iCs/>
          <w:sz w:val="24"/>
          <w:szCs w:val="24"/>
        </w:rPr>
        <w:t>Malacoctenus</w:t>
      </w:r>
      <w:r w:rsidRPr="00801192">
        <w:rPr>
          <w:rFonts w:asciiTheme="majorBidi" w:hAnsiTheme="majorBidi" w:cstheme="majorBidi"/>
          <w:sz w:val="24"/>
          <w:szCs w:val="24"/>
        </w:rPr>
        <w:t xml:space="preserve"> (plus </w:t>
      </w:r>
      <w:r w:rsidR="00951A04">
        <w:rPr>
          <w:rFonts w:asciiTheme="majorBidi" w:hAnsiTheme="majorBidi" w:cstheme="majorBidi"/>
          <w:i/>
          <w:iCs/>
          <w:sz w:val="24"/>
          <w:szCs w:val="24"/>
        </w:rPr>
        <w:t>B</w:t>
      </w:r>
      <w:r w:rsidRPr="00801192">
        <w:rPr>
          <w:rFonts w:asciiTheme="majorBidi" w:hAnsiTheme="majorBidi" w:cstheme="majorBidi"/>
          <w:i/>
          <w:iCs/>
          <w:sz w:val="24"/>
          <w:szCs w:val="24"/>
        </w:rPr>
        <w:t>. striatus</w:t>
      </w:r>
      <w:r w:rsidRPr="00801192">
        <w:rPr>
          <w:rFonts w:asciiTheme="majorBidi" w:hAnsiTheme="majorBidi" w:cstheme="majorBidi"/>
          <w:sz w:val="24"/>
          <w:szCs w:val="24"/>
        </w:rPr>
        <w:t>) using Stacks and the closest reference genome available (</w:t>
      </w:r>
      <w:r w:rsidRPr="00801192">
        <w:rPr>
          <w:rFonts w:asciiTheme="majorBidi" w:hAnsiTheme="majorBidi" w:cstheme="majorBidi"/>
          <w:i/>
          <w:iCs/>
          <w:sz w:val="24"/>
          <w:szCs w:val="24"/>
        </w:rPr>
        <w:t>Salarias fasciatus</w:t>
      </w:r>
      <w:r w:rsidRPr="00801192">
        <w:rPr>
          <w:rFonts w:asciiTheme="majorBidi" w:hAnsiTheme="majorBidi" w:cstheme="majorBidi"/>
          <w:sz w:val="24"/>
          <w:szCs w:val="24"/>
        </w:rPr>
        <w:t xml:space="preserve">, Blenniidae). The resulting matrices at both scales were filtered to contain unlinked, bi-allelic, orthologous SNPs using the R packages </w:t>
      </w:r>
      <w:r w:rsidRPr="00801192">
        <w:rPr>
          <w:rFonts w:asciiTheme="majorBidi" w:hAnsiTheme="majorBidi" w:cstheme="majorBidi"/>
          <w:i/>
          <w:iCs/>
          <w:sz w:val="24"/>
          <w:szCs w:val="24"/>
        </w:rPr>
        <w:t>SNPfiltR</w:t>
      </w:r>
      <w:r w:rsidRPr="00801192">
        <w:rPr>
          <w:rFonts w:asciiTheme="majorBidi" w:hAnsiTheme="majorBidi" w:cstheme="majorBidi"/>
          <w:sz w:val="24"/>
          <w:szCs w:val="24"/>
        </w:rPr>
        <w:t xml:space="preserve"> </w:t>
      </w:r>
      <w:r w:rsidRPr="00801192">
        <w:rPr>
          <w:rFonts w:asciiTheme="majorBidi" w:hAnsiTheme="majorBidi" w:cstheme="majorBidi"/>
          <w:sz w:val="24"/>
          <w:szCs w:val="24"/>
        </w:rPr>
        <w:fldChar w:fldCharType="begin" w:fldLock="1"/>
      </w:r>
      <w:r w:rsidRPr="00801192">
        <w:rPr>
          <w:rFonts w:asciiTheme="majorBidi" w:hAnsiTheme="majorBidi" w:cstheme="majorBidi"/>
          <w:sz w:val="24"/>
          <w:szCs w:val="24"/>
        </w:rPr>
        <w:instrText>ADDIN CSL_CITATION {"citationItems":[{"id":"ITEM-1","itemData":{"DOI":"10.1111/1755-0998.13618","ISSN":"17550998","abstract":"Here, I describe the R package snpfiltr and demonstrate its functionality as the backbone of a customizable, reproducible single nucleotide polymorphism (SNP) filtering pipeline implemented exclusively via the widely adopted R programming language. SNPfiltR extends existing SNP filtering functionalities by automating the visualization of key parameters such as sequencing depth, quality, and missing data proportion, allowing users to visually optimize and implement filtering thresholds within a single, cohesive work session. All SNPfiltR functions require vcfr objects as input, which can be easily generated by reading a SNP data set stored in standard variant call format (vcf) into an R working environment using the function read.vcfR() from the R package vcfr. Performance and accuracy benchmarking reveal that for moderately sized SNP data sets (up to 50 M genotypes, plus associated quality information), SNPfiltR performs filtering with comparable accuracy and efficiency to current state of the art command-line-based programs. These results indicate that for most reduced-representation genomic data sets, SNPfiltR is an ideal choice for investigating, visualizing, and filtering SNPs as part of a user friendly bioinformatic pipeline. The snpfiltr package can be downloaded from CRAN with the command install.packages(“snpfiltr”), and the current development version is available from GitHub at: (github.com/DevonDeRaad/SNPfiltR). Thorough documentation for SNPfiltR, including multiple comprehensive vignettes detailing realistic use-cases, is available at the website: devonderaad.github.io/SNPfiltR/.","author":[{"dropping-particle":"","family":"DeRaad","given":"Devon A.","non-dropping-particle":"","parse-names":false,"suffix":""}],"container-title":"Molecular Ecology Resources","id":"ITEM-1","issued":{"date-parts":[["2022"]]},"page":"1-11","title":"snpfiltr: An R package for interactive and reproducible SNP filtering","type":"article-journal","volume":"00"},"uris":["http://www.mendeley.com/documents/?uuid=2a7c09db-94f1-4424-ad1f-11673746ce21"]}],"mendeley":{"formattedCitation":"(71)","plainTextFormattedCitation":"(71)","previouslyFormattedCitation":"(71)"},"properties":{"noteIndex":0},"schema":"https://github.com/citation-style-language/schema/raw/master/csl-citation.json"}</w:instrText>
      </w:r>
      <w:r w:rsidRPr="00801192">
        <w:rPr>
          <w:rFonts w:asciiTheme="majorBidi" w:hAnsiTheme="majorBidi" w:cstheme="majorBidi"/>
          <w:sz w:val="24"/>
          <w:szCs w:val="24"/>
        </w:rPr>
        <w:fldChar w:fldCharType="separate"/>
      </w:r>
      <w:r w:rsidRPr="00801192">
        <w:rPr>
          <w:rFonts w:asciiTheme="majorBidi" w:hAnsiTheme="majorBidi" w:cstheme="majorBidi"/>
          <w:sz w:val="24"/>
          <w:szCs w:val="24"/>
        </w:rPr>
        <w:t>(71)</w:t>
      </w:r>
      <w:r w:rsidRPr="00801192">
        <w:rPr>
          <w:rFonts w:asciiTheme="majorBidi" w:hAnsiTheme="majorBidi" w:cstheme="majorBidi"/>
          <w:sz w:val="24"/>
          <w:szCs w:val="24"/>
        </w:rPr>
        <w:fldChar w:fldCharType="end"/>
      </w:r>
      <w:r w:rsidRPr="00801192">
        <w:rPr>
          <w:rFonts w:asciiTheme="majorBidi" w:hAnsiTheme="majorBidi" w:cstheme="majorBidi"/>
          <w:sz w:val="24"/>
          <w:szCs w:val="24"/>
        </w:rPr>
        <w:t xml:space="preserve"> and VCFtools v0.1.16 </w:t>
      </w:r>
      <w:r w:rsidRPr="00801192">
        <w:rPr>
          <w:rFonts w:asciiTheme="majorBidi" w:hAnsiTheme="majorBidi" w:cstheme="majorBidi"/>
          <w:sz w:val="24"/>
          <w:szCs w:val="24"/>
        </w:rPr>
        <w:fldChar w:fldCharType="begin" w:fldLock="1"/>
      </w:r>
      <w:r w:rsidRPr="00801192">
        <w:rPr>
          <w:rFonts w:asciiTheme="majorBidi" w:hAnsiTheme="majorBidi" w:cstheme="majorBidi"/>
          <w:sz w:val="24"/>
          <w:szCs w:val="24"/>
        </w:rPr>
        <w:instrText>ADDIN CSL_CITATION {"citationItems":[{"id":"ITEM-1","itemData":{"DOI":"10.1093/bioinformatics/btr330","ISBN":"1367-4811 (Electronic)\\n1367-4803 (Linking)","ISSN":"13674803","PMID":"21653522","abstract":"SUMMARY: The variant call format (VCF) is a generic format for storing DNA polymorphism data such as SNPs, insertions, deletions and structural variants, together with rich annotations. VCF is usually stored in a compressed manner and can be indexed for fast data retrieval of variants from a range of positions on the reference genome. The format was developed for the 1000 Genomes Project, and has also been adopted by other projects such as UK10K, dbSNP and the NHLBI Exome Project. VCFtools is a software suite that implements various utilities for processing VCF files, including validation, merging, comparing and also provides a general Perl API.\\n\\nAVAILABILITY: http://vcftools.sourceforge.net","author":[{"dropping-particle":"","family":"Danecek","given":"Petr","non-dropping-particle":"","parse-names":false,"suffix":""},{"dropping-particle":"","family":"Auton","given":"Adam","non-dropping-particle":"","parse-names":false,"suffix":""},{"dropping-particle":"","family":"Abecasis","given":"Goncalo","non-dropping-particle":"","parse-names":false,"suffix":""},{"dropping-particle":"","family":"Albers","given":"Cornelis A.","non-dropping-particle":"","parse-names":false,"suffix":""},{"dropping-particle":"","family":"Banks","given":"Eric","non-dropping-particle":"","parse-names":false,"suffix":""},{"dropping-particle":"","family":"DePristo","given":"Mark A.","non-dropping-particle":"","parse-names":false,"suffix":""},{"dropping-particle":"","family":"Handsaker","given":"Robert E.","non-dropping-particle":"","parse-names":false,"suffix":""},{"dropping-particle":"","family":"Lunter","given":"Gerton","non-dropping-particle":"","parse-names":false,"suffix":""},{"dropping-particle":"","family":"Marth","given":"Gabor T.","non-dropping-particle":"","parse-names":false,"suffix":""},{"dropping-particle":"","family":"Sherry","given":"Stephen T.","non-dropping-particle":"","parse-names":false,"suffix":""},{"dropping-particle":"","family":"McVean","given":"Gilean","non-dropping-particle":"","parse-names":false,"suffix":""},{"dropping-particle":"","family":"Durbin","given":"Richard","non-dropping-particle":"","parse-names":false,"suffix":""}],"container-title":"Bioinformatics","id":"ITEM-1","issue":"15","issued":{"date-parts":[["2011"]]},"page":"2156-2158","title":"The variant call format and VCFtools","type":"article-journal","volume":"27"},"uris":["http://www.mendeley.com/documents/?uuid=7b524a8d-338c-45af-b10b-2cc39ba9cdbc"]}],"mendeley":{"formattedCitation":"(72)","plainTextFormattedCitation":"(72)","previouslyFormattedCitation":"(72)"},"properties":{"noteIndex":0},"schema":"https://github.com/citation-style-language/schema/raw/master/csl-citation.json"}</w:instrText>
      </w:r>
      <w:r w:rsidRPr="00801192">
        <w:rPr>
          <w:rFonts w:asciiTheme="majorBidi" w:hAnsiTheme="majorBidi" w:cstheme="majorBidi"/>
          <w:sz w:val="24"/>
          <w:szCs w:val="24"/>
        </w:rPr>
        <w:fldChar w:fldCharType="separate"/>
      </w:r>
      <w:r w:rsidRPr="00801192">
        <w:rPr>
          <w:rFonts w:asciiTheme="majorBidi" w:hAnsiTheme="majorBidi" w:cstheme="majorBidi"/>
          <w:sz w:val="24"/>
          <w:szCs w:val="24"/>
        </w:rPr>
        <w:t>(72)</w:t>
      </w:r>
      <w:r w:rsidRPr="00801192">
        <w:rPr>
          <w:rFonts w:asciiTheme="majorBidi" w:hAnsiTheme="majorBidi" w:cstheme="majorBidi"/>
          <w:sz w:val="24"/>
          <w:szCs w:val="24"/>
        </w:rPr>
        <w:fldChar w:fldCharType="end"/>
      </w:r>
      <w:r w:rsidRPr="00801192">
        <w:rPr>
          <w:rFonts w:asciiTheme="majorBidi" w:hAnsiTheme="majorBidi" w:cstheme="majorBidi"/>
          <w:sz w:val="24"/>
          <w:szCs w:val="24"/>
        </w:rPr>
        <w:t xml:space="preserve">. The final SNP matrices at the intra-specific level consisted of 4,000–9,000 SNPs and were used to conduct population differentiation analyses. At the inter-specific level, matrices ranged between approximately 1,700 to 28,000 SNPs and were used for phylogenomic analyses. We also assembled a reference-based matrix including all 447 individuals that passed quality filters at the intra-species level. From this dataset, we assembled inter-specific matrices including only trans-isthmic species pairs to evaluate the synchronicity of cladogenetic events triggered by the Isthmus of Panama. These matrices included all sites with two to four individuals per species, consisting of up to eight individuals and 250K bp as </w:t>
      </w:r>
      <w:r w:rsidRPr="00801192">
        <w:rPr>
          <w:rFonts w:asciiTheme="majorBidi" w:hAnsiTheme="majorBidi" w:cstheme="majorBidi"/>
          <w:i/>
          <w:iCs/>
          <w:sz w:val="24"/>
          <w:szCs w:val="24"/>
        </w:rPr>
        <w:t>ecoevolity</w:t>
      </w:r>
      <w:r w:rsidRPr="00801192">
        <w:rPr>
          <w:rFonts w:asciiTheme="majorBidi" w:hAnsiTheme="majorBidi" w:cstheme="majorBidi"/>
          <w:sz w:val="24"/>
          <w:szCs w:val="24"/>
        </w:rPr>
        <w:t xml:space="preserve"> preforms better when utilizing the full data set since the model doesn’t require information about linkage among sites </w:t>
      </w:r>
      <w:r w:rsidRPr="00801192">
        <w:rPr>
          <w:rFonts w:asciiTheme="majorBidi" w:hAnsiTheme="majorBidi" w:cstheme="majorBidi"/>
          <w:sz w:val="24"/>
          <w:szCs w:val="24"/>
        </w:rPr>
        <w:fldChar w:fldCharType="begin" w:fldLock="1"/>
      </w:r>
      <w:r w:rsidRPr="00801192">
        <w:rPr>
          <w:rFonts w:asciiTheme="majorBidi" w:hAnsiTheme="majorBidi" w:cstheme="majorBidi"/>
          <w:sz w:val="24"/>
          <w:szCs w:val="24"/>
        </w:rPr>
        <w:instrText>ADDIN CSL_CITATION {"citationItems":[{"id":"ITEM-1","itemData":{"DOI":"10.1093/sysbio/syy063","ISSN":"1076836X","PMID":"30239868","abstract":"A challenge to understanding biological diversification is accounting for community-scale processes that cause multiple, co-distributed lineages to co-speciate. Such processes predict non-independent, temporally clustered divergences across taxa. Approximate-likelihood Bayesian computation (ABC) approaches to inferring such patterns from comparative genetic data are very sensitive to prior assumptions and often biased toward estimating shared divergences. We introduce a full-likelihood Bayesian approach, ecoevolity, which takes full advantage of information in genomic data. By analytically integrating over gene trees, we are able to directly calculate the likelihood of the population history from genomic data, and efficiently sample the model-averaged posterior via Markov chain Monte Carlo algorithms. Using simulations, we find that the new method is much more accurate and precise at estimating the number and timing of divergence events across pairs of populations than existing approximate-likelihood methods. Our full Bayesian approach also requires several orders of magnitude less computational time than existing ABC approaches. We find that despite assuming unlinked characters (e.g., unlinked single-nucleotide polymorphisms), the new method performs better if this assumption is violated in order to retain the constant characters of whole linked loci. In fact, retaining constant characters allows the new method to robustly estimate the correct number of divergence events with high posterior probability in the face of character-acquisition biases, which commonly plague loci assembled from reduced-representation genomic libraries. We apply our method to genomic data from four pairs ofinsular populations of Gekko lizards from the Philippines that are notexpectedtohave co-diverged. Despite all four pairs diverging very recently, our method strongly supports that they diverged independently, and these results are robust to very disparate prior assumptions.","author":[{"dropping-particle":"","family":"Oaks","given":"Jamie R.","non-dropping-particle":"","parse-names":false,"suffix":""}],"container-title":"Systematic Biology","id":"ITEM-1","issue":"3","issued":{"date-parts":[["2019"]]},"page":"371-395","title":"Full Bayesian comparative phylogeography from genomic data","type":"article-journal","volume":"68"},"uris":["http://www.mendeley.com/documents/?uuid=068acf77-6390-49ca-bd31-8f19303d4f06"]}],"mendeley":{"formattedCitation":"(31)","plainTextFormattedCitation":"(31)","previouslyFormattedCitation":"(31)"},"properties":{"noteIndex":0},"schema":"https://github.com/citation-style-language/schema/raw/master/csl-citation.json"}</w:instrText>
      </w:r>
      <w:r w:rsidRPr="00801192">
        <w:rPr>
          <w:rFonts w:asciiTheme="majorBidi" w:hAnsiTheme="majorBidi" w:cstheme="majorBidi"/>
          <w:sz w:val="24"/>
          <w:szCs w:val="24"/>
        </w:rPr>
        <w:fldChar w:fldCharType="separate"/>
      </w:r>
      <w:r w:rsidRPr="00801192">
        <w:rPr>
          <w:rFonts w:asciiTheme="majorBidi" w:hAnsiTheme="majorBidi" w:cstheme="majorBidi"/>
          <w:sz w:val="24"/>
          <w:szCs w:val="24"/>
        </w:rPr>
        <w:t>(31)</w:t>
      </w:r>
      <w:r w:rsidRPr="00801192">
        <w:rPr>
          <w:rFonts w:asciiTheme="majorBidi" w:hAnsiTheme="majorBidi" w:cstheme="majorBidi"/>
          <w:sz w:val="24"/>
          <w:szCs w:val="24"/>
        </w:rPr>
        <w:fldChar w:fldCharType="end"/>
      </w:r>
      <w:r w:rsidRPr="00801192">
        <w:rPr>
          <w:rFonts w:asciiTheme="majorBidi" w:hAnsiTheme="majorBidi" w:cstheme="majorBidi"/>
          <w:sz w:val="24"/>
          <w:szCs w:val="24"/>
        </w:rPr>
        <w:t xml:space="preserve">. To maximize the amount of genomic information we also assembled </w:t>
      </w:r>
      <w:r w:rsidRPr="00801192">
        <w:rPr>
          <w:rFonts w:asciiTheme="majorBidi" w:hAnsiTheme="majorBidi" w:cstheme="majorBidi"/>
          <w:i/>
          <w:iCs/>
          <w:sz w:val="24"/>
          <w:szCs w:val="24"/>
        </w:rPr>
        <w:t xml:space="preserve">de novo </w:t>
      </w:r>
      <w:r w:rsidRPr="00801192">
        <w:rPr>
          <w:rFonts w:asciiTheme="majorBidi" w:hAnsiTheme="majorBidi" w:cstheme="majorBidi"/>
          <w:sz w:val="24"/>
          <w:szCs w:val="24"/>
        </w:rPr>
        <w:t xml:space="preserve">matrices using the same individuals selected to represent the trans-isthmic pairs, resulting in over 1000K bp. Finally, seascape genomic analyses were conducted using SNP matrices ranging from </w:t>
      </w:r>
      <w:r w:rsidRPr="00801192">
        <w:rPr>
          <w:rFonts w:asciiTheme="majorBidi" w:hAnsiTheme="majorBidi" w:cstheme="majorBidi"/>
          <w:i/>
          <w:iCs/>
          <w:sz w:val="24"/>
          <w:szCs w:val="24"/>
        </w:rPr>
        <w:t>ca.</w:t>
      </w:r>
      <w:r w:rsidRPr="00801192">
        <w:rPr>
          <w:rFonts w:asciiTheme="majorBidi" w:hAnsiTheme="majorBidi" w:cstheme="majorBidi"/>
          <w:sz w:val="24"/>
          <w:szCs w:val="24"/>
        </w:rPr>
        <w:t xml:space="preserve"> 4,000 to 6,000 SNPs at the intra-species level, and </w:t>
      </w:r>
      <w:r w:rsidRPr="00801192">
        <w:rPr>
          <w:rFonts w:asciiTheme="majorBidi" w:hAnsiTheme="majorBidi" w:cstheme="majorBidi"/>
          <w:i/>
          <w:iCs/>
          <w:sz w:val="24"/>
          <w:szCs w:val="24"/>
        </w:rPr>
        <w:t>ca.</w:t>
      </w:r>
      <w:r w:rsidRPr="00801192">
        <w:rPr>
          <w:rFonts w:asciiTheme="majorBidi" w:hAnsiTheme="majorBidi" w:cstheme="majorBidi"/>
          <w:sz w:val="24"/>
          <w:szCs w:val="24"/>
        </w:rPr>
        <w:t xml:space="preserve"> 1,500 SNPs at the inter-species level. For more information, refer to the </w:t>
      </w:r>
      <w:r w:rsidRPr="00801192">
        <w:rPr>
          <w:rFonts w:asciiTheme="majorBidi" w:hAnsiTheme="majorBidi" w:cstheme="majorBidi"/>
          <w:i/>
          <w:iCs/>
          <w:sz w:val="24"/>
          <w:szCs w:val="24"/>
        </w:rPr>
        <w:t>Appendix</w:t>
      </w:r>
      <w:r w:rsidR="001E6375">
        <w:rPr>
          <w:rFonts w:asciiTheme="majorBidi" w:hAnsiTheme="majorBidi" w:cstheme="majorBidi"/>
          <w:i/>
          <w:iCs/>
          <w:sz w:val="24"/>
          <w:szCs w:val="24"/>
        </w:rPr>
        <w:t xml:space="preserve"> C</w:t>
      </w:r>
      <w:r w:rsidRPr="00801192">
        <w:rPr>
          <w:rFonts w:asciiTheme="majorBidi" w:hAnsiTheme="majorBidi" w:cstheme="majorBidi"/>
          <w:i/>
          <w:iCs/>
          <w:sz w:val="24"/>
          <w:szCs w:val="24"/>
        </w:rPr>
        <w:t xml:space="preserve">, Materials and Methods, </w:t>
      </w:r>
      <w:r w:rsidRPr="00801192">
        <w:rPr>
          <w:rFonts w:asciiTheme="majorBidi" w:hAnsiTheme="majorBidi" w:cstheme="majorBidi"/>
          <w:sz w:val="24"/>
          <w:szCs w:val="24"/>
        </w:rPr>
        <w:t>Fig. S2.</w:t>
      </w:r>
    </w:p>
    <w:p w14:paraId="601237BF" w14:textId="77777777" w:rsidR="00951A04" w:rsidRDefault="00951A04" w:rsidP="00951A04">
      <w:pPr>
        <w:rPr>
          <w:rFonts w:asciiTheme="majorBidi" w:hAnsiTheme="majorBidi" w:cstheme="majorBidi"/>
          <w:b/>
          <w:bCs/>
          <w:sz w:val="28"/>
          <w:szCs w:val="28"/>
        </w:rPr>
      </w:pPr>
      <w:r w:rsidRPr="00951A04">
        <w:rPr>
          <w:rFonts w:asciiTheme="majorBidi" w:hAnsiTheme="majorBidi" w:cstheme="majorBidi"/>
          <w:b/>
          <w:bCs/>
          <w:sz w:val="28"/>
          <w:szCs w:val="28"/>
        </w:rPr>
        <w:lastRenderedPageBreak/>
        <w:t>Microevolutionary analyses for individually sampled species</w:t>
      </w:r>
    </w:p>
    <w:p w14:paraId="166E501A" w14:textId="46B0B12B" w:rsidR="00951A04" w:rsidRDefault="00951A04" w:rsidP="00951A04">
      <w:pPr>
        <w:jc w:val="both"/>
        <w:rPr>
          <w:rFonts w:asciiTheme="majorBidi" w:hAnsiTheme="majorBidi" w:cstheme="majorBidi"/>
          <w:sz w:val="24"/>
          <w:szCs w:val="24"/>
        </w:rPr>
      </w:pPr>
      <w:r w:rsidRPr="00951A04">
        <w:rPr>
          <w:rFonts w:asciiTheme="majorBidi" w:hAnsiTheme="majorBidi" w:cstheme="majorBidi"/>
          <w:sz w:val="24"/>
          <w:szCs w:val="24"/>
        </w:rPr>
        <w:t>To characterize the genetic structure among populations, we used different genetic clustering approaches. First, we evaluated the optimal number of populations (</w:t>
      </w:r>
      <w:r w:rsidRPr="00951A04">
        <w:rPr>
          <w:rFonts w:asciiTheme="majorBidi" w:hAnsiTheme="majorBidi" w:cstheme="majorBidi"/>
          <w:i/>
          <w:iCs/>
          <w:sz w:val="24"/>
          <w:szCs w:val="24"/>
        </w:rPr>
        <w:t>k</w:t>
      </w:r>
      <w:r w:rsidRPr="00951A04">
        <w:rPr>
          <w:rFonts w:asciiTheme="majorBidi" w:hAnsiTheme="majorBidi" w:cstheme="majorBidi"/>
          <w:sz w:val="24"/>
          <w:szCs w:val="24"/>
        </w:rPr>
        <w:t xml:space="preserve">) by employing a maximum-likelihood approach with the ADMIXTURE v1.3.0 software </w:t>
      </w:r>
      <w:r w:rsidRPr="00951A04">
        <w:rPr>
          <w:rFonts w:asciiTheme="majorBidi" w:hAnsiTheme="majorBidi" w:cstheme="majorBidi"/>
          <w:sz w:val="24"/>
          <w:szCs w:val="24"/>
        </w:rPr>
        <w:fldChar w:fldCharType="begin" w:fldLock="1"/>
      </w:r>
      <w:r w:rsidRPr="00951A04">
        <w:rPr>
          <w:rFonts w:asciiTheme="majorBidi" w:hAnsiTheme="majorBidi" w:cstheme="majorBidi"/>
          <w:sz w:val="24"/>
          <w:szCs w:val="24"/>
        </w:rPr>
        <w:instrText>ADDIN CSL_CITATION {"citationItems":[{"id":"ITEM-1","itemData":{"DOI":"10.1101/gr.094052.109","ISSN":"10889051","PMID":"19648217","abstract":"Population stratification has long been recognized as a confounding factor in genetic association studies. Estimated ancestries, derived from multi-locus genotype data, can be used to perform a statistical correction for population stratification. One popular technique for estimation of ancestry is the model-based approach embodied by the widely applied program structure. Another approach, implemented in the program EIGENSTRAT, relies on Principal Component Analysis rather than model-based estimation and does not directly deliver admixture fractions. EIGENSTRAT has gained in popularity in part owing to its remarkable speed in comparison to structure. We present a new algorithm and a program, ADMIXTURE, for model-based estimation of ancestry in unrelated individuals. ADMIXTURE adopts the likelihood model embedded in structure. However, ADMIXTURE runs considerably faster, solving problems in minutes that take structure hours. In many of our experiments, we have found that ADMIXTURE is almost as fast as EIGENSTRAT. The runtime improvements of ADMIXTURE rely on a fast block relaxation scheme using sequential quadratic programming for block updates, coupled with a novel quasi-Newton acceleration of convergence. Our algorithm also runs faster and with greater accuracy than the implementation of an Expectation-Maximization (EM) algorithm incorporated in the program FRAPPE. Our simulations show that ADMIXTURE's maximum likelihood estimates of the underlying admixture coefficients and ancestral allele frequencies are as accurate as structure's Bayesian estimates. On real-world data sets, ADMIXTURE's estimates are directly comparable to those from structure and EIGENSTRAT. Taken together, our results show that ADMIXTURE's computational speed opens up the possibility of using a much larger set of markers in model-based ancestry estimation and that its estimates are suitable for use in correcting for population stratification in association studies. © 2009 by Cold Spring Harbor Laboratory Press.","author":[{"dropping-particle":"","family":"Alexander","given":"David H.","non-dropping-particle":"","parse-names":false,"suffix":""},{"dropping-particle":"","family":"Novembre","given":"John","non-dropping-particle":"","parse-names":false,"suffix":""},{"dropping-particle":"","family":"Lange","given":"Kenneth","non-dropping-particle":"","parse-names":false,"suffix":""}],"container-title":"Genome Research","id":"ITEM-1","issue":"9","issued":{"date-parts":[["2009"]]},"page":"1655-1664","title":"Fast model-based estimation of ancestry in unrelated individuals","type":"article-journal","volume":"19"},"uris":["http://www.mendeley.com/documents/?uuid=58877881-b0e6-4419-890d-69164bdaed5a"]},{"id":"ITEM-2","itemData":{"DOI":"10.1186/1471-2105-12-246","ISSN":"14712105","PMID":"21682921","abstract":"Background: The estimation of individual ancestry from genetic data has become essential to applied population genetics and genetic epidemiology. Software programs for calculating ancestry estimates have become essential tools in the geneticist's analytic arsenal.Results: Here we describe four enhancements to ADMIXTURE, a high-performance tool for estimating individual ancestries and population allele frequencies from SNP (single nucleotide polymorphism) data. First, ADMIXTURE can be used to estimate the number of underlying populations through cross-validation. Second, individuals of known ancestry can be exploited in supervised learning to yield more precise ancestry estimates. Third, by penalizing small admixture coefficients for each individual, one can encourage model parsimony, often yielding more interpretable results for small datasets or datasets with large numbers of ancestral populations. Finally, by exploiting multiple processors, large datasets can be analyzed even more rapidly.Conclusions: The enhancements we have described make ADMIXTURE a more accurate, efficient, and versatile tool for ancestry estimation. © 2011 Alexander and Lange; licensee BioMed Central Ltd.","author":[{"dropping-particle":"","family":"Alexander","given":"David H.","non-dropping-particle":"","parse-names":false,"suffix":""},{"dropping-particle":"","family":"Lange","given":"Kenneth","non-dropping-particle":"","parse-names":false,"suffix":""}],"container-title":"BMC Bioinformatics","id":"ITEM-2","issued":{"date-parts":[["2011"]]},"title":"Enhancements to the ADMIXTURE algorithm for individual ancestry estimation","type":"article-journal","volume":"12"},"uris":["http://www.mendeley.com/documents/?uuid=20853ae9-f784-42f3-bbad-6c0cdbc02bea"]}],"mendeley":{"formattedCitation":"(73, 74)","plainTextFormattedCitation":"(73, 74)","previouslyFormattedCitation":"(73, 74)"},"properties":{"noteIndex":0},"schema":"https://github.com/citation-style-language/schema/raw/master/csl-citation.json"}</w:instrText>
      </w:r>
      <w:r w:rsidRPr="00951A04">
        <w:rPr>
          <w:rFonts w:asciiTheme="majorBidi" w:hAnsiTheme="majorBidi" w:cstheme="majorBidi"/>
          <w:sz w:val="24"/>
          <w:szCs w:val="24"/>
        </w:rPr>
        <w:fldChar w:fldCharType="separate"/>
      </w:r>
      <w:r w:rsidRPr="00951A04">
        <w:rPr>
          <w:rFonts w:asciiTheme="majorBidi" w:hAnsiTheme="majorBidi" w:cstheme="majorBidi"/>
          <w:sz w:val="24"/>
          <w:szCs w:val="24"/>
        </w:rPr>
        <w:t>(73, 74)</w:t>
      </w:r>
      <w:r w:rsidRPr="00951A04">
        <w:rPr>
          <w:rFonts w:asciiTheme="majorBidi" w:hAnsiTheme="majorBidi" w:cstheme="majorBidi"/>
          <w:sz w:val="24"/>
          <w:szCs w:val="24"/>
        </w:rPr>
        <w:fldChar w:fldCharType="end"/>
      </w:r>
      <w:r w:rsidRPr="00951A04">
        <w:rPr>
          <w:rFonts w:asciiTheme="majorBidi" w:hAnsiTheme="majorBidi" w:cstheme="majorBidi"/>
          <w:sz w:val="24"/>
          <w:szCs w:val="24"/>
        </w:rPr>
        <w:t xml:space="preserve">, and a Bayesian clustering method using fastSTRUCTURE </w:t>
      </w:r>
      <w:r w:rsidRPr="00951A04">
        <w:rPr>
          <w:rFonts w:asciiTheme="majorBidi" w:hAnsiTheme="majorBidi" w:cstheme="majorBidi"/>
          <w:sz w:val="24"/>
          <w:szCs w:val="24"/>
        </w:rPr>
        <w:fldChar w:fldCharType="begin" w:fldLock="1"/>
      </w:r>
      <w:r w:rsidRPr="00951A04">
        <w:rPr>
          <w:rFonts w:asciiTheme="majorBidi" w:hAnsiTheme="majorBidi" w:cstheme="majorBidi"/>
          <w:sz w:val="24"/>
          <w:szCs w:val="24"/>
        </w:rPr>
        <w:instrText>ADDIN CSL_CITATION {"citationItems":[{"id":"ITEM-1","itemData":{"DOI":"10.1534/genetics.114.164350","ISBN":"1943-2631 (Electronic)\\r0016-6731 (Linking)","ISSN":"19432631","PMID":"24700103","abstract":"Tools for estimating population structure from genetic data are now used in a wide variety of applications in population genetics. However, inferring population structure in large modern data sets imposes severe computational challenges. Here, we develop efficient algorithms for approximate inference of the model underlying the STRUCTURE program using a variational Bayesian framework. Variational methods pose the problem of computing relevant posterior distributions as an optimization problem, allowing us to build on recent advances in optimization theory to develop fast inference tools. In addition, we propose useful heuristic scores to identify the number of populations represented in a data set and a new hierarchical prior to detect weak population structure in the data. We test the variational algorithms on simulated data and illustrate using genotype data from the CEPH-Human Genome Diversity Panel. The variational algorithms are almost two orders of magnitude faster than STRUCTURE and achieve accuracies comparable to those of ADMIXTURE. Furthermore, our results show that the heuristic scores for choosing model complexity provide a reasonable range of values for the number of populations represented in the data, with minimal bias toward detecting structure when it is very weak. Our algorithm, fastSTRUCTURE, is freely available online at http://pritchardlab.stanford.edu/structure.html.","author":[{"dropping-particle":"","family":"Raj","given":"Anil","non-dropping-particle":"","parse-names":false,"suffix":""},{"dropping-particle":"","family":"Stephens","given":"Matthew","non-dropping-particle":"","parse-names":false,"suffix":""},{"dropping-particle":"","family":"Pritchard","given":"Jonathan K.","non-dropping-particle":"","parse-names":false,"suffix":""}],"container-title":"Genetics","id":"ITEM-1","issue":"2","issued":{"date-parts":[["2014"]]},"page":"573-589","title":"FastSTRUCTURE: Variational inference of population structure in large SNP data sets","type":"article-journal","volume":"197"},"uris":["http://www.mendeley.com/documents/?uuid=c6b2e1c8-f517-4ef4-b773-0ae8977f7e2f"]}],"mendeley":{"formattedCitation":"(75)","plainTextFormattedCitation":"(75)","previouslyFormattedCitation":"(75)"},"properties":{"noteIndex":0},"schema":"https://github.com/citation-style-language/schema/raw/master/csl-citation.json"}</w:instrText>
      </w:r>
      <w:r w:rsidRPr="00951A04">
        <w:rPr>
          <w:rFonts w:asciiTheme="majorBidi" w:hAnsiTheme="majorBidi" w:cstheme="majorBidi"/>
          <w:sz w:val="24"/>
          <w:szCs w:val="24"/>
        </w:rPr>
        <w:fldChar w:fldCharType="separate"/>
      </w:r>
      <w:r w:rsidRPr="00951A04">
        <w:rPr>
          <w:rFonts w:asciiTheme="majorBidi" w:hAnsiTheme="majorBidi" w:cstheme="majorBidi"/>
          <w:sz w:val="24"/>
          <w:szCs w:val="24"/>
        </w:rPr>
        <w:t>(75)</w:t>
      </w:r>
      <w:r w:rsidRPr="00951A04">
        <w:rPr>
          <w:rFonts w:asciiTheme="majorBidi" w:hAnsiTheme="majorBidi" w:cstheme="majorBidi"/>
          <w:sz w:val="24"/>
          <w:szCs w:val="24"/>
        </w:rPr>
        <w:fldChar w:fldCharType="end"/>
      </w:r>
      <w:r w:rsidRPr="00951A04">
        <w:rPr>
          <w:rFonts w:asciiTheme="majorBidi" w:hAnsiTheme="majorBidi" w:cstheme="majorBidi"/>
          <w:sz w:val="24"/>
          <w:szCs w:val="24"/>
        </w:rPr>
        <w:t xml:space="preserve">. Next, we conducted a Discriminant Analysis of Principal Components (DPCA) with and without prior population assignment, using the R package adegenet </w:t>
      </w:r>
      <w:r w:rsidRPr="00951A04">
        <w:rPr>
          <w:rFonts w:asciiTheme="majorBidi" w:hAnsiTheme="majorBidi" w:cstheme="majorBidi"/>
          <w:sz w:val="24"/>
          <w:szCs w:val="24"/>
        </w:rPr>
        <w:fldChar w:fldCharType="begin" w:fldLock="1"/>
      </w:r>
      <w:r w:rsidRPr="00951A04">
        <w:rPr>
          <w:rFonts w:asciiTheme="majorBidi" w:hAnsiTheme="majorBidi" w:cstheme="majorBidi"/>
          <w:sz w:val="24"/>
          <w:szCs w:val="24"/>
        </w:rPr>
        <w:instrText>ADDIN CSL_CITATION {"citationItems":[{"id":"ITEM-1","itemData":{"DOI":"10.1093/bioinformatics/btn129","ISBN":"1367-4803","ISSN":"13674803","PMID":"18397895","abstract":"UNLABELLED: The package adegenet for the R software is dedicated to the multivariate analysis of genetic markers. It extends the ade4 package of multivariate methods by implementing formal classes and functions to manipulate and analyse genetic markers. Data can be imported from common population genetics software and exported to other software and R packages. adegenet also implements standard population genetics tools along with more original approaches for spatial genetics and hybridization. AVAILABILITY: Stable version is available from CRAN: http://cran.r-project.org/mirrors.html. Development version is available from adegenet website: http://adegenet.r-forge.r-project.org/. Both versions can be installed directly from R. adegenet is distributed under the GNU General Public Licence (v.2).","author":[{"dropping-particle":"","family":"Jombart","given":"Thibaut","non-dropping-particle":"","parse-names":false,"suffix":""}],"container-title":"Bioinformatics","id":"ITEM-1","issue":"11","issued":{"date-parts":[["2008"]]},"page":"1403-1405","title":"Adegenet: A R package for the multivariate analysis of genetic markers","type":"article-journal","volume":"24"},"uris":["http://www.mendeley.com/documents/?uuid=714f2077-30b7-47bd-ac5c-89490ac70b5f"]}],"mendeley":{"formattedCitation":"(76)","plainTextFormattedCitation":"(76)","previouslyFormattedCitation":"(76)"},"properties":{"noteIndex":0},"schema":"https://github.com/citation-style-language/schema/raw/master/csl-citation.json"}</w:instrText>
      </w:r>
      <w:r w:rsidRPr="00951A04">
        <w:rPr>
          <w:rFonts w:asciiTheme="majorBidi" w:hAnsiTheme="majorBidi" w:cstheme="majorBidi"/>
          <w:sz w:val="24"/>
          <w:szCs w:val="24"/>
        </w:rPr>
        <w:fldChar w:fldCharType="separate"/>
      </w:r>
      <w:r w:rsidRPr="00951A04">
        <w:rPr>
          <w:rFonts w:asciiTheme="majorBidi" w:hAnsiTheme="majorBidi" w:cstheme="majorBidi"/>
          <w:sz w:val="24"/>
          <w:szCs w:val="24"/>
        </w:rPr>
        <w:t>(76)</w:t>
      </w:r>
      <w:r w:rsidRPr="00951A04">
        <w:rPr>
          <w:rFonts w:asciiTheme="majorBidi" w:hAnsiTheme="majorBidi" w:cstheme="majorBidi"/>
          <w:sz w:val="24"/>
          <w:szCs w:val="24"/>
        </w:rPr>
        <w:fldChar w:fldCharType="end"/>
      </w:r>
      <w:r w:rsidRPr="00951A04">
        <w:rPr>
          <w:rFonts w:asciiTheme="majorBidi" w:hAnsiTheme="majorBidi" w:cstheme="majorBidi"/>
          <w:sz w:val="24"/>
          <w:szCs w:val="24"/>
        </w:rPr>
        <w:t xml:space="preserve">. We evaluated both scenarios (determining </w:t>
      </w:r>
      <w:r w:rsidRPr="00951A04">
        <w:rPr>
          <w:rFonts w:asciiTheme="majorBidi" w:hAnsiTheme="majorBidi" w:cstheme="majorBidi"/>
          <w:i/>
          <w:iCs/>
          <w:sz w:val="24"/>
          <w:szCs w:val="24"/>
        </w:rPr>
        <w:t>de novo</w:t>
      </w:r>
      <w:r w:rsidRPr="00951A04">
        <w:rPr>
          <w:rFonts w:asciiTheme="majorBidi" w:hAnsiTheme="majorBidi" w:cstheme="majorBidi"/>
          <w:sz w:val="24"/>
          <w:szCs w:val="24"/>
        </w:rPr>
        <w:t xml:space="preserve"> structure versus </w:t>
      </w:r>
      <w:r w:rsidRPr="00951A04">
        <w:rPr>
          <w:rFonts w:asciiTheme="majorBidi" w:hAnsiTheme="majorBidi" w:cstheme="majorBidi"/>
          <w:i/>
          <w:iCs/>
          <w:sz w:val="24"/>
          <w:szCs w:val="24"/>
        </w:rPr>
        <w:t>a priori</w:t>
      </w:r>
      <w:r w:rsidRPr="00951A04">
        <w:rPr>
          <w:rFonts w:asciiTheme="majorBidi" w:hAnsiTheme="majorBidi" w:cstheme="majorBidi"/>
          <w:sz w:val="24"/>
          <w:szCs w:val="24"/>
        </w:rPr>
        <w:t xml:space="preserve"> grouping designations) as the sensitivity of the method to misspecifications in population assignment is unknown </w:t>
      </w:r>
      <w:r w:rsidRPr="00951A04">
        <w:rPr>
          <w:rFonts w:asciiTheme="majorBidi" w:hAnsiTheme="majorBidi" w:cstheme="majorBidi"/>
          <w:sz w:val="24"/>
          <w:szCs w:val="24"/>
        </w:rPr>
        <w:fldChar w:fldCharType="begin" w:fldLock="1"/>
      </w:r>
      <w:r w:rsidRPr="00951A04">
        <w:rPr>
          <w:rFonts w:asciiTheme="majorBidi" w:hAnsiTheme="majorBidi" w:cstheme="majorBidi"/>
          <w:sz w:val="24"/>
          <w:szCs w:val="24"/>
        </w:rPr>
        <w:instrText>ADDIN CSL_CITATION {"citationItems":[{"id":"ITEM-1","itemData":{"DOI":"10.1038/s41437-020-0348-2","ISSN":"13652540","PMID":"32753664","abstract":"Inference of genetic clusters is a key aim of population genetics, sparking development of numerous analytical methods. Within these, there is a conceptual divide between finding de novo structure versus assessment of a priori groups. Recently developed, Discriminant Analysis of Principal Components (DAPC), combines discriminant analysis (DA) with principal component (PC) analysis. When applying DAPC, the groups used in the DA (specified a priori or described de novo) need to be carefully assessed. While DAPC has rapidly become a core technique, the sensitivity of the method to misspecification of groups and how it is being empirically applied, are unknown. To address this, we conducted a simulation study examining the influence of a priori versus de novo group designations, and a literature review of how DAPC is being applied. We found that with a priori groupings, distance between genetic clusters reflected underlying FST. However, when migration rates were high and groups were described de novo there was considerable inaccuracy, both in terms of the number of genetic clusters suggested and placement of individuals into those clusters. Nearly all (90.1%) of 224 studies surveyed used DAPC to find de novo clusters, and for the majority (62.5%) the stated goal matched the results. However, most studies (52.3%) omit key run parameters, preventing repeatability and transparency. Therefore, we present recommendations for standard reporting of parameters used in DAPC analyses. The influence of groupings in genetic clustering is not unique to DAPC, and researchers need to consider their goal and which methods will be most appropriate.","author":[{"dropping-particle":"","family":"Miller","given":"Joshua M.","non-dropping-particle":"","parse-names":false,"suffix":""},{"dropping-particle":"","family":"Cullingham","given":"Catherine I.","non-dropping-particle":"","parse-names":false,"suffix":""},{"dropping-particle":"","family":"Peery","given":"Rhiannon M.","non-dropping-particle":"","parse-names":false,"suffix":""}],"container-title":"Heredity","id":"ITEM-1","issue":"5","issued":{"date-parts":[["2020"]]},"page":"269-280","publisher":"Springer US","title":"The influence of a priori grouping on inference of genetic clusters: simulation study and literature review of the DAPC method","type":"article-journal","volume":"125"},"uris":["http://www.mendeley.com/documents/?uuid=63a9e34f-f84d-474b-9d27-0fadcd25e203"]}],"mendeley":{"formattedCitation":"(77)","plainTextFormattedCitation":"(77)","previouslyFormattedCitation":"(77)"},"properties":{"noteIndex":0},"schema":"https://github.com/citation-style-language/schema/raw/master/csl-citation.json"}</w:instrText>
      </w:r>
      <w:r w:rsidRPr="00951A04">
        <w:rPr>
          <w:rFonts w:asciiTheme="majorBidi" w:hAnsiTheme="majorBidi" w:cstheme="majorBidi"/>
          <w:sz w:val="24"/>
          <w:szCs w:val="24"/>
        </w:rPr>
        <w:fldChar w:fldCharType="separate"/>
      </w:r>
      <w:r w:rsidRPr="00951A04">
        <w:rPr>
          <w:rFonts w:asciiTheme="majorBidi" w:hAnsiTheme="majorBidi" w:cstheme="majorBidi"/>
          <w:sz w:val="24"/>
          <w:szCs w:val="24"/>
        </w:rPr>
        <w:t>(77)</w:t>
      </w:r>
      <w:r w:rsidRPr="00951A04">
        <w:rPr>
          <w:rFonts w:asciiTheme="majorBidi" w:hAnsiTheme="majorBidi" w:cstheme="majorBidi"/>
          <w:sz w:val="24"/>
          <w:szCs w:val="24"/>
        </w:rPr>
        <w:fldChar w:fldCharType="end"/>
      </w:r>
      <w:r w:rsidRPr="00951A04">
        <w:rPr>
          <w:rFonts w:asciiTheme="majorBidi" w:hAnsiTheme="majorBidi" w:cstheme="majorBidi"/>
          <w:sz w:val="24"/>
          <w:szCs w:val="24"/>
        </w:rPr>
        <w:t xml:space="preserve">. Additionally, we estimated phylogenetic trees using IQ-TREE v2.1.2 </w:t>
      </w:r>
      <w:r w:rsidRPr="00951A04">
        <w:rPr>
          <w:rFonts w:asciiTheme="majorBidi" w:hAnsiTheme="majorBidi" w:cstheme="majorBidi"/>
          <w:sz w:val="24"/>
          <w:szCs w:val="24"/>
        </w:rPr>
        <w:fldChar w:fldCharType="begin" w:fldLock="1"/>
      </w:r>
      <w:r w:rsidRPr="00951A04">
        <w:rPr>
          <w:rFonts w:asciiTheme="majorBidi" w:hAnsiTheme="majorBidi" w:cstheme="majorBidi"/>
          <w:sz w:val="24"/>
          <w:szCs w:val="24"/>
        </w:rPr>
        <w:instrText>ADDIN CSL_CITATION {"citationItems":[{"id":"ITEM-1","itemData":{"DOI":"10.1093/molbev/msu300","ISSN":"15371719","PMID":"25371430","abstract":"Large phylogenomics data sets require fast tree inference methods, especially for maximum-likelihood (ML) phylogenies. Fast programs exist, but due to inherent heuristics to find optimal trees, it is not clear whether the best tree is found. Thus, there is need for additional approaches that employ different search strategies to find ML trees and that are at the same time as fast as currently available ML programs. We show that a combination of hill-climbing approaches and a stochastic perturbation method can be time-efficiently implemented. If we allow the same CPU time as RAxML and PhyML, then our software IQ-TREE found higher likelihoods between 62.2% and 87.1% of the studied alignments, thus efficiently exploring the tree-space. If we use the IQ-TREE stopping rule, RAxML and PhyML are faster in 75.7% and 47.1% of the DNA alignments and 42.2% and 100% of the protein alignments, respectively. However, the range of obtaining higher likelihoods with IQ-TREE improves to 73.3-97.1%. IQ-TREE is freely available at http://www.cibiv.at/software/iqtree.","author":[{"dropping-particle":"","family":"Nguyen","given":"Lam Tung","non-dropping-particle":"","parse-names":false,"suffix":""},{"dropping-particle":"","family":"Schmidt","given":"Heiko A.","non-dropping-particle":"","parse-names":false,"suffix":""},{"dropping-particle":"","family":"Haeseler","given":"Arndt","non-dropping-particle":"Von","parse-names":false,"suffix":""},{"dropping-particle":"","family":"Minh","given":"Bui Quang","non-dropping-particle":"","parse-names":false,"suffix":""}],"container-title":"Molecular Biology and Evolution","id":"ITEM-1","issue":"1","issued":{"date-parts":[["2015"]]},"page":"268-274","title":"IQ-TREE: A fast and effective stochastic algorithm for estimating maximum-likelihood phylogenies","type":"article-journal","volume":"32"},"uris":["http://www.mendeley.com/documents/?uuid=eda0db3a-ec45-4865-a70f-8c22c8c4870e"]}],"mendeley":{"formattedCitation":"(78)","plainTextFormattedCitation":"(78)","previouslyFormattedCitation":"(78)"},"properties":{"noteIndex":0},"schema":"https://github.com/citation-style-language/schema/raw/master/csl-citation.json"}</w:instrText>
      </w:r>
      <w:r w:rsidRPr="00951A04">
        <w:rPr>
          <w:rFonts w:asciiTheme="majorBidi" w:hAnsiTheme="majorBidi" w:cstheme="majorBidi"/>
          <w:sz w:val="24"/>
          <w:szCs w:val="24"/>
        </w:rPr>
        <w:fldChar w:fldCharType="separate"/>
      </w:r>
      <w:r w:rsidRPr="00951A04">
        <w:rPr>
          <w:rFonts w:asciiTheme="majorBidi" w:hAnsiTheme="majorBidi" w:cstheme="majorBidi"/>
          <w:sz w:val="24"/>
          <w:szCs w:val="24"/>
        </w:rPr>
        <w:t>(78)</w:t>
      </w:r>
      <w:r w:rsidRPr="00951A04">
        <w:rPr>
          <w:rFonts w:asciiTheme="majorBidi" w:hAnsiTheme="majorBidi" w:cstheme="majorBidi"/>
          <w:sz w:val="24"/>
          <w:szCs w:val="24"/>
        </w:rPr>
        <w:fldChar w:fldCharType="end"/>
      </w:r>
      <w:r w:rsidRPr="00951A04">
        <w:rPr>
          <w:rFonts w:asciiTheme="majorBidi" w:hAnsiTheme="majorBidi" w:cstheme="majorBidi"/>
          <w:sz w:val="24"/>
          <w:szCs w:val="24"/>
        </w:rPr>
        <w:t xml:space="preserve"> to represent the evolutionary relationships among individuals and identify evolutionary lineages corresponding to the potential breaks evaluated. For species where population differentiation approaches yield different hypotheses regarding population structure, we conducted an analysis of molecular variance (AMOVA) using the </w:t>
      </w:r>
      <w:r w:rsidRPr="00951A04">
        <w:rPr>
          <w:rFonts w:asciiTheme="majorBidi" w:hAnsiTheme="majorBidi" w:cstheme="majorBidi"/>
          <w:i/>
          <w:iCs/>
          <w:sz w:val="24"/>
          <w:szCs w:val="24"/>
        </w:rPr>
        <w:t>poppr</w:t>
      </w:r>
      <w:r w:rsidRPr="00951A04">
        <w:rPr>
          <w:rFonts w:asciiTheme="majorBidi" w:hAnsiTheme="majorBidi" w:cstheme="majorBidi"/>
          <w:sz w:val="24"/>
          <w:szCs w:val="24"/>
        </w:rPr>
        <w:t xml:space="preserve"> package in R </w:t>
      </w:r>
      <w:r w:rsidRPr="00951A04">
        <w:rPr>
          <w:rFonts w:asciiTheme="majorBidi" w:hAnsiTheme="majorBidi" w:cstheme="majorBidi"/>
          <w:sz w:val="24"/>
          <w:szCs w:val="24"/>
        </w:rPr>
        <w:fldChar w:fldCharType="begin" w:fldLock="1"/>
      </w:r>
      <w:r w:rsidRPr="00951A04">
        <w:rPr>
          <w:rFonts w:asciiTheme="majorBidi" w:hAnsiTheme="majorBidi" w:cstheme="majorBidi"/>
          <w:sz w:val="24"/>
          <w:szCs w:val="24"/>
        </w:rPr>
        <w:instrText>ADDIN CSL_CITATION {"citationItems":[{"id":"ITEM-1","itemData":{"DOI":"10.7717/peerj.281","ISSN":"2167-8359","author":[{"dropping-particle":"","family":"Kamvar","given":"Zhian N","non-dropping-particle":"","parse-names":false,"suffix":""},{"dropping-particle":"","family":"Tabima","given":"Javier F","non-dropping-particle":"","parse-names":false,"suffix":""},{"dropping-particle":"","family":"Grünwald","given":"Niklaus J","non-dropping-particle":"","parse-names":false,"suffix":""}],"container-title":"PeerJ","id":"ITEM-1","issued":{"date-parts":[["2014"]]},"page":"e281","title":"Poppr: an R package for genetic analysis of populations with clonal, partially clonal, and/or sexual reproduction.","type":"article-journal","volume":"2"},"uris":["http://www.mendeley.com/documents/?uuid=a0e02b94-734c-479a-ad16-f39ada0c9d17"]}],"mendeley":{"formattedCitation":"(79)","plainTextFormattedCitation":"(79)","previouslyFormattedCitation":"(79)"},"properties":{"noteIndex":0},"schema":"https://github.com/citation-style-language/schema/raw/master/csl-citation.json"}</w:instrText>
      </w:r>
      <w:r w:rsidRPr="00951A04">
        <w:rPr>
          <w:rFonts w:asciiTheme="majorBidi" w:hAnsiTheme="majorBidi" w:cstheme="majorBidi"/>
          <w:sz w:val="24"/>
          <w:szCs w:val="24"/>
        </w:rPr>
        <w:fldChar w:fldCharType="separate"/>
      </w:r>
      <w:r w:rsidRPr="00951A04">
        <w:rPr>
          <w:rFonts w:asciiTheme="majorBidi" w:hAnsiTheme="majorBidi" w:cstheme="majorBidi"/>
          <w:sz w:val="24"/>
          <w:szCs w:val="24"/>
        </w:rPr>
        <w:t>(79)</w:t>
      </w:r>
      <w:r w:rsidRPr="00951A04">
        <w:rPr>
          <w:rFonts w:asciiTheme="majorBidi" w:hAnsiTheme="majorBidi" w:cstheme="majorBidi"/>
          <w:sz w:val="24"/>
          <w:szCs w:val="24"/>
        </w:rPr>
        <w:fldChar w:fldCharType="end"/>
      </w:r>
      <w:r w:rsidRPr="00951A04">
        <w:rPr>
          <w:rFonts w:asciiTheme="majorBidi" w:hAnsiTheme="majorBidi" w:cstheme="majorBidi"/>
          <w:sz w:val="24"/>
          <w:szCs w:val="24"/>
        </w:rPr>
        <w:t xml:space="preserve">. Lastly, to generate a graphical representation of the spatial population structure </w:t>
      </w:r>
      <w:r w:rsidRPr="00951A04">
        <w:rPr>
          <w:rFonts w:asciiTheme="majorBidi" w:hAnsiTheme="majorBidi" w:cstheme="majorBidi"/>
          <w:sz w:val="24"/>
          <w:szCs w:val="24"/>
        </w:rPr>
        <w:fldChar w:fldCharType="begin" w:fldLock="1"/>
      </w:r>
      <w:r w:rsidRPr="00951A04">
        <w:rPr>
          <w:rFonts w:asciiTheme="majorBidi" w:hAnsiTheme="majorBidi" w:cstheme="majorBidi"/>
          <w:sz w:val="24"/>
          <w:szCs w:val="24"/>
        </w:rPr>
        <w:instrText>ADDIN CSL_CITATION {"citationItems":[{"id":"ITEM-1","itemData":{"DOI":"10.1038/ng.3464","ISSN":"15461718","PMID":"26642242","abstract":"Genetic data often exhibit patterns broadly consistent with 'isolation by distance' - a phenomenon where genetic similarity decays with geographic distance. In a heterogeneous habitat, this may occur more quickly in some regions than in others: for example, barriers to gene flow can accelerate differentiation between neighboring groups. We use the concept of 'effective migration' to model the relationship between genetics and geography. In this paradigm, effective migration is low in regions where genetic similarity decays quickly. We present a method to visualize variation in effective migration across a habitat from geographically indexed genetic data. Our approach uses a population genetic model to relate effective migration rates to expected genetic dissimilarities. We illustrate its potential and limitations using simulations and data from elephant, human and Arabidopsis thaliana populations. The resulting visualizations highlight important spatial features of population structure that are difficult to discern using existing methods for summarizing genetic variation.","author":[{"dropping-particle":"","family":"Petkova","given":"Desislava","non-dropping-particle":"","parse-names":false,"suffix":""},{"dropping-particle":"","family":"Novembre","given":"John","non-dropping-particle":"","parse-names":false,"suffix":""},{"dropping-particle":"","family":"Stephens","given":"Matthew","non-dropping-particle":"","parse-names":false,"suffix":""}],"container-title":"Nature Genetics","id":"ITEM-1","issue":"1","issued":{"date-parts":[["2015"]]},"page":"94-100","publisher":"Nature Publishing Group","title":"Visualizing spatial population structure with estimated effective migration surfaces","type":"article-journal","volume":"48"},"uris":["http://www.mendeley.com/documents/?uuid=521ddfb6-8cc1-4662-85d9-e0c405e6ba1e"]}],"mendeley":{"formattedCitation":"(80)","plainTextFormattedCitation":"(80)","previouslyFormattedCitation":"(80)"},"properties":{"noteIndex":0},"schema":"https://github.com/citation-style-language/schema/raw/master/csl-citation.json"}</w:instrText>
      </w:r>
      <w:r w:rsidRPr="00951A04">
        <w:rPr>
          <w:rFonts w:asciiTheme="majorBidi" w:hAnsiTheme="majorBidi" w:cstheme="majorBidi"/>
          <w:sz w:val="24"/>
          <w:szCs w:val="24"/>
        </w:rPr>
        <w:fldChar w:fldCharType="separate"/>
      </w:r>
      <w:r w:rsidRPr="00951A04">
        <w:rPr>
          <w:rFonts w:asciiTheme="majorBidi" w:hAnsiTheme="majorBidi" w:cstheme="majorBidi"/>
          <w:sz w:val="24"/>
          <w:szCs w:val="24"/>
        </w:rPr>
        <w:t>(80)</w:t>
      </w:r>
      <w:r w:rsidRPr="00951A04">
        <w:rPr>
          <w:rFonts w:asciiTheme="majorBidi" w:hAnsiTheme="majorBidi" w:cstheme="majorBidi"/>
          <w:sz w:val="24"/>
          <w:szCs w:val="24"/>
        </w:rPr>
        <w:fldChar w:fldCharType="end"/>
      </w:r>
      <w:r w:rsidRPr="00951A04">
        <w:rPr>
          <w:rFonts w:asciiTheme="majorBidi" w:hAnsiTheme="majorBidi" w:cstheme="majorBidi"/>
          <w:sz w:val="24"/>
          <w:szCs w:val="24"/>
        </w:rPr>
        <w:t xml:space="preserve">, we applied the Estimate Effective Migration Surfaces (EEMS) method (github.com/dipetkov/eems), and conducted a spatial Analysis of Principal Components (sPCA) using the adegenet R package. We determined the relative strength of each break—effectiveness—by estimating the proportion of species affected by a given break. A potential break was considered effective when two or more analyses identified population structure patterns aligning to that break. For more information on the parameters used to run these analyses, refer to the </w:t>
      </w:r>
      <w:r w:rsidRPr="00951A04">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951A04">
        <w:rPr>
          <w:rFonts w:asciiTheme="majorBidi" w:hAnsiTheme="majorBidi" w:cstheme="majorBidi"/>
          <w:i/>
          <w:iCs/>
          <w:sz w:val="24"/>
          <w:szCs w:val="24"/>
        </w:rPr>
        <w:t>, Materials and Methods</w:t>
      </w:r>
      <w:r w:rsidRPr="00951A04">
        <w:rPr>
          <w:rFonts w:asciiTheme="majorBidi" w:hAnsiTheme="majorBidi" w:cstheme="majorBidi"/>
          <w:sz w:val="24"/>
          <w:szCs w:val="24"/>
        </w:rPr>
        <w:t>.</w:t>
      </w:r>
    </w:p>
    <w:p w14:paraId="6B83647F" w14:textId="3921BE72" w:rsidR="00951A04" w:rsidRDefault="00951A04" w:rsidP="00951A04">
      <w:pPr>
        <w:jc w:val="both"/>
        <w:rPr>
          <w:rFonts w:asciiTheme="majorBidi" w:hAnsiTheme="majorBidi" w:cstheme="majorBidi"/>
          <w:b/>
          <w:bCs/>
          <w:sz w:val="28"/>
          <w:szCs w:val="28"/>
        </w:rPr>
      </w:pPr>
      <w:r w:rsidRPr="00951A04">
        <w:rPr>
          <w:rFonts w:asciiTheme="majorBidi" w:hAnsiTheme="majorBidi" w:cstheme="majorBidi"/>
          <w:b/>
          <w:bCs/>
          <w:sz w:val="28"/>
          <w:szCs w:val="28"/>
        </w:rPr>
        <w:t>Phenotypic analyses of body shape</w:t>
      </w:r>
    </w:p>
    <w:p w14:paraId="688690DC" w14:textId="5D6831BF" w:rsidR="00951A04" w:rsidRDefault="00951A04" w:rsidP="0041013A">
      <w:pPr>
        <w:jc w:val="both"/>
        <w:rPr>
          <w:rFonts w:asciiTheme="majorBidi" w:hAnsiTheme="majorBidi" w:cstheme="majorBidi"/>
          <w:sz w:val="24"/>
          <w:szCs w:val="24"/>
        </w:rPr>
      </w:pPr>
      <w:r w:rsidRPr="00951A04">
        <w:rPr>
          <w:rFonts w:asciiTheme="majorBidi" w:hAnsiTheme="majorBidi" w:cstheme="majorBidi"/>
          <w:sz w:val="24"/>
          <w:szCs w:val="24"/>
        </w:rPr>
        <w:t xml:space="preserve">To quantify morphological disparity at the micro and macroevolutionary levels, we conducted 2D geometric morphometric analysis using 16 landmarks and 20 semi-landmarks. At the intra-specific level, we analyzed only </w:t>
      </w:r>
      <w:r w:rsidRPr="00951A04">
        <w:rPr>
          <w:rFonts w:asciiTheme="majorBidi" w:hAnsiTheme="majorBidi" w:cstheme="majorBidi"/>
          <w:i/>
          <w:iCs/>
          <w:sz w:val="24"/>
          <w:szCs w:val="24"/>
        </w:rPr>
        <w:t>M. tetranemus</w:t>
      </w:r>
      <w:r w:rsidRPr="00951A04">
        <w:rPr>
          <w:rFonts w:asciiTheme="majorBidi" w:hAnsiTheme="majorBidi" w:cstheme="majorBidi"/>
          <w:sz w:val="24"/>
          <w:szCs w:val="24"/>
        </w:rPr>
        <w:t xml:space="preserve"> and </w:t>
      </w:r>
      <w:r w:rsidRPr="00951A04">
        <w:rPr>
          <w:rFonts w:asciiTheme="majorBidi" w:hAnsiTheme="majorBidi" w:cstheme="majorBidi"/>
          <w:i/>
          <w:iCs/>
          <w:sz w:val="24"/>
          <w:szCs w:val="24"/>
        </w:rPr>
        <w:t>M. triangulatus</w:t>
      </w:r>
      <w:r w:rsidRPr="00951A04">
        <w:rPr>
          <w:rFonts w:asciiTheme="majorBidi" w:hAnsiTheme="majorBidi" w:cstheme="majorBidi"/>
          <w:sz w:val="24"/>
          <w:szCs w:val="24"/>
        </w:rPr>
        <w:t xml:space="preserve"> using a total of 47 and 35 high-quality photographs, respectively, taken during field expeditions or retrieved from online museum repositories. For </w:t>
      </w:r>
      <w:r w:rsidRPr="00951A04">
        <w:rPr>
          <w:rFonts w:asciiTheme="majorBidi" w:hAnsiTheme="majorBidi" w:cstheme="majorBidi"/>
          <w:i/>
          <w:iCs/>
          <w:sz w:val="24"/>
          <w:szCs w:val="24"/>
        </w:rPr>
        <w:t>M. triangulatus</w:t>
      </w:r>
      <w:r w:rsidRPr="00951A04">
        <w:rPr>
          <w:rFonts w:asciiTheme="majorBidi" w:hAnsiTheme="majorBidi" w:cstheme="majorBidi"/>
          <w:sz w:val="24"/>
          <w:szCs w:val="24"/>
        </w:rPr>
        <w:t xml:space="preserve"> we also used 100 x-rays downloaded from the fish collection repository of the Smithsonian National Museum of Natural History (NMNH). At the inter-specific level, we used up to ten individuals per species for a total of 89 photographs covering twenty species that had high-quality photographs. We digitalized the landmarks and semi-landmarks using the package StereoMorph </w:t>
      </w:r>
      <w:r w:rsidRPr="00951A04">
        <w:rPr>
          <w:rFonts w:asciiTheme="majorBidi" w:hAnsiTheme="majorBidi" w:cstheme="majorBidi"/>
          <w:sz w:val="24"/>
          <w:szCs w:val="24"/>
        </w:rPr>
        <w:fldChar w:fldCharType="begin" w:fldLock="1"/>
      </w:r>
      <w:r w:rsidRPr="00951A04">
        <w:rPr>
          <w:rFonts w:asciiTheme="majorBidi" w:hAnsiTheme="majorBidi" w:cstheme="majorBidi"/>
          <w:sz w:val="24"/>
          <w:szCs w:val="24"/>
        </w:rPr>
        <w:instrText>ADDIN CSL_CITATION {"citationItems":[{"id":"ITEM-1","itemData":{"DOI":"10.1111/2041-210X.12326","ISSN":"2041210X","abstract":"Quantitative, three-dimensional measurements of anatomy in biology and paleontology are key to understanding the evolutionary processes underlying morphological, functional and ecological diversification. However, the collection of 3D morphometric data from a large number of samples or in the field is currently limited by methods that are either too costly, too time-consuming or lack portability. We present a new R package, StereoMorph, for the rapid and accurate collection of 3D landmarks and curves using two standard digital cameras. StereoMorph provides a complete set of tools for every step in the collection of 3D landmarks and curves using a stereo camera set-up. This includes image processing and optimization functions for automated camera calibration using a checkerboard pattern, an easy-to-use application for digitizing landmarks and curves from photographs, and tools for reconstructing points and curves in 3D. The image processing tools and digitizing application are readily applicable to 2D morphometrics as well, enabling 2D landmarks and curves to be digitized and scaled automatically using a checkerboard pattern. We include five examples that demonstrate key functionalities of StereoMorph: automated detection of checkerboard corners, camera calibration, testing calibration accuracy, digitizing photographs and 3D curve reconstruction. With a set-up costing less than $1500, we show that it is possible to achieve a mean reconstruction error of less than 30 microns. Once the cameras are assembled, specimens can be photographed as quickly as with 2D morphometrics while digitizing takes two to three times as long as digitizing a single photograph. We conclude by presenting an accompanying tutorial which details all of the steps required to collect 3D landmarks and curves using StereoMorph. Additionally, we present a web blog that will provide a platform for updates and user questions and suggestions.","author":[{"dropping-particle":"","family":"Olsen","given":"Aaron M.","non-dropping-particle":"","parse-names":false,"suffix":""},{"dropping-particle":"","family":"Westneat","given":"Mark W.","non-dropping-particle":"","parse-names":false,"suffix":""}],"container-title":"Methods in Ecology and Evolution","id":"ITEM-1","issue":"3","issued":{"date-parts":[["2015","3","1"]]},"page":"351-356","publisher":"British Ecological Society","title":"StereoMorph: An R package for the collection of 3D landmarks and curves using a stereo camera set-up","type":"article-journal","volume":"6"},"uris":["http://www.mendeley.com/documents/?uuid=eaa36211-e812-3dfd-ab20-efc993425f1b"]}],"mendeley":{"formattedCitation":"(81)","plainTextFormattedCitation":"(81)","previouslyFormattedCitation":"(81)"},"properties":{"noteIndex":0},"schema":"https://github.com/citation-style-language/schema/raw/master/csl-citation.json"}</w:instrText>
      </w:r>
      <w:r w:rsidRPr="00951A04">
        <w:rPr>
          <w:rFonts w:asciiTheme="majorBidi" w:hAnsiTheme="majorBidi" w:cstheme="majorBidi"/>
          <w:sz w:val="24"/>
          <w:szCs w:val="24"/>
        </w:rPr>
        <w:fldChar w:fldCharType="separate"/>
      </w:r>
      <w:r w:rsidRPr="00951A04">
        <w:rPr>
          <w:rFonts w:asciiTheme="majorBidi" w:hAnsiTheme="majorBidi" w:cstheme="majorBidi"/>
          <w:sz w:val="24"/>
          <w:szCs w:val="24"/>
        </w:rPr>
        <w:t>(81)</w:t>
      </w:r>
      <w:r w:rsidRPr="00951A04">
        <w:rPr>
          <w:rFonts w:asciiTheme="majorBidi" w:hAnsiTheme="majorBidi" w:cstheme="majorBidi"/>
          <w:sz w:val="24"/>
          <w:szCs w:val="24"/>
        </w:rPr>
        <w:fldChar w:fldCharType="end"/>
      </w:r>
      <w:r w:rsidRPr="00951A04">
        <w:rPr>
          <w:rFonts w:asciiTheme="majorBidi" w:hAnsiTheme="majorBidi" w:cstheme="majorBidi"/>
          <w:sz w:val="24"/>
          <w:szCs w:val="24"/>
        </w:rPr>
        <w:t>, and corrected for distortions, size and position of the different specimen images using a generalized Procrustes analysis (GPA). To account for landmark accuracy reflecting body-shape disparity, we created four different schemes with different subsets of landmarks (</w:t>
      </w:r>
      <w:r w:rsidRPr="00951A04">
        <w:rPr>
          <w:rFonts w:asciiTheme="majorBidi" w:hAnsiTheme="majorBidi" w:cstheme="majorBidi"/>
          <w:i/>
          <w:iCs/>
          <w:sz w:val="24"/>
          <w:szCs w:val="24"/>
        </w:rPr>
        <w:t>Appendix</w:t>
      </w:r>
      <w:r w:rsidR="00970761">
        <w:rPr>
          <w:rFonts w:asciiTheme="majorBidi" w:hAnsiTheme="majorBidi" w:cstheme="majorBidi"/>
          <w:i/>
          <w:iCs/>
          <w:sz w:val="24"/>
          <w:szCs w:val="24"/>
        </w:rPr>
        <w:t xml:space="preserve"> C</w:t>
      </w:r>
      <w:r w:rsidRPr="00951A04">
        <w:rPr>
          <w:rFonts w:asciiTheme="majorBidi" w:hAnsiTheme="majorBidi" w:cstheme="majorBidi"/>
          <w:i/>
          <w:iCs/>
          <w:sz w:val="24"/>
          <w:szCs w:val="24"/>
        </w:rPr>
        <w:t xml:space="preserve">, Materials and Methods, </w:t>
      </w:r>
      <w:r w:rsidRPr="00951A04">
        <w:rPr>
          <w:rFonts w:asciiTheme="majorBidi" w:hAnsiTheme="majorBidi" w:cstheme="majorBidi"/>
          <w:sz w:val="24"/>
          <w:szCs w:val="24"/>
        </w:rPr>
        <w:t xml:space="preserve">Fig. S12). We conducted a principal components analysis (PCA) using the </w:t>
      </w:r>
      <w:r w:rsidRPr="00951A04">
        <w:rPr>
          <w:rFonts w:asciiTheme="majorBidi" w:hAnsiTheme="majorBidi" w:cstheme="majorBidi"/>
          <w:i/>
          <w:iCs/>
          <w:sz w:val="24"/>
          <w:szCs w:val="24"/>
        </w:rPr>
        <w:t>geomorph</w:t>
      </w:r>
      <w:r w:rsidRPr="00951A04">
        <w:rPr>
          <w:rFonts w:asciiTheme="majorBidi" w:hAnsiTheme="majorBidi" w:cstheme="majorBidi"/>
          <w:sz w:val="24"/>
          <w:szCs w:val="24"/>
        </w:rPr>
        <w:t xml:space="preserve"> </w:t>
      </w:r>
      <w:r w:rsidRPr="00951A04">
        <w:rPr>
          <w:rFonts w:asciiTheme="majorBidi" w:hAnsiTheme="majorBidi" w:cstheme="majorBidi"/>
          <w:sz w:val="24"/>
          <w:szCs w:val="24"/>
        </w:rPr>
        <w:fldChar w:fldCharType="begin" w:fldLock="1"/>
      </w:r>
      <w:r w:rsidRPr="00951A04">
        <w:rPr>
          <w:rFonts w:asciiTheme="majorBidi" w:hAnsiTheme="majorBidi" w:cstheme="majorBidi"/>
          <w:sz w:val="24"/>
          <w:szCs w:val="24"/>
        </w:rPr>
        <w:instrText>ADDIN CSL_CITATION {"citationItems":[{"id":"ITEM-1","itemData":{"DOI":"10.1111/2041-210X.12035","ISSN":"2041210X","abstract":"Many ecological and evolutionary studies seek to explain patterns of shape variation and its covariation with other variables. Geometric morphometrics is often used for this purpose, where a set of shape variables are obtained from landmark coordinates following a Procrustes superimposition. We introduce geomorph: a software package for performing geometric morphometric shape analysis in the r statistical computing environment. Geomorph provides routines for all stages of landmark-based geometric morphometric analyses in two and three-dimensions. It is an open source package to read, manipulate, and digitize landmark data, generate shape variables via Procrustes analysis for points, curves and surfaces, perform statistical analyses of shape variation and covariation, and to provide graphical depictions of shapes and patterns of shape variation. An important contribution of geomorph is the ability to perform Procrustes superimposition on landmark points, as well as semilandmarks from curves and surfaces. A wide range of statistical methods germane to testing ecological and evolutionary hypotheses of shape variation are provided. These include standard multivariate methods such as principal components analysis, and approaches for multivariate regression and group comparison. Methods for more specialized analyses, such as for assessing shape allometry, comparing shape trajectories, examining morphological integration, and for assessing phylogenetic signal, are also included. Several functions are provided to graphically visualize results, including routines for examining variation in shape space, visualizing allometric trajectories, comparing specific shapes to one another and for plotting phylogenetic changes in morphospace. Finally, geomorph participates to make available advanced geometric morphometric analyses through the r statistical computing platform. © 2013 The Authors. Methods in Ecology and Evolution © 2013 British Ecological Society.","author":[{"dropping-particle":"","family":"Adams","given":"Dean C.","non-dropping-particle":"","parse-names":false,"suffix":""},{"dropping-particle":"","family":"Otárola-Castillo","given":"Erik","non-dropping-particle":"","parse-names":false,"suffix":""}],"container-title":"Methods in Ecology and Evolution","id":"ITEM-1","issue":"4","issued":{"date-parts":[["2013","4"]]},"page":"393-399","title":"Geomorph: An r package for the collection and analysis of geometric morphometric shape data","type":"article-journal","volume":"4"},"uris":["http://www.mendeley.com/documents/?uuid=8d23bac5-de70-3335-ad2c-37dc8eaeb730"]}],"mendeley":{"formattedCitation":"(82)","plainTextFormattedCitation":"(82)","previouslyFormattedCitation":"(82)"},"properties":{"noteIndex":0},"schema":"https://github.com/citation-style-language/schema/raw/master/csl-citation.json"}</w:instrText>
      </w:r>
      <w:r w:rsidRPr="00951A04">
        <w:rPr>
          <w:rFonts w:asciiTheme="majorBidi" w:hAnsiTheme="majorBidi" w:cstheme="majorBidi"/>
          <w:sz w:val="24"/>
          <w:szCs w:val="24"/>
        </w:rPr>
        <w:fldChar w:fldCharType="separate"/>
      </w:r>
      <w:r w:rsidRPr="00951A04">
        <w:rPr>
          <w:rFonts w:asciiTheme="majorBidi" w:hAnsiTheme="majorBidi" w:cstheme="majorBidi"/>
          <w:sz w:val="24"/>
          <w:szCs w:val="24"/>
        </w:rPr>
        <w:t>(82)</w:t>
      </w:r>
      <w:r w:rsidRPr="00951A04">
        <w:rPr>
          <w:rFonts w:asciiTheme="majorBidi" w:hAnsiTheme="majorBidi" w:cstheme="majorBidi"/>
          <w:sz w:val="24"/>
          <w:szCs w:val="24"/>
        </w:rPr>
        <w:fldChar w:fldCharType="end"/>
      </w:r>
      <w:r w:rsidRPr="00951A04">
        <w:rPr>
          <w:rFonts w:asciiTheme="majorBidi" w:hAnsiTheme="majorBidi" w:cstheme="majorBidi"/>
          <w:sz w:val="24"/>
          <w:szCs w:val="24"/>
        </w:rPr>
        <w:t xml:space="preserve"> R package for each scheme.</w:t>
      </w:r>
    </w:p>
    <w:p w14:paraId="63CE9E0D" w14:textId="6C850627" w:rsidR="0041013A" w:rsidRDefault="0041013A" w:rsidP="0041013A">
      <w:pPr>
        <w:jc w:val="both"/>
        <w:rPr>
          <w:rFonts w:asciiTheme="majorBidi" w:hAnsiTheme="majorBidi" w:cstheme="majorBidi"/>
          <w:b/>
          <w:bCs/>
          <w:sz w:val="28"/>
          <w:szCs w:val="28"/>
        </w:rPr>
      </w:pPr>
      <w:r w:rsidRPr="0041013A">
        <w:rPr>
          <w:rFonts w:asciiTheme="majorBidi" w:hAnsiTheme="majorBidi" w:cstheme="majorBidi"/>
          <w:b/>
          <w:bCs/>
          <w:sz w:val="28"/>
          <w:szCs w:val="28"/>
        </w:rPr>
        <w:t>Seascape genomics</w:t>
      </w:r>
    </w:p>
    <w:p w14:paraId="5254EA56" w14:textId="0E5E6DCD" w:rsidR="0041013A" w:rsidRDefault="0041013A" w:rsidP="0041013A">
      <w:pPr>
        <w:jc w:val="both"/>
        <w:rPr>
          <w:rFonts w:asciiTheme="majorBidi" w:hAnsiTheme="majorBidi" w:cstheme="majorBidi"/>
          <w:sz w:val="24"/>
          <w:szCs w:val="24"/>
        </w:rPr>
      </w:pPr>
      <w:r w:rsidRPr="0041013A">
        <w:rPr>
          <w:rFonts w:asciiTheme="majorBidi" w:hAnsiTheme="majorBidi" w:cstheme="majorBidi"/>
          <w:sz w:val="24"/>
          <w:szCs w:val="24"/>
        </w:rPr>
        <w:t xml:space="preserve">To investigate the relative contribution of spatial distribution, and environmental variables on patterns of genetic variation, we conducted redundancy analyses (dbRDA, </w:t>
      </w:r>
      <w:r w:rsidRPr="0041013A">
        <w:rPr>
          <w:rFonts w:asciiTheme="majorBidi" w:hAnsiTheme="majorBidi" w:cstheme="majorBidi"/>
          <w:sz w:val="24"/>
          <w:szCs w:val="24"/>
        </w:rPr>
        <w:fldChar w:fldCharType="begin" w:fldLock="1"/>
      </w:r>
      <w:r w:rsidRPr="0041013A">
        <w:rPr>
          <w:rFonts w:asciiTheme="majorBidi" w:hAnsiTheme="majorBidi" w:cstheme="majorBidi"/>
          <w:sz w:val="24"/>
          <w:szCs w:val="24"/>
        </w:rPr>
        <w:instrText>ADDIN CSL_CITATION {"citationItems":[{"id":"ITEM-1","itemData":{"DOI":"10.2307/2657228","ISSN":"00129615","author":[{"dropping-particle":"","family":"Legendre","given":"P.","non-dropping-particle":"","parse-names":false,"suffix":""},{"dropping-particle":"","family":"Anderson","given":"M. J.","non-dropping-particle":"","parse-names":false,"suffix":""}],"container-title":"Ecological Monographs","id":"ITEM-1","issue":"1","issued":{"date-parts":[["1999"]]},"page":"1-24","title":"Distance-based redundancy analysis: Testing multispecies responses in multifactorial ecological experiments","type":"article-journal","volume":"69"},"uris":["http://www.mendeley.com/documents/?uuid=9fa7a125-59f7-4e9f-a6c1-e86aba51aa9e"]}],"mendeley":{"formattedCitation":"(83)","plainTextFormattedCitation":"(83)","previouslyFormattedCitation":"(83)"},"properties":{"noteIndex":0},"schema":"https://github.com/citation-style-language/schema/raw/master/csl-citation.json"}</w:instrText>
      </w:r>
      <w:r w:rsidRPr="0041013A">
        <w:rPr>
          <w:rFonts w:asciiTheme="majorBidi" w:hAnsiTheme="majorBidi" w:cstheme="majorBidi"/>
          <w:sz w:val="24"/>
          <w:szCs w:val="24"/>
        </w:rPr>
        <w:fldChar w:fldCharType="separate"/>
      </w:r>
      <w:r w:rsidRPr="0041013A">
        <w:rPr>
          <w:rFonts w:asciiTheme="majorBidi" w:hAnsiTheme="majorBidi" w:cstheme="majorBidi"/>
          <w:sz w:val="24"/>
          <w:szCs w:val="24"/>
        </w:rPr>
        <w:t>(83)</w:t>
      </w:r>
      <w:r w:rsidRPr="0041013A">
        <w:rPr>
          <w:rFonts w:asciiTheme="majorBidi" w:hAnsiTheme="majorBidi" w:cstheme="majorBidi"/>
          <w:sz w:val="24"/>
          <w:szCs w:val="24"/>
        </w:rPr>
        <w:fldChar w:fldCharType="end"/>
      </w:r>
      <w:r w:rsidRPr="0041013A">
        <w:rPr>
          <w:rFonts w:asciiTheme="majorBidi" w:hAnsiTheme="majorBidi" w:cstheme="majorBidi"/>
          <w:sz w:val="24"/>
          <w:szCs w:val="24"/>
        </w:rPr>
        <w:t xml:space="preserve">) using the R package vegan </w:t>
      </w:r>
      <w:r w:rsidRPr="0041013A">
        <w:rPr>
          <w:rFonts w:asciiTheme="majorBidi" w:hAnsiTheme="majorBidi" w:cstheme="majorBidi"/>
          <w:sz w:val="24"/>
          <w:szCs w:val="24"/>
        </w:rPr>
        <w:fldChar w:fldCharType="begin" w:fldLock="1"/>
      </w:r>
      <w:r w:rsidRPr="0041013A">
        <w:rPr>
          <w:rFonts w:asciiTheme="majorBidi" w:hAnsiTheme="majorBidi" w:cstheme="majorBidi"/>
          <w:sz w:val="24"/>
          <w:szCs w:val="24"/>
        </w:rPr>
        <w:instrText>ADDIN CSL_CITATION {"citationItems":[{"id":"ITEM-1","itemData":{"ISBN":"1515294404","author":[{"dropping-particle":"","family":"Philip","given":"Dixon","non-dropping-particle":"","parse-names":false,"suffix":""}],"container-title":"JOurnal of Vegetation Science","id":"ITEM-1","issued":{"date-parts":[["2003"]]},"page":"927-930","title":"VEGAN , a package of R functions for community ecology","type":"article-journal","volume":"14"},"uris":["http://www.mendeley.com/documents/?uuid=9eef5a79-bda4-43f2-8b7a-d0b168e71b19"]}],"mendeley":{"formattedCitation":"(84)","plainTextFormattedCitation":"(84)","previouslyFormattedCitation":"(84)"},"properties":{"noteIndex":0},"schema":"https://github.com/citation-style-language/schema/raw/master/csl-citation.json"}</w:instrText>
      </w:r>
      <w:r w:rsidRPr="0041013A">
        <w:rPr>
          <w:rFonts w:asciiTheme="majorBidi" w:hAnsiTheme="majorBidi" w:cstheme="majorBidi"/>
          <w:sz w:val="24"/>
          <w:szCs w:val="24"/>
        </w:rPr>
        <w:fldChar w:fldCharType="separate"/>
      </w:r>
      <w:r w:rsidRPr="0041013A">
        <w:rPr>
          <w:rFonts w:asciiTheme="majorBidi" w:hAnsiTheme="majorBidi" w:cstheme="majorBidi"/>
          <w:sz w:val="24"/>
          <w:szCs w:val="24"/>
        </w:rPr>
        <w:t>(84)</w:t>
      </w:r>
      <w:r w:rsidRPr="0041013A">
        <w:rPr>
          <w:rFonts w:asciiTheme="majorBidi" w:hAnsiTheme="majorBidi" w:cstheme="majorBidi"/>
          <w:sz w:val="24"/>
          <w:szCs w:val="24"/>
        </w:rPr>
        <w:fldChar w:fldCharType="end"/>
      </w:r>
      <w:r w:rsidRPr="0041013A">
        <w:rPr>
          <w:rFonts w:asciiTheme="majorBidi" w:hAnsiTheme="majorBidi" w:cstheme="majorBidi"/>
          <w:sz w:val="24"/>
          <w:szCs w:val="24"/>
        </w:rPr>
        <w:t>. These analyses were ran at the intra-species level on the most widely distributed species within each biogeographic realm (</w:t>
      </w:r>
      <w:r w:rsidRPr="0041013A">
        <w:rPr>
          <w:rFonts w:asciiTheme="majorBidi" w:hAnsiTheme="majorBidi" w:cstheme="majorBidi"/>
          <w:i/>
          <w:iCs/>
          <w:sz w:val="24"/>
          <w:szCs w:val="24"/>
        </w:rPr>
        <w:t>M. tetranemus</w:t>
      </w:r>
      <w:r w:rsidRPr="0041013A">
        <w:rPr>
          <w:rFonts w:asciiTheme="majorBidi" w:hAnsiTheme="majorBidi" w:cstheme="majorBidi"/>
          <w:sz w:val="24"/>
          <w:szCs w:val="24"/>
        </w:rPr>
        <w:t xml:space="preserve"> in the TEP and </w:t>
      </w:r>
      <w:r w:rsidRPr="0041013A">
        <w:rPr>
          <w:rFonts w:asciiTheme="majorBidi" w:hAnsiTheme="majorBidi" w:cstheme="majorBidi"/>
          <w:i/>
          <w:iCs/>
          <w:sz w:val="24"/>
          <w:szCs w:val="24"/>
        </w:rPr>
        <w:t xml:space="preserve">M. triangulatus </w:t>
      </w:r>
      <w:r w:rsidRPr="0041013A">
        <w:rPr>
          <w:rFonts w:asciiTheme="majorBidi" w:hAnsiTheme="majorBidi" w:cstheme="majorBidi"/>
          <w:sz w:val="24"/>
          <w:szCs w:val="24"/>
        </w:rPr>
        <w:t xml:space="preserve">in the TA), and at the inter-species level for each respective realm. These analyses </w:t>
      </w:r>
      <w:r w:rsidRPr="0041013A">
        <w:rPr>
          <w:rFonts w:asciiTheme="majorBidi" w:hAnsiTheme="majorBidi" w:cstheme="majorBidi"/>
          <w:sz w:val="24"/>
          <w:szCs w:val="24"/>
        </w:rPr>
        <w:lastRenderedPageBreak/>
        <w:t>were fed with Moran’s eigenvector maps (MEMs) and eight environmental variables (</w:t>
      </w:r>
      <w:r w:rsidRPr="0041013A">
        <w:rPr>
          <w:rFonts w:asciiTheme="majorBidi" w:hAnsiTheme="majorBidi" w:cstheme="majorBidi"/>
          <w:i/>
          <w:iCs/>
          <w:sz w:val="24"/>
          <w:szCs w:val="24"/>
        </w:rPr>
        <w:t>e.g</w:t>
      </w:r>
      <w:r w:rsidRPr="0041013A">
        <w:rPr>
          <w:rFonts w:asciiTheme="majorBidi" w:hAnsiTheme="majorBidi" w:cstheme="majorBidi"/>
          <w:sz w:val="24"/>
          <w:szCs w:val="24"/>
        </w:rPr>
        <w:t xml:space="preserve">., sea surface temperature; </w:t>
      </w:r>
      <w:r w:rsidRPr="0041013A">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41013A">
        <w:rPr>
          <w:rFonts w:asciiTheme="majorBidi" w:hAnsiTheme="majorBidi" w:cstheme="majorBidi"/>
          <w:i/>
          <w:iCs/>
          <w:sz w:val="24"/>
          <w:szCs w:val="24"/>
        </w:rPr>
        <w:t>, Materials and Methods</w:t>
      </w:r>
      <w:r w:rsidRPr="0041013A">
        <w:rPr>
          <w:rFonts w:asciiTheme="majorBidi" w:hAnsiTheme="majorBidi" w:cstheme="majorBidi"/>
          <w:sz w:val="24"/>
          <w:szCs w:val="24"/>
        </w:rPr>
        <w:t xml:space="preserve">, Table S7) as explanatory variables, and principal components representing genomic variation as response variables. MEMs were used to describe the seascape configuration and spatial distance among sampling populations and were calculated by decomposing in-water distances computed using the marmap R package </w:t>
      </w:r>
      <w:r w:rsidRPr="0041013A">
        <w:rPr>
          <w:rFonts w:asciiTheme="majorBidi" w:hAnsiTheme="majorBidi" w:cstheme="majorBidi"/>
          <w:sz w:val="24"/>
          <w:szCs w:val="24"/>
        </w:rPr>
        <w:fldChar w:fldCharType="begin" w:fldLock="1"/>
      </w:r>
      <w:r w:rsidRPr="0041013A">
        <w:rPr>
          <w:rFonts w:asciiTheme="majorBidi" w:hAnsiTheme="majorBidi" w:cstheme="majorBidi"/>
          <w:sz w:val="24"/>
          <w:szCs w:val="24"/>
        </w:rPr>
        <w:instrText>ADDIN CSL_CITATION {"citationItems":[{"id":"ITEM-1","itemData":{"DOI":"10.1371/journal.pone.0073051","ISBN":"1932-6203","ISSN":"19326203","PMID":"24019892","abstract":"In this communication we introduce marmap, a package designed for downloading, plotting and manipulating bathymetric and topographic data in R. marmap can query the ETOPO1 bathymetry and topography database hosted by the NOAA, use simple latitude-longitude-depth data in ascii format, and take advantage of the advanced plotting tools available in R to build publication-quality bathymetric maps. Functions to query data (bathymetry, sampling information…) are available interactively by clicking on marmap maps. Bathymetric and topographic data can also be used to calculate projected surface areas within specified depth/altitude intervals, and constrain the calculation of realistic shortest path distances. Such information can be used in molecular ecology, for example, to evaluate genetic isolation by distance in a spatially-explicit framework.","author":[{"dropping-particle":"","family":"Pante","given":"Eric","non-dropping-particle":"","parse-names":false,"suffix":""},{"dropping-particle":"","family":"Simon-Bouhet","given":"Benoit","non-dropping-particle":"","parse-names":false,"suffix":""}],"container-title":"PLoS ONE","id":"ITEM-1","issue":"9","issued":{"date-parts":[["2013"]]},"page":"6-9","title":"marmap: A Package for Importing, Plotting and Analyzing Bathymetric and Topographic Data in R","type":"article-journal","volume":"8"},"uris":["http://www.mendeley.com/documents/?uuid=077450ee-6e14-447c-a284-c44499fa0874"]}],"mendeley":{"formattedCitation":"(85)","plainTextFormattedCitation":"(85)","previouslyFormattedCitation":"(85)"},"properties":{"noteIndex":0},"schema":"https://github.com/citation-style-language/schema/raw/master/csl-citation.json"}</w:instrText>
      </w:r>
      <w:r w:rsidRPr="0041013A">
        <w:rPr>
          <w:rFonts w:asciiTheme="majorBidi" w:hAnsiTheme="majorBidi" w:cstheme="majorBidi"/>
          <w:sz w:val="24"/>
          <w:szCs w:val="24"/>
        </w:rPr>
        <w:fldChar w:fldCharType="separate"/>
      </w:r>
      <w:r w:rsidRPr="0041013A">
        <w:rPr>
          <w:rFonts w:asciiTheme="majorBidi" w:hAnsiTheme="majorBidi" w:cstheme="majorBidi"/>
          <w:sz w:val="24"/>
          <w:szCs w:val="24"/>
        </w:rPr>
        <w:t>(85)</w:t>
      </w:r>
      <w:r w:rsidRPr="0041013A">
        <w:rPr>
          <w:rFonts w:asciiTheme="majorBidi" w:hAnsiTheme="majorBidi" w:cstheme="majorBidi"/>
          <w:sz w:val="24"/>
          <w:szCs w:val="24"/>
        </w:rPr>
        <w:fldChar w:fldCharType="end"/>
      </w:r>
      <w:r w:rsidRPr="0041013A">
        <w:rPr>
          <w:rFonts w:asciiTheme="majorBidi" w:hAnsiTheme="majorBidi" w:cstheme="majorBidi"/>
          <w:sz w:val="24"/>
          <w:szCs w:val="24"/>
        </w:rPr>
        <w:t xml:space="preserve"> through principal coordinate analysis (PCoA) using the R package adespatial </w:t>
      </w:r>
      <w:r w:rsidRPr="0041013A">
        <w:rPr>
          <w:rFonts w:asciiTheme="majorBidi" w:hAnsiTheme="majorBidi" w:cstheme="majorBidi"/>
          <w:sz w:val="24"/>
          <w:szCs w:val="24"/>
        </w:rPr>
        <w:fldChar w:fldCharType="begin" w:fldLock="1"/>
      </w:r>
      <w:r w:rsidRPr="0041013A">
        <w:rPr>
          <w:rFonts w:asciiTheme="majorBidi" w:hAnsiTheme="majorBidi" w:cstheme="majorBidi"/>
          <w:sz w:val="24"/>
          <w:szCs w:val="24"/>
        </w:rPr>
        <w:instrText>ADDIN CSL_CITATION {"citationItems":[{"id":"ITEM-1","itemData":{"author":[{"dropping-particle":"","family":"Dray","given":"Stéphane","non-dropping-particle":"","parse-names":false,"suffix":""},{"dropping-particle":"","family":"Bauman","given":"David","non-dropping-particle":"","parse-names":false,"suffix":""},{"dropping-particle":"","family":"Blanchet","given":"Guillaume","non-dropping-particle":"","parse-names":false,"suffix":""},{"dropping-particle":"","family":"Borcard","given":"Daniel","non-dropping-particle":"","parse-names":false,"suffix":""},{"dropping-particle":"","family":"Clappe","given":"Sylvie","non-dropping-particle":"","parse-names":false,"suffix":""},{"dropping-particle":"","family":"Guénard","given":"Guillaume","non-dropping-particle":"","parse-names":false,"suffix":""},{"dropping-particle":"","family":"Jombart","given":"Thibaut","non-dropping-particle":"","parse-names":false,"suffix":""},{"dropping-particle":"","family":"Larocque","given":"Guillaume","non-dropping-particle":"","parse-names":false,"suffix":""},{"dropping-particle":"","family":"Legendre","given":"Pierre","non-dropping-particle":"","parse-names":false,"suffix":""},{"dropping-particle":"","family":"Madi","given":"Naima","non-dropping-particle":"","parse-names":false,"suffix":""},{"dropping-particle":"","family":"Wagner","given":"Helene H","non-dropping-particle":"","parse-names":false,"suffix":""}],"id":"ITEM-1","issued":{"date-parts":[["2023"]]},"note":"R package version 0.3-21","title":"adespatial: Multivariate Multiscale Spatial Analysis","type":"article"},"uris":["http://www.mendeley.com/documents/?uuid=7d153853-9a35-4477-816a-e63823ee199f"]}],"mendeley":{"formattedCitation":"(86)","plainTextFormattedCitation":"(86)","previouslyFormattedCitation":"(86)"},"properties":{"noteIndex":0},"schema":"https://github.com/citation-style-language/schema/raw/master/csl-citation.json"}</w:instrText>
      </w:r>
      <w:r w:rsidRPr="0041013A">
        <w:rPr>
          <w:rFonts w:asciiTheme="majorBidi" w:hAnsiTheme="majorBidi" w:cstheme="majorBidi"/>
          <w:sz w:val="24"/>
          <w:szCs w:val="24"/>
        </w:rPr>
        <w:fldChar w:fldCharType="separate"/>
      </w:r>
      <w:r w:rsidRPr="0041013A">
        <w:rPr>
          <w:rFonts w:asciiTheme="majorBidi" w:hAnsiTheme="majorBidi" w:cstheme="majorBidi"/>
          <w:sz w:val="24"/>
          <w:szCs w:val="24"/>
        </w:rPr>
        <w:t>(86)</w:t>
      </w:r>
      <w:r w:rsidRPr="0041013A">
        <w:rPr>
          <w:rFonts w:asciiTheme="majorBidi" w:hAnsiTheme="majorBidi" w:cstheme="majorBidi"/>
          <w:sz w:val="24"/>
          <w:szCs w:val="24"/>
        </w:rPr>
        <w:fldChar w:fldCharType="end"/>
      </w:r>
      <w:r w:rsidRPr="0041013A">
        <w:rPr>
          <w:rFonts w:asciiTheme="majorBidi" w:hAnsiTheme="majorBidi" w:cstheme="majorBidi"/>
          <w:sz w:val="24"/>
          <w:szCs w:val="24"/>
        </w:rPr>
        <w:t>. Environmental variables were extracted from the Copernicus online data repository (data.marine.copernicus.edu).</w:t>
      </w:r>
    </w:p>
    <w:p w14:paraId="4352488B" w14:textId="77777777" w:rsidR="00703AE1" w:rsidRDefault="00703AE1" w:rsidP="00703AE1">
      <w:pPr>
        <w:jc w:val="both"/>
        <w:rPr>
          <w:rFonts w:asciiTheme="majorBidi" w:hAnsiTheme="majorBidi" w:cstheme="majorBidi"/>
          <w:b/>
          <w:bCs/>
          <w:sz w:val="28"/>
          <w:szCs w:val="28"/>
        </w:rPr>
      </w:pPr>
      <w:r w:rsidRPr="00703AE1">
        <w:rPr>
          <w:rFonts w:asciiTheme="majorBidi" w:hAnsiTheme="majorBidi" w:cstheme="majorBidi"/>
          <w:b/>
          <w:bCs/>
          <w:sz w:val="28"/>
          <w:szCs w:val="28"/>
        </w:rPr>
        <w:t>Macroevolutionary analyses, phylogenomic inference and biogeographic history</w:t>
      </w:r>
    </w:p>
    <w:p w14:paraId="0FCBD3E4" w14:textId="262F55E6" w:rsidR="00703AE1" w:rsidRPr="00703AE1" w:rsidRDefault="00703AE1" w:rsidP="00703AE1">
      <w:pPr>
        <w:jc w:val="both"/>
        <w:rPr>
          <w:rFonts w:asciiTheme="majorBidi" w:hAnsiTheme="majorBidi" w:cstheme="majorBidi"/>
          <w:sz w:val="24"/>
          <w:szCs w:val="24"/>
        </w:rPr>
      </w:pPr>
      <w:r w:rsidRPr="00703AE1">
        <w:rPr>
          <w:rFonts w:asciiTheme="majorBidi" w:hAnsiTheme="majorBidi" w:cstheme="majorBidi"/>
          <w:sz w:val="24"/>
          <w:szCs w:val="24"/>
        </w:rPr>
        <w:t>We estimated a mitochondrial tree using partial sequences of cytochrome oxidase subunit I (</w:t>
      </w:r>
      <w:r w:rsidRPr="00703AE1">
        <w:rPr>
          <w:rFonts w:asciiTheme="majorBidi" w:hAnsiTheme="majorBidi" w:cstheme="majorBidi"/>
          <w:i/>
          <w:iCs/>
          <w:sz w:val="24"/>
          <w:szCs w:val="24"/>
        </w:rPr>
        <w:t>COI</w:t>
      </w:r>
      <w:r w:rsidRPr="00703AE1">
        <w:rPr>
          <w:rFonts w:asciiTheme="majorBidi" w:hAnsiTheme="majorBidi" w:cstheme="majorBidi"/>
          <w:sz w:val="24"/>
          <w:szCs w:val="24"/>
        </w:rPr>
        <w:t xml:space="preserve">) (645 bp, 70% missing data) from 58 individuals representing 17 </w:t>
      </w:r>
      <w:r w:rsidRPr="00703AE1">
        <w:rPr>
          <w:rFonts w:asciiTheme="majorBidi" w:hAnsiTheme="majorBidi" w:cstheme="majorBidi"/>
          <w:i/>
          <w:iCs/>
          <w:sz w:val="24"/>
          <w:szCs w:val="24"/>
        </w:rPr>
        <w:t>Malacoctenus</w:t>
      </w:r>
      <w:r w:rsidRPr="00703AE1">
        <w:rPr>
          <w:rFonts w:asciiTheme="majorBidi" w:hAnsiTheme="majorBidi" w:cstheme="majorBidi"/>
          <w:sz w:val="24"/>
          <w:szCs w:val="24"/>
        </w:rPr>
        <w:t xml:space="preserve"> species, and </w:t>
      </w:r>
      <w:r w:rsidRPr="00703AE1">
        <w:rPr>
          <w:rFonts w:asciiTheme="majorBidi" w:hAnsiTheme="majorBidi" w:cstheme="majorBidi"/>
          <w:i/>
          <w:iCs/>
          <w:sz w:val="24"/>
          <w:szCs w:val="24"/>
        </w:rPr>
        <w:t>L. striatus</w:t>
      </w:r>
      <w:r w:rsidRPr="00703AE1">
        <w:rPr>
          <w:rFonts w:asciiTheme="majorBidi" w:hAnsiTheme="majorBidi" w:cstheme="majorBidi"/>
          <w:sz w:val="24"/>
          <w:szCs w:val="24"/>
        </w:rPr>
        <w:t xml:space="preserve"> as an outgroup. This dataset was formed from sequences retrieved from the National Center for Biotechnology Information (NCBI) data archive. For phylogenomic analyses, we estimated trees using five concatenated SNP-loci matrices, which were comprised of 41 individuals spanning the most divergent populations (when possible) of the 23 </w:t>
      </w:r>
      <w:r w:rsidRPr="00703AE1">
        <w:rPr>
          <w:rFonts w:asciiTheme="majorBidi" w:hAnsiTheme="majorBidi" w:cstheme="majorBidi"/>
          <w:i/>
          <w:iCs/>
          <w:sz w:val="24"/>
          <w:szCs w:val="24"/>
        </w:rPr>
        <w:t>Malacoctenus</w:t>
      </w:r>
      <w:r w:rsidRPr="00703AE1">
        <w:rPr>
          <w:rFonts w:asciiTheme="majorBidi" w:hAnsiTheme="majorBidi" w:cstheme="majorBidi"/>
          <w:sz w:val="24"/>
          <w:szCs w:val="24"/>
        </w:rPr>
        <w:t xml:space="preserve"> species (plus </w:t>
      </w:r>
      <w:r>
        <w:rPr>
          <w:rFonts w:asciiTheme="majorBidi" w:hAnsiTheme="majorBidi" w:cstheme="majorBidi"/>
          <w:i/>
          <w:iCs/>
          <w:sz w:val="24"/>
          <w:szCs w:val="24"/>
        </w:rPr>
        <w:t>B</w:t>
      </w:r>
      <w:r w:rsidRPr="00703AE1">
        <w:rPr>
          <w:rFonts w:asciiTheme="majorBidi" w:hAnsiTheme="majorBidi" w:cstheme="majorBidi"/>
          <w:i/>
          <w:iCs/>
          <w:sz w:val="24"/>
          <w:szCs w:val="24"/>
        </w:rPr>
        <w:t>. striatus</w:t>
      </w:r>
      <w:r w:rsidRPr="00703AE1">
        <w:rPr>
          <w:rFonts w:asciiTheme="majorBidi" w:hAnsiTheme="majorBidi" w:cstheme="majorBidi"/>
          <w:sz w:val="24"/>
          <w:szCs w:val="24"/>
        </w:rPr>
        <w:t xml:space="preserve">), ranging from 1,800 to 28,000 SNPs (29.1–81.1% of missing data). All phylogenetic trees were estimated using IQ-TREE. We also estimated a species tree for each of the five matrices under the multispecies coalescent model using SVDquartets implemented in PAUP* v4.0 </w:t>
      </w:r>
      <w:r w:rsidRPr="00703AE1">
        <w:rPr>
          <w:rFonts w:asciiTheme="majorBidi" w:hAnsiTheme="majorBidi" w:cstheme="majorBidi"/>
          <w:sz w:val="24"/>
          <w:szCs w:val="24"/>
        </w:rPr>
        <w:fldChar w:fldCharType="begin" w:fldLock="1"/>
      </w:r>
      <w:r w:rsidRPr="00703AE1">
        <w:rPr>
          <w:rFonts w:asciiTheme="majorBidi" w:hAnsiTheme="majorBidi" w:cstheme="majorBidi"/>
          <w:sz w:val="24"/>
          <w:szCs w:val="24"/>
        </w:rPr>
        <w:instrText>ADDIN CSL_CITATION {"citationItems":[{"id":"ITEM-1","itemData":{"author":[{"dropping-particle":"","family":"Swofford","given":"D L","non-dropping-particle":"","parse-names":false,"suffix":""},{"dropping-particle":"","family":"Swofford","given":"D L","non-dropping-particle":"","parse-names":false,"suffix":""},{"dropping-particle":"","family":"Swofford","given":"D L","non-dropping-particle":"","parse-names":false,"suffix":""}],"id":"ITEM-1","issued":{"date-parts":[["2002"]]},"title":"PAUP*: Phylogenetic analysis using parsimony (*and other methods), Version 4.0b10","type":"paper-conference"},"uris":["http://www.mendeley.com/documents/?uuid=1ccdf23c-2c4a-4370-b0db-74e84363d440"]}],"mendeley":{"formattedCitation":"(87)","plainTextFormattedCitation":"(87)","previouslyFormattedCitation":"(87)"},"properties":{"noteIndex":0},"schema":"https://github.com/citation-style-language/schema/raw/master/csl-citation.json"}</w:instrText>
      </w:r>
      <w:r w:rsidRPr="00703AE1">
        <w:rPr>
          <w:rFonts w:asciiTheme="majorBidi" w:hAnsiTheme="majorBidi" w:cstheme="majorBidi"/>
          <w:sz w:val="24"/>
          <w:szCs w:val="24"/>
        </w:rPr>
        <w:fldChar w:fldCharType="separate"/>
      </w:r>
      <w:r w:rsidRPr="00703AE1">
        <w:rPr>
          <w:rFonts w:asciiTheme="majorBidi" w:hAnsiTheme="majorBidi" w:cstheme="majorBidi"/>
          <w:sz w:val="24"/>
          <w:szCs w:val="24"/>
        </w:rPr>
        <w:t>(87)</w:t>
      </w:r>
      <w:r w:rsidRPr="00703AE1">
        <w:rPr>
          <w:rFonts w:asciiTheme="majorBidi" w:hAnsiTheme="majorBidi" w:cstheme="majorBidi"/>
          <w:sz w:val="24"/>
          <w:szCs w:val="24"/>
        </w:rPr>
        <w:fldChar w:fldCharType="end"/>
      </w:r>
      <w:r w:rsidRPr="00703AE1">
        <w:rPr>
          <w:rFonts w:asciiTheme="majorBidi" w:hAnsiTheme="majorBidi" w:cstheme="majorBidi"/>
          <w:sz w:val="24"/>
          <w:szCs w:val="24"/>
        </w:rPr>
        <w:t xml:space="preserve">. As the phylogenomic estimations were mostly consistent across matrices (see Results), we time-calibrated the 28 K species tree under the multispecies coalescent (MSC) model using the SNAPP v1.3.0 </w:t>
      </w:r>
      <w:r w:rsidRPr="00703AE1">
        <w:rPr>
          <w:rFonts w:asciiTheme="majorBidi" w:hAnsiTheme="majorBidi" w:cstheme="majorBidi"/>
          <w:sz w:val="24"/>
          <w:szCs w:val="24"/>
        </w:rPr>
        <w:fldChar w:fldCharType="begin" w:fldLock="1"/>
      </w:r>
      <w:r w:rsidRPr="00703AE1">
        <w:rPr>
          <w:rFonts w:asciiTheme="majorBidi" w:hAnsiTheme="majorBidi" w:cstheme="majorBidi"/>
          <w:sz w:val="24"/>
          <w:szCs w:val="24"/>
        </w:rPr>
        <w:instrText>ADDIN CSL_CITATION {"citationItems":[{"id":"ITEM-1","itemData":{"DOI":"10.1093/molbev/mss086","ISSN":"07374038","PMID":"22422763","abstract":"The multispecies coalescent provides an elegant theoretical framework for estimating species trees and species demographics from genetic markers. However, practical applications of the multispecies coalescent model are limited by the need to integrate or sample over all gene trees possible for each genetic marker. Here we describe a polynomial-time algorithm that computes the likelihood of a species tree directly from the markers under a finite-sites model of mutation effectively integrating over all possible gene trees. The method applies to independent (unlinked) biallelic markers such as well-spaced single nucleotide polymorphisms, and we have implemented it in SNAPP, a Markov chain Monte Carlo sampler for inferring species trees, divergence dates, and population sizes. We report results from simulation experiments and from an analysis of 1997 amplified fragment length polymorphism loci in 69 individuals sampled from six species of Ourisia (New Zealand native foxglove). © The Author 2012. Published by Oxford University Press on behalf of the Society for Molecular Biology and Evolution. All rights reserved.","author":[{"dropping-particle":"","family":"Bryant","given":"David","non-dropping-particle":"","parse-names":false,"suffix":""},{"dropping-particle":"","family":"Bouckaert","given":"Remco","non-dropping-particle":"","parse-names":false,"suffix":""},{"dropping-particle":"","family":"Felsenstein","given":"Joseph","non-dropping-particle":"","parse-names":false,"suffix":""},{"dropping-particle":"","family":"Rosenberg","given":"Noah A.","non-dropping-particle":"","parse-names":false,"suffix":""},{"dropping-particle":"","family":"Roychoudhury","given":"Arindam","non-dropping-particle":"","parse-names":false,"suffix":""}],"container-title":"Molecular Biology and Evolution","id":"ITEM-1","issue":"8","issued":{"date-parts":[["2012"]]},"page":"1917-1932","title":"Inferring species trees directly from biallelic genetic markers: Bypassing gene trees in a full coalescent analysis","type":"article-journal","volume":"29"},"uris":["http://www.mendeley.com/documents/?uuid=f5b7919c-b10f-49f0-9a7f-d7af236fdf87"]}],"mendeley":{"formattedCitation":"(88)","plainTextFormattedCitation":"(88)","previouslyFormattedCitation":"(88)"},"properties":{"noteIndex":0},"schema":"https://github.com/citation-style-language/schema/raw/master/csl-citation.json"}</w:instrText>
      </w:r>
      <w:r w:rsidRPr="00703AE1">
        <w:rPr>
          <w:rFonts w:asciiTheme="majorBidi" w:hAnsiTheme="majorBidi" w:cstheme="majorBidi"/>
          <w:sz w:val="24"/>
          <w:szCs w:val="24"/>
        </w:rPr>
        <w:fldChar w:fldCharType="separate"/>
      </w:r>
      <w:r w:rsidRPr="00703AE1">
        <w:rPr>
          <w:rFonts w:asciiTheme="majorBidi" w:hAnsiTheme="majorBidi" w:cstheme="majorBidi"/>
          <w:sz w:val="24"/>
          <w:szCs w:val="24"/>
        </w:rPr>
        <w:t>(88)</w:t>
      </w:r>
      <w:r w:rsidRPr="00703AE1">
        <w:rPr>
          <w:rFonts w:asciiTheme="majorBidi" w:hAnsiTheme="majorBidi" w:cstheme="majorBidi"/>
          <w:sz w:val="24"/>
          <w:szCs w:val="24"/>
        </w:rPr>
        <w:fldChar w:fldCharType="end"/>
      </w:r>
      <w:r w:rsidRPr="00703AE1">
        <w:rPr>
          <w:rFonts w:asciiTheme="majorBidi" w:hAnsiTheme="majorBidi" w:cstheme="majorBidi"/>
          <w:sz w:val="24"/>
          <w:szCs w:val="24"/>
        </w:rPr>
        <w:t xml:space="preserve"> plug-in, implemented in BEAST2 v2.6.7 </w:t>
      </w:r>
      <w:r w:rsidRPr="00703AE1">
        <w:rPr>
          <w:rFonts w:asciiTheme="majorBidi" w:hAnsiTheme="majorBidi" w:cstheme="majorBidi"/>
          <w:sz w:val="24"/>
          <w:szCs w:val="24"/>
        </w:rPr>
        <w:fldChar w:fldCharType="begin" w:fldLock="1"/>
      </w:r>
      <w:r w:rsidRPr="00703AE1">
        <w:rPr>
          <w:rFonts w:asciiTheme="majorBidi" w:hAnsiTheme="majorBidi" w:cstheme="majorBidi"/>
          <w:sz w:val="24"/>
          <w:szCs w:val="24"/>
        </w:rPr>
        <w:instrText>ADDIN CSL_CITATION {"citationItems":[{"id":"ITEM-1","itemData":{"DOI":"10.1371/journal.pcbi.1003537","ISBN":"1553-734X","ISSN":"15537358","PMID":"24722319","abstract":"We present a new open source, extensible and flexible software platform for Bayesian evolutionary analysis called BEAST 2. This software platform is a re-design of the popular BEAST 1 platform to correct structural deficiencies that became evident as the BEAST 1 software evolved. Key among those deficiencies was the lack of post-deployment extensibility. BEAST 2 now has a fully developed package management system that allows third party developers to write additional functionality that can be directly installed to the BEAST 2 analysis platform via a package manager without requiring a new software release of the platform. This package architecture is showcased with a number of recently published new models encompassing birth-death-sampling tree priors, phylodynamics and model averaging for substitution models and site partitioning. A second major improvement is the ability to read/write the entire state of the MCMC chain to/from disk allowing it to be easily shared between multiple instances of the BEAST software. This facilitates checkpointing and better support for multi-processor and high-end computing extensions. Finally, the functionality in new packages can be easily added to the user interface (BEAUti 2) by a simple XML template-based mechanism because BEAST 2 has been re-designed to provide greater integration between the analysis engine and the user interface so that, for example BEAST and BEAUti use exactly the same XML file format.","author":[{"dropping-particle":"","family":"Bouckaert","given":"Remco","non-dropping-particle":"","parse-names":false,"suffix":""},{"dropping-particle":"","family":"Heled","given":"Joseph","non-dropping-particle":"","parse-names":false,"suffix":""},{"dropping-particle":"","family":"Kühnert","given":"Denise","non-dropping-particle":"","parse-names":false,"suffix":""},{"dropping-particle":"","family":"Vaughan","given":"Tim","non-dropping-particle":"","parse-names":false,"suffix":""},{"dropping-particle":"","family":"Wu","given":"Chieh Hsi","non-dropping-particle":"","parse-names":false,"suffix":""},{"dropping-particle":"","family":"Xie","given":"Dong","non-dropping-particle":"","parse-names":false,"suffix":""},{"dropping-particle":"","family":"Suchard","given":"Marc A.","non-dropping-particle":"","parse-names":false,"suffix":""},{"dropping-particle":"","family":"Rambaut","given":"Andrew","non-dropping-particle":"","parse-names":false,"suffix":""},{"dropping-particle":"","family":"Drummond","given":"Alexei J.","non-dropping-particle":"","parse-names":false,"suffix":""}],"container-title":"PLoS Computational Biology","id":"ITEM-1","issue":"4","issued":{"date-parts":[["2014"]]},"page":"1-6","title":"BEAST 2: A Software Platform for Bayesian Evolutionary Analysis","type":"article-journal","volume":"10"},"uris":["http://www.mendeley.com/documents/?uuid=6680191a-23fe-482f-9104-ee8a93d2b984"]}],"mendeley":{"formattedCitation":"(89)","plainTextFormattedCitation":"(89)","previouslyFormattedCitation":"(89)"},"properties":{"noteIndex":0},"schema":"https://github.com/citation-style-language/schema/raw/master/csl-citation.json"}</w:instrText>
      </w:r>
      <w:r w:rsidRPr="00703AE1">
        <w:rPr>
          <w:rFonts w:asciiTheme="majorBidi" w:hAnsiTheme="majorBidi" w:cstheme="majorBidi"/>
          <w:sz w:val="24"/>
          <w:szCs w:val="24"/>
        </w:rPr>
        <w:fldChar w:fldCharType="separate"/>
      </w:r>
      <w:r w:rsidRPr="00703AE1">
        <w:rPr>
          <w:rFonts w:asciiTheme="majorBidi" w:hAnsiTheme="majorBidi" w:cstheme="majorBidi"/>
          <w:sz w:val="24"/>
          <w:szCs w:val="24"/>
        </w:rPr>
        <w:t>(89)</w:t>
      </w:r>
      <w:r w:rsidRPr="00703AE1">
        <w:rPr>
          <w:rFonts w:asciiTheme="majorBidi" w:hAnsiTheme="majorBidi" w:cstheme="majorBidi"/>
          <w:sz w:val="24"/>
          <w:szCs w:val="24"/>
        </w:rPr>
        <w:fldChar w:fldCharType="end"/>
      </w:r>
      <w:r w:rsidRPr="00703AE1">
        <w:rPr>
          <w:rFonts w:asciiTheme="majorBidi" w:hAnsiTheme="majorBidi" w:cstheme="majorBidi"/>
          <w:sz w:val="24"/>
          <w:szCs w:val="24"/>
        </w:rPr>
        <w:t xml:space="preserve">. We used a secondary calibration prior at the root, using the minimum and maximum ages estimated by previous fossil-calibrated teleost phylogenies for the most recent common ancestor (MRCA) of </w:t>
      </w:r>
      <w:r w:rsidRPr="00703AE1">
        <w:rPr>
          <w:rFonts w:asciiTheme="majorBidi" w:hAnsiTheme="majorBidi" w:cstheme="majorBidi"/>
          <w:i/>
          <w:iCs/>
          <w:sz w:val="24"/>
          <w:szCs w:val="24"/>
        </w:rPr>
        <w:t>Malacoctenus</w:t>
      </w:r>
      <w:r w:rsidRPr="00703AE1">
        <w:rPr>
          <w:rFonts w:asciiTheme="majorBidi" w:hAnsiTheme="majorBidi" w:cstheme="majorBidi"/>
          <w:sz w:val="24"/>
          <w:szCs w:val="24"/>
        </w:rPr>
        <w:t xml:space="preserve"> and </w:t>
      </w:r>
      <w:r w:rsidR="00F71B6C">
        <w:rPr>
          <w:rFonts w:asciiTheme="majorBidi" w:hAnsiTheme="majorBidi" w:cstheme="majorBidi"/>
          <w:i/>
          <w:iCs/>
          <w:sz w:val="24"/>
          <w:szCs w:val="24"/>
        </w:rPr>
        <w:t>Brockius</w:t>
      </w:r>
      <w:r w:rsidRPr="00703AE1">
        <w:rPr>
          <w:rFonts w:asciiTheme="majorBidi" w:hAnsiTheme="majorBidi" w:cstheme="majorBidi"/>
          <w:sz w:val="24"/>
          <w:szCs w:val="24"/>
        </w:rPr>
        <w:t xml:space="preserve"> </w:t>
      </w:r>
      <w:r w:rsidRPr="00703AE1">
        <w:rPr>
          <w:rFonts w:asciiTheme="majorBidi" w:hAnsiTheme="majorBidi" w:cstheme="majorBidi"/>
          <w:i/>
          <w:iCs/>
          <w:sz w:val="24"/>
          <w:szCs w:val="24"/>
        </w:rPr>
        <w:t>striatus</w:t>
      </w:r>
      <w:r w:rsidRPr="00703AE1">
        <w:rPr>
          <w:rFonts w:asciiTheme="majorBidi" w:hAnsiTheme="majorBidi" w:cstheme="majorBidi"/>
          <w:sz w:val="24"/>
          <w:szCs w:val="24"/>
        </w:rPr>
        <w:t xml:space="preserve"> (35–32 Mya; </w:t>
      </w:r>
      <w:r w:rsidRPr="00703AE1">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703AE1">
        <w:rPr>
          <w:rFonts w:asciiTheme="majorBidi" w:hAnsiTheme="majorBidi" w:cstheme="majorBidi"/>
          <w:i/>
          <w:iCs/>
          <w:sz w:val="24"/>
          <w:szCs w:val="24"/>
        </w:rPr>
        <w:t>, Materials and Methods</w:t>
      </w:r>
      <w:r w:rsidRPr="00703AE1">
        <w:rPr>
          <w:rFonts w:asciiTheme="majorBidi" w:hAnsiTheme="majorBidi" w:cstheme="majorBidi"/>
          <w:sz w:val="24"/>
          <w:szCs w:val="24"/>
        </w:rPr>
        <w:t xml:space="preserve">, Table S1). To generate a time-calibrated tree with all 447 individuals that passed quality filters, we used secondary calibrations extracted from the time-calibrated species tree to estimate divergence times at intra-specific levels using RelTime in MEGA v10.1.8 </w:t>
      </w:r>
      <w:r w:rsidRPr="00703AE1">
        <w:rPr>
          <w:rFonts w:asciiTheme="majorBidi" w:hAnsiTheme="majorBidi" w:cstheme="majorBidi"/>
          <w:sz w:val="24"/>
          <w:szCs w:val="24"/>
        </w:rPr>
        <w:fldChar w:fldCharType="begin" w:fldLock="1"/>
      </w:r>
      <w:r w:rsidRPr="00703AE1">
        <w:rPr>
          <w:rFonts w:asciiTheme="majorBidi" w:hAnsiTheme="majorBidi" w:cstheme="majorBidi"/>
          <w:sz w:val="24"/>
          <w:szCs w:val="24"/>
        </w:rPr>
        <w:instrText>ADDIN CSL_CITATION {"citationItems":[{"id":"ITEM-1","itemData":{"DOI":"10.1093/molbev/mst197","ISSN":"07374038","PMID":"24132122","abstract":"We announce the release of an advanced version of the Molecular Evolutionary Genetics Analysis (MEGA) software, which currently contains facilities for building sequence alignments, inferring phylogenetic histories, and conducting molecular evolutionary analysis. In version 6.0, MEGA now enables the inference of timetrees, as it implements the RelTime method for estimating divergence times for all branching points in a phylogeny. A new Timetree Wizard in MEGA6 facilitates this timetree inference by providing a graphical user interface (GUI) to specify the phylogeny and calibration constraints step-by-step. This version also contains enhanced algorithms to search for the optimal trees under evolutionary criteria and implements a more advanced memory management that can double the size of sequence data sets to which MEGA can be applied. Both GUI and command-line versions of MEGA6 can be downloaded from www.megasoftware.net free of charge. © 2013 The Author.","author":[{"dropping-particle":"","family":"Tamura","given":"Koichiro","non-dropping-particle":"","parse-names":false,"suffix":""},{"dropping-particle":"","family":"Stecher","given":"Glen","non-dropping-particle":"","parse-names":false,"suffix":""},{"dropping-particle":"","family":"Peterson","given":"Daniel","non-dropping-particle":"","parse-names":false,"suffix":""},{"dropping-particle":"","family":"Filipski","given":"Alan","non-dropping-particle":"","parse-names":false,"suffix":""},{"dropping-particle":"","family":"Kumar","given":"Sudhir","non-dropping-particle":"","parse-names":false,"suffix":""}],"container-title":"Molecular Biology and Evolution","id":"ITEM-1","issue":"12","issued":{"date-parts":[["2013"]]},"page":"2725-2729","title":"MEGA6: Molecular evolutionary genetics analysis version 6.0","type":"article-journal","volume":"30"},"uris":["http://www.mendeley.com/documents/?uuid=834054e4-25b6-45cd-8830-2f111ece9ef3"]},{"id":"ITEM-2","itemData":{"DOI":"10.1093/molbev/msy096","ISSN":"15371719","PMID":"29722887","abstract":"The Molecular Evolutionary Genetics Analysis (MEGA) software implements many analytical methods and tools for phylogenomics and phylomedicine. Here, we report a transformation of MEGA to enable cross-platform use on Microsoft Windows and Linux operating systems. MEGA X does not require virtualization or emulation software and provides a uniform user experience across platforms. MEGA X has additionally been upgraded to use multiple computing cores for many molecular evolutionary analyses. MEGA X is available in two interfaces (graphical and command line) and can be downloaded from www.megasoftware.net free of charge.","author":[{"dropping-particle":"","family":"Kumar","given":"Sudhir","non-dropping-particle":"","parse-names":false,"suffix":""},{"dropping-particle":"","family":"Stecher","given":"Glen","non-dropping-particle":"","parse-names":false,"suffix":""},{"dropping-particle":"","family":"Li","given":"Michael","non-dropping-particle":"","parse-names":false,"suffix":""},{"dropping-particle":"","family":"Knyaz","given":"Christina","non-dropping-particle":"","parse-names":false,"suffix":""},{"dropping-particle":"","family":"Tamura","given":"Koichiro","non-dropping-particle":"","parse-names":false,"suffix":""}],"container-title":"Molecular Biology and Evolution","id":"ITEM-2","issue":"6","issued":{"date-parts":[["2018"]]},"page":"1547-1549","title":"MEGA X: Molecular evolutionary genetics analysis across computing platforms","type":"article-journal","volume":"35"},"uris":["http://www.mendeley.com/documents/?uuid=d24b40be-f95e-41e5-8913-53ade534587e"]}],"mendeley":{"formattedCitation":"(90, 91)","plainTextFormattedCitation":"(90, 91)","previouslyFormattedCitation":"(90, 91)"},"properties":{"noteIndex":0},"schema":"https://github.com/citation-style-language/schema/raw/master/csl-citation.json"}</w:instrText>
      </w:r>
      <w:r w:rsidRPr="00703AE1">
        <w:rPr>
          <w:rFonts w:asciiTheme="majorBidi" w:hAnsiTheme="majorBidi" w:cstheme="majorBidi"/>
          <w:sz w:val="24"/>
          <w:szCs w:val="24"/>
        </w:rPr>
        <w:fldChar w:fldCharType="separate"/>
      </w:r>
      <w:r w:rsidRPr="00703AE1">
        <w:rPr>
          <w:rFonts w:asciiTheme="majorBidi" w:hAnsiTheme="majorBidi" w:cstheme="majorBidi"/>
          <w:sz w:val="24"/>
          <w:szCs w:val="24"/>
        </w:rPr>
        <w:t>(90, 91)</w:t>
      </w:r>
      <w:r w:rsidRPr="00703AE1">
        <w:rPr>
          <w:rFonts w:asciiTheme="majorBidi" w:hAnsiTheme="majorBidi" w:cstheme="majorBidi"/>
          <w:sz w:val="24"/>
          <w:szCs w:val="24"/>
        </w:rPr>
        <w:fldChar w:fldCharType="end"/>
      </w:r>
      <w:r w:rsidRPr="00703AE1">
        <w:rPr>
          <w:rFonts w:asciiTheme="majorBidi" w:hAnsiTheme="majorBidi" w:cstheme="majorBidi"/>
          <w:sz w:val="24"/>
          <w:szCs w:val="24"/>
        </w:rPr>
        <w:t xml:space="preserve">. We then grafted all intra-specific level subclades into the time-calibrated species tree using the R package ape </w:t>
      </w:r>
      <w:r w:rsidRPr="00703AE1">
        <w:rPr>
          <w:rFonts w:asciiTheme="majorBidi" w:hAnsiTheme="majorBidi" w:cstheme="majorBidi"/>
          <w:sz w:val="24"/>
          <w:szCs w:val="24"/>
        </w:rPr>
        <w:fldChar w:fldCharType="begin" w:fldLock="1"/>
      </w:r>
      <w:r w:rsidRPr="00703AE1">
        <w:rPr>
          <w:rFonts w:asciiTheme="majorBidi" w:hAnsiTheme="majorBidi" w:cstheme="majorBidi"/>
          <w:sz w:val="24"/>
          <w:szCs w:val="24"/>
        </w:rPr>
        <w:instrText>ADDIN CSL_CITATION {"citationItems":[{"id":"ITEM-1","itemData":{"DOI":"10.1093/bioinformatics/bty633","ISSN":"14602059","PMID":"30016406","abstract":"Summary After more than fifteen years of existence, the R package ape has continuously grown its contents, and has been used by a growing community of users. The release of version 5.0 has marked a leap towards a modern software for evolutionary analyses. Efforts have been put to improve efficiency, flexibility, support for 'big data' (R's long vectors), ease of use and quality check before a new release. These changes will hopefully make ape a useful software for the study of biodiversity and evolution in a context of increasing data quantity. Availability and implementation ape is distributed through the Comprehensive R Archive Network: http://cran.r-project.org/package=ape. Further information may be found at http://ape-package.ird.fr/.","author":[{"dropping-particle":"","family":"Paradis","given":"Emmanuel","non-dropping-particle":"","parse-names":false,"suffix":""},{"dropping-particle":"","family":"Schliep","given":"Klaus","non-dropping-particle":"","parse-names":false,"suffix":""}],"container-title":"Bioinformatics","id":"ITEM-1","issue":"3","issued":{"date-parts":[["2019"]]},"page":"526-528","title":"Ape 5.0: An environment for modern phylogenetics and evolutionary analyses in R","type":"article-journal","volume":"35"},"uris":["http://www.mendeley.com/documents/?uuid=a90da672-5582-4fb3-b4cb-20c7769f0d69"]}],"mendeley":{"formattedCitation":"(92)","plainTextFormattedCitation":"(92)","previouslyFormattedCitation":"(92)"},"properties":{"noteIndex":0},"schema":"https://github.com/citation-style-language/schema/raw/master/csl-citation.json"}</w:instrText>
      </w:r>
      <w:r w:rsidRPr="00703AE1">
        <w:rPr>
          <w:rFonts w:asciiTheme="majorBidi" w:hAnsiTheme="majorBidi" w:cstheme="majorBidi"/>
          <w:sz w:val="24"/>
          <w:szCs w:val="24"/>
        </w:rPr>
        <w:fldChar w:fldCharType="separate"/>
      </w:r>
      <w:r w:rsidRPr="00703AE1">
        <w:rPr>
          <w:rFonts w:asciiTheme="majorBidi" w:hAnsiTheme="majorBidi" w:cstheme="majorBidi"/>
          <w:sz w:val="24"/>
          <w:szCs w:val="24"/>
        </w:rPr>
        <w:t>(92)</w:t>
      </w:r>
      <w:r w:rsidRPr="00703AE1">
        <w:rPr>
          <w:rFonts w:asciiTheme="majorBidi" w:hAnsiTheme="majorBidi" w:cstheme="majorBidi"/>
          <w:sz w:val="24"/>
          <w:szCs w:val="24"/>
        </w:rPr>
        <w:fldChar w:fldCharType="end"/>
      </w:r>
      <w:r w:rsidRPr="00703AE1">
        <w:rPr>
          <w:rFonts w:asciiTheme="majorBidi" w:hAnsiTheme="majorBidi" w:cstheme="majorBidi"/>
          <w:sz w:val="24"/>
          <w:szCs w:val="24"/>
        </w:rPr>
        <w:t xml:space="preserve">. To test for synchronous divergent events unchained by the Isthmus of Panama, we used </w:t>
      </w:r>
      <w:r w:rsidRPr="00703AE1">
        <w:rPr>
          <w:rFonts w:asciiTheme="majorBidi" w:hAnsiTheme="majorBidi" w:cstheme="majorBidi"/>
          <w:i/>
          <w:iCs/>
          <w:sz w:val="24"/>
          <w:szCs w:val="24"/>
        </w:rPr>
        <w:t>ecoevolity</w:t>
      </w:r>
      <w:r w:rsidRPr="00703AE1">
        <w:rPr>
          <w:rFonts w:asciiTheme="majorBidi" w:hAnsiTheme="majorBidi" w:cstheme="majorBidi"/>
          <w:sz w:val="24"/>
          <w:szCs w:val="24"/>
        </w:rPr>
        <w:t xml:space="preserve"> </w:t>
      </w:r>
      <w:r w:rsidRPr="00703AE1">
        <w:rPr>
          <w:rFonts w:asciiTheme="majorBidi" w:hAnsiTheme="majorBidi" w:cstheme="majorBidi"/>
          <w:sz w:val="24"/>
          <w:szCs w:val="24"/>
        </w:rPr>
        <w:fldChar w:fldCharType="begin" w:fldLock="1"/>
      </w:r>
      <w:r w:rsidRPr="00703AE1">
        <w:rPr>
          <w:rFonts w:asciiTheme="majorBidi" w:hAnsiTheme="majorBidi" w:cstheme="majorBidi"/>
          <w:sz w:val="24"/>
          <w:szCs w:val="24"/>
        </w:rPr>
        <w:instrText>ADDIN CSL_CITATION {"citationItems":[{"id":"ITEM-1","itemData":{"DOI":"10.1093/sysbio/syy063","ISSN":"1076836X","PMID":"30239868","abstract":"A challenge to understanding biological diversification is accounting for community-scale processes that cause multiple, co-distributed lineages to co-speciate. Such processes predict non-independent, temporally clustered divergences across taxa. Approximate-likelihood Bayesian computation (ABC) approaches to inferring such patterns from comparative genetic data are very sensitive to prior assumptions and often biased toward estimating shared divergences. We introduce a full-likelihood Bayesian approach, ecoevolity, which takes full advantage of information in genomic data. By analytically integrating over gene trees, we are able to directly calculate the likelihood of the population history from genomic data, and efficiently sample the model-averaged posterior via Markov chain Monte Carlo algorithms. Using simulations, we find that the new method is much more accurate and precise at estimating the number and timing of divergence events across pairs of populations than existing approximate-likelihood methods. Our full Bayesian approach also requires several orders of magnitude less computational time than existing ABC approaches. We find that despite assuming unlinked characters (e.g., unlinked single-nucleotide polymorphisms), the new method performs better if this assumption is violated in order to retain the constant characters of whole linked loci. In fact, retaining constant characters allows the new method to robustly estimate the correct number of divergence events with high posterior probability in the face of character-acquisition biases, which commonly plague loci assembled from reduced-representation genomic libraries. We apply our method to genomic data from four pairs ofinsular populations of Gekko lizards from the Philippines that are notexpectedtohave co-diverged. Despite all four pairs diverging very recently, our method strongly supports that they diverged independently, and these results are robust to very disparate prior assumptions.","author":[{"dropping-particle":"","family":"Oaks","given":"Jamie R.","non-dropping-particle":"","parse-names":false,"suffix":""}],"container-title":"Systematic Biology","id":"ITEM-1","issue":"3","issued":{"date-parts":[["2019"]]},"page":"371-395","title":"Full Bayesian comparative phylogeography from genomic data","type":"article-journal","volume":"68"},"uris":["http://www.mendeley.com/documents/?uuid=068acf77-6390-49ca-bd31-8f19303d4f06"]}],"mendeley":{"formattedCitation":"(31)","plainTextFormattedCitation":"(31)","previouslyFormattedCitation":"(31)"},"properties":{"noteIndex":0},"schema":"https://github.com/citation-style-language/schema/raw/master/csl-citation.json"}</w:instrText>
      </w:r>
      <w:r w:rsidRPr="00703AE1">
        <w:rPr>
          <w:rFonts w:asciiTheme="majorBidi" w:hAnsiTheme="majorBidi" w:cstheme="majorBidi"/>
          <w:sz w:val="24"/>
          <w:szCs w:val="24"/>
        </w:rPr>
        <w:fldChar w:fldCharType="separate"/>
      </w:r>
      <w:r w:rsidRPr="00703AE1">
        <w:rPr>
          <w:rFonts w:asciiTheme="majorBidi" w:hAnsiTheme="majorBidi" w:cstheme="majorBidi"/>
          <w:sz w:val="24"/>
          <w:szCs w:val="24"/>
        </w:rPr>
        <w:t>(31)</w:t>
      </w:r>
      <w:r w:rsidRPr="00703AE1">
        <w:rPr>
          <w:rFonts w:asciiTheme="majorBidi" w:hAnsiTheme="majorBidi" w:cstheme="majorBidi"/>
          <w:sz w:val="24"/>
          <w:szCs w:val="24"/>
        </w:rPr>
        <w:fldChar w:fldCharType="end"/>
      </w:r>
      <w:r w:rsidRPr="00703AE1">
        <w:rPr>
          <w:rFonts w:asciiTheme="majorBidi" w:hAnsiTheme="majorBidi" w:cstheme="majorBidi"/>
          <w:sz w:val="24"/>
          <w:szCs w:val="24"/>
        </w:rPr>
        <w:t xml:space="preserve">, a full-likelihood Bayesian approach that tests models of co-divergence by integrating gene trees with the population histories of each species pair from genomic data </w:t>
      </w:r>
      <w:r w:rsidRPr="00703AE1">
        <w:rPr>
          <w:rFonts w:asciiTheme="majorBidi" w:hAnsiTheme="majorBidi" w:cstheme="majorBidi"/>
          <w:sz w:val="24"/>
          <w:szCs w:val="24"/>
        </w:rPr>
        <w:fldChar w:fldCharType="begin" w:fldLock="1"/>
      </w:r>
      <w:r w:rsidRPr="00703AE1">
        <w:rPr>
          <w:rFonts w:asciiTheme="majorBidi" w:hAnsiTheme="majorBidi" w:cstheme="majorBidi"/>
          <w:sz w:val="24"/>
          <w:szCs w:val="24"/>
        </w:rPr>
        <w:instrText>ADDIN CSL_CITATION {"citationItems":[{"id":"ITEM-1","itemData":{"DOI":"10.1093/sysbio/syy063","ISSN":"1076836X","PMID":"30239868","abstract":"A challenge to understanding biological diversification is accounting for community-scale processes that cause multiple, co-distributed lineages to co-speciate. Such processes predict non-independent, temporally clustered divergences across taxa. Approximate-likelihood Bayesian computation (ABC) approaches to inferring such patterns from comparative genetic data are very sensitive to prior assumptions and often biased toward estimating shared divergences. We introduce a full-likelihood Bayesian approach, ecoevolity, which takes full advantage of information in genomic data. By analytically integrating over gene trees, we are able to directly calculate the likelihood of the population history from genomic data, and efficiently sample the model-averaged posterior via Markov chain Monte Carlo algorithms. Using simulations, we find that the new method is much more accurate and precise at estimating the number and timing of divergence events across pairs of populations than existing approximate-likelihood methods. Our full Bayesian approach also requires several orders of magnitude less computational time than existing ABC approaches. We find that despite assuming unlinked characters (e.g., unlinked single-nucleotide polymorphisms), the new method performs better if this assumption is violated in order to retain the constant characters of whole linked loci. In fact, retaining constant characters allows the new method to robustly estimate the correct number of divergence events with high posterior probability in the face of character-acquisition biases, which commonly plague loci assembled from reduced-representation genomic libraries. We apply our method to genomic data from four pairs ofinsular populations of Gekko lizards from the Philippines that are notexpectedtohave co-diverged. Despite all four pairs diverging very recently, our method strongly supports that they diverged independently, and these results are robust to very disparate prior assumptions.","author":[{"dropping-particle":"","family":"Oaks","given":"Jamie R.","non-dropping-particle":"","parse-names":false,"suffix":""}],"container-title":"Systematic Biology","id":"ITEM-1","issue":"3","issued":{"date-parts":[["2019"]]},"page":"371-395","title":"Full Bayesian comparative phylogeography from genomic data","type":"article-journal","volume":"68"},"uris":["http://www.mendeley.com/documents/?uuid=068acf77-6390-49ca-bd31-8f19303d4f06"]}],"mendeley":{"formattedCitation":"(31)","plainTextFormattedCitation":"(31)","previouslyFormattedCitation":"(31)"},"properties":{"noteIndex":0},"schema":"https://github.com/citation-style-language/schema/raw/master/csl-citation.json"}</w:instrText>
      </w:r>
      <w:r w:rsidRPr="00703AE1">
        <w:rPr>
          <w:rFonts w:asciiTheme="majorBidi" w:hAnsiTheme="majorBidi" w:cstheme="majorBidi"/>
          <w:sz w:val="24"/>
          <w:szCs w:val="24"/>
        </w:rPr>
        <w:fldChar w:fldCharType="separate"/>
      </w:r>
      <w:r w:rsidRPr="00703AE1">
        <w:rPr>
          <w:rFonts w:asciiTheme="majorBidi" w:hAnsiTheme="majorBidi" w:cstheme="majorBidi"/>
          <w:sz w:val="24"/>
          <w:szCs w:val="24"/>
        </w:rPr>
        <w:t>(31)</w:t>
      </w:r>
      <w:r w:rsidRPr="00703AE1">
        <w:rPr>
          <w:rFonts w:asciiTheme="majorBidi" w:hAnsiTheme="majorBidi" w:cstheme="majorBidi"/>
          <w:sz w:val="24"/>
          <w:szCs w:val="24"/>
        </w:rPr>
        <w:fldChar w:fldCharType="end"/>
      </w:r>
      <w:r w:rsidRPr="00703AE1">
        <w:rPr>
          <w:rFonts w:asciiTheme="majorBidi" w:hAnsiTheme="majorBidi" w:cstheme="majorBidi"/>
          <w:sz w:val="24"/>
          <w:szCs w:val="24"/>
        </w:rPr>
        <w:t xml:space="preserve">. Finally, to examine the biogeographic history of the genus, we inferred ancestral geographic ranges on the time-calibrated species tree with the R package </w:t>
      </w:r>
      <w:r w:rsidRPr="00703AE1">
        <w:rPr>
          <w:rFonts w:asciiTheme="majorBidi" w:hAnsiTheme="majorBidi" w:cstheme="majorBidi"/>
          <w:i/>
          <w:iCs/>
          <w:sz w:val="24"/>
          <w:szCs w:val="24"/>
        </w:rPr>
        <w:t>BioGeoBEARS</w:t>
      </w:r>
      <w:r w:rsidRPr="00703AE1">
        <w:rPr>
          <w:rFonts w:asciiTheme="majorBidi" w:hAnsiTheme="majorBidi" w:cstheme="majorBidi"/>
          <w:sz w:val="24"/>
          <w:szCs w:val="24"/>
        </w:rPr>
        <w:t xml:space="preserve"> </w:t>
      </w:r>
      <w:r w:rsidRPr="00703AE1">
        <w:rPr>
          <w:rFonts w:asciiTheme="majorBidi" w:hAnsiTheme="majorBidi" w:cstheme="majorBidi"/>
          <w:sz w:val="24"/>
          <w:szCs w:val="24"/>
        </w:rPr>
        <w:fldChar w:fldCharType="begin" w:fldLock="1"/>
      </w:r>
      <w:r w:rsidRPr="00703AE1">
        <w:rPr>
          <w:rFonts w:asciiTheme="majorBidi" w:hAnsiTheme="majorBidi" w:cstheme="majorBidi"/>
          <w:sz w:val="24"/>
          <w:szCs w:val="24"/>
        </w:rPr>
        <w:instrText>ADDIN CSL_CITATION {"citationItems":[{"id":"ITEM-1","itemData":{"DOI":"10.5281/zenodo.1463216","author":[{"dropping-particle":"","family":"Matzke","given":"Nicholas J","non-dropping-particle":"","parse-names":false,"suffix":""}],"id":"ITEM-1","issued":{"date-parts":[["2018","10"]]},"publisher":"Zenodo","title":"nmatzke/BioGeoBEARS: BioGeoBEARS: BioGeography with Bayesian (and likelihood) Evolutionary Analysis with R Scripts","type":"article"},"uris":["http://www.mendeley.com/documents/?uuid=7818ed6b-1152-4370-b443-1f183b709b69"]}],"mendeley":{"formattedCitation":"(28)","plainTextFormattedCitation":"(28)","previouslyFormattedCitation":"(28)"},"properties":{"noteIndex":0},"schema":"https://github.com/citation-style-language/schema/raw/master/csl-citation.json"}</w:instrText>
      </w:r>
      <w:r w:rsidRPr="00703AE1">
        <w:rPr>
          <w:rFonts w:asciiTheme="majorBidi" w:hAnsiTheme="majorBidi" w:cstheme="majorBidi"/>
          <w:sz w:val="24"/>
          <w:szCs w:val="24"/>
        </w:rPr>
        <w:fldChar w:fldCharType="separate"/>
      </w:r>
      <w:r w:rsidRPr="00703AE1">
        <w:rPr>
          <w:rFonts w:asciiTheme="majorBidi" w:hAnsiTheme="majorBidi" w:cstheme="majorBidi"/>
          <w:sz w:val="24"/>
          <w:szCs w:val="24"/>
        </w:rPr>
        <w:t>(28)</w:t>
      </w:r>
      <w:r w:rsidRPr="00703AE1">
        <w:rPr>
          <w:rFonts w:asciiTheme="majorBidi" w:hAnsiTheme="majorBidi" w:cstheme="majorBidi"/>
          <w:sz w:val="24"/>
          <w:szCs w:val="24"/>
        </w:rPr>
        <w:fldChar w:fldCharType="end"/>
      </w:r>
      <w:r w:rsidRPr="00703AE1">
        <w:rPr>
          <w:rFonts w:asciiTheme="majorBidi" w:hAnsiTheme="majorBidi" w:cstheme="majorBidi"/>
          <w:sz w:val="24"/>
          <w:szCs w:val="24"/>
        </w:rPr>
        <w:t xml:space="preserve">. We assessed 12 biogeographic models under a maximum likelihood framework, implementing a seven-province biogeographic scheme </w:t>
      </w:r>
      <w:r w:rsidRPr="00703AE1">
        <w:rPr>
          <w:rFonts w:asciiTheme="majorBidi" w:hAnsiTheme="majorBidi" w:cstheme="majorBidi"/>
          <w:sz w:val="24"/>
          <w:szCs w:val="24"/>
        </w:rPr>
        <w:fldChar w:fldCharType="begin" w:fldLock="1"/>
      </w:r>
      <w:r w:rsidRPr="00703AE1">
        <w:rPr>
          <w:rFonts w:asciiTheme="majorBidi" w:hAnsiTheme="majorBidi" w:cstheme="majorBidi"/>
          <w:sz w:val="24"/>
          <w:szCs w:val="24"/>
        </w:rPr>
        <w:instrText>ADDIN CSL_CITATION {"citationItems":[{"id":"ITEM-1","itemData":{"author":[{"dropping-particle":"","family":"Hastings","given":"Philip A","non-dropping-particle":"","parse-names":false,"suffix":""}],"container-title":"Zoological Journal of the Linnean Society","id":"ITEM-1","issued":{"date-parts":[["2000"]]},"page":"319-335","title":"Biogeography of the Tropical Eastern Pacific : distribution and phylogeny of chaenopsid fishes","type":"article-journal","volume":"128"},"uris":["http://www.mendeley.com/documents/?uuid=adfe0f8f-5f0b-4a86-8324-8cc7d41aa829"]},{"id":"ITEM-2","itemData":{"DOI":"10.1371/journal.pone.0102918","ISBN":"1932-6203 (Electronic)\\r1932-6203 (Linking)","ISSN":"19326203","PMID":"25054225","abstract":"The Greater Caribbean biogeographic region is the high-diversity heart of the Tropical West Atlantic, one of four global centers of tropical marine biodiversity. The traditional view of the Greater Caribbean is that it is limited to the Caribbean, West Indies, southwest Gulf of Mexico and tip of Florida, and that, due to its faunal homogeneity, lacks major provincial subdivisions. In this scenario the northern 2/3 of the Gulf of Mexico and southeastern USA represent a separate temperate, \"Carolinian\" biogeographic region. We completed a comprehensive re-assessment of the biogeography of the Greater Caribbean by comparing the distributions of 1,559 shorefish species within 45 sections of shelf waters of the Greater Caribbean and adjacent areas. This analysis shows that that the Greater Caribbean occupies a much larger area than usually thought, extending south to at least Guyana, and north to encompass the entire Carolinian area. Rather than being homogenous, the Greater Caribbean is divided into three major provinces, each with a distinctive, primarily tropical fauna: (1) a central, tropical province comprising the West Indies, Bermuda and Central America; (2) a southern, upwelling-affected province spanning the entire continental shelf of northern South America; and (iii) a northern, subtropical province that includes all of the Gulf of Mexico, Florida and southeastern USA. This three-province pattern holds for both reef- and soft bottom fishes, indicating a general response by demersal fishes to major variation in provincial shelf environments. Such environmental differences include latitudinal variation in sea temperature, availability of major habitats (coral reefs, soft bottom shorelines, and mangroves), and nutrient additions from upwelling areas and large rivers. The three-province arrangement of the Greater Caribbean broadly resembles and has a similar environmental basis to the provincial arrangement of its sister biogeographic region, the Tropical Eastern Pacific.","author":[{"dropping-particle":"","family":"Robertson","given":"D. Ross","non-dropping-particle":"","parse-names":false,"suffix":""},{"dropping-particle":"","family":"Cramer","given":"Katie L.","non-dropping-particle":"","parse-names":false,"suffix":""}],"container-title":"PLoS ONE","id":"ITEM-2","issue":"7","issued":{"date-parts":[["2014"]]},"title":"Defining and dividing the Greater Caribbean: Insights from the biogeography of shorefishes","type":"article-journal","volume":"9"},"uris":["http://www.mendeley.com/documents/?uuid=6ec7fa7d-ff3b-492d-babb-2749c8ab77b3"]},{"id":"ITEM-3","itemData":{"author":[{"dropping-particle":"","family":"Spalding","given":"Mark D","non-dropping-particle":"","parse-names":false,"suffix":""},{"dropping-particle":"","family":"Fox","given":"Helen E","non-dropping-particle":"","parse-names":false,"suffix":""},{"dropping-particle":"","family":"Allen","given":"Gerald R","non-dropping-particle":"","parse-names":false,"suffix":""},{"dropping-particle":"","family":"Davidson","given":"Nick","non-dropping-particle":"","parse-names":false,"suffix":""},{"dropping-particle":"","family":"Ferdaña","given":"Zach A","non-dropping-particle":"","parse-names":false,"suffix":""},{"dropping-particle":"","family":"Finlayson","given":"M A X","non-dropping-particle":"","parse-names":false,"suffix":""},{"dropping-particle":"","family":"Halpern","given":"Benjamin S","non-dropping-particle":"","parse-names":false,"suffix":""},{"dropping-particle":"","family":"Jorge","given":"Miguel A","non-dropping-particle":"","parse-names":false,"suffix":""},{"dropping-particle":"","family":"Lombana","given":"A L","non-dropping-particle":"","parse-names":false,"suffix":""},{"dropping-particle":"","family":"Lourie","given":"Sara A","non-dropping-particle":"","parse-names":false,"suffix":""},{"dropping-particle":"","family":"Martin","given":"Kirsten D","non-dropping-particle":"","parse-names":false,"suffix":""},{"dropping-particle":"","family":"Manus","given":"M C","non-dropping-particle":"","parse-names":false,"suffix":""},{"dropping-particle":"","family":"Molnar","given":"Jennifer","non-dropping-particle":"","parse-names":false,"suffix":""},{"dropping-particle":"","family":"Recchia","given":"Cheri A","non-dropping-particle":"","parse-names":false,"suffix":""},{"dropping-particle":"","family":"Robertson","given":"James","non-dropping-particle":"","parse-names":false,"suffix":""}],"id":"ITEM-3","issue":"7","issued":{"date-parts":[["2007"]]},"page":"573-583","title":"Marine Ecoregions of the World : A Bioregionalization of Coastal and Shelf Areas","type":"article-journal","volume":"57"},"uris":["http://www.mendeley.com/documents/?uuid=75a3a620-dfd5-4c2d-ad6f-09ce8a83f173"]}],"mendeley":{"formattedCitation":"(13, 29, 30)","plainTextFormattedCitation":"(13, 29, 30)","previouslyFormattedCitation":"(13, 29, 30)"},"properties":{"noteIndex":0},"schema":"https://github.com/citation-style-language/schema/raw/master/csl-citation.json"}</w:instrText>
      </w:r>
      <w:r w:rsidRPr="00703AE1">
        <w:rPr>
          <w:rFonts w:asciiTheme="majorBidi" w:hAnsiTheme="majorBidi" w:cstheme="majorBidi"/>
          <w:sz w:val="24"/>
          <w:szCs w:val="24"/>
        </w:rPr>
        <w:fldChar w:fldCharType="separate"/>
      </w:r>
      <w:r w:rsidRPr="00703AE1">
        <w:rPr>
          <w:rFonts w:asciiTheme="majorBidi" w:hAnsiTheme="majorBidi" w:cstheme="majorBidi"/>
          <w:sz w:val="24"/>
          <w:szCs w:val="24"/>
        </w:rPr>
        <w:t>(13, 29, 30)</w:t>
      </w:r>
      <w:r w:rsidRPr="00703AE1">
        <w:rPr>
          <w:rFonts w:asciiTheme="majorBidi" w:hAnsiTheme="majorBidi" w:cstheme="majorBidi"/>
          <w:sz w:val="24"/>
          <w:szCs w:val="24"/>
        </w:rPr>
        <w:fldChar w:fldCharType="end"/>
      </w:r>
      <w:r w:rsidRPr="00703AE1">
        <w:rPr>
          <w:rFonts w:asciiTheme="majorBidi" w:hAnsiTheme="majorBidi" w:cstheme="majorBidi"/>
          <w:sz w:val="24"/>
          <w:szCs w:val="24"/>
        </w:rPr>
        <w:t xml:space="preserve"> and time slices reflecting the final closure of the Isthmus of Panama. For additional information refer to </w:t>
      </w:r>
      <w:r w:rsidRPr="00703AE1">
        <w:rPr>
          <w:rFonts w:asciiTheme="majorBidi" w:hAnsiTheme="majorBidi" w:cstheme="majorBidi"/>
          <w:i/>
          <w:iCs/>
          <w:sz w:val="24"/>
          <w:szCs w:val="24"/>
        </w:rPr>
        <w:t>Appendix</w:t>
      </w:r>
      <w:r w:rsidR="004F44A0">
        <w:rPr>
          <w:rFonts w:asciiTheme="majorBidi" w:hAnsiTheme="majorBidi" w:cstheme="majorBidi"/>
          <w:i/>
          <w:iCs/>
          <w:sz w:val="24"/>
          <w:szCs w:val="24"/>
        </w:rPr>
        <w:t xml:space="preserve"> C</w:t>
      </w:r>
      <w:r w:rsidRPr="00703AE1">
        <w:rPr>
          <w:rFonts w:asciiTheme="majorBidi" w:hAnsiTheme="majorBidi" w:cstheme="majorBidi"/>
          <w:i/>
          <w:iCs/>
          <w:sz w:val="24"/>
          <w:szCs w:val="24"/>
        </w:rPr>
        <w:t>, Materials and Methods</w:t>
      </w:r>
      <w:r w:rsidRPr="00703AE1">
        <w:rPr>
          <w:rFonts w:asciiTheme="majorBidi" w:hAnsiTheme="majorBidi" w:cstheme="majorBidi"/>
          <w:sz w:val="24"/>
          <w:szCs w:val="24"/>
        </w:rPr>
        <w:t>.</w:t>
      </w:r>
    </w:p>
    <w:p w14:paraId="16FEE0C9" w14:textId="77777777" w:rsidR="00703AE1" w:rsidRPr="00951A04" w:rsidRDefault="00703AE1" w:rsidP="0041013A">
      <w:pPr>
        <w:jc w:val="both"/>
        <w:rPr>
          <w:rFonts w:asciiTheme="majorBidi" w:hAnsiTheme="majorBidi" w:cstheme="majorBidi"/>
          <w:sz w:val="24"/>
          <w:szCs w:val="24"/>
        </w:rPr>
      </w:pPr>
    </w:p>
    <w:p w14:paraId="388D9ABD" w14:textId="705A0CD6" w:rsidR="000803F9" w:rsidRDefault="000803F9" w:rsidP="000803F9">
      <w:pPr>
        <w:pStyle w:val="ListParagraph"/>
        <w:numPr>
          <w:ilvl w:val="1"/>
          <w:numId w:val="5"/>
        </w:numPr>
        <w:rPr>
          <w:rFonts w:asciiTheme="majorBidi" w:hAnsiTheme="majorBidi" w:cstheme="majorBidi"/>
          <w:b/>
          <w:bCs/>
          <w:sz w:val="32"/>
          <w:szCs w:val="32"/>
        </w:rPr>
      </w:pPr>
      <w:r>
        <w:rPr>
          <w:rFonts w:asciiTheme="majorBidi" w:hAnsiTheme="majorBidi" w:cstheme="majorBidi"/>
          <w:b/>
          <w:bCs/>
          <w:sz w:val="32"/>
          <w:szCs w:val="32"/>
        </w:rPr>
        <w:t>Results</w:t>
      </w:r>
    </w:p>
    <w:p w14:paraId="1DE934FE" w14:textId="7D824EF2" w:rsidR="005C1001" w:rsidRDefault="005C1001" w:rsidP="005C1001">
      <w:pPr>
        <w:rPr>
          <w:rFonts w:asciiTheme="majorBidi" w:hAnsiTheme="majorBidi" w:cstheme="majorBidi"/>
          <w:b/>
          <w:bCs/>
          <w:sz w:val="28"/>
          <w:szCs w:val="28"/>
        </w:rPr>
      </w:pPr>
      <w:r w:rsidRPr="005C1001">
        <w:rPr>
          <w:rFonts w:asciiTheme="majorBidi" w:hAnsiTheme="majorBidi" w:cstheme="majorBidi"/>
          <w:b/>
          <w:bCs/>
          <w:sz w:val="28"/>
          <w:szCs w:val="28"/>
        </w:rPr>
        <w:t>Population genetic structure and contemporary breaks</w:t>
      </w:r>
    </w:p>
    <w:p w14:paraId="493833B0" w14:textId="62B2334A" w:rsidR="005C1001" w:rsidRDefault="005C1001" w:rsidP="005C1001">
      <w:pPr>
        <w:jc w:val="both"/>
        <w:rPr>
          <w:rFonts w:asciiTheme="majorBidi" w:hAnsiTheme="majorBidi" w:cstheme="majorBidi"/>
          <w:sz w:val="24"/>
          <w:szCs w:val="24"/>
        </w:rPr>
      </w:pPr>
      <w:r w:rsidRPr="005C1001">
        <w:rPr>
          <w:rFonts w:asciiTheme="majorBidi" w:hAnsiTheme="majorBidi" w:cstheme="majorBidi"/>
          <w:sz w:val="24"/>
          <w:szCs w:val="24"/>
        </w:rPr>
        <w:lastRenderedPageBreak/>
        <w:t xml:space="preserve">Extended results are reported in the </w:t>
      </w:r>
      <w:r w:rsidRPr="005C1001">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5C1001">
        <w:rPr>
          <w:rFonts w:asciiTheme="majorBidi" w:hAnsiTheme="majorBidi" w:cstheme="majorBidi"/>
          <w:i/>
          <w:iCs/>
          <w:sz w:val="24"/>
          <w:szCs w:val="24"/>
        </w:rPr>
        <w:t>, Supplementary Results</w:t>
      </w:r>
      <w:r w:rsidRPr="005C1001">
        <w:rPr>
          <w:rFonts w:asciiTheme="majorBidi" w:hAnsiTheme="majorBidi" w:cstheme="majorBidi"/>
          <w:sz w:val="24"/>
          <w:szCs w:val="24"/>
        </w:rPr>
        <w:t xml:space="preserve">. To identify genetic patterns corresponding to major contemporary breaks, we conducted population differentiation analyses on 14 co-distributed species. We employed a combination of methods including PCA, DAPC, phylogenetic trees, ADMIXTURE, fastStructure, EEMS, sPCA, and AMOVA. These analyses  utilized matrices that ranged between 4,000 and 9,000 biallelic orthologous unlinked SNPs, with 3.7%–11.7% of missing data (see </w:t>
      </w:r>
      <w:r w:rsidRPr="005C1001">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5C1001">
        <w:rPr>
          <w:rFonts w:asciiTheme="majorBidi" w:hAnsiTheme="majorBidi" w:cstheme="majorBidi"/>
          <w:i/>
          <w:iCs/>
          <w:sz w:val="24"/>
          <w:szCs w:val="24"/>
        </w:rPr>
        <w:t xml:space="preserve">, Materials and Methods, </w:t>
      </w:r>
      <w:r w:rsidRPr="005C1001">
        <w:rPr>
          <w:rFonts w:asciiTheme="majorBidi" w:hAnsiTheme="majorBidi" w:cstheme="majorBidi"/>
          <w:sz w:val="24"/>
          <w:szCs w:val="24"/>
        </w:rPr>
        <w:t xml:space="preserve">Tables S1–S2). They enabled us to not only pinpoint marine breaks hindering genetic flow across populations in the genus, but also their relative strength or effectiveness, as measured by the proportion of species affected by each break (Fig. </w:t>
      </w:r>
      <w:r w:rsidR="0048478B">
        <w:rPr>
          <w:rFonts w:asciiTheme="majorBidi" w:hAnsiTheme="majorBidi" w:cstheme="majorBidi"/>
          <w:sz w:val="24"/>
          <w:szCs w:val="24"/>
        </w:rPr>
        <w:t>3.</w:t>
      </w:r>
      <w:r w:rsidRPr="005C1001">
        <w:rPr>
          <w:rFonts w:asciiTheme="majorBidi" w:hAnsiTheme="majorBidi" w:cstheme="majorBidi"/>
          <w:sz w:val="24"/>
          <w:szCs w:val="24"/>
        </w:rPr>
        <w:t>1).</w:t>
      </w:r>
    </w:p>
    <w:p w14:paraId="5ECB2D4C" w14:textId="49AAA088" w:rsidR="005C1001" w:rsidRPr="005C1001" w:rsidRDefault="005C1001" w:rsidP="005C1001">
      <w:pPr>
        <w:ind w:firstLine="720"/>
        <w:jc w:val="both"/>
        <w:rPr>
          <w:rFonts w:asciiTheme="majorBidi" w:hAnsiTheme="majorBidi" w:cstheme="majorBidi"/>
          <w:sz w:val="24"/>
          <w:szCs w:val="24"/>
        </w:rPr>
      </w:pPr>
      <w:r w:rsidRPr="005C1001">
        <w:rPr>
          <w:rFonts w:asciiTheme="majorBidi" w:hAnsiTheme="majorBidi" w:cstheme="majorBidi"/>
          <w:sz w:val="24"/>
          <w:szCs w:val="24"/>
        </w:rPr>
        <w:t xml:space="preserve">In the TEP, major contemporary barriers corresponded to habitat gaps. The Sinaloan Break (SB) and Central American Break (CB)—two major portions of sandy and muddy environments interrupting the rocky outcroppings in the region—as well as the open ocean between Galápagos Archipelago and continental Ecuador (OOGB) </w:t>
      </w:r>
      <w:r w:rsidRPr="005C1001">
        <w:rPr>
          <w:rFonts w:asciiTheme="majorBidi" w:hAnsiTheme="majorBidi" w:cstheme="majorBidi"/>
          <w:sz w:val="24"/>
          <w:szCs w:val="24"/>
        </w:rPr>
        <w:fldChar w:fldCharType="begin" w:fldLock="1"/>
      </w:r>
      <w:r w:rsidRPr="005C1001">
        <w:rPr>
          <w:rFonts w:asciiTheme="majorBidi" w:hAnsiTheme="majorBidi" w:cstheme="majorBidi"/>
          <w:sz w:val="24"/>
          <w:szCs w:val="24"/>
        </w:rPr>
        <w:instrText>ADDIN CSL_CITATION {"citationItems":[{"id":"ITEM-1","itemData":{"author":[{"dropping-particle":"","family":"Hastings","given":"Philip A","non-dropping-particle":"","parse-names":false,"suffix":""}],"container-title":"Zoological Journal of the Linnean Society","id":"ITEM-1","issued":{"date-parts":[["2000"]]},"page":"319-335","title":"Biogeography of the Tropical Eastern Pacific : distribution and phylogeny of chaenopsid fishes","type":"article-journal","volume":"128"},"uris":["http://www.mendeley.com/documents/?uuid=adfe0f8f-5f0b-4a86-8324-8cc7d41aa829"]}],"mendeley":{"formattedCitation":"(13)","plainTextFormattedCitation":"(13)","previouslyFormattedCitation":"(13)"},"properties":{"noteIndex":0},"schema":"https://github.com/citation-style-language/schema/raw/master/csl-citation.json"}</w:instrText>
      </w:r>
      <w:r w:rsidRPr="005C1001">
        <w:rPr>
          <w:rFonts w:asciiTheme="majorBidi" w:hAnsiTheme="majorBidi" w:cstheme="majorBidi"/>
          <w:sz w:val="24"/>
          <w:szCs w:val="24"/>
        </w:rPr>
        <w:fldChar w:fldCharType="separate"/>
      </w:r>
      <w:r w:rsidRPr="005C1001">
        <w:rPr>
          <w:rFonts w:asciiTheme="majorBidi" w:hAnsiTheme="majorBidi" w:cstheme="majorBidi"/>
          <w:sz w:val="24"/>
          <w:szCs w:val="24"/>
        </w:rPr>
        <w:t>(13)</w:t>
      </w:r>
      <w:r w:rsidRPr="005C1001">
        <w:rPr>
          <w:rFonts w:asciiTheme="majorBidi" w:hAnsiTheme="majorBidi" w:cstheme="majorBidi"/>
          <w:sz w:val="24"/>
          <w:szCs w:val="24"/>
        </w:rPr>
        <w:fldChar w:fldCharType="end"/>
      </w:r>
      <w:r w:rsidRPr="005C1001">
        <w:rPr>
          <w:rFonts w:asciiTheme="majorBidi" w:hAnsiTheme="majorBidi" w:cstheme="majorBidi"/>
          <w:sz w:val="24"/>
          <w:szCs w:val="24"/>
        </w:rPr>
        <w:t xml:space="preserve">, appear to influence connectivity at different levels across the evaluated species. The SB hinders population connectivity for all four assessed species: </w:t>
      </w:r>
      <w:r w:rsidRPr="005C1001">
        <w:rPr>
          <w:rFonts w:asciiTheme="majorBidi" w:hAnsiTheme="majorBidi" w:cstheme="majorBidi"/>
          <w:i/>
          <w:iCs/>
          <w:sz w:val="24"/>
          <w:szCs w:val="24"/>
        </w:rPr>
        <w:t>M. mexicanus</w:t>
      </w:r>
      <w:r w:rsidRPr="005C1001">
        <w:rPr>
          <w:rFonts w:asciiTheme="majorBidi" w:hAnsiTheme="majorBidi" w:cstheme="majorBidi"/>
          <w:sz w:val="24"/>
          <w:szCs w:val="24"/>
        </w:rPr>
        <w:t xml:space="preserve">, </w:t>
      </w:r>
      <w:r w:rsidRPr="005C1001">
        <w:rPr>
          <w:rFonts w:asciiTheme="majorBidi" w:hAnsiTheme="majorBidi" w:cstheme="majorBidi"/>
          <w:i/>
          <w:iCs/>
          <w:sz w:val="24"/>
          <w:szCs w:val="24"/>
        </w:rPr>
        <w:t>M. tetranemus</w:t>
      </w:r>
      <w:r w:rsidRPr="005C1001">
        <w:rPr>
          <w:rFonts w:asciiTheme="majorBidi" w:hAnsiTheme="majorBidi" w:cstheme="majorBidi"/>
          <w:sz w:val="24"/>
          <w:szCs w:val="24"/>
        </w:rPr>
        <w:t xml:space="preserve">, </w:t>
      </w:r>
      <w:r w:rsidRPr="005C1001">
        <w:rPr>
          <w:rFonts w:asciiTheme="majorBidi" w:hAnsiTheme="majorBidi" w:cstheme="majorBidi"/>
          <w:i/>
          <w:iCs/>
          <w:sz w:val="24"/>
          <w:szCs w:val="24"/>
        </w:rPr>
        <w:t>M. zacae</w:t>
      </w:r>
      <w:r w:rsidRPr="005C1001">
        <w:rPr>
          <w:rFonts w:asciiTheme="majorBidi" w:hAnsiTheme="majorBidi" w:cstheme="majorBidi"/>
          <w:sz w:val="24"/>
          <w:szCs w:val="24"/>
        </w:rPr>
        <w:t xml:space="preserve">, and the </w:t>
      </w:r>
      <w:r w:rsidRPr="005C1001">
        <w:rPr>
          <w:rFonts w:asciiTheme="majorBidi" w:hAnsiTheme="majorBidi" w:cstheme="majorBidi"/>
          <w:i/>
          <w:iCs/>
          <w:sz w:val="24"/>
          <w:szCs w:val="24"/>
        </w:rPr>
        <w:t>M. hubbsi-M. polyporosus</w:t>
      </w:r>
      <w:r w:rsidRPr="005C1001">
        <w:rPr>
          <w:rFonts w:asciiTheme="majorBidi" w:hAnsiTheme="majorBidi" w:cstheme="majorBidi"/>
          <w:sz w:val="24"/>
          <w:szCs w:val="24"/>
        </w:rPr>
        <w:t xml:space="preserve"> species complex (Fig. </w:t>
      </w:r>
      <w:r w:rsidR="0048478B">
        <w:rPr>
          <w:rFonts w:asciiTheme="majorBidi" w:hAnsiTheme="majorBidi" w:cstheme="majorBidi"/>
          <w:sz w:val="24"/>
          <w:szCs w:val="24"/>
        </w:rPr>
        <w:t>3.</w:t>
      </w:r>
      <w:r w:rsidRPr="005C1001">
        <w:rPr>
          <w:rFonts w:asciiTheme="majorBidi" w:hAnsiTheme="majorBidi" w:cstheme="majorBidi"/>
          <w:sz w:val="24"/>
          <w:szCs w:val="24"/>
        </w:rPr>
        <w:t>1</w:t>
      </w:r>
      <w:r w:rsidRPr="005C1001">
        <w:rPr>
          <w:rFonts w:asciiTheme="majorBidi" w:hAnsiTheme="majorBidi" w:cstheme="majorBidi"/>
          <w:i/>
          <w:iCs/>
          <w:sz w:val="24"/>
          <w:szCs w:val="24"/>
        </w:rPr>
        <w:t>A</w:t>
      </w:r>
      <w:r w:rsidRPr="005C1001">
        <w:rPr>
          <w:rFonts w:asciiTheme="majorBidi" w:hAnsiTheme="majorBidi" w:cstheme="majorBidi"/>
          <w:sz w:val="24"/>
          <w:szCs w:val="24"/>
        </w:rPr>
        <w:t xml:space="preserve">, </w:t>
      </w:r>
      <w:r w:rsidRPr="005C1001">
        <w:rPr>
          <w:rFonts w:asciiTheme="majorBidi" w:hAnsiTheme="majorBidi" w:cstheme="majorBidi"/>
          <w:i/>
          <w:iCs/>
          <w:sz w:val="24"/>
          <w:szCs w:val="24"/>
        </w:rPr>
        <w:t>Appendix</w:t>
      </w:r>
      <w:r w:rsidR="0048478B">
        <w:rPr>
          <w:rFonts w:asciiTheme="majorBidi" w:hAnsiTheme="majorBidi" w:cstheme="majorBidi"/>
          <w:i/>
          <w:iCs/>
          <w:sz w:val="24"/>
          <w:szCs w:val="24"/>
        </w:rPr>
        <w:t xml:space="preserve"> C</w:t>
      </w:r>
      <w:r w:rsidRPr="005C1001">
        <w:rPr>
          <w:rFonts w:asciiTheme="majorBidi" w:hAnsiTheme="majorBidi" w:cstheme="majorBidi"/>
          <w:i/>
          <w:iCs/>
          <w:sz w:val="24"/>
          <w:szCs w:val="24"/>
        </w:rPr>
        <w:t xml:space="preserve">, </w:t>
      </w:r>
      <w:r w:rsidRPr="005C1001">
        <w:rPr>
          <w:rFonts w:asciiTheme="majorBidi" w:hAnsiTheme="majorBidi" w:cstheme="majorBidi"/>
          <w:sz w:val="24"/>
          <w:szCs w:val="24"/>
        </w:rPr>
        <w:t xml:space="preserve">Figs. S14–S15, S17–S18). Likewise, the CB acts as a strong barrier to dispersal with an effectiveness of 100%, splitting the population structure of </w:t>
      </w:r>
      <w:r w:rsidRPr="005C1001">
        <w:rPr>
          <w:rFonts w:asciiTheme="majorBidi" w:hAnsiTheme="majorBidi" w:cstheme="majorBidi"/>
          <w:i/>
          <w:iCs/>
          <w:sz w:val="24"/>
          <w:szCs w:val="24"/>
        </w:rPr>
        <w:t>M. ebisui</w:t>
      </w:r>
      <w:r w:rsidRPr="005C1001">
        <w:rPr>
          <w:rFonts w:asciiTheme="majorBidi" w:hAnsiTheme="majorBidi" w:cstheme="majorBidi"/>
          <w:sz w:val="24"/>
          <w:szCs w:val="24"/>
        </w:rPr>
        <w:t xml:space="preserve"> and </w:t>
      </w:r>
      <w:r w:rsidRPr="005C1001">
        <w:rPr>
          <w:rFonts w:asciiTheme="majorBidi" w:hAnsiTheme="majorBidi" w:cstheme="majorBidi"/>
          <w:i/>
          <w:iCs/>
          <w:sz w:val="24"/>
          <w:szCs w:val="24"/>
        </w:rPr>
        <w:t xml:space="preserve">M. tetranemus </w:t>
      </w:r>
      <w:r w:rsidRPr="005C1001">
        <w:rPr>
          <w:rFonts w:asciiTheme="majorBidi" w:hAnsiTheme="majorBidi" w:cstheme="majorBidi"/>
          <w:sz w:val="24"/>
          <w:szCs w:val="24"/>
        </w:rPr>
        <w:t xml:space="preserve">(Fig. </w:t>
      </w:r>
      <w:r w:rsidR="0048478B">
        <w:rPr>
          <w:rFonts w:asciiTheme="majorBidi" w:hAnsiTheme="majorBidi" w:cstheme="majorBidi"/>
          <w:sz w:val="24"/>
          <w:szCs w:val="24"/>
        </w:rPr>
        <w:t>3.</w:t>
      </w:r>
      <w:r w:rsidRPr="005C1001">
        <w:rPr>
          <w:rFonts w:asciiTheme="majorBidi" w:hAnsiTheme="majorBidi" w:cstheme="majorBidi"/>
          <w:sz w:val="24"/>
          <w:szCs w:val="24"/>
        </w:rPr>
        <w:t>1</w:t>
      </w:r>
      <w:r w:rsidRPr="005C1001">
        <w:rPr>
          <w:rFonts w:asciiTheme="majorBidi" w:hAnsiTheme="majorBidi" w:cstheme="majorBidi"/>
          <w:i/>
          <w:iCs/>
          <w:sz w:val="24"/>
          <w:szCs w:val="24"/>
        </w:rPr>
        <w:t>A</w:t>
      </w:r>
      <w:r w:rsidRPr="005C1001">
        <w:rPr>
          <w:rFonts w:asciiTheme="majorBidi" w:hAnsiTheme="majorBidi" w:cstheme="majorBidi"/>
          <w:sz w:val="24"/>
          <w:szCs w:val="24"/>
        </w:rPr>
        <w:t xml:space="preserve">, </w:t>
      </w:r>
      <w:r w:rsidRPr="005C1001">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5C1001">
        <w:rPr>
          <w:rFonts w:asciiTheme="majorBidi" w:hAnsiTheme="majorBidi" w:cstheme="majorBidi"/>
          <w:i/>
          <w:iCs/>
          <w:sz w:val="24"/>
          <w:szCs w:val="24"/>
        </w:rPr>
        <w:t>,</w:t>
      </w:r>
      <w:r w:rsidRPr="005C1001">
        <w:rPr>
          <w:rFonts w:asciiTheme="majorBidi" w:hAnsiTheme="majorBidi" w:cstheme="majorBidi"/>
          <w:sz w:val="24"/>
          <w:szCs w:val="24"/>
        </w:rPr>
        <w:t xml:space="preserve"> Figs. S13 and S17). The OOGB also influences </w:t>
      </w:r>
      <w:r w:rsidRPr="005C1001">
        <w:rPr>
          <w:rFonts w:asciiTheme="majorBidi" w:hAnsiTheme="majorBidi" w:cstheme="majorBidi"/>
          <w:i/>
          <w:iCs/>
          <w:sz w:val="24"/>
          <w:szCs w:val="24"/>
        </w:rPr>
        <w:t>M. tetranemus</w:t>
      </w:r>
      <w:r w:rsidRPr="005C1001">
        <w:rPr>
          <w:rFonts w:asciiTheme="majorBidi" w:hAnsiTheme="majorBidi" w:cstheme="majorBidi"/>
          <w:sz w:val="24"/>
          <w:szCs w:val="24"/>
        </w:rPr>
        <w:t>, however, only the DAPC’s PC2 axis (12–13.3%) captured this particular pattern (</w:t>
      </w:r>
      <w:r w:rsidRPr="005C1001">
        <w:rPr>
          <w:rFonts w:asciiTheme="majorBidi" w:hAnsiTheme="majorBidi" w:cstheme="majorBidi"/>
          <w:i/>
          <w:iCs/>
          <w:sz w:val="24"/>
          <w:szCs w:val="24"/>
        </w:rPr>
        <w:t>Appendix</w:t>
      </w:r>
      <w:r w:rsidR="009B7474">
        <w:rPr>
          <w:rFonts w:asciiTheme="majorBidi" w:hAnsiTheme="majorBidi" w:cstheme="majorBidi"/>
          <w:i/>
          <w:iCs/>
          <w:sz w:val="24"/>
          <w:szCs w:val="24"/>
        </w:rPr>
        <w:t xml:space="preserve"> C</w:t>
      </w:r>
      <w:r w:rsidRPr="005C1001">
        <w:rPr>
          <w:rFonts w:asciiTheme="majorBidi" w:hAnsiTheme="majorBidi" w:cstheme="majorBidi"/>
          <w:i/>
          <w:iCs/>
          <w:sz w:val="24"/>
          <w:szCs w:val="24"/>
        </w:rPr>
        <w:t xml:space="preserve">, </w:t>
      </w:r>
      <w:r w:rsidRPr="005C1001">
        <w:rPr>
          <w:rFonts w:asciiTheme="majorBidi" w:hAnsiTheme="majorBidi" w:cstheme="majorBidi"/>
          <w:sz w:val="24"/>
          <w:szCs w:val="24"/>
        </w:rPr>
        <w:t xml:space="preserve">Fig. S17 </w:t>
      </w:r>
      <w:r w:rsidRPr="005C1001">
        <w:rPr>
          <w:rFonts w:asciiTheme="majorBidi" w:hAnsiTheme="majorBidi" w:cstheme="majorBidi"/>
          <w:i/>
          <w:iCs/>
          <w:sz w:val="24"/>
          <w:szCs w:val="24"/>
        </w:rPr>
        <w:t xml:space="preserve">E </w:t>
      </w:r>
      <w:r w:rsidRPr="005C1001">
        <w:rPr>
          <w:rFonts w:asciiTheme="majorBidi" w:hAnsiTheme="majorBidi" w:cstheme="majorBidi"/>
          <w:sz w:val="24"/>
          <w:szCs w:val="24"/>
        </w:rPr>
        <w:t xml:space="preserve">and </w:t>
      </w:r>
      <w:r w:rsidRPr="005C1001">
        <w:rPr>
          <w:rFonts w:asciiTheme="majorBidi" w:hAnsiTheme="majorBidi" w:cstheme="majorBidi"/>
          <w:i/>
          <w:iCs/>
          <w:sz w:val="24"/>
          <w:szCs w:val="24"/>
        </w:rPr>
        <w:t>F</w:t>
      </w:r>
      <w:r w:rsidRPr="005C1001">
        <w:rPr>
          <w:rFonts w:asciiTheme="majorBidi" w:hAnsiTheme="majorBidi" w:cstheme="majorBidi"/>
          <w:sz w:val="24"/>
          <w:szCs w:val="24"/>
        </w:rPr>
        <w:t xml:space="preserve">). Our data also unveiled the Panama gyre (PGB), a marine break attributed to environmental conditions unchained by seasonal upwellings </w:t>
      </w:r>
      <w:r w:rsidRPr="005C1001">
        <w:rPr>
          <w:rFonts w:asciiTheme="majorBidi" w:hAnsiTheme="majorBidi" w:cstheme="majorBidi"/>
          <w:sz w:val="24"/>
          <w:szCs w:val="24"/>
        </w:rPr>
        <w:fldChar w:fldCharType="begin" w:fldLock="1"/>
      </w:r>
      <w:r w:rsidRPr="005C1001">
        <w:rPr>
          <w:rFonts w:asciiTheme="majorBidi" w:hAnsiTheme="majorBidi" w:cstheme="majorBidi"/>
          <w:sz w:val="24"/>
          <w:szCs w:val="24"/>
        </w:rPr>
        <w:instrText>ADDIN CSL_CITATION {"citationItems":[{"id":"ITEM-1","itemData":{"DOI":"10.1016/j.ympev.2018.10.020","ISSN":"10959513","abstract":"Habitat discontinuities, temperature gradients, upwelling systems, and ocean currents, gyres and fronts, can affect distributions of species with narrow environmental tolerance or motility and influence the dispersal of pelagic larvae, with effects ranging from the isolation of adjacent populations to connections between them. The coast of the Tropical Eastern Pacific (TEP) is a highly dynamic environment, with various large gyres and upwelling systems, alternating currents and large rocky-habitat discontinuities, which may greatly influence the genetic connectivity of populations in different parts of the coast. Elacatinus puncticulatus is a cryptic, shallow-living goby that is distributed along the continental shore of virtually the entire TEP, which makes it a good model for testing the influence of these environmental characteristics in the molecular evolution of widespread species in this region. A multilocus phylogeny was used to evaluate the influence of habitat gaps, and oceanographic processes in the evolutionary history of E. puncticulatus throughout its geographical range in the TEP. Two well-supported allopatric clades (one with two allopatric subclades) were recovered, the geographic distribution of which does not correspond to any previously proposed major biogeographic provinces. These populations show strong genetic structure and substantial genetic distances between clades and sub-clades (cytb 0.8–7.3%), with divergence times between them ranging from 0.53 to 4.88 Mya, and recent population expansions dated at 170–130 Kya. The ancestral area of all populations appears to be the Gulf of Panama, while several isolation events have formed the phylogeographic patterns evident in this species. Local and regional oceanographic processes as well as habitat discontinuities have shaped the distribution patterns of the genetic lineages along the continental TEP. Large genetic distances, high genetic differentiation, and the results of species-tree and phylogenetic analyses indicate that E. puncticulatus comprises a complex of three allopatric species with an unusual geographic arrangement.","author":[{"dropping-particle":"","family":"Sandoval-Huerta","given":"E. R.","non-dropping-particle":"","parse-names":false,"suffix":""},{"dropping-particle":"","family":"Beltrán-López","given":"R. G.","non-dropping-particle":"","parse-names":false,"suffix":""},{"dropping-particle":"","family":"Pedraza-Marrón","given":"C. R.","non-dropping-particle":"","parse-names":false,"suffix":""},{"dropping-particle":"","family":"Paz-Velásquez","given":"M. A.","non-dropping-particle":"","parse-names":false,"suffix":""},{"dropping-particle":"","family":"Angulo","given":"A.","non-dropping-particle":"","parse-names":false,"suffix":""},{"dropping-particle":"","family":"Robertson","given":"D. R.","non-dropping-particle":"","parse-names":false,"suffix":""},{"dropping-particle":"","family":"Espinoza","given":"E.","non-dropping-particle":"","parse-names":false,"suffix":""},{"dropping-particle":"","family":"Domínguez-Domínguez","given":"O.","non-dropping-particle":"","parse-names":false,"suffix":""}],"container-title":"Molecular Phylogenetics and Evolution","id":"ITEM-1","issue":"May 2018","issued":{"date-parts":[["2019"]]},"page":"269-285","publisher":"Elsevier","title":"The evolutionary history of the goby Elacatinus puncticulatus in the tropical eastern pacific: Effects of habitat discontinuities and local environmental variability","type":"article-journal","volume":"130"},"uris":["http://www.mendeley.com/documents/?uuid=208f8326-03fb-4a29-a3a4-6413277c0e7b"]}],"mendeley":{"formattedCitation":"(15)","plainTextFormattedCitation":"(15)","previouslyFormattedCitation":"(15)"},"properties":{"noteIndex":0},"schema":"https://github.com/citation-style-language/schema/raw/master/csl-citation.json"}</w:instrText>
      </w:r>
      <w:r w:rsidRPr="005C1001">
        <w:rPr>
          <w:rFonts w:asciiTheme="majorBidi" w:hAnsiTheme="majorBidi" w:cstheme="majorBidi"/>
          <w:sz w:val="24"/>
          <w:szCs w:val="24"/>
        </w:rPr>
        <w:fldChar w:fldCharType="separate"/>
      </w:r>
      <w:r w:rsidRPr="005C1001">
        <w:rPr>
          <w:rFonts w:asciiTheme="majorBidi" w:hAnsiTheme="majorBidi" w:cstheme="majorBidi"/>
          <w:sz w:val="24"/>
          <w:szCs w:val="24"/>
        </w:rPr>
        <w:t>(15)</w:t>
      </w:r>
      <w:r w:rsidRPr="005C1001">
        <w:rPr>
          <w:rFonts w:asciiTheme="majorBidi" w:hAnsiTheme="majorBidi" w:cstheme="majorBidi"/>
          <w:sz w:val="24"/>
          <w:szCs w:val="24"/>
        </w:rPr>
        <w:fldChar w:fldCharType="end"/>
      </w:r>
      <w:r w:rsidRPr="005C1001">
        <w:rPr>
          <w:rFonts w:asciiTheme="majorBidi" w:hAnsiTheme="majorBidi" w:cstheme="majorBidi"/>
          <w:sz w:val="24"/>
          <w:szCs w:val="24"/>
        </w:rPr>
        <w:t xml:space="preserve">, disrupting connectivity among the populations of </w:t>
      </w:r>
      <w:r w:rsidRPr="005C1001">
        <w:rPr>
          <w:rFonts w:asciiTheme="majorBidi" w:hAnsiTheme="majorBidi" w:cstheme="majorBidi"/>
          <w:i/>
          <w:iCs/>
          <w:sz w:val="24"/>
          <w:szCs w:val="24"/>
        </w:rPr>
        <w:t xml:space="preserve">M. sudensis </w:t>
      </w:r>
      <w:r w:rsidRPr="005C1001">
        <w:rPr>
          <w:rFonts w:asciiTheme="majorBidi" w:hAnsiTheme="majorBidi" w:cstheme="majorBidi"/>
          <w:sz w:val="24"/>
          <w:szCs w:val="24"/>
        </w:rPr>
        <w:t xml:space="preserve">(Fig. </w:t>
      </w:r>
      <w:r w:rsidR="0048478B">
        <w:rPr>
          <w:rFonts w:asciiTheme="majorBidi" w:hAnsiTheme="majorBidi" w:cstheme="majorBidi"/>
          <w:sz w:val="24"/>
          <w:szCs w:val="24"/>
        </w:rPr>
        <w:t>3.</w:t>
      </w:r>
      <w:r w:rsidRPr="005C1001">
        <w:rPr>
          <w:rFonts w:asciiTheme="majorBidi" w:hAnsiTheme="majorBidi" w:cstheme="majorBidi"/>
          <w:sz w:val="24"/>
          <w:szCs w:val="24"/>
        </w:rPr>
        <w:t>1</w:t>
      </w:r>
      <w:r w:rsidRPr="005C1001">
        <w:rPr>
          <w:rFonts w:asciiTheme="majorBidi" w:hAnsiTheme="majorBidi" w:cstheme="majorBidi"/>
          <w:i/>
          <w:iCs/>
          <w:sz w:val="24"/>
          <w:szCs w:val="24"/>
        </w:rPr>
        <w:t>A</w:t>
      </w:r>
      <w:r w:rsidRPr="005C1001">
        <w:rPr>
          <w:rFonts w:asciiTheme="majorBidi" w:hAnsiTheme="majorBidi" w:cstheme="majorBidi"/>
          <w:sz w:val="24"/>
          <w:szCs w:val="24"/>
        </w:rPr>
        <w:t xml:space="preserve">, </w:t>
      </w:r>
      <w:r w:rsidRPr="005C1001">
        <w:rPr>
          <w:rFonts w:asciiTheme="majorBidi" w:hAnsiTheme="majorBidi" w:cstheme="majorBidi"/>
          <w:i/>
          <w:iCs/>
          <w:sz w:val="24"/>
          <w:szCs w:val="24"/>
        </w:rPr>
        <w:t>Appendix</w:t>
      </w:r>
      <w:r w:rsidR="009B7474">
        <w:rPr>
          <w:rFonts w:asciiTheme="majorBidi" w:hAnsiTheme="majorBidi" w:cstheme="majorBidi"/>
          <w:i/>
          <w:iCs/>
          <w:sz w:val="24"/>
          <w:szCs w:val="24"/>
        </w:rPr>
        <w:t xml:space="preserve"> C</w:t>
      </w:r>
      <w:r w:rsidRPr="005C1001">
        <w:rPr>
          <w:rFonts w:asciiTheme="majorBidi" w:hAnsiTheme="majorBidi" w:cstheme="majorBidi"/>
          <w:i/>
          <w:iCs/>
          <w:sz w:val="24"/>
          <w:szCs w:val="24"/>
        </w:rPr>
        <w:t>,</w:t>
      </w:r>
      <w:r w:rsidRPr="005C1001">
        <w:rPr>
          <w:rFonts w:asciiTheme="majorBidi" w:hAnsiTheme="majorBidi" w:cstheme="majorBidi"/>
          <w:sz w:val="24"/>
          <w:szCs w:val="24"/>
        </w:rPr>
        <w:t xml:space="preserve"> Fig. S16). Additionally, we observed five instances of potential new breaks (PNB), though they were mostly idiosyncratic (Fig. </w:t>
      </w:r>
      <w:r w:rsidR="0048478B">
        <w:rPr>
          <w:rFonts w:asciiTheme="majorBidi" w:hAnsiTheme="majorBidi" w:cstheme="majorBidi"/>
          <w:sz w:val="24"/>
          <w:szCs w:val="24"/>
        </w:rPr>
        <w:t>3.</w:t>
      </w:r>
      <w:r w:rsidRPr="005C1001">
        <w:rPr>
          <w:rFonts w:asciiTheme="majorBidi" w:hAnsiTheme="majorBidi" w:cstheme="majorBidi"/>
          <w:sz w:val="24"/>
          <w:szCs w:val="24"/>
        </w:rPr>
        <w:t>1</w:t>
      </w:r>
      <w:r w:rsidRPr="005C1001">
        <w:rPr>
          <w:rFonts w:asciiTheme="majorBidi" w:hAnsiTheme="majorBidi" w:cstheme="majorBidi"/>
          <w:i/>
          <w:iCs/>
          <w:sz w:val="24"/>
          <w:szCs w:val="24"/>
        </w:rPr>
        <w:t>A</w:t>
      </w:r>
      <w:r w:rsidRPr="005C1001">
        <w:rPr>
          <w:rFonts w:asciiTheme="majorBidi" w:hAnsiTheme="majorBidi" w:cstheme="majorBidi"/>
          <w:sz w:val="24"/>
          <w:szCs w:val="24"/>
        </w:rPr>
        <w:t xml:space="preserve">; see details </w:t>
      </w:r>
      <w:r w:rsidRPr="005C1001">
        <w:rPr>
          <w:rFonts w:asciiTheme="majorBidi" w:hAnsiTheme="majorBidi" w:cstheme="majorBidi"/>
          <w:i/>
          <w:iCs/>
          <w:sz w:val="24"/>
          <w:szCs w:val="24"/>
        </w:rPr>
        <w:t>Appendix</w:t>
      </w:r>
      <w:r w:rsidR="009B7474">
        <w:rPr>
          <w:rFonts w:asciiTheme="majorBidi" w:hAnsiTheme="majorBidi" w:cstheme="majorBidi"/>
          <w:i/>
          <w:iCs/>
          <w:sz w:val="24"/>
          <w:szCs w:val="24"/>
        </w:rPr>
        <w:t xml:space="preserve"> C</w:t>
      </w:r>
      <w:r w:rsidRPr="005C1001">
        <w:rPr>
          <w:rFonts w:asciiTheme="majorBidi" w:hAnsiTheme="majorBidi" w:cstheme="majorBidi"/>
          <w:i/>
          <w:iCs/>
          <w:sz w:val="24"/>
          <w:szCs w:val="24"/>
        </w:rPr>
        <w:t xml:space="preserve">, Supplementary Results, </w:t>
      </w:r>
      <w:r w:rsidRPr="005C1001">
        <w:rPr>
          <w:rFonts w:asciiTheme="majorBidi" w:hAnsiTheme="majorBidi" w:cstheme="majorBidi"/>
          <w:sz w:val="24"/>
          <w:szCs w:val="24"/>
        </w:rPr>
        <w:t>Figs.</w:t>
      </w:r>
      <w:r w:rsidR="0048478B" w:rsidRPr="0048478B">
        <w:rPr>
          <w:rFonts w:asciiTheme="majorBidi" w:hAnsiTheme="majorBidi" w:cstheme="majorBidi"/>
          <w:sz w:val="24"/>
          <w:szCs w:val="24"/>
        </w:rPr>
        <w:t xml:space="preserve"> </w:t>
      </w:r>
      <w:r w:rsidRPr="005C1001">
        <w:rPr>
          <w:rFonts w:asciiTheme="majorBidi" w:hAnsiTheme="majorBidi" w:cstheme="majorBidi"/>
          <w:sz w:val="24"/>
          <w:szCs w:val="24"/>
        </w:rPr>
        <w:t>S13, S16–17, and S19).</w:t>
      </w:r>
    </w:p>
    <w:p w14:paraId="039D594B" w14:textId="77777777" w:rsidR="00EC7A48" w:rsidRDefault="009B187C" w:rsidP="009B187C">
      <w:pPr>
        <w:ind w:firstLine="720"/>
        <w:jc w:val="both"/>
        <w:rPr>
          <w:rFonts w:asciiTheme="majorBidi" w:hAnsiTheme="majorBidi" w:cstheme="majorBidi"/>
          <w:sz w:val="24"/>
          <w:szCs w:val="24"/>
        </w:rPr>
      </w:pPr>
      <w:r w:rsidRPr="009B187C">
        <w:rPr>
          <w:rFonts w:asciiTheme="majorBidi" w:hAnsiTheme="majorBidi" w:cstheme="majorBidi"/>
          <w:sz w:val="24"/>
          <w:szCs w:val="24"/>
        </w:rPr>
        <w:t xml:space="preserve">In the TA, the Eastern Caribbean Break (ECB) disrupted connectivity for all seven species assessed, emerging as the predominant barrier in the region. This was followed by the Bahamas Break (BB) and the Gulf of Mexico Break (GMB), which hindered dispersal in five and four out of the six species evaluated, respectively (Fig. </w:t>
      </w:r>
      <w:r w:rsidR="00D002A3">
        <w:rPr>
          <w:rFonts w:asciiTheme="majorBidi" w:hAnsiTheme="majorBidi" w:cstheme="majorBidi"/>
          <w:sz w:val="24"/>
          <w:szCs w:val="24"/>
        </w:rPr>
        <w:t>3.</w:t>
      </w:r>
      <w:r w:rsidRPr="009B187C">
        <w:rPr>
          <w:rFonts w:asciiTheme="majorBidi" w:hAnsiTheme="majorBidi" w:cstheme="majorBidi"/>
          <w:sz w:val="24"/>
          <w:szCs w:val="24"/>
        </w:rPr>
        <w:t>1</w:t>
      </w:r>
      <w:r w:rsidRPr="009B187C">
        <w:rPr>
          <w:rFonts w:asciiTheme="majorBidi" w:hAnsiTheme="majorBidi" w:cstheme="majorBidi"/>
          <w:i/>
          <w:iCs/>
          <w:sz w:val="24"/>
          <w:szCs w:val="24"/>
        </w:rPr>
        <w:t>B</w:t>
      </w:r>
      <w:r w:rsidRPr="009B187C">
        <w:rPr>
          <w:rFonts w:asciiTheme="majorBidi" w:hAnsiTheme="majorBidi" w:cstheme="majorBidi"/>
          <w:sz w:val="24"/>
          <w:szCs w:val="24"/>
        </w:rPr>
        <w:t xml:space="preserve">, </w:t>
      </w:r>
      <w:r w:rsidRPr="009B187C">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9B187C">
        <w:rPr>
          <w:rFonts w:asciiTheme="majorBidi" w:hAnsiTheme="majorBidi" w:cstheme="majorBidi"/>
          <w:i/>
          <w:iCs/>
          <w:sz w:val="24"/>
          <w:szCs w:val="24"/>
        </w:rPr>
        <w:t>,</w:t>
      </w:r>
      <w:r w:rsidRPr="009B187C">
        <w:rPr>
          <w:rFonts w:asciiTheme="majorBidi" w:hAnsiTheme="majorBidi" w:cstheme="majorBidi"/>
          <w:sz w:val="24"/>
          <w:szCs w:val="24"/>
        </w:rPr>
        <w:t xml:space="preserve"> Figs. S20–S25). The BB affected population connectivity in </w:t>
      </w:r>
      <w:r w:rsidRPr="009B187C">
        <w:rPr>
          <w:rFonts w:asciiTheme="majorBidi" w:hAnsiTheme="majorBidi" w:cstheme="majorBidi"/>
          <w:i/>
          <w:iCs/>
          <w:sz w:val="24"/>
          <w:szCs w:val="24"/>
        </w:rPr>
        <w:t>M. erdmani</w:t>
      </w:r>
      <w:r w:rsidRPr="009B187C">
        <w:rPr>
          <w:rFonts w:asciiTheme="majorBidi" w:hAnsiTheme="majorBidi" w:cstheme="majorBidi"/>
          <w:sz w:val="24"/>
          <w:szCs w:val="24"/>
        </w:rPr>
        <w:t xml:space="preserve">, </w:t>
      </w:r>
      <w:r w:rsidRPr="009B187C">
        <w:rPr>
          <w:rFonts w:asciiTheme="majorBidi" w:hAnsiTheme="majorBidi" w:cstheme="majorBidi"/>
          <w:i/>
          <w:iCs/>
          <w:sz w:val="24"/>
          <w:szCs w:val="24"/>
        </w:rPr>
        <w:t>M. gilli</w:t>
      </w:r>
      <w:r w:rsidRPr="009B187C">
        <w:rPr>
          <w:rFonts w:asciiTheme="majorBidi" w:hAnsiTheme="majorBidi" w:cstheme="majorBidi"/>
          <w:sz w:val="24"/>
          <w:szCs w:val="24"/>
        </w:rPr>
        <w:t xml:space="preserve">, </w:t>
      </w:r>
      <w:r w:rsidRPr="009B187C">
        <w:rPr>
          <w:rFonts w:asciiTheme="majorBidi" w:hAnsiTheme="majorBidi" w:cstheme="majorBidi"/>
          <w:i/>
          <w:iCs/>
          <w:sz w:val="24"/>
          <w:szCs w:val="24"/>
        </w:rPr>
        <w:t>M.  triangulatus</w:t>
      </w:r>
      <w:r w:rsidRPr="009B187C">
        <w:rPr>
          <w:rFonts w:asciiTheme="majorBidi" w:hAnsiTheme="majorBidi" w:cstheme="majorBidi"/>
          <w:sz w:val="24"/>
          <w:szCs w:val="24"/>
        </w:rPr>
        <w:t xml:space="preserve">, </w:t>
      </w:r>
      <w:r w:rsidRPr="009B187C">
        <w:rPr>
          <w:rFonts w:asciiTheme="majorBidi" w:hAnsiTheme="majorBidi" w:cstheme="majorBidi"/>
          <w:i/>
          <w:iCs/>
          <w:sz w:val="24"/>
          <w:szCs w:val="24"/>
        </w:rPr>
        <w:t>M. macropus</w:t>
      </w:r>
      <w:r w:rsidRPr="009B187C">
        <w:rPr>
          <w:rFonts w:asciiTheme="majorBidi" w:hAnsiTheme="majorBidi" w:cstheme="majorBidi"/>
          <w:sz w:val="24"/>
          <w:szCs w:val="24"/>
        </w:rPr>
        <w:t xml:space="preserve"> and </w:t>
      </w:r>
      <w:r w:rsidRPr="009B187C">
        <w:rPr>
          <w:rFonts w:asciiTheme="majorBidi" w:hAnsiTheme="majorBidi" w:cstheme="majorBidi"/>
          <w:i/>
          <w:iCs/>
          <w:sz w:val="24"/>
          <w:szCs w:val="24"/>
        </w:rPr>
        <w:t xml:space="preserve">M. versicolor </w:t>
      </w:r>
      <w:r w:rsidRPr="009B187C">
        <w:rPr>
          <w:rFonts w:asciiTheme="majorBidi" w:hAnsiTheme="majorBidi" w:cstheme="majorBidi"/>
          <w:sz w:val="24"/>
          <w:szCs w:val="24"/>
        </w:rPr>
        <w:t xml:space="preserve">(Fig. </w:t>
      </w:r>
      <w:r w:rsidR="00D002A3">
        <w:rPr>
          <w:rFonts w:asciiTheme="majorBidi" w:hAnsiTheme="majorBidi" w:cstheme="majorBidi"/>
          <w:sz w:val="24"/>
          <w:szCs w:val="24"/>
        </w:rPr>
        <w:t>3.</w:t>
      </w:r>
      <w:r w:rsidRPr="009B187C">
        <w:rPr>
          <w:rFonts w:asciiTheme="majorBidi" w:hAnsiTheme="majorBidi" w:cstheme="majorBidi"/>
          <w:sz w:val="24"/>
          <w:szCs w:val="24"/>
        </w:rPr>
        <w:t>1</w:t>
      </w:r>
      <w:r w:rsidRPr="009B187C">
        <w:rPr>
          <w:rFonts w:asciiTheme="majorBidi" w:hAnsiTheme="majorBidi" w:cstheme="majorBidi"/>
          <w:i/>
          <w:iCs/>
          <w:sz w:val="24"/>
          <w:szCs w:val="24"/>
        </w:rPr>
        <w:t>B</w:t>
      </w:r>
      <w:r w:rsidRPr="009B187C">
        <w:rPr>
          <w:rFonts w:asciiTheme="majorBidi" w:hAnsiTheme="majorBidi" w:cstheme="majorBidi"/>
          <w:sz w:val="24"/>
          <w:szCs w:val="24"/>
        </w:rPr>
        <w:t xml:space="preserve">, </w:t>
      </w:r>
      <w:r w:rsidRPr="009B187C">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9B187C">
        <w:rPr>
          <w:rFonts w:asciiTheme="majorBidi" w:hAnsiTheme="majorBidi" w:cstheme="majorBidi"/>
          <w:i/>
          <w:iCs/>
          <w:sz w:val="24"/>
          <w:szCs w:val="24"/>
        </w:rPr>
        <w:t xml:space="preserve">, </w:t>
      </w:r>
      <w:r w:rsidRPr="009B187C">
        <w:rPr>
          <w:rFonts w:asciiTheme="majorBidi" w:hAnsiTheme="majorBidi" w:cstheme="majorBidi"/>
          <w:sz w:val="24"/>
          <w:szCs w:val="24"/>
        </w:rPr>
        <w:t xml:space="preserve">Figs. S22–26). Similarly, the GMB affected those species, except for </w:t>
      </w:r>
      <w:r w:rsidRPr="009B187C">
        <w:rPr>
          <w:rFonts w:asciiTheme="majorBidi" w:hAnsiTheme="majorBidi" w:cstheme="majorBidi"/>
          <w:i/>
          <w:iCs/>
          <w:sz w:val="24"/>
          <w:szCs w:val="24"/>
        </w:rPr>
        <w:t>M. triangulatus</w:t>
      </w:r>
      <w:r w:rsidRPr="009B187C">
        <w:rPr>
          <w:rFonts w:asciiTheme="majorBidi" w:hAnsiTheme="majorBidi" w:cstheme="majorBidi"/>
          <w:sz w:val="24"/>
          <w:szCs w:val="24"/>
        </w:rPr>
        <w:t xml:space="preserve">. In this region, we also observed instances where the evaluated marine breaks did not have an important effect on population structure. The Western Caribbean Break, which was evaluated for six species, seems to influence only the genetic connectivity among the populations of </w:t>
      </w:r>
      <w:r w:rsidRPr="009B187C">
        <w:rPr>
          <w:rFonts w:asciiTheme="majorBidi" w:hAnsiTheme="majorBidi" w:cstheme="majorBidi"/>
          <w:i/>
          <w:iCs/>
          <w:sz w:val="24"/>
          <w:szCs w:val="24"/>
        </w:rPr>
        <w:t>M. erdmani</w:t>
      </w:r>
      <w:r w:rsidRPr="009B187C">
        <w:rPr>
          <w:rFonts w:asciiTheme="majorBidi" w:hAnsiTheme="majorBidi" w:cstheme="majorBidi"/>
          <w:sz w:val="24"/>
          <w:szCs w:val="24"/>
        </w:rPr>
        <w:t xml:space="preserve">, </w:t>
      </w:r>
      <w:r w:rsidRPr="009B187C">
        <w:rPr>
          <w:rFonts w:asciiTheme="majorBidi" w:hAnsiTheme="majorBidi" w:cstheme="majorBidi"/>
          <w:i/>
          <w:iCs/>
          <w:sz w:val="24"/>
          <w:szCs w:val="24"/>
        </w:rPr>
        <w:t>M. gilli</w:t>
      </w:r>
      <w:r w:rsidRPr="009B187C">
        <w:rPr>
          <w:rFonts w:asciiTheme="majorBidi" w:hAnsiTheme="majorBidi" w:cstheme="majorBidi"/>
          <w:sz w:val="24"/>
          <w:szCs w:val="24"/>
        </w:rPr>
        <w:t xml:space="preserve">, and </w:t>
      </w:r>
      <w:r w:rsidRPr="009B187C">
        <w:rPr>
          <w:rFonts w:asciiTheme="majorBidi" w:hAnsiTheme="majorBidi" w:cstheme="majorBidi"/>
          <w:i/>
          <w:iCs/>
          <w:sz w:val="24"/>
          <w:szCs w:val="24"/>
        </w:rPr>
        <w:t xml:space="preserve">M.  triangulatus </w:t>
      </w:r>
      <w:r w:rsidRPr="009B187C">
        <w:rPr>
          <w:rFonts w:asciiTheme="majorBidi" w:hAnsiTheme="majorBidi" w:cstheme="majorBidi"/>
          <w:sz w:val="24"/>
          <w:szCs w:val="24"/>
        </w:rPr>
        <w:t xml:space="preserve">(Fig. </w:t>
      </w:r>
      <w:r w:rsidR="00D002A3">
        <w:rPr>
          <w:rFonts w:asciiTheme="majorBidi" w:hAnsiTheme="majorBidi" w:cstheme="majorBidi"/>
          <w:sz w:val="24"/>
          <w:szCs w:val="24"/>
        </w:rPr>
        <w:t>3.</w:t>
      </w:r>
      <w:r w:rsidRPr="009B187C">
        <w:rPr>
          <w:rFonts w:asciiTheme="majorBidi" w:hAnsiTheme="majorBidi" w:cstheme="majorBidi"/>
          <w:sz w:val="24"/>
          <w:szCs w:val="24"/>
        </w:rPr>
        <w:t>1</w:t>
      </w:r>
      <w:r w:rsidRPr="009B187C">
        <w:rPr>
          <w:rFonts w:asciiTheme="majorBidi" w:hAnsiTheme="majorBidi" w:cstheme="majorBidi"/>
          <w:i/>
          <w:iCs/>
          <w:sz w:val="24"/>
          <w:szCs w:val="24"/>
        </w:rPr>
        <w:t>B</w:t>
      </w:r>
      <w:r w:rsidRPr="009B187C">
        <w:rPr>
          <w:rFonts w:asciiTheme="majorBidi" w:hAnsiTheme="majorBidi" w:cstheme="majorBidi"/>
          <w:sz w:val="24"/>
          <w:szCs w:val="24"/>
        </w:rPr>
        <w:t xml:space="preserve">, </w:t>
      </w:r>
      <w:r w:rsidRPr="009B187C">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9B187C">
        <w:rPr>
          <w:rFonts w:asciiTheme="majorBidi" w:hAnsiTheme="majorBidi" w:cstheme="majorBidi"/>
          <w:i/>
          <w:iCs/>
          <w:sz w:val="24"/>
          <w:szCs w:val="24"/>
        </w:rPr>
        <w:t xml:space="preserve">, </w:t>
      </w:r>
      <w:r w:rsidRPr="009B187C">
        <w:rPr>
          <w:rFonts w:asciiTheme="majorBidi" w:hAnsiTheme="majorBidi" w:cstheme="majorBidi"/>
          <w:sz w:val="24"/>
          <w:szCs w:val="24"/>
        </w:rPr>
        <w:t xml:space="preserve">Figs. S22–S23 and S25). Notably, for </w:t>
      </w:r>
      <w:r w:rsidRPr="009B187C">
        <w:rPr>
          <w:rFonts w:asciiTheme="majorBidi" w:hAnsiTheme="majorBidi" w:cstheme="majorBidi"/>
          <w:i/>
          <w:iCs/>
          <w:sz w:val="24"/>
          <w:szCs w:val="24"/>
        </w:rPr>
        <w:t>M. triangulatus</w:t>
      </w:r>
      <w:r w:rsidRPr="009B187C">
        <w:rPr>
          <w:rFonts w:asciiTheme="majorBidi" w:hAnsiTheme="majorBidi" w:cstheme="majorBidi"/>
          <w:sz w:val="24"/>
          <w:szCs w:val="24"/>
        </w:rPr>
        <w:t xml:space="preserve">, we identified contrasting genetic structure patterns related to this barrier (see Discussion). The Yucatán Current Break (YCB) disrupted connectivity for </w:t>
      </w:r>
      <w:r w:rsidRPr="009B187C">
        <w:rPr>
          <w:rFonts w:asciiTheme="majorBidi" w:hAnsiTheme="majorBidi" w:cstheme="majorBidi"/>
          <w:i/>
          <w:iCs/>
          <w:sz w:val="24"/>
          <w:szCs w:val="24"/>
        </w:rPr>
        <w:t>M. erdmani</w:t>
      </w:r>
      <w:r w:rsidRPr="009B187C">
        <w:rPr>
          <w:rFonts w:asciiTheme="majorBidi" w:hAnsiTheme="majorBidi" w:cstheme="majorBidi"/>
          <w:sz w:val="24"/>
          <w:szCs w:val="24"/>
        </w:rPr>
        <w:t>,</w:t>
      </w:r>
      <w:r w:rsidRPr="009B187C">
        <w:rPr>
          <w:rFonts w:asciiTheme="majorBidi" w:hAnsiTheme="majorBidi" w:cstheme="majorBidi"/>
          <w:i/>
          <w:iCs/>
          <w:sz w:val="24"/>
          <w:szCs w:val="24"/>
        </w:rPr>
        <w:t xml:space="preserve"> M. gilli</w:t>
      </w:r>
      <w:r w:rsidRPr="009B187C">
        <w:rPr>
          <w:rFonts w:asciiTheme="majorBidi" w:hAnsiTheme="majorBidi" w:cstheme="majorBidi"/>
          <w:sz w:val="24"/>
          <w:szCs w:val="24"/>
        </w:rPr>
        <w:t xml:space="preserve">, and </w:t>
      </w:r>
      <w:r w:rsidRPr="009B187C">
        <w:rPr>
          <w:rFonts w:asciiTheme="majorBidi" w:hAnsiTheme="majorBidi" w:cstheme="majorBidi"/>
          <w:i/>
          <w:iCs/>
          <w:sz w:val="24"/>
          <w:szCs w:val="24"/>
        </w:rPr>
        <w:t xml:space="preserve">M.  triangulatus </w:t>
      </w:r>
      <w:r w:rsidRPr="009B187C">
        <w:rPr>
          <w:rFonts w:asciiTheme="majorBidi" w:hAnsiTheme="majorBidi" w:cstheme="majorBidi"/>
          <w:sz w:val="24"/>
          <w:szCs w:val="24"/>
        </w:rPr>
        <w:t xml:space="preserve">(Fig. </w:t>
      </w:r>
      <w:r w:rsidR="00D002A3">
        <w:rPr>
          <w:rFonts w:asciiTheme="majorBidi" w:hAnsiTheme="majorBidi" w:cstheme="majorBidi"/>
          <w:sz w:val="24"/>
          <w:szCs w:val="24"/>
        </w:rPr>
        <w:t>3.</w:t>
      </w:r>
      <w:r w:rsidRPr="009B187C">
        <w:rPr>
          <w:rFonts w:asciiTheme="majorBidi" w:hAnsiTheme="majorBidi" w:cstheme="majorBidi"/>
          <w:sz w:val="24"/>
          <w:szCs w:val="24"/>
        </w:rPr>
        <w:t>1</w:t>
      </w:r>
      <w:r w:rsidRPr="009B187C">
        <w:rPr>
          <w:rFonts w:asciiTheme="majorBidi" w:hAnsiTheme="majorBidi" w:cstheme="majorBidi"/>
          <w:i/>
          <w:iCs/>
          <w:sz w:val="24"/>
          <w:szCs w:val="24"/>
        </w:rPr>
        <w:t>B</w:t>
      </w:r>
      <w:r w:rsidRPr="009B187C">
        <w:rPr>
          <w:rFonts w:asciiTheme="majorBidi" w:hAnsiTheme="majorBidi" w:cstheme="majorBidi"/>
          <w:sz w:val="24"/>
          <w:szCs w:val="24"/>
        </w:rPr>
        <w:t xml:space="preserve">, </w:t>
      </w:r>
      <w:r w:rsidRPr="009B187C">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9B187C">
        <w:rPr>
          <w:rFonts w:asciiTheme="majorBidi" w:hAnsiTheme="majorBidi" w:cstheme="majorBidi"/>
          <w:i/>
          <w:iCs/>
          <w:sz w:val="24"/>
          <w:szCs w:val="24"/>
        </w:rPr>
        <w:t>,</w:t>
      </w:r>
      <w:r w:rsidRPr="009B187C">
        <w:rPr>
          <w:rFonts w:asciiTheme="majorBidi" w:hAnsiTheme="majorBidi" w:cstheme="majorBidi"/>
          <w:sz w:val="24"/>
          <w:szCs w:val="24"/>
        </w:rPr>
        <w:t xml:space="preserve"> Figs. S22–S23, S25) among the seven species evaluated. Two other significant breaks impacting </w:t>
      </w:r>
      <w:r w:rsidRPr="009B187C">
        <w:rPr>
          <w:rFonts w:asciiTheme="majorBidi" w:hAnsiTheme="majorBidi" w:cstheme="majorBidi"/>
          <w:i/>
          <w:iCs/>
          <w:sz w:val="24"/>
          <w:szCs w:val="24"/>
        </w:rPr>
        <w:t>M. triangulatus</w:t>
      </w:r>
      <w:r w:rsidRPr="009B187C">
        <w:rPr>
          <w:rFonts w:asciiTheme="majorBidi" w:hAnsiTheme="majorBidi" w:cstheme="majorBidi"/>
          <w:sz w:val="24"/>
          <w:szCs w:val="24"/>
        </w:rPr>
        <w:t xml:space="preserve"> (the only species assessed for these breaks due to taxonomic sampling) were the Mona Passage Break (MPB) and the </w:t>
      </w:r>
      <w:r w:rsidR="00D002A3">
        <w:rPr>
          <w:rFonts w:asciiTheme="majorBidi" w:hAnsiTheme="majorBidi" w:cstheme="majorBidi"/>
          <w:sz w:val="24"/>
          <w:szCs w:val="24"/>
        </w:rPr>
        <w:t>Northeastern Colombian Coast</w:t>
      </w:r>
      <w:r w:rsidRPr="009B187C">
        <w:rPr>
          <w:rFonts w:asciiTheme="majorBidi" w:hAnsiTheme="majorBidi" w:cstheme="majorBidi"/>
          <w:sz w:val="24"/>
          <w:szCs w:val="24"/>
        </w:rPr>
        <w:t xml:space="preserve"> (</w:t>
      </w:r>
      <w:r w:rsidR="00D002A3">
        <w:rPr>
          <w:rFonts w:asciiTheme="majorBidi" w:hAnsiTheme="majorBidi" w:cstheme="majorBidi"/>
          <w:sz w:val="24"/>
          <w:szCs w:val="24"/>
        </w:rPr>
        <w:t>NECC</w:t>
      </w:r>
      <w:r w:rsidRPr="009B187C">
        <w:rPr>
          <w:rFonts w:asciiTheme="majorBidi" w:hAnsiTheme="majorBidi" w:cstheme="majorBidi"/>
          <w:sz w:val="24"/>
          <w:szCs w:val="24"/>
        </w:rPr>
        <w:t xml:space="preserve">) (Fig. </w:t>
      </w:r>
      <w:r w:rsidR="00D002A3">
        <w:rPr>
          <w:rFonts w:asciiTheme="majorBidi" w:hAnsiTheme="majorBidi" w:cstheme="majorBidi"/>
          <w:sz w:val="24"/>
          <w:szCs w:val="24"/>
        </w:rPr>
        <w:t>3.</w:t>
      </w:r>
      <w:r w:rsidRPr="009B187C">
        <w:rPr>
          <w:rFonts w:asciiTheme="majorBidi" w:hAnsiTheme="majorBidi" w:cstheme="majorBidi"/>
          <w:sz w:val="24"/>
          <w:szCs w:val="24"/>
        </w:rPr>
        <w:t>1</w:t>
      </w:r>
      <w:r w:rsidRPr="009B187C">
        <w:rPr>
          <w:rFonts w:asciiTheme="majorBidi" w:hAnsiTheme="majorBidi" w:cstheme="majorBidi"/>
          <w:i/>
          <w:iCs/>
          <w:sz w:val="24"/>
          <w:szCs w:val="24"/>
        </w:rPr>
        <w:t>B</w:t>
      </w:r>
      <w:r w:rsidRPr="009B187C">
        <w:rPr>
          <w:rFonts w:asciiTheme="majorBidi" w:hAnsiTheme="majorBidi" w:cstheme="majorBidi"/>
          <w:sz w:val="24"/>
          <w:szCs w:val="24"/>
        </w:rPr>
        <w:t xml:space="preserve">, </w:t>
      </w:r>
      <w:r w:rsidRPr="009B187C">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9B187C">
        <w:rPr>
          <w:rFonts w:asciiTheme="majorBidi" w:hAnsiTheme="majorBidi" w:cstheme="majorBidi"/>
          <w:i/>
          <w:iCs/>
          <w:sz w:val="24"/>
          <w:szCs w:val="24"/>
        </w:rPr>
        <w:t>,</w:t>
      </w:r>
      <w:r w:rsidRPr="009B187C">
        <w:rPr>
          <w:rFonts w:asciiTheme="majorBidi" w:hAnsiTheme="majorBidi" w:cstheme="majorBidi"/>
          <w:sz w:val="24"/>
          <w:szCs w:val="24"/>
        </w:rPr>
        <w:t xml:space="preserve"> Figs. S25). In this region, we </w:t>
      </w:r>
    </w:p>
    <w:p w14:paraId="7609702D" w14:textId="09C0DB95" w:rsidR="00345037" w:rsidRDefault="00994104">
      <w:pPr>
        <w:rPr>
          <w:rFonts w:asciiTheme="majorBidi" w:hAnsiTheme="majorBidi" w:cstheme="majorBidi"/>
          <w:sz w:val="24"/>
          <w:szCs w:val="24"/>
        </w:rPr>
      </w:pPr>
      <w:r w:rsidRPr="00994104">
        <w:rPr>
          <w:rFonts w:asciiTheme="majorBidi" w:hAnsiTheme="majorBidi" w:cstheme="majorBidi"/>
          <w:noProof/>
          <w:sz w:val="24"/>
          <w:szCs w:val="24"/>
        </w:rPr>
        <w:lastRenderedPageBreak/>
        <w:drawing>
          <wp:anchor distT="0" distB="0" distL="114300" distR="114300" simplePos="0" relativeHeight="251681792" behindDoc="0" locked="0" layoutInCell="1" allowOverlap="1" wp14:anchorId="46B4A49E" wp14:editId="4B4F1BB9">
            <wp:simplePos x="0" y="0"/>
            <wp:positionH relativeFrom="column">
              <wp:posOffset>633856</wp:posOffset>
            </wp:positionH>
            <wp:positionV relativeFrom="paragraph">
              <wp:posOffset>120650</wp:posOffset>
            </wp:positionV>
            <wp:extent cx="4503987" cy="5742583"/>
            <wp:effectExtent l="0" t="0" r="5080" b="0"/>
            <wp:wrapNone/>
            <wp:docPr id="568027597"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27597" name="Picture 1" descr="A close-up of a map&#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03987" cy="5742583"/>
                    </a:xfrm>
                    <a:prstGeom prst="rect">
                      <a:avLst/>
                    </a:prstGeom>
                  </pic:spPr>
                </pic:pic>
              </a:graphicData>
            </a:graphic>
            <wp14:sizeRelH relativeFrom="page">
              <wp14:pctWidth>0</wp14:pctWidth>
            </wp14:sizeRelH>
            <wp14:sizeRelV relativeFrom="page">
              <wp14:pctHeight>0</wp14:pctHeight>
            </wp14:sizeRelV>
          </wp:anchor>
        </w:drawing>
      </w:r>
      <w:r w:rsidR="00345037">
        <w:rPr>
          <w:rFonts w:asciiTheme="majorBidi" w:hAnsiTheme="majorBidi" w:cstheme="majorBidi"/>
          <w:noProof/>
          <w:sz w:val="24"/>
          <w:szCs w:val="24"/>
        </w:rPr>
        <mc:AlternateContent>
          <mc:Choice Requires="wps">
            <w:drawing>
              <wp:anchor distT="0" distB="0" distL="114300" distR="114300" simplePos="0" relativeHeight="251680768" behindDoc="0" locked="0" layoutInCell="1" allowOverlap="1" wp14:anchorId="25817ED8" wp14:editId="32A1BAF7">
                <wp:simplePos x="0" y="0"/>
                <wp:positionH relativeFrom="column">
                  <wp:posOffset>-19748</wp:posOffset>
                </wp:positionH>
                <wp:positionV relativeFrom="paragraph">
                  <wp:posOffset>5803265</wp:posOffset>
                </wp:positionV>
                <wp:extent cx="5931535" cy="2418248"/>
                <wp:effectExtent l="0" t="0" r="0" b="0"/>
                <wp:wrapNone/>
                <wp:docPr id="1565400387" name="Text Box 1"/>
                <wp:cNvGraphicFramePr/>
                <a:graphic xmlns:a="http://schemas.openxmlformats.org/drawingml/2006/main">
                  <a:graphicData uri="http://schemas.microsoft.com/office/word/2010/wordprocessingShape">
                    <wps:wsp>
                      <wps:cNvSpPr txBox="1"/>
                      <wps:spPr>
                        <a:xfrm>
                          <a:off x="0" y="0"/>
                          <a:ext cx="5931535" cy="2418248"/>
                        </a:xfrm>
                        <a:prstGeom prst="rect">
                          <a:avLst/>
                        </a:prstGeom>
                        <a:solidFill>
                          <a:schemeClr val="lt1"/>
                        </a:solidFill>
                        <a:ln w="6350">
                          <a:noFill/>
                        </a:ln>
                      </wps:spPr>
                      <wps:txbx>
                        <w:txbxContent>
                          <w:p w14:paraId="4F48B470" w14:textId="1E2F8FA8" w:rsidR="00345037" w:rsidRPr="00345037" w:rsidRDefault="00345037" w:rsidP="00345037">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345037">
                              <w:rPr>
                                <w:rFonts w:ascii="Times New Roman" w:hAnsi="Times New Roman" w:cs="Times New Roman"/>
                                <w:b/>
                                <w:bCs/>
                                <w:color w:val="000000" w:themeColor="text1"/>
                                <w:sz w:val="20"/>
                                <w:szCs w:val="20"/>
                              </w:rPr>
                              <w:t xml:space="preserve">Figure </w:t>
                            </w:r>
                            <w:r>
                              <w:rPr>
                                <w:rFonts w:ascii="Times New Roman" w:hAnsi="Times New Roman" w:cs="Times New Roman"/>
                                <w:b/>
                                <w:bCs/>
                                <w:color w:val="000000" w:themeColor="text1"/>
                                <w:sz w:val="20"/>
                                <w:szCs w:val="20"/>
                              </w:rPr>
                              <w:t>3.</w:t>
                            </w:r>
                            <w:r w:rsidRPr="00345037">
                              <w:rPr>
                                <w:rFonts w:ascii="Times New Roman" w:hAnsi="Times New Roman" w:cs="Times New Roman"/>
                                <w:b/>
                                <w:bCs/>
                                <w:color w:val="000000" w:themeColor="text1"/>
                                <w:sz w:val="20"/>
                                <w:szCs w:val="20"/>
                              </w:rPr>
                              <w:t xml:space="preserve">1 </w:t>
                            </w:r>
                            <w:r w:rsidRPr="00345037">
                              <w:rPr>
                                <w:rFonts w:ascii="Times New Roman" w:hAnsi="Times New Roman" w:cs="Times New Roman"/>
                                <w:color w:val="000000" w:themeColor="text1"/>
                                <w:sz w:val="20"/>
                                <w:szCs w:val="20"/>
                              </w:rPr>
                              <w:t>Population structure at the microevolutionary scales, represented by phylogenetic trees and fastStructure plots in A) the Tropical Eastern Pacific (TEP) and B) the Tropical Atlantic (TA). The branches of phylogenetic trees and the bars beneath fastStructure plots are color-coded according to sampling locations. Icons adjacent to sampling locations denote the species collected at each site. FastStructure clusters are rendered in grayscale to prevent confusion with sampling localities. Black lines on the maps depict the marine contemporary breaks hindering connectivity across the TEP and TA regions, with line thickness reflecting the number of species affected and color transparency their relative effectiveness. Matrices at the bottom of each panel represent population differentiation (PD) analyses that identified each break for each species. A species was considered affected by a break (denoted in green) when over two analyses identified population structure aligning to such barrier. Some barriers were untested for specific species due to taxonomic sampling or species distribution, marked in light grey on the matrices. Certain breaks, such as the ECB in the TA, and the CB in the TEP, have a strong effect on the population</w:t>
                            </w:r>
                            <w:r w:rsidRPr="00345037">
                              <w:rPr>
                                <w:rFonts w:ascii="Times New Roman" w:hAnsi="Times New Roman" w:cs="Times New Roman"/>
                                <w:b/>
                                <w:bCs/>
                                <w:color w:val="000000" w:themeColor="text1"/>
                                <w:sz w:val="20"/>
                                <w:szCs w:val="20"/>
                              </w:rPr>
                              <w:t xml:space="preserve"> </w:t>
                            </w:r>
                            <w:r w:rsidRPr="00345037">
                              <w:rPr>
                                <w:rFonts w:ascii="Times New Roman" w:hAnsi="Times New Roman" w:cs="Times New Roman"/>
                                <w:color w:val="000000" w:themeColor="text1"/>
                                <w:sz w:val="20"/>
                                <w:szCs w:val="20"/>
                              </w:rPr>
                              <w:t>structure of the species. In contrast, others, such as the Western Caribbean Break, impact fewer co-distributed species. PD analyses further revealed potentially new breaks (PNB), mostly idiosyncratic, marked with dashed lines. For instance, PNB11 is evidenced by the population structure of the dusky blenny</w:t>
                            </w:r>
                            <w:r w:rsidRPr="00345037">
                              <w:rPr>
                                <w:rFonts w:ascii="Times New Roman" w:hAnsi="Times New Roman" w:cs="Times New Roman"/>
                                <w:i/>
                                <w:iCs/>
                                <w:color w:val="000000" w:themeColor="text1"/>
                                <w:sz w:val="20"/>
                                <w:szCs w:val="20"/>
                              </w:rPr>
                              <w:t xml:space="preserve"> </w:t>
                            </w:r>
                            <w:r w:rsidRPr="00345037">
                              <w:rPr>
                                <w:rFonts w:ascii="Times New Roman" w:hAnsi="Times New Roman" w:cs="Times New Roman"/>
                                <w:color w:val="000000" w:themeColor="text1"/>
                                <w:sz w:val="20"/>
                                <w:szCs w:val="20"/>
                              </w:rPr>
                              <w:t>only.</w:t>
                            </w:r>
                          </w:p>
                          <w:p w14:paraId="333F14FD" w14:textId="77777777" w:rsidR="00345037" w:rsidRPr="00345037" w:rsidRDefault="00345037" w:rsidP="00345037">
                            <w:pPr>
                              <w:widowControl w:val="0"/>
                              <w:autoSpaceDE w:val="0"/>
                              <w:autoSpaceDN w:val="0"/>
                              <w:adjustRightInd w:val="0"/>
                              <w:spacing w:before="120" w:after="120"/>
                              <w:jc w:val="both"/>
                              <w:rPr>
                                <w:rFonts w:ascii="Times New Roman" w:hAnsi="Times New Roman" w:cs="Times New Roman"/>
                                <w:b/>
                                <w:bCs/>
                                <w:color w:val="000000" w:themeColor="text1"/>
                                <w:sz w:val="20"/>
                                <w:szCs w:val="20"/>
                              </w:rPr>
                            </w:pPr>
                          </w:p>
                          <w:p w14:paraId="15641FEB" w14:textId="5FF18358" w:rsidR="00345037" w:rsidRPr="00414101" w:rsidRDefault="00345037" w:rsidP="00345037">
                            <w:pPr>
                              <w:widowControl w:val="0"/>
                              <w:autoSpaceDE w:val="0"/>
                              <w:autoSpaceDN w:val="0"/>
                              <w:adjustRightInd w:val="0"/>
                              <w:spacing w:before="120" w:after="120"/>
                              <w:jc w:val="both"/>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17ED8" id="_x0000_s1032" type="#_x0000_t202" style="position:absolute;margin-left:-1.55pt;margin-top:456.95pt;width:467.05pt;height:190.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" fillcolor="white [3201]" stroked="f" strokeweight=".5pt">
                <v:textbox>
                  <w:txbxContent>
                    <w:p w14:paraId="4F48B470" w14:textId="1E2F8FA8" w:rsidR="00345037" w:rsidRPr="00345037" w:rsidRDefault="00345037" w:rsidP="00345037">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345037">
                        <w:rPr>
                          <w:rFonts w:ascii="Times New Roman" w:hAnsi="Times New Roman" w:cs="Times New Roman"/>
                          <w:b/>
                          <w:bCs/>
                          <w:color w:val="000000" w:themeColor="text1"/>
                          <w:sz w:val="20"/>
                          <w:szCs w:val="20"/>
                        </w:rPr>
                        <w:t xml:space="preserve">Figure </w:t>
                      </w:r>
                      <w:r>
                        <w:rPr>
                          <w:rFonts w:ascii="Times New Roman" w:hAnsi="Times New Roman" w:cs="Times New Roman"/>
                          <w:b/>
                          <w:bCs/>
                          <w:color w:val="000000" w:themeColor="text1"/>
                          <w:sz w:val="20"/>
                          <w:szCs w:val="20"/>
                        </w:rPr>
                        <w:t>3.</w:t>
                      </w:r>
                      <w:r w:rsidRPr="00345037">
                        <w:rPr>
                          <w:rFonts w:ascii="Times New Roman" w:hAnsi="Times New Roman" w:cs="Times New Roman"/>
                          <w:b/>
                          <w:bCs/>
                          <w:color w:val="000000" w:themeColor="text1"/>
                          <w:sz w:val="20"/>
                          <w:szCs w:val="20"/>
                        </w:rPr>
                        <w:t xml:space="preserve">1 </w:t>
                      </w:r>
                      <w:r w:rsidRPr="00345037">
                        <w:rPr>
                          <w:rFonts w:ascii="Times New Roman" w:hAnsi="Times New Roman" w:cs="Times New Roman"/>
                          <w:color w:val="000000" w:themeColor="text1"/>
                          <w:sz w:val="20"/>
                          <w:szCs w:val="20"/>
                        </w:rPr>
                        <w:t>Population structure at the microevolutionary scales, represented by phylogenetic trees and fastStructure plots in A) the Tropical Eastern Pacific (TEP) and B) the Tropical Atlantic (TA). The branches of phylogenetic trees and the bars beneath fastStructure plots are color-coded according to sampling locations. Icons adjacent to sampling locations denote the species collected at each site. FastStructure clusters are rendered in grayscale to prevent confusion with sampling localities. Black lines on the maps depict the marine contemporary breaks hindering connectivity across the TEP and TA regions, with line thickness reflecting the number of species affected and color transparency their relative effectiveness. Matrices at the bottom of each panel represent population differentiation (PD) analyses that identified each break for each species. A species was considered affected by a break (denoted in green) when over two analyses identified population structure aligning to such barrier. Some barriers were untested for specific species due to taxonomic sampling or species distribution, marked in light grey on the matrices. Certain breaks, such as the ECB in the TA, and the CB in the TEP, have a strong effect on the population</w:t>
                      </w:r>
                      <w:r w:rsidRPr="00345037">
                        <w:rPr>
                          <w:rFonts w:ascii="Times New Roman" w:hAnsi="Times New Roman" w:cs="Times New Roman"/>
                          <w:b/>
                          <w:bCs/>
                          <w:color w:val="000000" w:themeColor="text1"/>
                          <w:sz w:val="20"/>
                          <w:szCs w:val="20"/>
                        </w:rPr>
                        <w:t xml:space="preserve"> </w:t>
                      </w:r>
                      <w:r w:rsidRPr="00345037">
                        <w:rPr>
                          <w:rFonts w:ascii="Times New Roman" w:hAnsi="Times New Roman" w:cs="Times New Roman"/>
                          <w:color w:val="000000" w:themeColor="text1"/>
                          <w:sz w:val="20"/>
                          <w:szCs w:val="20"/>
                        </w:rPr>
                        <w:t>structure of the species. In contrast, others, such as the Western Caribbean Break, impact fewer co-distributed species. PD analyses further revealed potentially new breaks (PNB), mostly idiosyncratic, marked with dashed lines. For instance, PNB11 is evidenced by the population structure of the dusky blenny</w:t>
                      </w:r>
                      <w:r w:rsidRPr="00345037">
                        <w:rPr>
                          <w:rFonts w:ascii="Times New Roman" w:hAnsi="Times New Roman" w:cs="Times New Roman"/>
                          <w:i/>
                          <w:iCs/>
                          <w:color w:val="000000" w:themeColor="text1"/>
                          <w:sz w:val="20"/>
                          <w:szCs w:val="20"/>
                        </w:rPr>
                        <w:t xml:space="preserve"> </w:t>
                      </w:r>
                      <w:r w:rsidRPr="00345037">
                        <w:rPr>
                          <w:rFonts w:ascii="Times New Roman" w:hAnsi="Times New Roman" w:cs="Times New Roman"/>
                          <w:color w:val="000000" w:themeColor="text1"/>
                          <w:sz w:val="20"/>
                          <w:szCs w:val="20"/>
                        </w:rPr>
                        <w:t>only.</w:t>
                      </w:r>
                    </w:p>
                    <w:p w14:paraId="333F14FD" w14:textId="77777777" w:rsidR="00345037" w:rsidRPr="00345037" w:rsidRDefault="00345037" w:rsidP="00345037">
                      <w:pPr>
                        <w:widowControl w:val="0"/>
                        <w:autoSpaceDE w:val="0"/>
                        <w:autoSpaceDN w:val="0"/>
                        <w:adjustRightInd w:val="0"/>
                        <w:spacing w:before="120" w:after="120"/>
                        <w:jc w:val="both"/>
                        <w:rPr>
                          <w:rFonts w:ascii="Times New Roman" w:hAnsi="Times New Roman" w:cs="Times New Roman"/>
                          <w:b/>
                          <w:bCs/>
                          <w:color w:val="000000" w:themeColor="text1"/>
                          <w:sz w:val="20"/>
                          <w:szCs w:val="20"/>
                        </w:rPr>
                      </w:pPr>
                    </w:p>
                    <w:p w14:paraId="15641FEB" w14:textId="5FF18358" w:rsidR="00345037" w:rsidRPr="00414101" w:rsidRDefault="00345037" w:rsidP="00345037">
                      <w:pPr>
                        <w:widowControl w:val="0"/>
                        <w:autoSpaceDE w:val="0"/>
                        <w:autoSpaceDN w:val="0"/>
                        <w:adjustRightInd w:val="0"/>
                        <w:spacing w:before="120" w:after="120"/>
                        <w:jc w:val="both"/>
                        <w:rPr>
                          <w:rFonts w:ascii="Times New Roman" w:hAnsi="Times New Roman" w:cs="Times New Roman"/>
                          <w:color w:val="000000" w:themeColor="text1"/>
                          <w:sz w:val="20"/>
                          <w:szCs w:val="20"/>
                        </w:rPr>
                      </w:pPr>
                    </w:p>
                  </w:txbxContent>
                </v:textbox>
              </v:shape>
            </w:pict>
          </mc:Fallback>
        </mc:AlternateContent>
      </w:r>
      <w:r w:rsidR="00EC7A48">
        <w:rPr>
          <w:rFonts w:asciiTheme="majorBidi" w:hAnsiTheme="majorBidi" w:cstheme="majorBidi"/>
          <w:sz w:val="24"/>
          <w:szCs w:val="24"/>
        </w:rPr>
        <w:br w:type="page"/>
      </w:r>
    </w:p>
    <w:p w14:paraId="4B4E9D28" w14:textId="46775322" w:rsidR="009B187C" w:rsidRDefault="009B187C" w:rsidP="00EC7A48">
      <w:pPr>
        <w:jc w:val="both"/>
        <w:rPr>
          <w:rFonts w:asciiTheme="majorBidi" w:hAnsiTheme="majorBidi" w:cstheme="majorBidi"/>
          <w:sz w:val="24"/>
          <w:szCs w:val="24"/>
        </w:rPr>
      </w:pPr>
      <w:r w:rsidRPr="009B187C">
        <w:rPr>
          <w:rFonts w:asciiTheme="majorBidi" w:hAnsiTheme="majorBidi" w:cstheme="majorBidi"/>
          <w:sz w:val="24"/>
          <w:szCs w:val="24"/>
        </w:rPr>
        <w:lastRenderedPageBreak/>
        <w:t xml:space="preserve">also observed seven PNBs (Fig. </w:t>
      </w:r>
      <w:r w:rsidR="0087676C">
        <w:rPr>
          <w:rFonts w:asciiTheme="majorBidi" w:hAnsiTheme="majorBidi" w:cstheme="majorBidi"/>
          <w:sz w:val="24"/>
          <w:szCs w:val="24"/>
        </w:rPr>
        <w:t>3.</w:t>
      </w:r>
      <w:r w:rsidRPr="009B187C">
        <w:rPr>
          <w:rFonts w:asciiTheme="majorBidi" w:hAnsiTheme="majorBidi" w:cstheme="majorBidi"/>
          <w:sz w:val="24"/>
          <w:szCs w:val="24"/>
        </w:rPr>
        <w:t>1</w:t>
      </w:r>
      <w:r w:rsidRPr="009B187C">
        <w:rPr>
          <w:rFonts w:asciiTheme="majorBidi" w:hAnsiTheme="majorBidi" w:cstheme="majorBidi"/>
          <w:i/>
          <w:iCs/>
          <w:sz w:val="24"/>
          <w:szCs w:val="24"/>
        </w:rPr>
        <w:t>B</w:t>
      </w:r>
      <w:r w:rsidRPr="009B187C">
        <w:rPr>
          <w:rFonts w:asciiTheme="majorBidi" w:hAnsiTheme="majorBidi" w:cstheme="majorBidi"/>
          <w:sz w:val="24"/>
          <w:szCs w:val="24"/>
        </w:rPr>
        <w:t xml:space="preserve">; see details </w:t>
      </w:r>
      <w:r w:rsidRPr="009B187C">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9B187C">
        <w:rPr>
          <w:rFonts w:asciiTheme="majorBidi" w:hAnsiTheme="majorBidi" w:cstheme="majorBidi"/>
          <w:i/>
          <w:iCs/>
          <w:sz w:val="24"/>
          <w:szCs w:val="24"/>
        </w:rPr>
        <w:t xml:space="preserve">, Supplementary Results, </w:t>
      </w:r>
      <w:r w:rsidRPr="009B187C">
        <w:rPr>
          <w:rFonts w:asciiTheme="majorBidi" w:hAnsiTheme="majorBidi" w:cstheme="majorBidi"/>
          <w:sz w:val="24"/>
          <w:szCs w:val="24"/>
        </w:rPr>
        <w:t>Figs. S20, S22–S23, S25).</w:t>
      </w:r>
    </w:p>
    <w:p w14:paraId="2CBC2B4B" w14:textId="49D5AC58" w:rsidR="005F44B8" w:rsidRPr="009B187C" w:rsidRDefault="005F44B8" w:rsidP="005F44B8">
      <w:pPr>
        <w:ind w:firstLine="720"/>
        <w:jc w:val="both"/>
        <w:rPr>
          <w:rFonts w:asciiTheme="majorBidi" w:hAnsiTheme="majorBidi" w:cstheme="majorBidi"/>
          <w:sz w:val="24"/>
          <w:szCs w:val="24"/>
        </w:rPr>
      </w:pPr>
      <w:r w:rsidRPr="005F44B8">
        <w:rPr>
          <w:rFonts w:asciiTheme="majorBidi" w:hAnsiTheme="majorBidi" w:cstheme="majorBidi"/>
          <w:sz w:val="24"/>
          <w:szCs w:val="24"/>
        </w:rPr>
        <w:t>All in all, we find that in the TEP region, SB, CB, and OOGB marine breaks define boundaries among the Cortez, Mexican, Panamic, and Oceanic Islands biogeographic provinces. In the TA region, BB, GMB, and YCB delineate the border between the Northern and Central Provinces, whereas the PNB9 barrier, having a mere 0.20% effectiveness, is the sole recognized limit; no breaks are found between the Central and Southern provinces</w:t>
      </w:r>
    </w:p>
    <w:p w14:paraId="2269FB43" w14:textId="56D8FBBA" w:rsidR="008F6BDA" w:rsidRDefault="008F6BDA" w:rsidP="008F6BDA">
      <w:pPr>
        <w:jc w:val="both"/>
        <w:rPr>
          <w:rFonts w:asciiTheme="majorBidi" w:hAnsiTheme="majorBidi" w:cstheme="majorBidi"/>
          <w:b/>
          <w:bCs/>
          <w:sz w:val="28"/>
          <w:szCs w:val="28"/>
        </w:rPr>
      </w:pPr>
      <w:r w:rsidRPr="008F6BDA">
        <w:rPr>
          <w:rFonts w:asciiTheme="majorBidi" w:hAnsiTheme="majorBidi" w:cstheme="majorBidi"/>
          <w:b/>
          <w:bCs/>
          <w:sz w:val="28"/>
          <w:szCs w:val="28"/>
        </w:rPr>
        <w:t>Body-shape disparity across populations and species</w:t>
      </w:r>
    </w:p>
    <w:p w14:paraId="531F49A8" w14:textId="36694397" w:rsidR="005C1001" w:rsidRDefault="008F6BDA" w:rsidP="005C1001">
      <w:pPr>
        <w:jc w:val="both"/>
        <w:rPr>
          <w:rFonts w:asciiTheme="majorBidi" w:hAnsiTheme="majorBidi" w:cstheme="majorBidi"/>
          <w:sz w:val="24"/>
          <w:szCs w:val="24"/>
        </w:rPr>
      </w:pPr>
      <w:r w:rsidRPr="008F6BDA">
        <w:rPr>
          <w:rFonts w:asciiTheme="majorBidi" w:hAnsiTheme="majorBidi" w:cstheme="majorBidi"/>
          <w:sz w:val="24"/>
          <w:szCs w:val="24"/>
        </w:rPr>
        <w:t xml:space="preserve">To investigate whether morphological disparity aligns with population genetic structure analyses, we performed a geometric morphometric assessment on the most widespread species within each region: </w:t>
      </w:r>
      <w:r w:rsidRPr="008F6BDA">
        <w:rPr>
          <w:rFonts w:asciiTheme="majorBidi" w:hAnsiTheme="majorBidi" w:cstheme="majorBidi"/>
          <w:i/>
          <w:iCs/>
          <w:sz w:val="24"/>
          <w:szCs w:val="24"/>
        </w:rPr>
        <w:t>M. tetranemus</w:t>
      </w:r>
      <w:r w:rsidRPr="008F6BDA">
        <w:rPr>
          <w:rFonts w:asciiTheme="majorBidi" w:hAnsiTheme="majorBidi" w:cstheme="majorBidi"/>
          <w:sz w:val="24"/>
          <w:szCs w:val="24"/>
        </w:rPr>
        <w:t xml:space="preserve"> in the TEP, and </w:t>
      </w:r>
      <w:r w:rsidRPr="008F6BDA">
        <w:rPr>
          <w:rFonts w:asciiTheme="majorBidi" w:hAnsiTheme="majorBidi" w:cstheme="majorBidi"/>
          <w:i/>
          <w:iCs/>
          <w:sz w:val="24"/>
          <w:szCs w:val="24"/>
        </w:rPr>
        <w:t>M. triangulatus</w:t>
      </w:r>
      <w:r w:rsidRPr="008F6BDA">
        <w:rPr>
          <w:rFonts w:asciiTheme="majorBidi" w:hAnsiTheme="majorBidi" w:cstheme="majorBidi"/>
          <w:sz w:val="24"/>
          <w:szCs w:val="24"/>
        </w:rPr>
        <w:t xml:space="preserve"> in the TA. We digitized a total of 36 landmarks and semi-landmarks using high quality photographs. For </w:t>
      </w:r>
      <w:r w:rsidRPr="008F6BDA">
        <w:rPr>
          <w:rFonts w:asciiTheme="majorBidi" w:hAnsiTheme="majorBidi" w:cstheme="majorBidi"/>
          <w:i/>
          <w:iCs/>
          <w:sz w:val="24"/>
          <w:szCs w:val="24"/>
        </w:rPr>
        <w:t>M. triangulatus</w:t>
      </w:r>
      <w:r w:rsidRPr="008F6BDA">
        <w:rPr>
          <w:rFonts w:asciiTheme="majorBidi" w:hAnsiTheme="majorBidi" w:cstheme="majorBidi"/>
          <w:sz w:val="24"/>
          <w:szCs w:val="24"/>
        </w:rPr>
        <w:t>, we also digitized x-rays to maximize the number of sampled localities. Both photographs and x-rays were analyzed separately as the type of data influenced the results (</w:t>
      </w:r>
      <w:r w:rsidRPr="008F6BDA">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8F6BDA">
        <w:rPr>
          <w:rFonts w:asciiTheme="majorBidi" w:hAnsiTheme="majorBidi" w:cstheme="majorBidi"/>
          <w:i/>
          <w:iCs/>
          <w:sz w:val="24"/>
          <w:szCs w:val="24"/>
        </w:rPr>
        <w:t xml:space="preserve">, </w:t>
      </w:r>
      <w:r w:rsidRPr="008F6BDA">
        <w:rPr>
          <w:rFonts w:asciiTheme="majorBidi" w:hAnsiTheme="majorBidi" w:cstheme="majorBidi"/>
          <w:sz w:val="24"/>
          <w:szCs w:val="24"/>
        </w:rPr>
        <w:t>Fig. S11). To assess the sensitivity of our landmarks to specimen “bending effects” (i.e., preservation artifacts),</w:t>
      </w:r>
      <w:r w:rsidRPr="008F6BDA" w:rsidDel="00E9222A">
        <w:rPr>
          <w:rFonts w:asciiTheme="majorBidi" w:hAnsiTheme="majorBidi" w:cstheme="majorBidi"/>
          <w:sz w:val="24"/>
          <w:szCs w:val="24"/>
        </w:rPr>
        <w:t xml:space="preserve"> </w:t>
      </w:r>
      <w:r w:rsidRPr="008F6BDA">
        <w:rPr>
          <w:rFonts w:asciiTheme="majorBidi" w:hAnsiTheme="majorBidi" w:cstheme="majorBidi"/>
          <w:sz w:val="24"/>
          <w:szCs w:val="24"/>
        </w:rPr>
        <w:t>we built four alternative schemes: 1) all landmarks and semi-landmarks, 2) landmarks, 3) head-only, and 4) anterior body-only (</w:t>
      </w:r>
      <w:r w:rsidRPr="008F6BDA">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8F6BDA">
        <w:rPr>
          <w:rFonts w:asciiTheme="majorBidi" w:hAnsiTheme="majorBidi" w:cstheme="majorBidi"/>
          <w:i/>
          <w:iCs/>
          <w:sz w:val="24"/>
          <w:szCs w:val="24"/>
        </w:rPr>
        <w:t xml:space="preserve">, </w:t>
      </w:r>
      <w:r w:rsidRPr="008F6BDA">
        <w:rPr>
          <w:rFonts w:asciiTheme="majorBidi" w:hAnsiTheme="majorBidi" w:cstheme="majorBidi"/>
          <w:sz w:val="24"/>
          <w:szCs w:val="24"/>
        </w:rPr>
        <w:t>Fig. S12). The results were slightly biased by the bending effect (</w:t>
      </w:r>
      <w:r w:rsidRPr="008F6BDA">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8F6BDA">
        <w:rPr>
          <w:rFonts w:asciiTheme="majorBidi" w:hAnsiTheme="majorBidi" w:cstheme="majorBidi"/>
          <w:i/>
          <w:iCs/>
          <w:sz w:val="24"/>
          <w:szCs w:val="24"/>
        </w:rPr>
        <w:t xml:space="preserve">, </w:t>
      </w:r>
      <w:r w:rsidRPr="008F6BDA">
        <w:rPr>
          <w:rFonts w:asciiTheme="majorBidi" w:hAnsiTheme="majorBidi" w:cstheme="majorBidi"/>
          <w:sz w:val="24"/>
          <w:szCs w:val="24"/>
        </w:rPr>
        <w:t xml:space="preserve">Figs. S28–S30), hence we selected scheme 4 as our final dataset (Fig. </w:t>
      </w:r>
      <w:r>
        <w:rPr>
          <w:rFonts w:asciiTheme="majorBidi" w:hAnsiTheme="majorBidi" w:cstheme="majorBidi"/>
          <w:sz w:val="24"/>
          <w:szCs w:val="24"/>
        </w:rPr>
        <w:t>3.</w:t>
      </w:r>
      <w:r w:rsidRPr="008F6BDA">
        <w:rPr>
          <w:rFonts w:asciiTheme="majorBidi" w:hAnsiTheme="majorBidi" w:cstheme="majorBidi"/>
          <w:sz w:val="24"/>
          <w:szCs w:val="24"/>
        </w:rPr>
        <w:t>2</w:t>
      </w:r>
      <w:r w:rsidRPr="008F6BDA">
        <w:rPr>
          <w:rFonts w:asciiTheme="majorBidi" w:hAnsiTheme="majorBidi" w:cstheme="majorBidi"/>
          <w:i/>
          <w:iCs/>
          <w:sz w:val="24"/>
          <w:szCs w:val="24"/>
        </w:rPr>
        <w:t>A</w:t>
      </w:r>
      <w:r w:rsidRPr="008F6BDA">
        <w:rPr>
          <w:rFonts w:asciiTheme="majorBidi" w:hAnsiTheme="majorBidi" w:cstheme="majorBidi"/>
          <w:sz w:val="24"/>
          <w:szCs w:val="24"/>
        </w:rPr>
        <w:t xml:space="preserve">). </w:t>
      </w:r>
      <w:r w:rsidRPr="008F6BDA">
        <w:rPr>
          <w:rFonts w:asciiTheme="majorBidi" w:hAnsiTheme="majorBidi" w:cstheme="majorBidi"/>
          <w:i/>
          <w:iCs/>
          <w:sz w:val="24"/>
          <w:szCs w:val="24"/>
        </w:rPr>
        <w:t>Malacoctenus tetranemus</w:t>
      </w:r>
      <w:r w:rsidRPr="008F6BDA">
        <w:rPr>
          <w:rFonts w:asciiTheme="majorBidi" w:hAnsiTheme="majorBidi" w:cstheme="majorBidi"/>
          <w:sz w:val="24"/>
          <w:szCs w:val="24"/>
        </w:rPr>
        <w:t xml:space="preserve"> did not display a clear geographic clustering pattern aligning with any marine break (Fig. </w:t>
      </w:r>
      <w:r>
        <w:rPr>
          <w:rFonts w:asciiTheme="majorBidi" w:hAnsiTheme="majorBidi" w:cstheme="majorBidi"/>
          <w:sz w:val="24"/>
          <w:szCs w:val="24"/>
        </w:rPr>
        <w:t>3.</w:t>
      </w:r>
      <w:r w:rsidRPr="008F6BDA">
        <w:rPr>
          <w:rFonts w:asciiTheme="majorBidi" w:hAnsiTheme="majorBidi" w:cstheme="majorBidi"/>
          <w:sz w:val="24"/>
          <w:szCs w:val="24"/>
        </w:rPr>
        <w:t>2</w:t>
      </w:r>
      <w:r w:rsidRPr="008F6BDA">
        <w:rPr>
          <w:rFonts w:asciiTheme="majorBidi" w:hAnsiTheme="majorBidi" w:cstheme="majorBidi"/>
          <w:i/>
          <w:iCs/>
          <w:sz w:val="24"/>
          <w:szCs w:val="24"/>
        </w:rPr>
        <w:t>B</w:t>
      </w:r>
      <w:r w:rsidRPr="008F6BDA">
        <w:rPr>
          <w:rFonts w:asciiTheme="majorBidi" w:hAnsiTheme="majorBidi" w:cstheme="majorBidi"/>
          <w:sz w:val="24"/>
          <w:szCs w:val="24"/>
        </w:rPr>
        <w:t xml:space="preserve">). However, within the </w:t>
      </w:r>
      <w:r w:rsidRPr="008F6BDA">
        <w:rPr>
          <w:rFonts w:asciiTheme="majorBidi" w:hAnsiTheme="majorBidi" w:cstheme="majorBidi"/>
          <w:i/>
          <w:iCs/>
          <w:sz w:val="24"/>
          <w:szCs w:val="24"/>
        </w:rPr>
        <w:t>M. triangulatus</w:t>
      </w:r>
      <w:r w:rsidRPr="008F6BDA">
        <w:rPr>
          <w:rFonts w:asciiTheme="majorBidi" w:hAnsiTheme="majorBidi" w:cstheme="majorBidi"/>
          <w:sz w:val="24"/>
          <w:szCs w:val="24"/>
        </w:rPr>
        <w:t xml:space="preserve"> species complex, the PC2 axis (10.2%) captured differences in snout elongation that, despite extensive overlapping clusters, align with the ECB (Fig. </w:t>
      </w:r>
      <w:r>
        <w:rPr>
          <w:rFonts w:asciiTheme="majorBidi" w:hAnsiTheme="majorBidi" w:cstheme="majorBidi"/>
          <w:sz w:val="24"/>
          <w:szCs w:val="24"/>
        </w:rPr>
        <w:t>3.</w:t>
      </w:r>
      <w:r w:rsidRPr="008F6BDA">
        <w:rPr>
          <w:rFonts w:asciiTheme="majorBidi" w:hAnsiTheme="majorBidi" w:cstheme="majorBidi"/>
          <w:sz w:val="24"/>
          <w:szCs w:val="24"/>
        </w:rPr>
        <w:t>2</w:t>
      </w:r>
      <w:r w:rsidRPr="008F6BDA">
        <w:rPr>
          <w:rFonts w:asciiTheme="majorBidi" w:hAnsiTheme="majorBidi" w:cstheme="majorBidi"/>
          <w:i/>
          <w:iCs/>
          <w:sz w:val="24"/>
          <w:szCs w:val="24"/>
        </w:rPr>
        <w:t>C</w:t>
      </w:r>
      <w:r w:rsidRPr="008F6BDA">
        <w:rPr>
          <w:rFonts w:asciiTheme="majorBidi" w:hAnsiTheme="majorBidi" w:cstheme="majorBidi"/>
          <w:sz w:val="24"/>
          <w:szCs w:val="24"/>
        </w:rPr>
        <w:t xml:space="preserve">). Lastly, to probe the extent of morphological variation at the species level, we also conducted these analyses using photographs representing 20 species of </w:t>
      </w:r>
      <w:r w:rsidRPr="008F6BDA">
        <w:rPr>
          <w:rFonts w:asciiTheme="majorBidi" w:hAnsiTheme="majorBidi" w:cstheme="majorBidi"/>
          <w:i/>
          <w:iCs/>
          <w:sz w:val="24"/>
          <w:szCs w:val="24"/>
        </w:rPr>
        <w:t>Malacoctenus</w:t>
      </w:r>
      <w:r w:rsidRPr="008F6BDA">
        <w:rPr>
          <w:rFonts w:asciiTheme="majorBidi" w:hAnsiTheme="majorBidi" w:cstheme="majorBidi"/>
          <w:sz w:val="24"/>
          <w:szCs w:val="24"/>
        </w:rPr>
        <w:t xml:space="preserve">. However, species clusters mostly overlapped within the morphospace, offering limited evidence of interspecific differentiation in body shape disparity (Fig. </w:t>
      </w:r>
      <w:r>
        <w:rPr>
          <w:rFonts w:asciiTheme="majorBidi" w:hAnsiTheme="majorBidi" w:cstheme="majorBidi"/>
          <w:sz w:val="24"/>
          <w:szCs w:val="24"/>
        </w:rPr>
        <w:t>3.</w:t>
      </w:r>
      <w:r w:rsidRPr="008F6BDA">
        <w:rPr>
          <w:rFonts w:asciiTheme="majorBidi" w:hAnsiTheme="majorBidi" w:cstheme="majorBidi"/>
          <w:sz w:val="24"/>
          <w:szCs w:val="24"/>
        </w:rPr>
        <w:t>2</w:t>
      </w:r>
      <w:r w:rsidRPr="008F6BDA">
        <w:rPr>
          <w:rFonts w:asciiTheme="majorBidi" w:hAnsiTheme="majorBidi" w:cstheme="majorBidi"/>
          <w:i/>
          <w:iCs/>
          <w:sz w:val="24"/>
          <w:szCs w:val="24"/>
        </w:rPr>
        <w:t>D</w:t>
      </w:r>
      <w:r w:rsidRPr="008F6BDA">
        <w:rPr>
          <w:rFonts w:asciiTheme="majorBidi" w:hAnsiTheme="majorBidi" w:cstheme="majorBidi"/>
          <w:sz w:val="24"/>
          <w:szCs w:val="24"/>
        </w:rPr>
        <w:t>).</w:t>
      </w:r>
    </w:p>
    <w:p w14:paraId="416B9F97" w14:textId="77777777" w:rsidR="00335B29" w:rsidRDefault="00335B29" w:rsidP="00335B29">
      <w:pPr>
        <w:jc w:val="both"/>
        <w:rPr>
          <w:rFonts w:asciiTheme="majorBidi" w:hAnsiTheme="majorBidi" w:cstheme="majorBidi"/>
          <w:b/>
          <w:bCs/>
          <w:sz w:val="28"/>
          <w:szCs w:val="28"/>
        </w:rPr>
      </w:pPr>
      <w:r w:rsidRPr="00335B29">
        <w:rPr>
          <w:rFonts w:asciiTheme="majorBidi" w:hAnsiTheme="majorBidi" w:cstheme="majorBidi"/>
          <w:b/>
          <w:bCs/>
          <w:sz w:val="28"/>
          <w:szCs w:val="28"/>
        </w:rPr>
        <w:t>Environmental drivers of speciation and local adaptation</w:t>
      </w:r>
    </w:p>
    <w:p w14:paraId="206A42D8" w14:textId="0AF53124" w:rsidR="00335B29" w:rsidRDefault="00335B29" w:rsidP="00335B29">
      <w:pPr>
        <w:jc w:val="both"/>
        <w:rPr>
          <w:rFonts w:asciiTheme="majorBidi" w:hAnsiTheme="majorBidi" w:cstheme="majorBidi"/>
          <w:sz w:val="24"/>
          <w:szCs w:val="24"/>
        </w:rPr>
      </w:pPr>
      <w:r w:rsidRPr="00335B29">
        <w:rPr>
          <w:rFonts w:asciiTheme="majorBidi" w:hAnsiTheme="majorBidi" w:cstheme="majorBidi"/>
          <w:sz w:val="24"/>
          <w:szCs w:val="24"/>
        </w:rPr>
        <w:t xml:space="preserve">To evaluate the relative contribution of sea composition (ecological variables) and sea configuration (spatial features) to the genetic differentiation in both regions, we employed distance-based redundancy analyses (db-RDA). To this end, we calculated distance-based Moran’s eigenvector maps (db-MEMs) using the geographic coordinates of the sampling sites </w:t>
      </w:r>
      <w:r w:rsidRPr="00335B29">
        <w:rPr>
          <w:rFonts w:asciiTheme="majorBidi" w:hAnsiTheme="majorBidi" w:cstheme="majorBidi"/>
          <w:sz w:val="24"/>
          <w:szCs w:val="24"/>
        </w:rPr>
        <w:fldChar w:fldCharType="begin" w:fldLock="1"/>
      </w:r>
      <w:r w:rsidRPr="00335B29">
        <w:rPr>
          <w:rFonts w:asciiTheme="majorBidi" w:hAnsiTheme="majorBidi" w:cstheme="majorBidi"/>
          <w:sz w:val="24"/>
          <w:szCs w:val="24"/>
        </w:rPr>
        <w:instrText>ADDIN CSL_CITATION {"citationItems":[{"id":"ITEM-1","itemData":{"DOI":"10.1890/0012-9658(2006)87[2614:VPOSDM]2.0.CO;2","ISSN":"00129658","PMID":"17089669","abstract":"Establishing relationships between species distributions and environmental characteristics is a major goal in the search for forces driving species distributions. Canonical ordinations such as redundancy analysis and canonical correspondence analysis are invaluable tools for modeling communities through environmental predictors. They provide the means for conducting direct explanatory analysis in which the association among species can be studied according to their common and unique relationships with the environmental variables and other sets of predictors of interest, such as spatial variables. Variation partitioning can then be used to test and determine the likelihood of these sets of predictors in explaining patterns in community structure. Although variation partitioning in canonical analysis is routinely used in ecological analysis, no effort has been reported in the literature to consider appropriate estimators so that comparisons between fractions or, eventually, between different canonical models are meaningful. In this paper, we show that variation partitioning as currently applied in canonical analysis is biased. We present appropriate unbiased estimators. In addition, we outline a statistical test to compare fractions in canonical analysis. The question addressed by the test is whether two fractions of variation are significantly different from each other. Such assessment provides an important step toward attaining an understanding of the factors patterning community structure. The test is shown to have correct Type I error rates and good power for both redundancy analysis and canonical correspondence analysis. © 2006 by the Ecological Society of America.","author":[{"dropping-particle":"","family":"Peres-Neto","given":"Pedro R.","non-dropping-particle":"","parse-names":false,"suffix":""},{"dropping-particle":"","family":"Legendre","given":"Pierre","non-dropping-particle":"","parse-names":false,"suffix":""},{"dropping-particle":"","family":"Dray","given":"Stéphane","non-dropping-particle":"","parse-names":false,"suffix":""},{"dropping-particle":"","family":"Borcard","given":"Daniel","non-dropping-particle":"","parse-names":false,"suffix":""}],"container-title":"Ecology","id":"ITEM-1","issue":"10","issued":{"date-parts":[["2006"]]},"page":"2614-2625","title":"Variation partitioning of species data matrices: Estimation and comparison of fractions","type":"article-journal","volume":"87"},"uris":["http://www.mendeley.com/documents/?uuid=c1729c68-e5cf-4a17-8ff8-974a883e6aa8"]}],"mendeley":{"formattedCitation":"(27)","plainTextFormattedCitation":"(27)","previouslyFormattedCitation":"(27)"},"properties":{"noteIndex":0},"schema":"https://github.com/citation-style-language/schema/raw/master/csl-citation.json"}</w:instrText>
      </w:r>
      <w:r w:rsidRPr="00335B29">
        <w:rPr>
          <w:rFonts w:asciiTheme="majorBidi" w:hAnsiTheme="majorBidi" w:cstheme="majorBidi"/>
          <w:sz w:val="24"/>
          <w:szCs w:val="24"/>
        </w:rPr>
        <w:fldChar w:fldCharType="separate"/>
      </w:r>
      <w:r w:rsidRPr="00335B29">
        <w:rPr>
          <w:rFonts w:asciiTheme="majorBidi" w:hAnsiTheme="majorBidi" w:cstheme="majorBidi"/>
          <w:sz w:val="24"/>
          <w:szCs w:val="24"/>
        </w:rPr>
        <w:t>(27)</w:t>
      </w:r>
      <w:r w:rsidRPr="00335B29">
        <w:rPr>
          <w:rFonts w:asciiTheme="majorBidi" w:hAnsiTheme="majorBidi" w:cstheme="majorBidi"/>
          <w:sz w:val="24"/>
          <w:szCs w:val="24"/>
        </w:rPr>
        <w:fldChar w:fldCharType="end"/>
      </w:r>
      <w:r w:rsidRPr="00335B29">
        <w:rPr>
          <w:rFonts w:asciiTheme="majorBidi" w:hAnsiTheme="majorBidi" w:cstheme="majorBidi"/>
          <w:sz w:val="24"/>
          <w:szCs w:val="24"/>
        </w:rPr>
        <w:t xml:space="preserve">. db-MEMs were used to describe spatial genetic structure, while seven environmental variables extracted from Marine Copernicus (http://marine.copernicus.eu/) online data archive were used to represent ecological features. At the microevolutionary level, we evaluated </w:t>
      </w:r>
      <w:r w:rsidRPr="00335B29">
        <w:rPr>
          <w:rFonts w:asciiTheme="majorBidi" w:hAnsiTheme="majorBidi" w:cstheme="majorBidi"/>
          <w:i/>
          <w:iCs/>
          <w:sz w:val="24"/>
          <w:szCs w:val="24"/>
        </w:rPr>
        <w:t>M. tetranemus</w:t>
      </w:r>
      <w:r w:rsidRPr="00335B29">
        <w:rPr>
          <w:rFonts w:asciiTheme="majorBidi" w:hAnsiTheme="majorBidi" w:cstheme="majorBidi"/>
          <w:sz w:val="24"/>
          <w:szCs w:val="24"/>
        </w:rPr>
        <w:t xml:space="preserve"> and </w:t>
      </w:r>
      <w:r w:rsidRPr="00335B29">
        <w:rPr>
          <w:rFonts w:asciiTheme="majorBidi" w:hAnsiTheme="majorBidi" w:cstheme="majorBidi"/>
          <w:i/>
          <w:iCs/>
          <w:sz w:val="24"/>
          <w:szCs w:val="24"/>
        </w:rPr>
        <w:t>M. triangulatus</w:t>
      </w:r>
      <w:r w:rsidRPr="00335B29">
        <w:rPr>
          <w:rFonts w:asciiTheme="majorBidi" w:hAnsiTheme="majorBidi" w:cstheme="majorBidi"/>
          <w:sz w:val="24"/>
          <w:szCs w:val="24"/>
        </w:rPr>
        <w:t xml:space="preserve">, while at macroevolutionary scales we incorporated data from 20 species into our analyses. Our results suggest that the population structure of </w:t>
      </w:r>
      <w:r w:rsidRPr="00335B29">
        <w:rPr>
          <w:rFonts w:asciiTheme="majorBidi" w:hAnsiTheme="majorBidi" w:cstheme="majorBidi"/>
          <w:i/>
          <w:iCs/>
          <w:sz w:val="24"/>
          <w:szCs w:val="24"/>
        </w:rPr>
        <w:t>M. tetranemus</w:t>
      </w:r>
      <w:r w:rsidRPr="00335B29">
        <w:rPr>
          <w:rFonts w:asciiTheme="majorBidi" w:hAnsiTheme="majorBidi" w:cstheme="majorBidi"/>
          <w:sz w:val="24"/>
          <w:szCs w:val="24"/>
        </w:rPr>
        <w:t xml:space="preserve"> is mainly explained by spatial distribution, temperature and different levels of chlorophyll </w:t>
      </w:r>
      <w:r w:rsidRPr="00335B29">
        <w:sym w:font="Symbol" w:char="F061"/>
      </w:r>
      <w:r w:rsidRPr="00335B29">
        <w:rPr>
          <w:rFonts w:asciiTheme="majorBidi" w:hAnsiTheme="majorBidi" w:cstheme="majorBidi"/>
          <w:sz w:val="24"/>
          <w:szCs w:val="24"/>
        </w:rPr>
        <w:t xml:space="preserve">, while the population structure of </w:t>
      </w:r>
      <w:r w:rsidRPr="00335B29">
        <w:rPr>
          <w:rFonts w:asciiTheme="majorBidi" w:hAnsiTheme="majorBidi" w:cstheme="majorBidi"/>
          <w:i/>
          <w:iCs/>
          <w:sz w:val="24"/>
          <w:szCs w:val="24"/>
        </w:rPr>
        <w:t>M. triangulatus</w:t>
      </w:r>
      <w:r w:rsidRPr="00335B29">
        <w:rPr>
          <w:rFonts w:asciiTheme="majorBidi" w:hAnsiTheme="majorBidi" w:cstheme="majorBidi"/>
          <w:sz w:val="24"/>
          <w:szCs w:val="24"/>
        </w:rPr>
        <w:t xml:space="preserve"> is strongly influenced by temperature, suspended particle matter, depth, salinity, and spatial composition. Both analyses suggest that the environmental features have a great influence (60.9% and 43.6% in </w:t>
      </w:r>
      <w:r w:rsidRPr="00335B29">
        <w:rPr>
          <w:rFonts w:asciiTheme="majorBidi" w:hAnsiTheme="majorBidi" w:cstheme="majorBidi"/>
          <w:i/>
          <w:iCs/>
          <w:sz w:val="24"/>
          <w:szCs w:val="24"/>
        </w:rPr>
        <w:t>M. tetranemus</w:t>
      </w:r>
      <w:r w:rsidRPr="00335B29">
        <w:rPr>
          <w:rFonts w:asciiTheme="majorBidi" w:hAnsiTheme="majorBidi" w:cstheme="majorBidi"/>
          <w:sz w:val="24"/>
          <w:szCs w:val="24"/>
        </w:rPr>
        <w:t xml:space="preserve"> and </w:t>
      </w:r>
      <w:r w:rsidRPr="00335B29">
        <w:rPr>
          <w:rFonts w:asciiTheme="majorBidi" w:hAnsiTheme="majorBidi" w:cstheme="majorBidi"/>
          <w:i/>
          <w:iCs/>
          <w:sz w:val="24"/>
          <w:szCs w:val="24"/>
        </w:rPr>
        <w:t>M. triangulatus</w:t>
      </w:r>
      <w:r w:rsidRPr="00335B29">
        <w:rPr>
          <w:rFonts w:asciiTheme="majorBidi" w:hAnsiTheme="majorBidi" w:cstheme="majorBidi"/>
          <w:sz w:val="24"/>
          <w:szCs w:val="24"/>
        </w:rPr>
        <w:t xml:space="preserve">, respectively) on distribution and connectivity across populations in each species (Fig. </w:t>
      </w:r>
      <w:r>
        <w:rPr>
          <w:rFonts w:asciiTheme="majorBidi" w:hAnsiTheme="majorBidi" w:cstheme="majorBidi"/>
          <w:sz w:val="24"/>
          <w:szCs w:val="24"/>
        </w:rPr>
        <w:t>3.</w:t>
      </w:r>
      <w:r w:rsidRPr="00335B29">
        <w:rPr>
          <w:rFonts w:asciiTheme="majorBidi" w:hAnsiTheme="majorBidi" w:cstheme="majorBidi"/>
          <w:sz w:val="24"/>
          <w:szCs w:val="24"/>
        </w:rPr>
        <w:t xml:space="preserve">3 </w:t>
      </w:r>
      <w:r w:rsidRPr="00335B29">
        <w:rPr>
          <w:rFonts w:asciiTheme="majorBidi" w:hAnsiTheme="majorBidi" w:cstheme="majorBidi"/>
          <w:i/>
          <w:iCs/>
          <w:sz w:val="24"/>
          <w:szCs w:val="24"/>
        </w:rPr>
        <w:t>B</w:t>
      </w:r>
      <w:r w:rsidRPr="00335B29">
        <w:rPr>
          <w:rFonts w:asciiTheme="majorBidi" w:hAnsiTheme="majorBidi" w:cstheme="majorBidi"/>
          <w:sz w:val="24"/>
          <w:szCs w:val="24"/>
        </w:rPr>
        <w:t xml:space="preserve"> and </w:t>
      </w:r>
      <w:r w:rsidRPr="00335B29">
        <w:rPr>
          <w:rFonts w:asciiTheme="majorBidi" w:hAnsiTheme="majorBidi" w:cstheme="majorBidi"/>
          <w:i/>
          <w:iCs/>
          <w:sz w:val="24"/>
          <w:szCs w:val="24"/>
        </w:rPr>
        <w:t>E</w:t>
      </w:r>
      <w:r w:rsidRPr="00335B29">
        <w:rPr>
          <w:rFonts w:asciiTheme="majorBidi" w:hAnsiTheme="majorBidi" w:cstheme="majorBidi"/>
          <w:sz w:val="24"/>
          <w:szCs w:val="24"/>
        </w:rPr>
        <w:t xml:space="preserve">). At </w:t>
      </w:r>
      <w:r w:rsidRPr="00335B29">
        <w:rPr>
          <w:rFonts w:asciiTheme="majorBidi" w:hAnsiTheme="majorBidi" w:cstheme="majorBidi"/>
          <w:sz w:val="24"/>
          <w:szCs w:val="24"/>
        </w:rPr>
        <w:lastRenderedPageBreak/>
        <w:t xml:space="preserve">macroevolutionary scales, our analyses suggest that the complex environment in the TEP has played a major role in the diversification of the genus, where depth is the main environmental variable (Fig. </w:t>
      </w:r>
      <w:r>
        <w:rPr>
          <w:rFonts w:asciiTheme="majorBidi" w:hAnsiTheme="majorBidi" w:cstheme="majorBidi"/>
          <w:sz w:val="24"/>
          <w:szCs w:val="24"/>
        </w:rPr>
        <w:t>3.</w:t>
      </w:r>
      <w:r w:rsidRPr="00335B29">
        <w:rPr>
          <w:rFonts w:asciiTheme="majorBidi" w:hAnsiTheme="majorBidi" w:cstheme="majorBidi"/>
          <w:sz w:val="24"/>
          <w:szCs w:val="24"/>
        </w:rPr>
        <w:t>3</w:t>
      </w:r>
      <w:r w:rsidRPr="00335B29">
        <w:rPr>
          <w:rFonts w:asciiTheme="majorBidi" w:hAnsiTheme="majorBidi" w:cstheme="majorBidi"/>
          <w:i/>
          <w:iCs/>
          <w:sz w:val="24"/>
          <w:szCs w:val="24"/>
        </w:rPr>
        <w:t>C</w:t>
      </w:r>
      <w:r w:rsidRPr="00335B29">
        <w:rPr>
          <w:rFonts w:asciiTheme="majorBidi" w:hAnsiTheme="majorBidi" w:cstheme="majorBidi"/>
          <w:sz w:val="24"/>
          <w:szCs w:val="24"/>
        </w:rPr>
        <w:t xml:space="preserve">). Although depth is also an important feature in the TA, the spatial configuration, chlorophyll </w:t>
      </w:r>
      <w:r w:rsidRPr="00335B29">
        <w:sym w:font="Symbol" w:char="F061"/>
      </w:r>
      <w:r w:rsidRPr="00335B29">
        <w:rPr>
          <w:rFonts w:asciiTheme="majorBidi" w:hAnsiTheme="majorBidi" w:cstheme="majorBidi"/>
          <w:sz w:val="24"/>
          <w:szCs w:val="24"/>
        </w:rPr>
        <w:t xml:space="preserve"> , and suspended particle matter have also played an important role in speciation (Fig. </w:t>
      </w:r>
      <w:r>
        <w:rPr>
          <w:rFonts w:asciiTheme="majorBidi" w:hAnsiTheme="majorBidi" w:cstheme="majorBidi"/>
          <w:sz w:val="24"/>
          <w:szCs w:val="24"/>
        </w:rPr>
        <w:t>3.</w:t>
      </w:r>
      <w:r w:rsidRPr="00335B29">
        <w:rPr>
          <w:rFonts w:asciiTheme="majorBidi" w:hAnsiTheme="majorBidi" w:cstheme="majorBidi"/>
          <w:sz w:val="24"/>
          <w:szCs w:val="24"/>
        </w:rPr>
        <w:t>3</w:t>
      </w:r>
      <w:r w:rsidRPr="00335B29">
        <w:rPr>
          <w:rFonts w:asciiTheme="majorBidi" w:hAnsiTheme="majorBidi" w:cstheme="majorBidi"/>
          <w:i/>
          <w:iCs/>
          <w:sz w:val="24"/>
          <w:szCs w:val="24"/>
        </w:rPr>
        <w:t>F</w:t>
      </w:r>
      <w:r w:rsidRPr="00335B29">
        <w:rPr>
          <w:rFonts w:asciiTheme="majorBidi" w:hAnsiTheme="majorBidi" w:cstheme="majorBidi"/>
          <w:sz w:val="24"/>
          <w:szCs w:val="24"/>
        </w:rPr>
        <w:t>). These analyses suggest that environmental variables are major drivers of divergence in these regions (74.1% and 91.2% in the TEP and TA, respectively).</w:t>
      </w:r>
    </w:p>
    <w:p w14:paraId="1288A272" w14:textId="34B237C6" w:rsidR="00053BE9" w:rsidRDefault="00053BE9" w:rsidP="00335B29">
      <w:pPr>
        <w:jc w:val="both"/>
        <w:rPr>
          <w:rFonts w:asciiTheme="majorBidi" w:hAnsiTheme="majorBidi" w:cstheme="majorBidi"/>
          <w:sz w:val="24"/>
          <w:szCs w:val="24"/>
        </w:rPr>
      </w:pPr>
      <w:r>
        <w:rPr>
          <w:rFonts w:ascii="Arial" w:hAnsi="Arial" w:cs="Arial"/>
          <w:noProof/>
          <w:color w:val="000000"/>
          <w:sz w:val="20"/>
          <w:szCs w:val="20"/>
        </w:rPr>
        <w:drawing>
          <wp:anchor distT="0" distB="0" distL="114300" distR="114300" simplePos="0" relativeHeight="251684864" behindDoc="0" locked="0" layoutInCell="1" allowOverlap="1" wp14:anchorId="579C762E" wp14:editId="5EA8BEAB">
            <wp:simplePos x="0" y="0"/>
            <wp:positionH relativeFrom="column">
              <wp:posOffset>1403287</wp:posOffset>
            </wp:positionH>
            <wp:positionV relativeFrom="paragraph">
              <wp:posOffset>130810</wp:posOffset>
            </wp:positionV>
            <wp:extent cx="2864112" cy="6039073"/>
            <wp:effectExtent l="0" t="0" r="6350" b="0"/>
            <wp:wrapNone/>
            <wp:docPr id="1121988315" name="Picture 2" descr="A diagram of different colored triang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88315" name="Picture 2" descr="A diagram of different colored triangle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4112" cy="6039073"/>
                    </a:xfrm>
                    <a:prstGeom prst="rect">
                      <a:avLst/>
                    </a:prstGeom>
                  </pic:spPr>
                </pic:pic>
              </a:graphicData>
            </a:graphic>
            <wp14:sizeRelH relativeFrom="page">
              <wp14:pctWidth>0</wp14:pctWidth>
            </wp14:sizeRelH>
            <wp14:sizeRelV relativeFrom="page">
              <wp14:pctHeight>0</wp14:pctHeight>
            </wp14:sizeRelV>
          </wp:anchor>
        </w:drawing>
      </w:r>
    </w:p>
    <w:p w14:paraId="2C60CD31" w14:textId="3B795093" w:rsidR="00053BE9" w:rsidRDefault="00053BE9" w:rsidP="00335B29">
      <w:pPr>
        <w:jc w:val="both"/>
        <w:rPr>
          <w:rFonts w:asciiTheme="majorBidi" w:hAnsiTheme="majorBidi" w:cstheme="majorBidi"/>
          <w:sz w:val="24"/>
          <w:szCs w:val="24"/>
        </w:rPr>
      </w:pPr>
    </w:p>
    <w:p w14:paraId="2ED118A7" w14:textId="77075F6A" w:rsidR="00053BE9" w:rsidRDefault="00053BE9" w:rsidP="00335B29">
      <w:pPr>
        <w:jc w:val="both"/>
        <w:rPr>
          <w:rFonts w:asciiTheme="majorBidi" w:hAnsiTheme="majorBidi" w:cstheme="majorBidi"/>
          <w:sz w:val="24"/>
          <w:szCs w:val="24"/>
        </w:rPr>
      </w:pPr>
    </w:p>
    <w:p w14:paraId="20290359" w14:textId="34B59216" w:rsidR="00053BE9" w:rsidRDefault="00053BE9" w:rsidP="00335B29">
      <w:pPr>
        <w:jc w:val="both"/>
        <w:rPr>
          <w:rFonts w:asciiTheme="majorBidi" w:hAnsiTheme="majorBidi" w:cstheme="majorBidi"/>
          <w:sz w:val="24"/>
          <w:szCs w:val="24"/>
        </w:rPr>
      </w:pPr>
    </w:p>
    <w:p w14:paraId="19668893" w14:textId="1CD5E36D" w:rsidR="00053BE9" w:rsidRDefault="00053BE9" w:rsidP="00335B29">
      <w:pPr>
        <w:jc w:val="both"/>
        <w:rPr>
          <w:rFonts w:asciiTheme="majorBidi" w:hAnsiTheme="majorBidi" w:cstheme="majorBidi"/>
          <w:sz w:val="24"/>
          <w:szCs w:val="24"/>
        </w:rPr>
      </w:pPr>
    </w:p>
    <w:p w14:paraId="3D5EC03C" w14:textId="0F18AF3C" w:rsidR="00053BE9" w:rsidRDefault="00053BE9" w:rsidP="00335B29">
      <w:pPr>
        <w:jc w:val="both"/>
        <w:rPr>
          <w:rFonts w:asciiTheme="majorBidi" w:hAnsiTheme="majorBidi" w:cstheme="majorBidi"/>
          <w:sz w:val="24"/>
          <w:szCs w:val="24"/>
        </w:rPr>
      </w:pPr>
    </w:p>
    <w:p w14:paraId="11CFE926" w14:textId="0AF5F68B" w:rsidR="00053BE9" w:rsidRDefault="00053BE9" w:rsidP="00335B29">
      <w:pPr>
        <w:jc w:val="both"/>
        <w:rPr>
          <w:rFonts w:asciiTheme="majorBidi" w:hAnsiTheme="majorBidi" w:cstheme="majorBidi"/>
          <w:sz w:val="24"/>
          <w:szCs w:val="24"/>
        </w:rPr>
      </w:pPr>
    </w:p>
    <w:p w14:paraId="01D891DD" w14:textId="0F5146E8" w:rsidR="00053BE9" w:rsidRDefault="00053BE9" w:rsidP="00335B29">
      <w:pPr>
        <w:jc w:val="both"/>
        <w:rPr>
          <w:rFonts w:asciiTheme="majorBidi" w:hAnsiTheme="majorBidi" w:cstheme="majorBidi"/>
          <w:sz w:val="24"/>
          <w:szCs w:val="24"/>
        </w:rPr>
      </w:pPr>
    </w:p>
    <w:p w14:paraId="49DDF3B1" w14:textId="4CF579B9" w:rsidR="00053BE9" w:rsidRDefault="00053BE9" w:rsidP="00335B29">
      <w:pPr>
        <w:jc w:val="both"/>
        <w:rPr>
          <w:rFonts w:asciiTheme="majorBidi" w:hAnsiTheme="majorBidi" w:cstheme="majorBidi"/>
          <w:sz w:val="24"/>
          <w:szCs w:val="24"/>
        </w:rPr>
      </w:pPr>
    </w:p>
    <w:p w14:paraId="78312E6C" w14:textId="47535CFB" w:rsidR="00053BE9" w:rsidRDefault="00053BE9" w:rsidP="00335B29">
      <w:pPr>
        <w:jc w:val="both"/>
        <w:rPr>
          <w:rFonts w:asciiTheme="majorBidi" w:hAnsiTheme="majorBidi" w:cstheme="majorBidi"/>
          <w:sz w:val="24"/>
          <w:szCs w:val="24"/>
        </w:rPr>
      </w:pPr>
    </w:p>
    <w:p w14:paraId="467BEB82" w14:textId="77777777" w:rsidR="00053BE9" w:rsidRDefault="00053BE9" w:rsidP="00335B29">
      <w:pPr>
        <w:jc w:val="both"/>
        <w:rPr>
          <w:rFonts w:asciiTheme="majorBidi" w:hAnsiTheme="majorBidi" w:cstheme="majorBidi"/>
          <w:sz w:val="24"/>
          <w:szCs w:val="24"/>
        </w:rPr>
      </w:pPr>
    </w:p>
    <w:p w14:paraId="6A1FEE64" w14:textId="55C21005" w:rsidR="00053BE9" w:rsidRDefault="00053BE9" w:rsidP="00335B29">
      <w:pPr>
        <w:jc w:val="both"/>
        <w:rPr>
          <w:rFonts w:asciiTheme="majorBidi" w:hAnsiTheme="majorBidi" w:cstheme="majorBidi"/>
          <w:sz w:val="24"/>
          <w:szCs w:val="24"/>
        </w:rPr>
      </w:pPr>
    </w:p>
    <w:p w14:paraId="1014A444" w14:textId="77777777" w:rsidR="00053BE9" w:rsidRDefault="00053BE9" w:rsidP="00335B29">
      <w:pPr>
        <w:jc w:val="both"/>
        <w:rPr>
          <w:rFonts w:asciiTheme="majorBidi" w:hAnsiTheme="majorBidi" w:cstheme="majorBidi"/>
          <w:sz w:val="24"/>
          <w:szCs w:val="24"/>
        </w:rPr>
      </w:pPr>
    </w:p>
    <w:p w14:paraId="149BCAD2" w14:textId="3AD7214E" w:rsidR="00053BE9" w:rsidRDefault="00053BE9" w:rsidP="00335B29">
      <w:pPr>
        <w:jc w:val="both"/>
        <w:rPr>
          <w:rFonts w:asciiTheme="majorBidi" w:hAnsiTheme="majorBidi" w:cstheme="majorBidi"/>
          <w:sz w:val="24"/>
          <w:szCs w:val="24"/>
        </w:rPr>
      </w:pPr>
    </w:p>
    <w:p w14:paraId="739DC342" w14:textId="77777777" w:rsidR="00053BE9" w:rsidRDefault="00053BE9" w:rsidP="00335B29">
      <w:pPr>
        <w:jc w:val="both"/>
        <w:rPr>
          <w:rFonts w:asciiTheme="majorBidi" w:hAnsiTheme="majorBidi" w:cstheme="majorBidi"/>
          <w:sz w:val="24"/>
          <w:szCs w:val="24"/>
        </w:rPr>
      </w:pPr>
    </w:p>
    <w:p w14:paraId="15F1DB60" w14:textId="77777777" w:rsidR="00053BE9" w:rsidRDefault="00053BE9" w:rsidP="00335B29">
      <w:pPr>
        <w:jc w:val="both"/>
        <w:rPr>
          <w:rFonts w:asciiTheme="majorBidi" w:hAnsiTheme="majorBidi" w:cstheme="majorBidi"/>
          <w:sz w:val="24"/>
          <w:szCs w:val="24"/>
        </w:rPr>
      </w:pPr>
    </w:p>
    <w:p w14:paraId="2695AD35" w14:textId="32528B7A" w:rsidR="00053BE9" w:rsidRDefault="00053BE9" w:rsidP="00335B29">
      <w:pPr>
        <w:jc w:val="both"/>
        <w:rPr>
          <w:rFonts w:asciiTheme="majorBidi" w:hAnsiTheme="majorBidi" w:cstheme="majorBidi"/>
          <w:sz w:val="24"/>
          <w:szCs w:val="24"/>
        </w:rPr>
      </w:pPr>
    </w:p>
    <w:p w14:paraId="64072088" w14:textId="70A4BDD5" w:rsidR="00053BE9" w:rsidRDefault="00053BE9" w:rsidP="00335B29">
      <w:pPr>
        <w:jc w:val="both"/>
        <w:rPr>
          <w:rFonts w:asciiTheme="majorBidi" w:hAnsiTheme="majorBidi" w:cstheme="majorBidi"/>
          <w:sz w:val="24"/>
          <w:szCs w:val="24"/>
        </w:rPr>
      </w:pPr>
    </w:p>
    <w:p w14:paraId="13227A8B" w14:textId="0DA73ED6" w:rsidR="00053BE9" w:rsidRDefault="00053BE9" w:rsidP="00335B29">
      <w:pPr>
        <w:jc w:val="both"/>
        <w:rPr>
          <w:rFonts w:asciiTheme="majorBidi" w:hAnsiTheme="majorBidi" w:cstheme="majorBidi"/>
          <w:sz w:val="24"/>
          <w:szCs w:val="24"/>
        </w:rPr>
      </w:pPr>
    </w:p>
    <w:p w14:paraId="6FCA8B6C" w14:textId="58925D2C" w:rsidR="00053BE9" w:rsidRDefault="00053BE9" w:rsidP="00335B29">
      <w:pPr>
        <w:jc w:val="both"/>
        <w:rPr>
          <w:rFonts w:asciiTheme="majorBidi" w:hAnsiTheme="majorBidi" w:cstheme="majorBidi"/>
          <w:sz w:val="24"/>
          <w:szCs w:val="24"/>
        </w:rPr>
      </w:pPr>
    </w:p>
    <w:p w14:paraId="4B793601" w14:textId="19D92255" w:rsidR="00053BE9" w:rsidRDefault="00053BE9" w:rsidP="00335B29">
      <w:pPr>
        <w:jc w:val="both"/>
        <w:rPr>
          <w:rFonts w:asciiTheme="majorBidi" w:hAnsiTheme="majorBidi" w:cstheme="majorBidi"/>
          <w:sz w:val="24"/>
          <w:szCs w:val="24"/>
        </w:rPr>
      </w:pPr>
    </w:p>
    <w:p w14:paraId="66AE98DC" w14:textId="6E4C2E0B" w:rsidR="00053BE9" w:rsidRDefault="00053BE9" w:rsidP="00335B29">
      <w:pPr>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3840" behindDoc="0" locked="0" layoutInCell="1" allowOverlap="1" wp14:anchorId="1986E263" wp14:editId="1980C93A">
                <wp:simplePos x="0" y="0"/>
                <wp:positionH relativeFrom="column">
                  <wp:posOffset>31813</wp:posOffset>
                </wp:positionH>
                <wp:positionV relativeFrom="paragraph">
                  <wp:posOffset>49530</wp:posOffset>
                </wp:positionV>
                <wp:extent cx="5931535" cy="695241"/>
                <wp:effectExtent l="0" t="0" r="0" b="3810"/>
                <wp:wrapNone/>
                <wp:docPr id="999701607" name="Text Box 1"/>
                <wp:cNvGraphicFramePr/>
                <a:graphic xmlns:a="http://schemas.openxmlformats.org/drawingml/2006/main">
                  <a:graphicData uri="http://schemas.microsoft.com/office/word/2010/wordprocessingShape">
                    <wps:wsp>
                      <wps:cNvSpPr txBox="1"/>
                      <wps:spPr>
                        <a:xfrm>
                          <a:off x="0" y="0"/>
                          <a:ext cx="5931535" cy="695241"/>
                        </a:xfrm>
                        <a:prstGeom prst="rect">
                          <a:avLst/>
                        </a:prstGeom>
                        <a:solidFill>
                          <a:schemeClr val="lt1"/>
                        </a:solidFill>
                        <a:ln w="6350">
                          <a:noFill/>
                        </a:ln>
                      </wps:spPr>
                      <wps:txbx>
                        <w:txbxContent>
                          <w:p w14:paraId="0376BCC7" w14:textId="17DCA98E" w:rsidR="00053BE9" w:rsidRPr="00345037" w:rsidRDefault="00053BE9" w:rsidP="00053BE9">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053BE9">
                              <w:rPr>
                                <w:rFonts w:ascii="Times New Roman" w:hAnsi="Times New Roman" w:cs="Times New Roman"/>
                                <w:b/>
                                <w:bCs/>
                                <w:color w:val="000000" w:themeColor="text1"/>
                                <w:sz w:val="20"/>
                                <w:szCs w:val="20"/>
                              </w:rPr>
                              <w:t xml:space="preserve">Figure </w:t>
                            </w:r>
                            <w:r>
                              <w:rPr>
                                <w:rFonts w:ascii="Times New Roman" w:hAnsi="Times New Roman" w:cs="Times New Roman"/>
                                <w:b/>
                                <w:bCs/>
                                <w:color w:val="000000" w:themeColor="text1"/>
                                <w:sz w:val="20"/>
                                <w:szCs w:val="20"/>
                              </w:rPr>
                              <w:t>3.</w:t>
                            </w:r>
                            <w:r w:rsidRPr="00053BE9">
                              <w:rPr>
                                <w:rFonts w:ascii="Times New Roman" w:hAnsi="Times New Roman" w:cs="Times New Roman"/>
                                <w:b/>
                                <w:bCs/>
                                <w:color w:val="000000" w:themeColor="text1"/>
                                <w:sz w:val="20"/>
                                <w:szCs w:val="20"/>
                              </w:rPr>
                              <w:t xml:space="preserve">2 </w:t>
                            </w:r>
                            <w:r w:rsidRPr="00053BE9">
                              <w:rPr>
                                <w:rFonts w:ascii="Times New Roman" w:hAnsi="Times New Roman" w:cs="Times New Roman"/>
                                <w:color w:val="000000" w:themeColor="text1"/>
                                <w:sz w:val="20"/>
                                <w:szCs w:val="20"/>
                              </w:rPr>
                              <w:t xml:space="preserve">A) Landmarks scheme (depicted in red) used to conduct geometric morphometric analyses at microevolutionary scales for B) </w:t>
                            </w:r>
                            <w:r w:rsidRPr="00053BE9">
                              <w:rPr>
                                <w:rFonts w:ascii="Times New Roman" w:hAnsi="Times New Roman" w:cs="Times New Roman"/>
                                <w:i/>
                                <w:iCs/>
                                <w:color w:val="000000" w:themeColor="text1"/>
                                <w:sz w:val="20"/>
                                <w:szCs w:val="20"/>
                              </w:rPr>
                              <w:t>M. tetranemus</w:t>
                            </w:r>
                            <w:r w:rsidRPr="00053BE9">
                              <w:rPr>
                                <w:rFonts w:ascii="Times New Roman" w:hAnsi="Times New Roman" w:cs="Times New Roman"/>
                                <w:color w:val="000000" w:themeColor="text1"/>
                                <w:sz w:val="20"/>
                                <w:szCs w:val="20"/>
                              </w:rPr>
                              <w:t xml:space="preserve"> in the TEP, and C) </w:t>
                            </w:r>
                            <w:r w:rsidRPr="00053BE9">
                              <w:rPr>
                                <w:rFonts w:ascii="Times New Roman" w:hAnsi="Times New Roman" w:cs="Times New Roman"/>
                                <w:i/>
                                <w:iCs/>
                                <w:color w:val="000000" w:themeColor="text1"/>
                                <w:sz w:val="20"/>
                                <w:szCs w:val="20"/>
                              </w:rPr>
                              <w:t>M. triangulatus</w:t>
                            </w:r>
                            <w:r w:rsidRPr="00053BE9">
                              <w:rPr>
                                <w:rFonts w:ascii="Times New Roman" w:hAnsi="Times New Roman" w:cs="Times New Roman"/>
                                <w:color w:val="000000" w:themeColor="text1"/>
                                <w:sz w:val="20"/>
                                <w:szCs w:val="20"/>
                              </w:rPr>
                              <w:t>-</w:t>
                            </w:r>
                            <w:r w:rsidRPr="00053BE9">
                              <w:rPr>
                                <w:rFonts w:ascii="Times New Roman" w:hAnsi="Times New Roman" w:cs="Times New Roman"/>
                                <w:i/>
                                <w:iCs/>
                                <w:color w:val="000000" w:themeColor="text1"/>
                                <w:sz w:val="20"/>
                                <w:szCs w:val="20"/>
                              </w:rPr>
                              <w:t xml:space="preserve">M. lianae </w:t>
                            </w:r>
                            <w:r w:rsidRPr="00053BE9">
                              <w:rPr>
                                <w:rFonts w:ascii="Times New Roman" w:hAnsi="Times New Roman" w:cs="Times New Roman"/>
                                <w:color w:val="000000" w:themeColor="text1"/>
                                <w:sz w:val="20"/>
                                <w:szCs w:val="20"/>
                              </w:rPr>
                              <w:t xml:space="preserve">species complex in the TA; and at macroevolutionary scales for D) 20 species of </w:t>
                            </w:r>
                            <w:r w:rsidRPr="00053BE9">
                              <w:rPr>
                                <w:rFonts w:ascii="Times New Roman" w:hAnsi="Times New Roman" w:cs="Times New Roman"/>
                                <w:i/>
                                <w:iCs/>
                                <w:color w:val="000000" w:themeColor="text1"/>
                                <w:sz w:val="20"/>
                                <w:szCs w:val="20"/>
                              </w:rPr>
                              <w:t>Malacoctenus</w:t>
                            </w:r>
                            <w:r w:rsidRPr="00053BE9">
                              <w:rPr>
                                <w:rFonts w:ascii="Times New Roman" w:hAnsi="Times New Roman" w:cs="Times New Roman"/>
                                <w:color w:val="000000" w:themeColor="text1"/>
                                <w:sz w:val="20"/>
                                <w:szCs w:val="20"/>
                              </w:rPr>
                              <w:t xml:space="preserve"> in both regions.</w:t>
                            </w:r>
                          </w:p>
                          <w:p w14:paraId="7D34DFDA" w14:textId="77777777" w:rsidR="00053BE9" w:rsidRPr="00414101" w:rsidRDefault="00053BE9" w:rsidP="00053BE9">
                            <w:pPr>
                              <w:widowControl w:val="0"/>
                              <w:autoSpaceDE w:val="0"/>
                              <w:autoSpaceDN w:val="0"/>
                              <w:adjustRightInd w:val="0"/>
                              <w:spacing w:before="120" w:after="120"/>
                              <w:jc w:val="both"/>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6E263" id="_x0000_s1033" type="#_x0000_t202" style="position:absolute;left:0;text-align:left;margin-left:2.5pt;margin-top:3.9pt;width:467.05pt;height:5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" fillcolor="white [3201]" stroked="f" strokeweight=".5pt">
                <v:textbox>
                  <w:txbxContent>
                    <w:p w14:paraId="0376BCC7" w14:textId="17DCA98E" w:rsidR="00053BE9" w:rsidRPr="00345037" w:rsidRDefault="00053BE9" w:rsidP="00053BE9">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053BE9">
                        <w:rPr>
                          <w:rFonts w:ascii="Times New Roman" w:hAnsi="Times New Roman" w:cs="Times New Roman"/>
                          <w:b/>
                          <w:bCs/>
                          <w:color w:val="000000" w:themeColor="text1"/>
                          <w:sz w:val="20"/>
                          <w:szCs w:val="20"/>
                        </w:rPr>
                        <w:t xml:space="preserve">Figure </w:t>
                      </w:r>
                      <w:r>
                        <w:rPr>
                          <w:rFonts w:ascii="Times New Roman" w:hAnsi="Times New Roman" w:cs="Times New Roman"/>
                          <w:b/>
                          <w:bCs/>
                          <w:color w:val="000000" w:themeColor="text1"/>
                          <w:sz w:val="20"/>
                          <w:szCs w:val="20"/>
                        </w:rPr>
                        <w:t>3.</w:t>
                      </w:r>
                      <w:r w:rsidRPr="00053BE9">
                        <w:rPr>
                          <w:rFonts w:ascii="Times New Roman" w:hAnsi="Times New Roman" w:cs="Times New Roman"/>
                          <w:b/>
                          <w:bCs/>
                          <w:color w:val="000000" w:themeColor="text1"/>
                          <w:sz w:val="20"/>
                          <w:szCs w:val="20"/>
                        </w:rPr>
                        <w:t xml:space="preserve">2 </w:t>
                      </w:r>
                      <w:r w:rsidRPr="00053BE9">
                        <w:rPr>
                          <w:rFonts w:ascii="Times New Roman" w:hAnsi="Times New Roman" w:cs="Times New Roman"/>
                          <w:color w:val="000000" w:themeColor="text1"/>
                          <w:sz w:val="20"/>
                          <w:szCs w:val="20"/>
                        </w:rPr>
                        <w:t xml:space="preserve">A) Landmarks scheme (depicted in red) used to conduct geometric morphometric analyses at microevolutionary scales for B) </w:t>
                      </w:r>
                      <w:r w:rsidRPr="00053BE9">
                        <w:rPr>
                          <w:rFonts w:ascii="Times New Roman" w:hAnsi="Times New Roman" w:cs="Times New Roman"/>
                          <w:i/>
                          <w:iCs/>
                          <w:color w:val="000000" w:themeColor="text1"/>
                          <w:sz w:val="20"/>
                          <w:szCs w:val="20"/>
                        </w:rPr>
                        <w:t>M. tetranemus</w:t>
                      </w:r>
                      <w:r w:rsidRPr="00053BE9">
                        <w:rPr>
                          <w:rFonts w:ascii="Times New Roman" w:hAnsi="Times New Roman" w:cs="Times New Roman"/>
                          <w:color w:val="000000" w:themeColor="text1"/>
                          <w:sz w:val="20"/>
                          <w:szCs w:val="20"/>
                        </w:rPr>
                        <w:t xml:space="preserve"> in the TEP, and C) </w:t>
                      </w:r>
                      <w:r w:rsidRPr="00053BE9">
                        <w:rPr>
                          <w:rFonts w:ascii="Times New Roman" w:hAnsi="Times New Roman" w:cs="Times New Roman"/>
                          <w:i/>
                          <w:iCs/>
                          <w:color w:val="000000" w:themeColor="text1"/>
                          <w:sz w:val="20"/>
                          <w:szCs w:val="20"/>
                        </w:rPr>
                        <w:t>M. triangulatus</w:t>
                      </w:r>
                      <w:r w:rsidRPr="00053BE9">
                        <w:rPr>
                          <w:rFonts w:ascii="Times New Roman" w:hAnsi="Times New Roman" w:cs="Times New Roman"/>
                          <w:color w:val="000000" w:themeColor="text1"/>
                          <w:sz w:val="20"/>
                          <w:szCs w:val="20"/>
                        </w:rPr>
                        <w:t>-</w:t>
                      </w:r>
                      <w:r w:rsidRPr="00053BE9">
                        <w:rPr>
                          <w:rFonts w:ascii="Times New Roman" w:hAnsi="Times New Roman" w:cs="Times New Roman"/>
                          <w:i/>
                          <w:iCs/>
                          <w:color w:val="000000" w:themeColor="text1"/>
                          <w:sz w:val="20"/>
                          <w:szCs w:val="20"/>
                        </w:rPr>
                        <w:t xml:space="preserve">M. lianae </w:t>
                      </w:r>
                      <w:r w:rsidRPr="00053BE9">
                        <w:rPr>
                          <w:rFonts w:ascii="Times New Roman" w:hAnsi="Times New Roman" w:cs="Times New Roman"/>
                          <w:color w:val="000000" w:themeColor="text1"/>
                          <w:sz w:val="20"/>
                          <w:szCs w:val="20"/>
                        </w:rPr>
                        <w:t xml:space="preserve">species complex in the TA; and at macroevolutionary scales for D) 20 species of </w:t>
                      </w:r>
                      <w:r w:rsidRPr="00053BE9">
                        <w:rPr>
                          <w:rFonts w:ascii="Times New Roman" w:hAnsi="Times New Roman" w:cs="Times New Roman"/>
                          <w:i/>
                          <w:iCs/>
                          <w:color w:val="000000" w:themeColor="text1"/>
                          <w:sz w:val="20"/>
                          <w:szCs w:val="20"/>
                        </w:rPr>
                        <w:t>Malacoctenus</w:t>
                      </w:r>
                      <w:r w:rsidRPr="00053BE9">
                        <w:rPr>
                          <w:rFonts w:ascii="Times New Roman" w:hAnsi="Times New Roman" w:cs="Times New Roman"/>
                          <w:color w:val="000000" w:themeColor="text1"/>
                          <w:sz w:val="20"/>
                          <w:szCs w:val="20"/>
                        </w:rPr>
                        <w:t xml:space="preserve"> in both regions.</w:t>
                      </w:r>
                    </w:p>
                    <w:p w14:paraId="7D34DFDA" w14:textId="77777777" w:rsidR="00053BE9" w:rsidRPr="00414101" w:rsidRDefault="00053BE9" w:rsidP="00053BE9">
                      <w:pPr>
                        <w:widowControl w:val="0"/>
                        <w:autoSpaceDE w:val="0"/>
                        <w:autoSpaceDN w:val="0"/>
                        <w:adjustRightInd w:val="0"/>
                        <w:spacing w:before="120" w:after="120"/>
                        <w:jc w:val="both"/>
                        <w:rPr>
                          <w:rFonts w:ascii="Times New Roman" w:hAnsi="Times New Roman" w:cs="Times New Roman"/>
                          <w:color w:val="000000" w:themeColor="text1"/>
                          <w:sz w:val="20"/>
                          <w:szCs w:val="20"/>
                        </w:rPr>
                      </w:pPr>
                    </w:p>
                  </w:txbxContent>
                </v:textbox>
              </v:shape>
            </w:pict>
          </mc:Fallback>
        </mc:AlternateContent>
      </w:r>
    </w:p>
    <w:p w14:paraId="3A7D71D3" w14:textId="77777777" w:rsidR="00053BE9" w:rsidRDefault="00053BE9" w:rsidP="00335B29">
      <w:pPr>
        <w:jc w:val="both"/>
        <w:rPr>
          <w:rFonts w:asciiTheme="majorBidi" w:hAnsiTheme="majorBidi" w:cstheme="majorBidi"/>
          <w:sz w:val="24"/>
          <w:szCs w:val="24"/>
        </w:rPr>
      </w:pPr>
    </w:p>
    <w:p w14:paraId="6A8F3520" w14:textId="77777777" w:rsidR="00053BE9" w:rsidRDefault="00053BE9" w:rsidP="00335B29">
      <w:pPr>
        <w:jc w:val="both"/>
        <w:rPr>
          <w:rFonts w:asciiTheme="majorBidi" w:hAnsiTheme="majorBidi" w:cstheme="majorBidi"/>
          <w:sz w:val="24"/>
          <w:szCs w:val="24"/>
        </w:rPr>
      </w:pPr>
    </w:p>
    <w:p w14:paraId="119E2C54" w14:textId="7EB1FF54" w:rsidR="00A4324C" w:rsidRDefault="00A4324C" w:rsidP="00335B29">
      <w:pPr>
        <w:jc w:val="both"/>
        <w:rPr>
          <w:rFonts w:asciiTheme="majorBidi" w:hAnsiTheme="majorBidi" w:cstheme="majorBidi"/>
          <w:b/>
          <w:bCs/>
          <w:sz w:val="28"/>
          <w:szCs w:val="28"/>
        </w:rPr>
      </w:pPr>
      <w:r>
        <w:rPr>
          <w:rFonts w:ascii="Arial" w:hAnsi="Arial" w:cs="Arial"/>
          <w:noProof/>
          <w:color w:val="000000"/>
          <w:sz w:val="20"/>
          <w:szCs w:val="20"/>
        </w:rPr>
        <w:lastRenderedPageBreak/>
        <w:drawing>
          <wp:anchor distT="0" distB="0" distL="114300" distR="114300" simplePos="0" relativeHeight="251687936" behindDoc="0" locked="0" layoutInCell="1" allowOverlap="1" wp14:anchorId="20BA3A24" wp14:editId="0D4FDDDF">
            <wp:simplePos x="0" y="0"/>
            <wp:positionH relativeFrom="column">
              <wp:posOffset>67945</wp:posOffset>
            </wp:positionH>
            <wp:positionV relativeFrom="paragraph">
              <wp:posOffset>33118</wp:posOffset>
            </wp:positionV>
            <wp:extent cx="5826466" cy="3404167"/>
            <wp:effectExtent l="0" t="0" r="3175" b="0"/>
            <wp:wrapNone/>
            <wp:docPr id="872991222" name="Picture 3" descr="A collage of diagrams showing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91222" name="Picture 3" descr="A collage of diagrams showing different types of cell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826466" cy="3404167"/>
                    </a:xfrm>
                    <a:prstGeom prst="rect">
                      <a:avLst/>
                    </a:prstGeom>
                  </pic:spPr>
                </pic:pic>
              </a:graphicData>
            </a:graphic>
            <wp14:sizeRelH relativeFrom="page">
              <wp14:pctWidth>0</wp14:pctWidth>
            </wp14:sizeRelH>
            <wp14:sizeRelV relativeFrom="page">
              <wp14:pctHeight>0</wp14:pctHeight>
            </wp14:sizeRelV>
          </wp:anchor>
        </w:drawing>
      </w:r>
    </w:p>
    <w:p w14:paraId="25941F8C" w14:textId="23B6355E" w:rsidR="00A4324C" w:rsidRDefault="00A4324C" w:rsidP="00335B29">
      <w:pPr>
        <w:jc w:val="both"/>
        <w:rPr>
          <w:rFonts w:asciiTheme="majorBidi" w:hAnsiTheme="majorBidi" w:cstheme="majorBidi"/>
          <w:b/>
          <w:bCs/>
          <w:sz w:val="28"/>
          <w:szCs w:val="28"/>
        </w:rPr>
      </w:pPr>
    </w:p>
    <w:p w14:paraId="786107F9" w14:textId="77777777" w:rsidR="00A4324C" w:rsidRDefault="00A4324C" w:rsidP="00335B29">
      <w:pPr>
        <w:jc w:val="both"/>
        <w:rPr>
          <w:rFonts w:asciiTheme="majorBidi" w:hAnsiTheme="majorBidi" w:cstheme="majorBidi"/>
          <w:b/>
          <w:bCs/>
          <w:sz w:val="28"/>
          <w:szCs w:val="28"/>
        </w:rPr>
      </w:pPr>
    </w:p>
    <w:p w14:paraId="52DD7D31" w14:textId="2F332797" w:rsidR="00A4324C" w:rsidRDefault="00A4324C" w:rsidP="00335B29">
      <w:pPr>
        <w:jc w:val="both"/>
        <w:rPr>
          <w:rFonts w:asciiTheme="majorBidi" w:hAnsiTheme="majorBidi" w:cstheme="majorBidi"/>
          <w:b/>
          <w:bCs/>
          <w:sz w:val="28"/>
          <w:szCs w:val="28"/>
        </w:rPr>
      </w:pPr>
    </w:p>
    <w:p w14:paraId="4CE80999" w14:textId="107A0610" w:rsidR="00A4324C" w:rsidRDefault="00A4324C" w:rsidP="00335B29">
      <w:pPr>
        <w:jc w:val="both"/>
        <w:rPr>
          <w:rFonts w:asciiTheme="majorBidi" w:hAnsiTheme="majorBidi" w:cstheme="majorBidi"/>
          <w:b/>
          <w:bCs/>
          <w:sz w:val="28"/>
          <w:szCs w:val="28"/>
        </w:rPr>
      </w:pPr>
    </w:p>
    <w:p w14:paraId="2EDEF862" w14:textId="10C74F26" w:rsidR="00A4324C" w:rsidRDefault="00A4324C" w:rsidP="00335B29">
      <w:pPr>
        <w:jc w:val="both"/>
        <w:rPr>
          <w:rFonts w:asciiTheme="majorBidi" w:hAnsiTheme="majorBidi" w:cstheme="majorBidi"/>
          <w:b/>
          <w:bCs/>
          <w:sz w:val="28"/>
          <w:szCs w:val="28"/>
        </w:rPr>
      </w:pPr>
    </w:p>
    <w:p w14:paraId="7830B0AD" w14:textId="712029A1" w:rsidR="00A4324C" w:rsidRDefault="00A4324C" w:rsidP="00335B29">
      <w:pPr>
        <w:jc w:val="both"/>
        <w:rPr>
          <w:rFonts w:asciiTheme="majorBidi" w:hAnsiTheme="majorBidi" w:cstheme="majorBidi"/>
          <w:b/>
          <w:bCs/>
          <w:sz w:val="28"/>
          <w:szCs w:val="28"/>
        </w:rPr>
      </w:pPr>
    </w:p>
    <w:p w14:paraId="5B973AFE" w14:textId="4DA97735" w:rsidR="00A4324C" w:rsidRDefault="00A4324C" w:rsidP="00335B29">
      <w:pPr>
        <w:jc w:val="both"/>
        <w:rPr>
          <w:rFonts w:asciiTheme="majorBidi" w:hAnsiTheme="majorBidi" w:cstheme="majorBidi"/>
          <w:b/>
          <w:bCs/>
          <w:sz w:val="28"/>
          <w:szCs w:val="28"/>
        </w:rPr>
      </w:pPr>
    </w:p>
    <w:p w14:paraId="60C3B73D" w14:textId="2925D08E" w:rsidR="00A4324C" w:rsidRDefault="00A4324C" w:rsidP="00335B29">
      <w:pPr>
        <w:jc w:val="both"/>
        <w:rPr>
          <w:rFonts w:asciiTheme="majorBidi" w:hAnsiTheme="majorBidi" w:cstheme="majorBidi"/>
          <w:b/>
          <w:bCs/>
          <w:sz w:val="28"/>
          <w:szCs w:val="28"/>
        </w:rPr>
      </w:pPr>
    </w:p>
    <w:p w14:paraId="3B634E8C" w14:textId="6765AE0C" w:rsidR="00A4324C" w:rsidRDefault="00A4324C" w:rsidP="00335B29">
      <w:pPr>
        <w:jc w:val="both"/>
        <w:rPr>
          <w:rFonts w:asciiTheme="majorBidi" w:hAnsiTheme="majorBidi" w:cstheme="majorBidi"/>
          <w:b/>
          <w:bCs/>
          <w:sz w:val="28"/>
          <w:szCs w:val="28"/>
        </w:rPr>
      </w:pPr>
    </w:p>
    <w:p w14:paraId="1BD4909A" w14:textId="42D2F034" w:rsidR="00A4324C" w:rsidRDefault="00A4324C" w:rsidP="00335B29">
      <w:pPr>
        <w:jc w:val="both"/>
        <w:rPr>
          <w:rFonts w:asciiTheme="majorBidi" w:hAnsiTheme="majorBidi" w:cstheme="majorBidi"/>
          <w:b/>
          <w:bCs/>
          <w:sz w:val="28"/>
          <w:szCs w:val="28"/>
        </w:rPr>
      </w:pPr>
      <w:r>
        <w:rPr>
          <w:rFonts w:asciiTheme="majorBidi" w:hAnsiTheme="majorBidi" w:cstheme="majorBidi"/>
          <w:noProof/>
          <w:sz w:val="24"/>
          <w:szCs w:val="24"/>
        </w:rPr>
        <mc:AlternateContent>
          <mc:Choice Requires="wps">
            <w:drawing>
              <wp:anchor distT="0" distB="0" distL="114300" distR="114300" simplePos="0" relativeHeight="251686912" behindDoc="0" locked="0" layoutInCell="1" allowOverlap="1" wp14:anchorId="1C0C73AA" wp14:editId="34990C3D">
                <wp:simplePos x="0" y="0"/>
                <wp:positionH relativeFrom="column">
                  <wp:posOffset>67945</wp:posOffset>
                </wp:positionH>
                <wp:positionV relativeFrom="paragraph">
                  <wp:posOffset>142245</wp:posOffset>
                </wp:positionV>
                <wp:extent cx="5931535" cy="982345"/>
                <wp:effectExtent l="0" t="0" r="0" b="0"/>
                <wp:wrapNone/>
                <wp:docPr id="1281109964" name="Text Box 1"/>
                <wp:cNvGraphicFramePr/>
                <a:graphic xmlns:a="http://schemas.openxmlformats.org/drawingml/2006/main">
                  <a:graphicData uri="http://schemas.microsoft.com/office/word/2010/wordprocessingShape">
                    <wps:wsp>
                      <wps:cNvSpPr txBox="1"/>
                      <wps:spPr>
                        <a:xfrm>
                          <a:off x="0" y="0"/>
                          <a:ext cx="5931535" cy="982345"/>
                        </a:xfrm>
                        <a:prstGeom prst="rect">
                          <a:avLst/>
                        </a:prstGeom>
                        <a:solidFill>
                          <a:schemeClr val="lt1"/>
                        </a:solidFill>
                        <a:ln w="6350">
                          <a:noFill/>
                        </a:ln>
                      </wps:spPr>
                      <wps:txbx>
                        <w:txbxContent>
                          <w:p w14:paraId="31B4D5CC" w14:textId="32DE11CF" w:rsidR="00A4324C" w:rsidRPr="00A4324C" w:rsidRDefault="00A4324C" w:rsidP="00A4324C">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A4324C">
                              <w:rPr>
                                <w:rFonts w:ascii="Times New Roman" w:hAnsi="Times New Roman" w:cs="Times New Roman"/>
                                <w:b/>
                                <w:bCs/>
                                <w:color w:val="000000" w:themeColor="text1"/>
                                <w:sz w:val="20"/>
                                <w:szCs w:val="20"/>
                              </w:rPr>
                              <w:t>Figure 3.</w:t>
                            </w:r>
                            <w:r>
                              <w:rPr>
                                <w:rFonts w:ascii="Times New Roman" w:hAnsi="Times New Roman" w:cs="Times New Roman"/>
                                <w:b/>
                                <w:bCs/>
                                <w:color w:val="000000" w:themeColor="text1"/>
                                <w:sz w:val="20"/>
                                <w:szCs w:val="20"/>
                              </w:rPr>
                              <w:t>3</w:t>
                            </w:r>
                            <w:r w:rsidRPr="00A4324C">
                              <w:rPr>
                                <w:rFonts w:ascii="Times New Roman" w:hAnsi="Times New Roman" w:cs="Times New Roman"/>
                                <w:b/>
                                <w:bCs/>
                                <w:color w:val="000000" w:themeColor="text1"/>
                                <w:sz w:val="20"/>
                                <w:szCs w:val="20"/>
                              </w:rPr>
                              <w:t xml:space="preserve"> </w:t>
                            </w:r>
                            <w:r w:rsidRPr="00A4324C">
                              <w:rPr>
                                <w:rFonts w:ascii="Times New Roman" w:hAnsi="Times New Roman" w:cs="Times New Roman"/>
                                <w:color w:val="000000" w:themeColor="text1"/>
                                <w:sz w:val="20"/>
                                <w:szCs w:val="20"/>
                              </w:rPr>
                              <w:t xml:space="preserve">Seascape genomic analyses of </w:t>
                            </w:r>
                            <w:r w:rsidRPr="00A4324C">
                              <w:rPr>
                                <w:rFonts w:ascii="Times New Roman" w:hAnsi="Times New Roman" w:cs="Times New Roman"/>
                                <w:i/>
                                <w:iCs/>
                                <w:color w:val="000000" w:themeColor="text1"/>
                                <w:sz w:val="20"/>
                                <w:szCs w:val="20"/>
                              </w:rPr>
                              <w:t>Malacoctenus</w:t>
                            </w:r>
                            <w:r w:rsidRPr="00A4324C">
                              <w:rPr>
                                <w:rFonts w:ascii="Times New Roman" w:hAnsi="Times New Roman" w:cs="Times New Roman"/>
                                <w:color w:val="000000" w:themeColor="text1"/>
                                <w:sz w:val="20"/>
                                <w:szCs w:val="20"/>
                              </w:rPr>
                              <w:t>, illustrating main environmental features driving divergence at both (A and E) intraspecific and (C and F) interspecific levels in the Tropical Eastern Pacific (A–C) and Tropical Atlantic (D–F). Distance-based partial redundancy analysis (db-RDA) show that SST, SSS, SPM, spatial composition (MEMs), and depth, are key environmental variables driving population differentiation and speciation.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C73AA" id="_x0000_s1034" type="#_x0000_t202" style="position:absolute;left:0;text-align:left;margin-left:5.35pt;margin-top:11.2pt;width:467.05pt;height:77.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" fillcolor="white [3201]" stroked="f" strokeweight=".5pt">
                <v:textbox>
                  <w:txbxContent>
                    <w:p w14:paraId="31B4D5CC" w14:textId="32DE11CF" w:rsidR="00A4324C" w:rsidRPr="00A4324C" w:rsidRDefault="00A4324C" w:rsidP="00A4324C">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A4324C">
                        <w:rPr>
                          <w:rFonts w:ascii="Times New Roman" w:hAnsi="Times New Roman" w:cs="Times New Roman"/>
                          <w:b/>
                          <w:bCs/>
                          <w:color w:val="000000" w:themeColor="text1"/>
                          <w:sz w:val="20"/>
                          <w:szCs w:val="20"/>
                        </w:rPr>
                        <w:t>Figure 3.</w:t>
                      </w:r>
                      <w:r>
                        <w:rPr>
                          <w:rFonts w:ascii="Times New Roman" w:hAnsi="Times New Roman" w:cs="Times New Roman"/>
                          <w:b/>
                          <w:bCs/>
                          <w:color w:val="000000" w:themeColor="text1"/>
                          <w:sz w:val="20"/>
                          <w:szCs w:val="20"/>
                        </w:rPr>
                        <w:t>3</w:t>
                      </w:r>
                      <w:r w:rsidRPr="00A4324C">
                        <w:rPr>
                          <w:rFonts w:ascii="Times New Roman" w:hAnsi="Times New Roman" w:cs="Times New Roman"/>
                          <w:b/>
                          <w:bCs/>
                          <w:color w:val="000000" w:themeColor="text1"/>
                          <w:sz w:val="20"/>
                          <w:szCs w:val="20"/>
                        </w:rPr>
                        <w:t xml:space="preserve"> </w:t>
                      </w:r>
                      <w:r w:rsidRPr="00A4324C">
                        <w:rPr>
                          <w:rFonts w:ascii="Times New Roman" w:hAnsi="Times New Roman" w:cs="Times New Roman"/>
                          <w:color w:val="000000" w:themeColor="text1"/>
                          <w:sz w:val="20"/>
                          <w:szCs w:val="20"/>
                        </w:rPr>
                        <w:t xml:space="preserve">Seascape genomic analyses of </w:t>
                      </w:r>
                      <w:r w:rsidRPr="00A4324C">
                        <w:rPr>
                          <w:rFonts w:ascii="Times New Roman" w:hAnsi="Times New Roman" w:cs="Times New Roman"/>
                          <w:i/>
                          <w:iCs/>
                          <w:color w:val="000000" w:themeColor="text1"/>
                          <w:sz w:val="20"/>
                          <w:szCs w:val="20"/>
                        </w:rPr>
                        <w:t>Malacoctenus</w:t>
                      </w:r>
                      <w:r w:rsidRPr="00A4324C">
                        <w:rPr>
                          <w:rFonts w:ascii="Times New Roman" w:hAnsi="Times New Roman" w:cs="Times New Roman"/>
                          <w:color w:val="000000" w:themeColor="text1"/>
                          <w:sz w:val="20"/>
                          <w:szCs w:val="20"/>
                        </w:rPr>
                        <w:t>, illustrating main environmental features driving divergence at both (A and E) intraspecific and (C and F) interspecific levels in the Tropical Eastern Pacific (A–C) and Tropical Atlantic (D–F). Distance-based partial redundancy analysis (db-RDA) show that SST, SSS, SPM, spatial composition (MEMs), and depth, are key environmental variables driving population differentiation and speciation.</w:t>
                      </w:r>
                    </w:p>
                  </w:txbxContent>
                </v:textbox>
              </v:shape>
            </w:pict>
          </mc:Fallback>
        </mc:AlternateContent>
      </w:r>
    </w:p>
    <w:p w14:paraId="03702725" w14:textId="77777777" w:rsidR="00A4324C" w:rsidRDefault="00A4324C" w:rsidP="00335B29">
      <w:pPr>
        <w:jc w:val="both"/>
        <w:rPr>
          <w:rFonts w:asciiTheme="majorBidi" w:hAnsiTheme="majorBidi" w:cstheme="majorBidi"/>
          <w:b/>
          <w:bCs/>
          <w:sz w:val="28"/>
          <w:szCs w:val="28"/>
        </w:rPr>
      </w:pPr>
    </w:p>
    <w:p w14:paraId="3FC9E370" w14:textId="77777777" w:rsidR="00A4324C" w:rsidRDefault="00A4324C" w:rsidP="00335B29">
      <w:pPr>
        <w:jc w:val="both"/>
        <w:rPr>
          <w:rFonts w:asciiTheme="majorBidi" w:hAnsiTheme="majorBidi" w:cstheme="majorBidi"/>
          <w:b/>
          <w:bCs/>
          <w:sz w:val="28"/>
          <w:szCs w:val="28"/>
        </w:rPr>
      </w:pPr>
    </w:p>
    <w:p w14:paraId="7AF0A644" w14:textId="77777777" w:rsidR="00A4324C" w:rsidRDefault="00A4324C" w:rsidP="00335B29">
      <w:pPr>
        <w:jc w:val="both"/>
        <w:rPr>
          <w:rFonts w:asciiTheme="majorBidi" w:hAnsiTheme="majorBidi" w:cstheme="majorBidi"/>
          <w:b/>
          <w:bCs/>
          <w:sz w:val="28"/>
          <w:szCs w:val="28"/>
        </w:rPr>
      </w:pPr>
    </w:p>
    <w:p w14:paraId="045354B5" w14:textId="79DBA909" w:rsidR="00335B29" w:rsidRDefault="00335B29" w:rsidP="00335B29">
      <w:pPr>
        <w:jc w:val="both"/>
        <w:rPr>
          <w:rFonts w:asciiTheme="majorBidi" w:hAnsiTheme="majorBidi" w:cstheme="majorBidi"/>
          <w:b/>
          <w:bCs/>
          <w:sz w:val="28"/>
          <w:szCs w:val="28"/>
        </w:rPr>
      </w:pPr>
      <w:r>
        <w:rPr>
          <w:rFonts w:asciiTheme="majorBidi" w:hAnsiTheme="majorBidi" w:cstheme="majorBidi"/>
          <w:b/>
          <w:bCs/>
          <w:sz w:val="28"/>
          <w:szCs w:val="28"/>
        </w:rPr>
        <w:t>E</w:t>
      </w:r>
      <w:r w:rsidRPr="00335B29">
        <w:rPr>
          <w:rFonts w:asciiTheme="majorBidi" w:hAnsiTheme="majorBidi" w:cstheme="majorBidi"/>
          <w:b/>
          <w:bCs/>
          <w:sz w:val="28"/>
          <w:szCs w:val="28"/>
        </w:rPr>
        <w:t>volutionary and biogeographic history, and the rising of the Panama Isthmus</w:t>
      </w:r>
    </w:p>
    <w:p w14:paraId="4B2998A9" w14:textId="02CD91E7" w:rsidR="00335B29" w:rsidRDefault="00335B29" w:rsidP="00335B29">
      <w:pPr>
        <w:jc w:val="both"/>
        <w:rPr>
          <w:rFonts w:asciiTheme="majorBidi" w:hAnsiTheme="majorBidi" w:cstheme="majorBidi"/>
          <w:sz w:val="24"/>
          <w:szCs w:val="24"/>
        </w:rPr>
      </w:pPr>
      <w:r w:rsidRPr="00335B29">
        <w:rPr>
          <w:rFonts w:asciiTheme="majorBidi" w:hAnsiTheme="majorBidi" w:cstheme="majorBidi"/>
          <w:sz w:val="24"/>
          <w:szCs w:val="24"/>
        </w:rPr>
        <w:t>For macroevolutionary inferences, we generated five matrices consisting of 1,891–28,144 SNPs, selected based on varied levels of missing data (29.1–81.1%), which we used to elucidate the evolutionary and biogeographic history of the genus, with an emphasis on examining the synchronicity of speciation events triggered by the rise of the Isthmus of Panama (</w:t>
      </w:r>
      <w:r w:rsidRPr="00335B29">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335B29">
        <w:rPr>
          <w:rFonts w:asciiTheme="majorBidi" w:hAnsiTheme="majorBidi" w:cstheme="majorBidi"/>
          <w:i/>
          <w:iCs/>
          <w:sz w:val="24"/>
          <w:szCs w:val="24"/>
        </w:rPr>
        <w:t xml:space="preserve">, Materials and Methods, </w:t>
      </w:r>
      <w:r w:rsidRPr="00335B29">
        <w:rPr>
          <w:rFonts w:asciiTheme="majorBidi" w:hAnsiTheme="majorBidi" w:cstheme="majorBidi"/>
          <w:sz w:val="24"/>
          <w:szCs w:val="24"/>
        </w:rPr>
        <w:t xml:space="preserve">Table S7). To this end, we estimated the evolutionary relationships among the 23 species in the genus, and time-calibrated the 28K SNP tree (Fig. </w:t>
      </w:r>
      <w:r>
        <w:rPr>
          <w:rFonts w:asciiTheme="majorBidi" w:hAnsiTheme="majorBidi" w:cstheme="majorBidi"/>
          <w:sz w:val="24"/>
          <w:szCs w:val="24"/>
        </w:rPr>
        <w:t>3.</w:t>
      </w:r>
      <w:r w:rsidRPr="00335B29">
        <w:rPr>
          <w:rFonts w:asciiTheme="majorBidi" w:hAnsiTheme="majorBidi" w:cstheme="majorBidi"/>
          <w:sz w:val="24"/>
          <w:szCs w:val="24"/>
        </w:rPr>
        <w:t xml:space="preserve">4, </w:t>
      </w:r>
      <w:r w:rsidRPr="00335B29">
        <w:rPr>
          <w:rFonts w:asciiTheme="majorBidi" w:hAnsiTheme="majorBidi" w:cstheme="majorBidi"/>
          <w:i/>
          <w:iCs/>
          <w:sz w:val="24"/>
          <w:szCs w:val="24"/>
        </w:rPr>
        <w:t>Appendix</w:t>
      </w:r>
      <w:r>
        <w:rPr>
          <w:rFonts w:asciiTheme="majorBidi" w:hAnsiTheme="majorBidi" w:cstheme="majorBidi"/>
          <w:i/>
          <w:iCs/>
          <w:sz w:val="24"/>
          <w:szCs w:val="24"/>
        </w:rPr>
        <w:t xml:space="preserve"> C</w:t>
      </w:r>
      <w:r w:rsidRPr="00335B29">
        <w:rPr>
          <w:rFonts w:asciiTheme="majorBidi" w:hAnsiTheme="majorBidi" w:cstheme="majorBidi"/>
          <w:i/>
          <w:iCs/>
          <w:sz w:val="24"/>
          <w:szCs w:val="24"/>
        </w:rPr>
        <w:t>,</w:t>
      </w:r>
      <w:r w:rsidRPr="00335B29">
        <w:rPr>
          <w:rFonts w:asciiTheme="majorBidi" w:hAnsiTheme="majorBidi" w:cstheme="majorBidi"/>
          <w:sz w:val="24"/>
          <w:szCs w:val="24"/>
        </w:rPr>
        <w:t xml:space="preserve"> Fig. S35–S36). We then inferred ancestral geographic ranges by using BioGeoBEARS </w:t>
      </w:r>
      <w:r w:rsidRPr="00335B29">
        <w:rPr>
          <w:rFonts w:asciiTheme="majorBidi" w:hAnsiTheme="majorBidi" w:cstheme="majorBidi"/>
          <w:sz w:val="24"/>
          <w:szCs w:val="24"/>
        </w:rPr>
        <w:fldChar w:fldCharType="begin" w:fldLock="1"/>
      </w:r>
      <w:r w:rsidRPr="00335B29">
        <w:rPr>
          <w:rFonts w:asciiTheme="majorBidi" w:hAnsiTheme="majorBidi" w:cstheme="majorBidi"/>
          <w:sz w:val="24"/>
          <w:szCs w:val="24"/>
        </w:rPr>
        <w:instrText>ADDIN CSL_CITATION {"citationItems":[{"id":"ITEM-1","itemData":{"DOI":"10.5281/zenodo.1463216","author":[{"dropping-particle":"","family":"Matzke","given":"Nicholas J","non-dropping-particle":"","parse-names":false,"suffix":""}],"id":"ITEM-1","issued":{"date-parts":[["2018","10"]]},"publisher":"Zenodo","title":"nmatzke/BioGeoBEARS: BioGeoBEARS: BioGeography with Bayesian (and likelihood) Evolutionary Analysis with R Scripts","type":"article"},"uris":["http://www.mendeley.com/documents/?uuid=7818ed6b-1152-4370-b443-1f183b709b69"]}],"mendeley":{"formattedCitation":"(28)","plainTextFormattedCitation":"(28)","previouslyFormattedCitation":"(28)"},"properties":{"noteIndex":0},"schema":"https://github.com/citation-style-language/schema/raw/master/csl-citation.json"}</w:instrText>
      </w:r>
      <w:r w:rsidRPr="00335B29">
        <w:rPr>
          <w:rFonts w:asciiTheme="majorBidi" w:hAnsiTheme="majorBidi" w:cstheme="majorBidi"/>
          <w:sz w:val="24"/>
          <w:szCs w:val="24"/>
        </w:rPr>
        <w:fldChar w:fldCharType="separate"/>
      </w:r>
      <w:r w:rsidRPr="00335B29">
        <w:rPr>
          <w:rFonts w:asciiTheme="majorBidi" w:hAnsiTheme="majorBidi" w:cstheme="majorBidi"/>
          <w:sz w:val="24"/>
          <w:szCs w:val="24"/>
        </w:rPr>
        <w:t>(28)</w:t>
      </w:r>
      <w:r w:rsidRPr="00335B29">
        <w:rPr>
          <w:rFonts w:asciiTheme="majorBidi" w:hAnsiTheme="majorBidi" w:cstheme="majorBidi"/>
          <w:sz w:val="24"/>
          <w:szCs w:val="24"/>
        </w:rPr>
        <w:fldChar w:fldCharType="end"/>
      </w:r>
      <w:r w:rsidRPr="00335B29">
        <w:rPr>
          <w:rFonts w:asciiTheme="majorBidi" w:hAnsiTheme="majorBidi" w:cstheme="majorBidi"/>
          <w:sz w:val="24"/>
          <w:szCs w:val="24"/>
        </w:rPr>
        <w:t xml:space="preserve">. We fed this analysis with the current distribution of each species across seven biogeographic provinces </w:t>
      </w:r>
      <w:r w:rsidRPr="00335B29">
        <w:rPr>
          <w:rFonts w:asciiTheme="majorBidi" w:hAnsiTheme="majorBidi" w:cstheme="majorBidi"/>
          <w:sz w:val="24"/>
          <w:szCs w:val="24"/>
        </w:rPr>
        <w:fldChar w:fldCharType="begin" w:fldLock="1"/>
      </w:r>
      <w:r w:rsidRPr="00335B29">
        <w:rPr>
          <w:rFonts w:asciiTheme="majorBidi" w:hAnsiTheme="majorBidi" w:cstheme="majorBidi"/>
          <w:sz w:val="24"/>
          <w:szCs w:val="24"/>
        </w:rPr>
        <w:instrText>ADDIN CSL_CITATION {"citationItems":[{"id":"ITEM-1","itemData":{"author":[{"dropping-particle":"","family":"Hastings","given":"Philip A","non-dropping-particle":"","parse-names":false,"suffix":""}],"container-title":"Zoological Journal of the Linnean Society","id":"ITEM-1","issued":{"date-parts":[["2000"]]},"page":"319-335","title":"Biogeography of the Tropical Eastern Pacific : distribution and phylogeny of chaenopsid fishes","type":"article-journal","volume":"128"},"uris":["http://www.mendeley.com/documents/?uuid=adfe0f8f-5f0b-4a86-8324-8cc7d41aa829"]},{"id":"ITEM-2","itemData":{"DOI":"10.1371/journal.pone.0102918","ISBN":"1932-6203 (Electronic)\\r1932-6203 (Linking)","ISSN":"19326203","PMID":"25054225","abstract":"The Greater Caribbean biogeographic region is the high-diversity heart of the Tropical West Atlantic, one of four global centers of tropical marine biodiversity. The traditional view of the Greater Caribbean is that it is limited to the Caribbean, West Indies, southwest Gulf of Mexico and tip of Florida, and that, due to its faunal homogeneity, lacks major provincial subdivisions. In this scenario the northern 2/3 of the Gulf of Mexico and southeastern USA represent a separate temperate, \"Carolinian\" biogeographic region. We completed a comprehensive re-assessment of the biogeography of the Greater Caribbean by comparing the distributions of 1,559 shorefish species within 45 sections of shelf waters of the Greater Caribbean and adjacent areas. This analysis shows that that the Greater Caribbean occupies a much larger area than usually thought, extending south to at least Guyana, and north to encompass the entire Carolinian area. Rather than being homogenous, the Greater Caribbean is divided into three major provinces, each with a distinctive, primarily tropical fauna: (1) a central, tropical province comprising the West Indies, Bermuda and Central America; (2) a southern, upwelling-affected province spanning the entire continental shelf of northern South America; and (iii) a northern, subtropical province that includes all of the Gulf of Mexico, Florida and southeastern USA. This three-province pattern holds for both reef- and soft bottom fishes, indicating a general response by demersal fishes to major variation in provincial shelf environments. Such environmental differences include latitudinal variation in sea temperature, availability of major habitats (coral reefs, soft bottom shorelines, and mangroves), and nutrient additions from upwelling areas and large rivers. The three-province arrangement of the Greater Caribbean broadly resembles and has a similar environmental basis to the provincial arrangement of its sister biogeographic region, the Tropical Eastern Pacific.","author":[{"dropping-particle":"","family":"Robertson","given":"D. Ross","non-dropping-particle":"","parse-names":false,"suffix":""},{"dropping-particle":"","family":"Cramer","given":"Katie L.","non-dropping-particle":"","parse-names":false,"suffix":""}],"container-title":"PLoS ONE","id":"ITEM-2","issue":"7","issued":{"date-parts":[["2014"]]},"title":"Defining and dividing the Greater Caribbean: Insights from the biogeography of shorefishes","type":"article-journal","volume":"9"},"uris":["http://www.mendeley.com/documents/?uuid=6ec7fa7d-ff3b-492d-babb-2749c8ab77b3"]},{"id":"ITEM-3","itemData":{"author":[{"dropping-particle":"","family":"Spalding","given":"Mark D","non-dropping-particle":"","parse-names":false,"suffix":""},{"dropping-particle":"","family":"Fox","given":"Helen E","non-dropping-particle":"","parse-names":false,"suffix":""},{"dropping-particle":"","family":"Allen","given":"Gerald R","non-dropping-particle":"","parse-names":false,"suffix":""},{"dropping-particle":"","family":"Davidson","given":"Nick","non-dropping-particle":"","parse-names":false,"suffix":""},{"dropping-particle":"","family":"Ferdaña","given":"Zach A","non-dropping-particle":"","parse-names":false,"suffix":""},{"dropping-particle":"","family":"Finlayson","given":"M A X","non-dropping-particle":"","parse-names":false,"suffix":""},{"dropping-particle":"","family":"Halpern","given":"Benjamin S","non-dropping-particle":"","parse-names":false,"suffix":""},{"dropping-particle":"","family":"Jorge","given":"Miguel A","non-dropping-particle":"","parse-names":false,"suffix":""},{"dropping-particle":"","family":"Lombana","given":"A L","non-dropping-particle":"","parse-names":false,"suffix":""},{"dropping-particle":"","family":"Lourie","given":"Sara A","non-dropping-particle":"","parse-names":false,"suffix":""},{"dropping-particle":"","family":"Martin","given":"Kirsten D","non-dropping-particle":"","parse-names":false,"suffix":""},{"dropping-particle":"","family":"Manus","given":"M C","non-dropping-particle":"","parse-names":false,"suffix":""},{"dropping-particle":"","family":"Molnar","given":"Jennifer","non-dropping-particle":"","parse-names":false,"suffix":""},{"dropping-particle":"","family":"Recchia","given":"Cheri A","non-dropping-particle":"","parse-names":false,"suffix":""},{"dropping-particle":"","family":"Robertson","given":"James","non-dropping-particle":"","parse-names":false,"suffix":""}],"id":"ITEM-3","issue":"7","issued":{"date-parts":[["2007"]]},"page":"573-583","title":"Marine Ecoregions of the World : A Bioregionalization of Coastal and Shelf Areas","type":"article-journal","volume":"57"},"uris":["http://www.mendeley.com/documents/?uuid=75a3a620-dfd5-4c2d-ad6f-09ce8a83f173"]}],"mendeley":{"formattedCitation":"(13, 29, 30)","plainTextFormattedCitation":"(13, 29, 30)","previouslyFormattedCitation":"(13, 29, 30)"},"properties":{"noteIndex":0},"schema":"https://github.com/citation-style-language/schema/raw/master/csl-citation.json"}</w:instrText>
      </w:r>
      <w:r w:rsidRPr="00335B29">
        <w:rPr>
          <w:rFonts w:asciiTheme="majorBidi" w:hAnsiTheme="majorBidi" w:cstheme="majorBidi"/>
          <w:sz w:val="24"/>
          <w:szCs w:val="24"/>
        </w:rPr>
        <w:fldChar w:fldCharType="separate"/>
      </w:r>
      <w:r w:rsidRPr="00335B29">
        <w:rPr>
          <w:rFonts w:asciiTheme="majorBidi" w:hAnsiTheme="majorBidi" w:cstheme="majorBidi"/>
          <w:sz w:val="24"/>
          <w:szCs w:val="24"/>
        </w:rPr>
        <w:t>(13, 29, 30)</w:t>
      </w:r>
      <w:r w:rsidRPr="00335B29">
        <w:rPr>
          <w:rFonts w:asciiTheme="majorBidi" w:hAnsiTheme="majorBidi" w:cstheme="majorBidi"/>
          <w:sz w:val="24"/>
          <w:szCs w:val="24"/>
        </w:rPr>
        <w:fldChar w:fldCharType="end"/>
      </w:r>
      <w:r w:rsidRPr="00335B29">
        <w:rPr>
          <w:rFonts w:asciiTheme="majorBidi" w:hAnsiTheme="majorBidi" w:cstheme="majorBidi"/>
          <w:sz w:val="24"/>
          <w:szCs w:val="24"/>
        </w:rPr>
        <w:t xml:space="preserve"> in the TEP and TA regions.</w:t>
      </w:r>
    </w:p>
    <w:p w14:paraId="27DE1F43" w14:textId="32B815F7" w:rsidR="00335B29" w:rsidRPr="00335B29" w:rsidRDefault="00335B29" w:rsidP="00335B29">
      <w:pPr>
        <w:ind w:firstLine="720"/>
        <w:jc w:val="both"/>
        <w:rPr>
          <w:rFonts w:asciiTheme="majorBidi" w:hAnsiTheme="majorBidi" w:cstheme="majorBidi"/>
          <w:sz w:val="24"/>
          <w:szCs w:val="24"/>
        </w:rPr>
      </w:pPr>
      <w:r w:rsidRPr="00335B29">
        <w:rPr>
          <w:rFonts w:asciiTheme="majorBidi" w:hAnsiTheme="majorBidi" w:cstheme="majorBidi"/>
          <w:sz w:val="24"/>
          <w:szCs w:val="24"/>
        </w:rPr>
        <w:t xml:space="preserve">These analyses place the origin of the genus around 30 Mya in Africa, where </w:t>
      </w:r>
      <w:r w:rsidRPr="00335B29">
        <w:rPr>
          <w:rFonts w:asciiTheme="majorBidi" w:hAnsiTheme="majorBidi" w:cstheme="majorBidi"/>
          <w:i/>
          <w:iCs/>
          <w:sz w:val="24"/>
          <w:szCs w:val="24"/>
        </w:rPr>
        <w:t>M. carrowi</w:t>
      </w:r>
      <w:r w:rsidRPr="00335B29">
        <w:rPr>
          <w:rFonts w:asciiTheme="majorBidi" w:hAnsiTheme="majorBidi" w:cstheme="majorBidi"/>
          <w:sz w:val="24"/>
          <w:szCs w:val="24"/>
        </w:rPr>
        <w:t xml:space="preserve"> appears as the earliest-branching lineage (Fig. </w:t>
      </w:r>
      <w:r>
        <w:rPr>
          <w:rFonts w:asciiTheme="majorBidi" w:hAnsiTheme="majorBidi" w:cstheme="majorBidi"/>
          <w:sz w:val="24"/>
          <w:szCs w:val="24"/>
        </w:rPr>
        <w:t>3.</w:t>
      </w:r>
      <w:r w:rsidRPr="00335B29">
        <w:rPr>
          <w:rFonts w:asciiTheme="majorBidi" w:hAnsiTheme="majorBidi" w:cstheme="majorBidi"/>
          <w:sz w:val="24"/>
          <w:szCs w:val="24"/>
        </w:rPr>
        <w:t>4</w:t>
      </w:r>
      <w:r w:rsidRPr="00335B29">
        <w:rPr>
          <w:rFonts w:asciiTheme="majorBidi" w:hAnsiTheme="majorBidi" w:cstheme="majorBidi"/>
          <w:i/>
          <w:iCs/>
          <w:sz w:val="24"/>
          <w:szCs w:val="24"/>
        </w:rPr>
        <w:t>A</w:t>
      </w:r>
      <w:r w:rsidRPr="00335B29">
        <w:rPr>
          <w:rFonts w:asciiTheme="majorBidi" w:hAnsiTheme="majorBidi" w:cstheme="majorBidi"/>
          <w:sz w:val="24"/>
          <w:szCs w:val="24"/>
        </w:rPr>
        <w:t xml:space="preserve">). The best-supported biogeographic model for the genus based on seven areas was BayAREA + </w:t>
      </w:r>
      <w:r w:rsidRPr="00335B29">
        <w:rPr>
          <w:rFonts w:asciiTheme="majorBidi" w:hAnsiTheme="majorBidi" w:cstheme="majorBidi"/>
          <w:sz w:val="24"/>
          <w:szCs w:val="24"/>
        </w:rPr>
        <w:sym w:font="Symbol" w:char="F077"/>
      </w:r>
      <w:r w:rsidRPr="00335B29">
        <w:rPr>
          <w:rFonts w:asciiTheme="majorBidi" w:hAnsiTheme="majorBidi" w:cstheme="majorBidi"/>
          <w:sz w:val="24"/>
          <w:szCs w:val="24"/>
        </w:rPr>
        <w:t xml:space="preserve"> (AICc=189.06; Fig. </w:t>
      </w:r>
      <w:r>
        <w:rPr>
          <w:rFonts w:asciiTheme="majorBidi" w:hAnsiTheme="majorBidi" w:cstheme="majorBidi"/>
          <w:sz w:val="24"/>
          <w:szCs w:val="24"/>
        </w:rPr>
        <w:t>3.</w:t>
      </w:r>
      <w:r w:rsidRPr="00335B29">
        <w:rPr>
          <w:rFonts w:asciiTheme="majorBidi" w:hAnsiTheme="majorBidi" w:cstheme="majorBidi"/>
          <w:sz w:val="24"/>
          <w:szCs w:val="24"/>
        </w:rPr>
        <w:t xml:space="preserve">4). Our analyses suggest that there was an East to West dispersal event, from Africa to an ancient area that included the Greater Caribbean and the Panamic province (event 1; Fig. </w:t>
      </w:r>
      <w:r>
        <w:rPr>
          <w:rFonts w:asciiTheme="majorBidi" w:hAnsiTheme="majorBidi" w:cstheme="majorBidi"/>
          <w:sz w:val="24"/>
          <w:szCs w:val="24"/>
        </w:rPr>
        <w:t>3.</w:t>
      </w:r>
      <w:r w:rsidRPr="00335B29">
        <w:rPr>
          <w:rFonts w:asciiTheme="majorBidi" w:hAnsiTheme="majorBidi" w:cstheme="majorBidi"/>
          <w:sz w:val="24"/>
          <w:szCs w:val="24"/>
        </w:rPr>
        <w:t>4</w:t>
      </w:r>
      <w:r w:rsidRPr="00335B29">
        <w:rPr>
          <w:rFonts w:asciiTheme="majorBidi" w:hAnsiTheme="majorBidi" w:cstheme="majorBidi"/>
          <w:i/>
          <w:iCs/>
          <w:sz w:val="24"/>
          <w:szCs w:val="24"/>
        </w:rPr>
        <w:t>C</w:t>
      </w:r>
      <w:r w:rsidRPr="00335B29">
        <w:rPr>
          <w:rFonts w:asciiTheme="majorBidi" w:hAnsiTheme="majorBidi" w:cstheme="majorBidi"/>
          <w:sz w:val="24"/>
          <w:szCs w:val="24"/>
        </w:rPr>
        <w:t xml:space="preserve">). Approximately </w:t>
      </w:r>
      <w:r w:rsidRPr="00335B29">
        <w:rPr>
          <w:rFonts w:asciiTheme="majorBidi" w:hAnsiTheme="majorBidi" w:cstheme="majorBidi"/>
          <w:i/>
          <w:iCs/>
          <w:sz w:val="24"/>
          <w:szCs w:val="24"/>
        </w:rPr>
        <w:t>ca.</w:t>
      </w:r>
      <w:r w:rsidRPr="00335B29">
        <w:rPr>
          <w:rFonts w:asciiTheme="majorBidi" w:hAnsiTheme="majorBidi" w:cstheme="majorBidi"/>
          <w:sz w:val="24"/>
          <w:szCs w:val="24"/>
        </w:rPr>
        <w:t xml:space="preserve"> 22 Mya clade-A became established in the Greater Caribbean region. Around </w:t>
      </w:r>
      <w:r w:rsidRPr="00335B29">
        <w:rPr>
          <w:rFonts w:asciiTheme="majorBidi" w:hAnsiTheme="majorBidi" w:cstheme="majorBidi"/>
          <w:i/>
          <w:iCs/>
          <w:sz w:val="24"/>
          <w:szCs w:val="24"/>
        </w:rPr>
        <w:t>ca.</w:t>
      </w:r>
      <w:r w:rsidRPr="00335B29">
        <w:rPr>
          <w:rFonts w:asciiTheme="majorBidi" w:hAnsiTheme="majorBidi" w:cstheme="majorBidi"/>
          <w:sz w:val="24"/>
          <w:szCs w:val="24"/>
        </w:rPr>
        <w:t xml:space="preserve"> 18 Mya the genus dispersed from an ancestral area comprising the Panamic and Central provinces to the north in the Pacific (event 2; Fig. </w:t>
      </w:r>
      <w:r>
        <w:rPr>
          <w:rFonts w:asciiTheme="majorBidi" w:hAnsiTheme="majorBidi" w:cstheme="majorBidi"/>
          <w:sz w:val="24"/>
          <w:szCs w:val="24"/>
        </w:rPr>
        <w:t>3.</w:t>
      </w:r>
      <w:r w:rsidRPr="00335B29">
        <w:rPr>
          <w:rFonts w:asciiTheme="majorBidi" w:hAnsiTheme="majorBidi" w:cstheme="majorBidi"/>
          <w:sz w:val="24"/>
          <w:szCs w:val="24"/>
        </w:rPr>
        <w:t>4</w:t>
      </w:r>
      <w:r w:rsidRPr="00335B29">
        <w:rPr>
          <w:rFonts w:asciiTheme="majorBidi" w:hAnsiTheme="majorBidi" w:cstheme="majorBidi"/>
          <w:i/>
          <w:iCs/>
          <w:sz w:val="24"/>
          <w:szCs w:val="24"/>
        </w:rPr>
        <w:t>C</w:t>
      </w:r>
      <w:r w:rsidRPr="00335B29">
        <w:rPr>
          <w:rFonts w:asciiTheme="majorBidi" w:hAnsiTheme="majorBidi" w:cstheme="majorBidi"/>
          <w:sz w:val="24"/>
          <w:szCs w:val="24"/>
        </w:rPr>
        <w:t xml:space="preserve">). Clade B1 emerged within the Cortez-Mexican provinces, eventually </w:t>
      </w:r>
      <w:r w:rsidRPr="00335B29">
        <w:rPr>
          <w:rFonts w:asciiTheme="majorBidi" w:hAnsiTheme="majorBidi" w:cstheme="majorBidi"/>
          <w:sz w:val="24"/>
          <w:szCs w:val="24"/>
        </w:rPr>
        <w:lastRenderedPageBreak/>
        <w:t xml:space="preserve">leading to the origin of </w:t>
      </w:r>
      <w:r w:rsidRPr="00335B29">
        <w:rPr>
          <w:rFonts w:asciiTheme="majorBidi" w:hAnsiTheme="majorBidi" w:cstheme="majorBidi"/>
          <w:i/>
          <w:iCs/>
          <w:sz w:val="24"/>
          <w:szCs w:val="24"/>
        </w:rPr>
        <w:t>M. zonogaster</w:t>
      </w:r>
      <w:r w:rsidRPr="00335B29">
        <w:rPr>
          <w:rFonts w:asciiTheme="majorBidi" w:hAnsiTheme="majorBidi" w:cstheme="majorBidi"/>
          <w:sz w:val="24"/>
          <w:szCs w:val="24"/>
        </w:rPr>
        <w:t xml:space="preserve"> via dispersal into the Galapagos Archipelago (event 3; Fig. </w:t>
      </w:r>
      <w:r>
        <w:rPr>
          <w:rFonts w:asciiTheme="majorBidi" w:hAnsiTheme="majorBidi" w:cstheme="majorBidi"/>
          <w:sz w:val="24"/>
          <w:szCs w:val="24"/>
        </w:rPr>
        <w:t>3.</w:t>
      </w:r>
      <w:r w:rsidRPr="00335B29">
        <w:rPr>
          <w:rFonts w:asciiTheme="majorBidi" w:hAnsiTheme="majorBidi" w:cstheme="majorBidi"/>
          <w:sz w:val="24"/>
          <w:szCs w:val="24"/>
        </w:rPr>
        <w:t>4</w:t>
      </w:r>
      <w:r w:rsidRPr="00335B29">
        <w:rPr>
          <w:rFonts w:asciiTheme="majorBidi" w:hAnsiTheme="majorBidi" w:cstheme="majorBidi"/>
          <w:i/>
          <w:iCs/>
          <w:sz w:val="24"/>
          <w:szCs w:val="24"/>
        </w:rPr>
        <w:t>C</w:t>
      </w:r>
      <w:r w:rsidRPr="00335B29">
        <w:rPr>
          <w:rFonts w:asciiTheme="majorBidi" w:hAnsiTheme="majorBidi" w:cstheme="majorBidi"/>
          <w:sz w:val="24"/>
          <w:szCs w:val="24"/>
        </w:rPr>
        <w:t xml:space="preserve">). Clade B2 includes diversification events originated by the final closure of the Isthmus of Panama giving rise to a geminate species—i.e., sister species pairs on each side of the isthmus—, and the trans-isthmic clade—sister lineages on both sides of the Isthmus of Panama. Just before the final closure of the Isthmus, the MRCA of the trans-isthmic clade colonized the Tropical Southwestern Atlantic around 3 Mya (event 4; Fig. </w:t>
      </w:r>
      <w:r>
        <w:rPr>
          <w:rFonts w:asciiTheme="majorBidi" w:hAnsiTheme="majorBidi" w:cstheme="majorBidi"/>
          <w:sz w:val="24"/>
          <w:szCs w:val="24"/>
        </w:rPr>
        <w:t>3.</w:t>
      </w:r>
      <w:r w:rsidRPr="00335B29">
        <w:rPr>
          <w:rFonts w:asciiTheme="majorBidi" w:hAnsiTheme="majorBidi" w:cstheme="majorBidi"/>
          <w:sz w:val="24"/>
          <w:szCs w:val="24"/>
        </w:rPr>
        <w:t>4</w:t>
      </w:r>
      <w:r w:rsidRPr="00335B29">
        <w:rPr>
          <w:rFonts w:asciiTheme="majorBidi" w:hAnsiTheme="majorBidi" w:cstheme="majorBidi"/>
          <w:i/>
          <w:iCs/>
          <w:sz w:val="24"/>
          <w:szCs w:val="24"/>
        </w:rPr>
        <w:t>C</w:t>
      </w:r>
      <w:r w:rsidRPr="00335B29">
        <w:rPr>
          <w:rFonts w:asciiTheme="majorBidi" w:hAnsiTheme="majorBidi" w:cstheme="majorBidi"/>
          <w:sz w:val="24"/>
          <w:szCs w:val="24"/>
        </w:rPr>
        <w:t xml:space="preserve">). We used </w:t>
      </w:r>
      <w:r w:rsidRPr="00335B29">
        <w:rPr>
          <w:rFonts w:asciiTheme="majorBidi" w:hAnsiTheme="majorBidi" w:cstheme="majorBidi"/>
          <w:i/>
          <w:iCs/>
          <w:sz w:val="24"/>
          <w:szCs w:val="24"/>
        </w:rPr>
        <w:t xml:space="preserve">ecoevolity </w:t>
      </w:r>
      <w:r w:rsidRPr="00335B29">
        <w:rPr>
          <w:rFonts w:asciiTheme="majorBidi" w:hAnsiTheme="majorBidi" w:cstheme="majorBidi"/>
          <w:i/>
          <w:iCs/>
          <w:sz w:val="24"/>
          <w:szCs w:val="24"/>
        </w:rPr>
        <w:fldChar w:fldCharType="begin" w:fldLock="1"/>
      </w:r>
      <w:r w:rsidRPr="00335B29">
        <w:rPr>
          <w:rFonts w:asciiTheme="majorBidi" w:hAnsiTheme="majorBidi" w:cstheme="majorBidi"/>
          <w:i/>
          <w:iCs/>
          <w:sz w:val="24"/>
          <w:szCs w:val="24"/>
        </w:rPr>
        <w:instrText>ADDIN CSL_CITATION {"citationItems":[{"id":"ITEM-1","itemData":{"DOI":"10.1093/sysbio/syy063","ISSN":"1076836X","PMID":"30239868","abstract":"A challenge to understanding biological diversification is accounting for community-scale processes that cause multiple, co-distributed lineages to co-speciate. Such processes predict non-independent, temporally clustered divergences across taxa. Approximate-likelihood Bayesian computation (ABC) approaches to inferring such patterns from comparative genetic data are very sensitive to prior assumptions and often biased toward estimating shared divergences. We introduce a full-likelihood Bayesian approach, ecoevolity, which takes full advantage of information in genomic data. By analytically integrating over gene trees, we are able to directly calculate the likelihood of the population history from genomic data, and efficiently sample the model-averaged posterior via Markov chain Monte Carlo algorithms. Using simulations, we find that the new method is much more accurate and precise at estimating the number and timing of divergence events across pairs of populations than existing approximate-likelihood methods. Our full Bayesian approach also requires several orders of magnitude less computational time than existing ABC approaches. We find that despite assuming unlinked characters (e.g., unlinked single-nucleotide polymorphisms), the new method performs better if this assumption is violated in order to retain the constant characters of whole linked loci. In fact, retaining constant characters allows the new method to robustly estimate the correct number of divergence events with high posterior probability in the face of character-acquisition biases, which commonly plague loci assembled from reduced-representation genomic libraries. We apply our method to genomic data from four pairs ofinsular populations of Gekko lizards from the Philippines that are notexpectedtohave co-diverged. Despite all four pairs diverging very recently, our method strongly supports that they diverged independently, and these results are robust to very disparate prior assumptions.","author":[{"dropping-particle":"","family":"Oaks","given":"Jamie R.","non-dropping-particle":"","parse-names":false,"suffix":""}],"container-title":"Systematic Biology","id":"ITEM-1","issue":"3","issued":{"date-parts":[["2019"]]},"page":"371-395","title":"Full Bayesian comparative phylogeography from genomic data","type":"article-journal","volume":"68"},"uris":["http://www.mendeley.com/documents/?uuid=068acf77-6390-49ca-bd31-8f19303d4f06"]}],"mendeley":{"formattedCitation":"(31)","plainTextFormattedCitation":"(31)","previouslyFormattedCitation":"(31)"},"properties":{"noteIndex":0},"schema":"https://github.com/citation-style-language/schema/raw/master/csl-citation.json"}</w:instrText>
      </w:r>
      <w:r w:rsidRPr="00335B29">
        <w:rPr>
          <w:rFonts w:asciiTheme="majorBidi" w:hAnsiTheme="majorBidi" w:cstheme="majorBidi"/>
          <w:i/>
          <w:iCs/>
          <w:sz w:val="24"/>
          <w:szCs w:val="24"/>
        </w:rPr>
        <w:fldChar w:fldCharType="separate"/>
      </w:r>
      <w:r w:rsidRPr="00335B29">
        <w:rPr>
          <w:rFonts w:asciiTheme="majorBidi" w:hAnsiTheme="majorBidi" w:cstheme="majorBidi"/>
          <w:iCs/>
          <w:sz w:val="24"/>
          <w:szCs w:val="24"/>
        </w:rPr>
        <w:t>(31)</w:t>
      </w:r>
      <w:r w:rsidRPr="00335B29">
        <w:rPr>
          <w:rFonts w:asciiTheme="majorBidi" w:hAnsiTheme="majorBidi" w:cstheme="majorBidi"/>
          <w:sz w:val="24"/>
          <w:szCs w:val="24"/>
        </w:rPr>
        <w:fldChar w:fldCharType="end"/>
      </w:r>
      <w:r w:rsidRPr="00335B29">
        <w:rPr>
          <w:rFonts w:asciiTheme="majorBidi" w:hAnsiTheme="majorBidi" w:cstheme="majorBidi"/>
          <w:sz w:val="24"/>
          <w:szCs w:val="24"/>
        </w:rPr>
        <w:t xml:space="preserve"> to test whether the cladogenetic events between the transisthmic clades occurred synchronously or independently as a result of the rise of the Panama Isthmus, finding  that the speciation events triggered by this historical barrier were not temporally synchronic (Fig. </w:t>
      </w:r>
      <w:r>
        <w:rPr>
          <w:rFonts w:asciiTheme="majorBidi" w:hAnsiTheme="majorBidi" w:cstheme="majorBidi"/>
          <w:sz w:val="24"/>
          <w:szCs w:val="24"/>
        </w:rPr>
        <w:t>3.</w:t>
      </w:r>
      <w:r w:rsidRPr="00335B29">
        <w:rPr>
          <w:rFonts w:asciiTheme="majorBidi" w:hAnsiTheme="majorBidi" w:cstheme="majorBidi"/>
          <w:sz w:val="24"/>
          <w:szCs w:val="24"/>
        </w:rPr>
        <w:t xml:space="preserve">4 </w:t>
      </w:r>
      <w:r w:rsidRPr="00335B29">
        <w:rPr>
          <w:rFonts w:asciiTheme="majorBidi" w:hAnsiTheme="majorBidi" w:cstheme="majorBidi"/>
          <w:i/>
          <w:iCs/>
          <w:sz w:val="24"/>
          <w:szCs w:val="24"/>
        </w:rPr>
        <w:t>A</w:t>
      </w:r>
      <w:r w:rsidRPr="00335B29">
        <w:rPr>
          <w:rFonts w:asciiTheme="majorBidi" w:hAnsiTheme="majorBidi" w:cstheme="majorBidi"/>
          <w:sz w:val="24"/>
          <w:szCs w:val="24"/>
        </w:rPr>
        <w:t xml:space="preserve"> and </w:t>
      </w:r>
      <w:r w:rsidRPr="00335B29">
        <w:rPr>
          <w:rFonts w:asciiTheme="majorBidi" w:hAnsiTheme="majorBidi" w:cstheme="majorBidi"/>
          <w:i/>
          <w:iCs/>
          <w:sz w:val="24"/>
          <w:szCs w:val="24"/>
        </w:rPr>
        <w:t>B</w:t>
      </w:r>
      <w:r w:rsidRPr="00335B29">
        <w:rPr>
          <w:rFonts w:asciiTheme="majorBidi" w:hAnsiTheme="majorBidi" w:cstheme="majorBidi"/>
          <w:sz w:val="24"/>
          <w:szCs w:val="24"/>
        </w:rPr>
        <w:t xml:space="preserve">). Based on the divergence time estimates, it seems that these speciation events occurred around 5.2 and 7.6 Mya, prior to the final closure of the isthmus of Panama, which is estimated to have occurred between 2.8–3.2 Mya </w:t>
      </w:r>
      <w:r w:rsidRPr="00335B29">
        <w:rPr>
          <w:rFonts w:asciiTheme="majorBidi" w:hAnsiTheme="majorBidi" w:cstheme="majorBidi"/>
          <w:sz w:val="24"/>
          <w:szCs w:val="24"/>
        </w:rPr>
        <w:fldChar w:fldCharType="begin" w:fldLock="1"/>
      </w:r>
      <w:r w:rsidRPr="00335B29">
        <w:rPr>
          <w:rFonts w:asciiTheme="majorBidi" w:hAnsiTheme="majorBidi" w:cstheme="majorBidi"/>
          <w:sz w:val="24"/>
          <w:szCs w:val="24"/>
        </w:rPr>
        <w:instrText>ADDIN CSL_CITATION {"citationItems":[{"id":"ITEM-1","itemData":{"DOI":"10.1126/sciadv.1600883","ISSN":"23752548","PMID":"27540590","abstract":"The formation of the Isthmus of Panama stands as one of the greatest natural events of the Cenozoic, driving profound biotic transformations on land and in the oceans. Some recent studies suggest that the Isthmus formed many millions of years earlier than the widely recognized age of approximately 3 million years ago (Ma), a result that if true would revolutionize our understanding of environmental, ecological, and evolutionary change across the Americas. To bring clarity to the question of when the Isthmus of Panama formed, we provide an exhaustive review and reanalysis of geological, paleontological, and molecular records. These independent lines of evidence converge upon a cohesive narrative of gradually emerging land and constricting seaways, with formation of the Isthmus of Panama sensu stricto around 2.8 Ma. The evidence used to support an older isthmus is inconclusive, and we caution against the uncritical acceptance of an isthmus before the Pliocene.","author":[{"dropping-particle":"","family":"O’Dea","given":"Aaron","non-dropping-particle":"","parse-names":false,"suffix":""},{"dropping-particle":"","family":"Lessios","given":"Harilaos A.","non-dropping-particle":"","parse-names":false,"suffix":""},{"dropping-particle":"","family":"Coates","given":"Anthony G.","non-dropping-particle":"","parse-names":false,"suffix":""},{"dropping-particle":"","family":"Eytan","given":"Ron I.","non-dropping-particle":"","parse-names":false,"suffix":""},{"dropping-particle":"","family":"Restrepo-Moreno","given":"Sergio A.","non-dropping-particle":"","parse-names":false,"suffix":""},{"dropping-particle":"","family":"Cione","given":"Alberto L.","non-dropping-particle":"","parse-names":false,"suffix":""},{"dropping-particle":"","family":"Collins","given":"Laurel S.","non-dropping-particle":"","parse-names":false,"suffix":""},{"dropping-particle":"","family":"Queiroz","given":"Alan","non-dropping-particle":"De","parse-names":false,"suffix":""},{"dropping-particle":"","family":"Farris","given":"David W.","non-dropping-particle":"","parse-names":false,"suffix":""},{"dropping-particle":"","family":"Norris","given":"Richard D.","non-dropping-particle":"","parse-names":false,"suffix":""},{"dropping-particle":"","family":"Stallard","given":"Robert F.","non-dropping-particle":"","parse-names":false,"suffix":""},{"dropping-particle":"","family":"Woodburne","given":"Michael O.","non-dropping-particle":"","parse-names":false,"suffix":""},{"dropping-particle":"","family":"Aguilera","given":"Orangel","non-dropping-particle":"","parse-names":false,"suffix":""},{"dropping-particle":"","family":"Aubry","given":"Marie Pierre","non-dropping-particle":"","parse-names":false,"suffix":""},{"dropping-particle":"","family":"Berggren","given":"William A.","non-dropping-particle":"","parse-names":false,"suffix":""},{"dropping-particle":"","family":"Budd","given":"Ann F.","non-dropping-particle":"","parse-names":false,"suffix":""},{"dropping-particle":"","family":"Cozzuol","given":"Mario A.","non-dropping-particle":"","parse-names":false,"suffix":""},{"dropping-particle":"","family":"Coppard","given":"Simon E.","non-dropping-particle":"","parse-names":false,"suffix":""},{"dropping-particle":"","family":"Duque-Caro","given":"Herman","non-dropping-particle":"","parse-names":false,"suffix":""},{"dropping-particle":"","family":"Finnegan","given":"Seth","non-dropping-particle":"","parse-names":false,"suffix":""},{"dropping-particle":"","family":"Gasparini","given":"Germán M.","non-dropping-particle":"","parse-names":false,"suffix":""},{"dropping-particle":"","family":"Grossman","given":"Ethan L.","non-dropping-particle":"","parse-names":false,"suffix":""},{"dropping-particle":"","family":"Johnson","given":"Kenneth G.","non-dropping-particle":"","parse-names":false,"suffix":""},{"dropping-particle":"","family":"Keigwin","given":"Lloyd D.","non-dropping-particle":"","parse-names":false,"suffix":""},{"dropping-particle":"","family":"Knowlton","given":"Nancy","non-dropping-particle":"","parse-names":false,"suffix":""},{"dropping-particle":"","family":"Leigh","given":"Egbert G.","non-dropping-particle":"","parse-names":false,"suffix":""},{"dropping-particle":"","family":"Leonard-Pingel","given":"Jill S.","non-dropping-particle":"","parse-names":false,"suffix":""},{"dropping-particle":"","family":"Marko","given":"Peter B.","non-dropping-particle":"","parse-names":false,"suffix":""},{"dropping-particle":"","family":"Pyenson","given":"Nicholas D.","non-dropping-particle":"","parse-names":false,"suffix":""},{"dropping-particle":"","family":"Rachello-Dolmen","given":"Paola G.","non-dropping-particle":"","parse-names":false,"suffix":""},{"dropping-particle":"","family":"Soibelzon","given":"Esteban","non-dropping-particle":"","parse-names":false,"suffix":""},{"dropping-particle":"","family":"Soibelzon","given":"Leopoldo","non-dropping-particle":"","parse-names":false,"suffix":""},{"dropping-particle":"","family":"Todd","given":"Jonathan A.","non-dropping-particle":"","parse-names":false,"suffix":""},{"dropping-particle":"","family":"Vermeij","given":"Geerat J.","non-dropping-particle":"","parse-names":false,"suffix":""},{"dropping-particle":"","family":"Jackson","given":"Jeremy B.C.","non-dropping-particle":"","parse-names":false,"suffix":""}],"container-title":"Science Advances","id":"ITEM-1","issue":"8","issued":{"date-parts":[["2016"]]},"page":"1-12","title":"Formation of the Isthmus of Panama","type":"article-journal","volume":"2"},"uris":["http://www.mendeley.com/documents/?uuid=7b8b97de-f013-4de5-a408-77d7a05289bc"]}],"mendeley":{"formattedCitation":"(10)","plainTextFormattedCitation":"(10)","previouslyFormattedCitation":"(10)"},"properties":{"noteIndex":0},"schema":"https://github.com/citation-style-language/schema/raw/master/csl-citation.json"}</w:instrText>
      </w:r>
      <w:r w:rsidRPr="00335B29">
        <w:rPr>
          <w:rFonts w:asciiTheme="majorBidi" w:hAnsiTheme="majorBidi" w:cstheme="majorBidi"/>
          <w:sz w:val="24"/>
          <w:szCs w:val="24"/>
        </w:rPr>
        <w:fldChar w:fldCharType="separate"/>
      </w:r>
      <w:r w:rsidRPr="00335B29">
        <w:rPr>
          <w:rFonts w:asciiTheme="majorBidi" w:hAnsiTheme="majorBidi" w:cstheme="majorBidi"/>
          <w:sz w:val="24"/>
          <w:szCs w:val="24"/>
        </w:rPr>
        <w:t>(10)</w:t>
      </w:r>
      <w:r w:rsidRPr="00335B29">
        <w:rPr>
          <w:rFonts w:asciiTheme="majorBidi" w:hAnsiTheme="majorBidi" w:cstheme="majorBidi"/>
          <w:sz w:val="24"/>
          <w:szCs w:val="24"/>
        </w:rPr>
        <w:fldChar w:fldCharType="end"/>
      </w:r>
      <w:r w:rsidRPr="00335B29">
        <w:rPr>
          <w:rFonts w:asciiTheme="majorBidi" w:hAnsiTheme="majorBidi" w:cstheme="majorBidi"/>
          <w:sz w:val="24"/>
          <w:szCs w:val="24"/>
        </w:rPr>
        <w:t>.</w:t>
      </w:r>
    </w:p>
    <w:p w14:paraId="3E5A438C" w14:textId="0314304C" w:rsidR="00335B29" w:rsidRDefault="00A4324C" w:rsidP="00335B29">
      <w:pPr>
        <w:jc w:val="both"/>
        <w:rPr>
          <w:rFonts w:asciiTheme="majorBidi" w:hAnsiTheme="majorBidi" w:cstheme="majorBidi"/>
          <w:sz w:val="24"/>
          <w:szCs w:val="24"/>
        </w:rPr>
      </w:pPr>
      <w:r>
        <w:rPr>
          <w:rFonts w:ascii="Arial" w:hAnsi="Arial" w:cs="Arial"/>
          <w:noProof/>
          <w:color w:val="000000"/>
          <w:sz w:val="20"/>
          <w:szCs w:val="20"/>
        </w:rPr>
        <w:drawing>
          <wp:anchor distT="0" distB="0" distL="114300" distR="114300" simplePos="0" relativeHeight="251691008" behindDoc="0" locked="0" layoutInCell="1" allowOverlap="1" wp14:anchorId="24B40267" wp14:editId="77E1AF5C">
            <wp:simplePos x="0" y="0"/>
            <wp:positionH relativeFrom="column">
              <wp:posOffset>235585</wp:posOffset>
            </wp:positionH>
            <wp:positionV relativeFrom="paragraph">
              <wp:posOffset>22958</wp:posOffset>
            </wp:positionV>
            <wp:extent cx="5486400" cy="4555467"/>
            <wp:effectExtent l="0" t="0" r="0" b="4445"/>
            <wp:wrapNone/>
            <wp:docPr id="39504898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48984" name="Picture 4" descr="A screenshot of a comput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4555467"/>
                    </a:xfrm>
                    <a:prstGeom prst="rect">
                      <a:avLst/>
                    </a:prstGeom>
                  </pic:spPr>
                </pic:pic>
              </a:graphicData>
            </a:graphic>
            <wp14:sizeRelH relativeFrom="page">
              <wp14:pctWidth>0</wp14:pctWidth>
            </wp14:sizeRelH>
            <wp14:sizeRelV relativeFrom="page">
              <wp14:pctHeight>0</wp14:pctHeight>
            </wp14:sizeRelV>
          </wp:anchor>
        </w:drawing>
      </w:r>
    </w:p>
    <w:p w14:paraId="1E82CB7C" w14:textId="634B2508" w:rsidR="00A4324C" w:rsidRDefault="00A4324C" w:rsidP="00335B29">
      <w:pPr>
        <w:jc w:val="both"/>
        <w:rPr>
          <w:rFonts w:asciiTheme="majorBidi" w:hAnsiTheme="majorBidi" w:cstheme="majorBidi"/>
          <w:sz w:val="24"/>
          <w:szCs w:val="24"/>
        </w:rPr>
      </w:pPr>
    </w:p>
    <w:p w14:paraId="1453EAA1" w14:textId="6C40250D" w:rsidR="00A4324C" w:rsidRDefault="00A4324C" w:rsidP="00335B29">
      <w:pPr>
        <w:jc w:val="both"/>
        <w:rPr>
          <w:rFonts w:asciiTheme="majorBidi" w:hAnsiTheme="majorBidi" w:cstheme="majorBidi"/>
          <w:sz w:val="24"/>
          <w:szCs w:val="24"/>
        </w:rPr>
      </w:pPr>
    </w:p>
    <w:p w14:paraId="70D95BC2" w14:textId="1C1016F9" w:rsidR="00A4324C" w:rsidRDefault="00A4324C" w:rsidP="00335B29">
      <w:pPr>
        <w:jc w:val="both"/>
        <w:rPr>
          <w:rFonts w:asciiTheme="majorBidi" w:hAnsiTheme="majorBidi" w:cstheme="majorBidi"/>
          <w:sz w:val="24"/>
          <w:szCs w:val="24"/>
        </w:rPr>
      </w:pPr>
    </w:p>
    <w:p w14:paraId="2F23EB45" w14:textId="61F159F0" w:rsidR="00A4324C" w:rsidRDefault="00A4324C" w:rsidP="00335B29">
      <w:pPr>
        <w:jc w:val="both"/>
        <w:rPr>
          <w:rFonts w:asciiTheme="majorBidi" w:hAnsiTheme="majorBidi" w:cstheme="majorBidi"/>
          <w:sz w:val="24"/>
          <w:szCs w:val="24"/>
        </w:rPr>
      </w:pPr>
    </w:p>
    <w:p w14:paraId="3FE1AF4A" w14:textId="77777777" w:rsidR="00A4324C" w:rsidRDefault="00A4324C" w:rsidP="00335B29">
      <w:pPr>
        <w:jc w:val="both"/>
        <w:rPr>
          <w:rFonts w:asciiTheme="majorBidi" w:hAnsiTheme="majorBidi" w:cstheme="majorBidi"/>
          <w:sz w:val="24"/>
          <w:szCs w:val="24"/>
        </w:rPr>
      </w:pPr>
    </w:p>
    <w:p w14:paraId="5952F132" w14:textId="77777777" w:rsidR="00A4324C" w:rsidRDefault="00A4324C" w:rsidP="00335B29">
      <w:pPr>
        <w:jc w:val="both"/>
        <w:rPr>
          <w:rFonts w:asciiTheme="majorBidi" w:hAnsiTheme="majorBidi" w:cstheme="majorBidi"/>
          <w:sz w:val="24"/>
          <w:szCs w:val="24"/>
        </w:rPr>
      </w:pPr>
    </w:p>
    <w:p w14:paraId="244DC05F" w14:textId="77777777" w:rsidR="00A4324C" w:rsidRDefault="00A4324C" w:rsidP="00335B29">
      <w:pPr>
        <w:jc w:val="both"/>
        <w:rPr>
          <w:rFonts w:asciiTheme="majorBidi" w:hAnsiTheme="majorBidi" w:cstheme="majorBidi"/>
          <w:sz w:val="24"/>
          <w:szCs w:val="24"/>
        </w:rPr>
      </w:pPr>
    </w:p>
    <w:p w14:paraId="1FCD7A35" w14:textId="77777777" w:rsidR="00A4324C" w:rsidRDefault="00A4324C" w:rsidP="00335B29">
      <w:pPr>
        <w:jc w:val="both"/>
        <w:rPr>
          <w:rFonts w:asciiTheme="majorBidi" w:hAnsiTheme="majorBidi" w:cstheme="majorBidi"/>
          <w:sz w:val="24"/>
          <w:szCs w:val="24"/>
        </w:rPr>
      </w:pPr>
    </w:p>
    <w:p w14:paraId="362D35AA" w14:textId="77777777" w:rsidR="00A4324C" w:rsidRDefault="00A4324C" w:rsidP="00335B29">
      <w:pPr>
        <w:jc w:val="both"/>
        <w:rPr>
          <w:rFonts w:asciiTheme="majorBidi" w:hAnsiTheme="majorBidi" w:cstheme="majorBidi"/>
          <w:sz w:val="24"/>
          <w:szCs w:val="24"/>
        </w:rPr>
      </w:pPr>
    </w:p>
    <w:p w14:paraId="19DF8757" w14:textId="77777777" w:rsidR="00A4324C" w:rsidRDefault="00A4324C" w:rsidP="00335B29">
      <w:pPr>
        <w:jc w:val="both"/>
        <w:rPr>
          <w:rFonts w:asciiTheme="majorBidi" w:hAnsiTheme="majorBidi" w:cstheme="majorBidi"/>
          <w:sz w:val="24"/>
          <w:szCs w:val="24"/>
        </w:rPr>
      </w:pPr>
    </w:p>
    <w:p w14:paraId="556A21E3" w14:textId="77777777" w:rsidR="00A4324C" w:rsidRDefault="00A4324C" w:rsidP="00335B29">
      <w:pPr>
        <w:jc w:val="both"/>
        <w:rPr>
          <w:rFonts w:asciiTheme="majorBidi" w:hAnsiTheme="majorBidi" w:cstheme="majorBidi"/>
          <w:sz w:val="24"/>
          <w:szCs w:val="24"/>
        </w:rPr>
      </w:pPr>
    </w:p>
    <w:p w14:paraId="7A8D47F4" w14:textId="77777777" w:rsidR="00A4324C" w:rsidRDefault="00A4324C" w:rsidP="00335B29">
      <w:pPr>
        <w:jc w:val="both"/>
        <w:rPr>
          <w:rFonts w:asciiTheme="majorBidi" w:hAnsiTheme="majorBidi" w:cstheme="majorBidi"/>
          <w:sz w:val="24"/>
          <w:szCs w:val="24"/>
        </w:rPr>
      </w:pPr>
    </w:p>
    <w:p w14:paraId="53D86264" w14:textId="38861B92" w:rsidR="00A4324C" w:rsidRDefault="00A4324C" w:rsidP="00335B29">
      <w:pPr>
        <w:jc w:val="both"/>
        <w:rPr>
          <w:rFonts w:asciiTheme="majorBidi" w:hAnsiTheme="majorBidi" w:cstheme="majorBidi"/>
          <w:sz w:val="24"/>
          <w:szCs w:val="24"/>
        </w:rPr>
      </w:pPr>
    </w:p>
    <w:p w14:paraId="4B6EF98F" w14:textId="4DDF1459" w:rsidR="00A4324C" w:rsidRDefault="00A4324C" w:rsidP="00335B29">
      <w:pPr>
        <w:jc w:val="both"/>
        <w:rPr>
          <w:rFonts w:asciiTheme="majorBidi" w:hAnsiTheme="majorBidi" w:cstheme="majorBidi"/>
          <w:sz w:val="24"/>
          <w:szCs w:val="24"/>
        </w:rPr>
      </w:pPr>
    </w:p>
    <w:p w14:paraId="79E35CCA" w14:textId="021C7573" w:rsidR="00A4324C" w:rsidRDefault="00A4324C" w:rsidP="00335B29">
      <w:pPr>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9984" behindDoc="0" locked="0" layoutInCell="1" allowOverlap="1" wp14:anchorId="12A08B6C" wp14:editId="7F414237">
                <wp:simplePos x="0" y="0"/>
                <wp:positionH relativeFrom="column">
                  <wp:posOffset>0</wp:posOffset>
                </wp:positionH>
                <wp:positionV relativeFrom="paragraph">
                  <wp:posOffset>159287</wp:posOffset>
                </wp:positionV>
                <wp:extent cx="5931535" cy="1149985"/>
                <wp:effectExtent l="0" t="0" r="0" b="5715"/>
                <wp:wrapNone/>
                <wp:docPr id="619435480" name="Text Box 1"/>
                <wp:cNvGraphicFramePr/>
                <a:graphic xmlns:a="http://schemas.openxmlformats.org/drawingml/2006/main">
                  <a:graphicData uri="http://schemas.microsoft.com/office/word/2010/wordprocessingShape">
                    <wps:wsp>
                      <wps:cNvSpPr txBox="1"/>
                      <wps:spPr>
                        <a:xfrm>
                          <a:off x="0" y="0"/>
                          <a:ext cx="5931535" cy="1149985"/>
                        </a:xfrm>
                        <a:prstGeom prst="rect">
                          <a:avLst/>
                        </a:prstGeom>
                        <a:solidFill>
                          <a:schemeClr val="lt1"/>
                        </a:solidFill>
                        <a:ln w="6350">
                          <a:noFill/>
                        </a:ln>
                      </wps:spPr>
                      <wps:txbx>
                        <w:txbxContent>
                          <w:p w14:paraId="418CAB4B" w14:textId="3AD691FF" w:rsidR="00A4324C" w:rsidRPr="00A4324C" w:rsidRDefault="00A4324C" w:rsidP="00A4324C">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A4324C">
                              <w:rPr>
                                <w:rFonts w:ascii="Times New Roman" w:hAnsi="Times New Roman" w:cs="Times New Roman"/>
                                <w:b/>
                                <w:bCs/>
                                <w:color w:val="000000" w:themeColor="text1"/>
                                <w:sz w:val="20"/>
                                <w:szCs w:val="20"/>
                              </w:rPr>
                              <w:t xml:space="preserve">Figure </w:t>
                            </w:r>
                            <w:r>
                              <w:rPr>
                                <w:rFonts w:ascii="Times New Roman" w:hAnsi="Times New Roman" w:cs="Times New Roman"/>
                                <w:b/>
                                <w:bCs/>
                                <w:color w:val="000000" w:themeColor="text1"/>
                                <w:sz w:val="20"/>
                                <w:szCs w:val="20"/>
                              </w:rPr>
                              <w:t>3.</w:t>
                            </w:r>
                            <w:r w:rsidRPr="00A4324C">
                              <w:rPr>
                                <w:rFonts w:ascii="Times New Roman" w:hAnsi="Times New Roman" w:cs="Times New Roman"/>
                                <w:b/>
                                <w:bCs/>
                                <w:color w:val="000000" w:themeColor="text1"/>
                                <w:sz w:val="20"/>
                                <w:szCs w:val="20"/>
                              </w:rPr>
                              <w:t xml:space="preserve">4. </w:t>
                            </w:r>
                            <w:r w:rsidRPr="00A4324C">
                              <w:rPr>
                                <w:rFonts w:ascii="Times New Roman" w:hAnsi="Times New Roman" w:cs="Times New Roman"/>
                                <w:color w:val="000000" w:themeColor="text1"/>
                                <w:sz w:val="20"/>
                                <w:szCs w:val="20"/>
                              </w:rPr>
                              <w:t xml:space="preserve">A) A time-calibrated species tree, based on 28K SNPs, illustrates the ancestral range reconstruction across the biogeographical provinces of the Tropical Eastern Pacific (TEP) and Tropical Atlantic (TA). Habitat preferences are also illustrated next to species presence across biogeographic provinces and realms. B) The </w:t>
                            </w:r>
                            <w:r w:rsidRPr="00A4324C">
                              <w:rPr>
                                <w:rFonts w:ascii="Times New Roman" w:hAnsi="Times New Roman" w:cs="Times New Roman"/>
                                <w:i/>
                                <w:iCs/>
                                <w:color w:val="000000" w:themeColor="text1"/>
                                <w:sz w:val="20"/>
                                <w:szCs w:val="20"/>
                              </w:rPr>
                              <w:t>ecoevolity</w:t>
                            </w:r>
                            <w:r w:rsidRPr="00A4324C">
                              <w:rPr>
                                <w:rFonts w:ascii="Times New Roman" w:hAnsi="Times New Roman" w:cs="Times New Roman"/>
                                <w:color w:val="000000" w:themeColor="text1"/>
                                <w:sz w:val="20"/>
                                <w:szCs w:val="20"/>
                              </w:rPr>
                              <w:t xml:space="preserve"> results indicate that the two speciation events—the transisthmic clade and transisthmic geminate species-pair—occurred asynchronously. C) Inferred paths of dispersal</w:t>
                            </w:r>
                            <w:r w:rsidRPr="00A4324C">
                              <w:rPr>
                                <w:rFonts w:ascii="Times New Roman" w:hAnsi="Times New Roman" w:cs="Times New Roman"/>
                                <w:b/>
                                <w:bCs/>
                                <w:color w:val="000000" w:themeColor="text1"/>
                                <w:sz w:val="20"/>
                                <w:szCs w:val="20"/>
                              </w:rPr>
                              <w:t xml:space="preserve"> </w:t>
                            </w:r>
                            <w:r w:rsidRPr="00A4324C">
                              <w:rPr>
                                <w:rFonts w:ascii="Times New Roman" w:hAnsi="Times New Roman" w:cs="Times New Roman"/>
                                <w:color w:val="000000" w:themeColor="text1"/>
                                <w:sz w:val="20"/>
                                <w:szCs w:val="20"/>
                              </w:rPr>
                              <w:t xml:space="preserve">and colonization events within the genus. D) Biogeographic provinces utilized to reconstruct ancestral range distribution </w:t>
                            </w:r>
                            <w:r w:rsidRPr="00A4324C">
                              <w:rPr>
                                <w:rFonts w:ascii="Times New Roman" w:hAnsi="Times New Roman" w:cs="Times New Roman"/>
                                <w:color w:val="000000" w:themeColor="text1"/>
                                <w:sz w:val="20"/>
                                <w:szCs w:val="20"/>
                              </w:rPr>
                              <w:fldChar w:fldCharType="begin" w:fldLock="1"/>
                            </w:r>
                            <w:r w:rsidRPr="00A4324C">
                              <w:rPr>
                                <w:rFonts w:ascii="Times New Roman" w:hAnsi="Times New Roman" w:cs="Times New Roman"/>
                                <w:color w:val="000000" w:themeColor="text1"/>
                                <w:sz w:val="20"/>
                                <w:szCs w:val="20"/>
                              </w:rPr>
                              <w:instrText>ADDIN CSL_CITATION {"citationItems":[{"id":"ITEM-1","itemData":{"author":[{"dropping-particle":"","family":"Hastings","given":"Philip A","non-dropping-particle":"","parse-names":false,"suffix":""}],"container-title":"Zoological Journal of the Linnean Society","id":"ITEM-1","issued":{"date-parts":[["2000"]]},"page":"319-335","title":"Biogeography of the Tropical Eastern Pacific : distribution and phylogeny of chaenopsid fishes","type":"article-journal","volume":"128"},"uris":["http://www.mendeley.com/documents/?uuid=adfe0f8f-5f0b-4a86-8324-8cc7d41aa829"]},{"id":"ITEM-2","itemData":{"DOI":"10.1371/journal.pone.0102918","ISBN":"1932-6203 (Electronic)\\r1932-6203 (Linking)","ISSN":"19326203","PMID":"25054225","abstract":"The Greater Caribbean biogeographic region is the high-diversity heart of the Tropical West Atlantic, one of four global centers of tropical marine biodiversity. The traditional view of the Greater Caribbean is that it is limited to the Caribbean, West Indies, southwest Gulf of Mexico and tip of Florida, and that, due to its faunal homogeneity, lacks major provincial subdivisions. In this scenario the northern 2/3 of the Gulf of Mexico and southeastern USA represent a separate temperate, \"Carolinian\" biogeographic region. We completed a comprehensive re-assessment of the biogeography of the Greater Caribbean by comparing the distributions of 1,559 shorefish species within 45 sections of shelf waters of the Greater Caribbean and adjacent areas. This analysis shows that that the Greater Caribbean occupies a much larger area than usually thought, extending south to at least Guyana, and north to encompass the entire Carolinian area. Rather than being homogenous, the Greater Caribbean is divided into three major provinces, each with a distinctive, primarily tropical fauna: (1) a central, tropical province comprising the West Indies, Bermuda and Central America; (2) a southern, upwelling-affected province spanning the entire continental shelf of northern South America; and (iii) a northern, subtropical province that includes all of the Gulf of Mexico, Florida and southeastern USA. This three-province pattern holds for both reef- and soft bottom fishes, indicating a general response by demersal fishes to major variation in provincial shelf environments. Such environmental differences include latitudinal variation in sea temperature, availability of major habitats (coral reefs, soft bottom shorelines, and mangroves), and nutrient additions from upwelling areas and large rivers. The three-province arrangement of the Greater Caribbean broadly resembles and has a similar environmental basis to the provincial arrangement of its sister biogeographic region, the Tropical Eastern Pacific.","author":[{"dropping-particle":"","family":"Robertson","given":"D. Ross","non-dropping-particle":"","parse-names":false,"suffix":""},{"dropping-particle":"","family":"Cramer","given":"Katie L.","non-dropping-particle":"","parse-names":false,"suffix":""}],"container-title":"PLoS ONE","id":"ITEM-2","issue":"7","issued":{"date-parts":[["2014"]]},"title":"Defining and dividing the Greater Caribbean: Insights from the biogeography of shorefishes","type":"article-journal","volume":"9"},"uris":["http://www.mendeley.com/documents/?uuid=6ec7fa7d-ff3b-492d-babb-2749c8ab77b3"]},{"id":"ITEM-3","itemData":{"author":[{"dropping-particle":"","family":"Spalding","given":"Mark D","non-dropping-particle":"","parse-names":false,"suffix":""},{"dropping-particle":"","family":"Fox","given":"Helen E","non-dropping-particle":"","parse-names":false,"suffix":""},{"dropping-particle":"","family":"Allen","given":"Gerald R","non-dropping-particle":"","parse-names":false,"suffix":""},{"dropping-particle":"","family":"Davidson","given":"Nick","non-dropping-particle":"","parse-names":false,"suffix":""},{"dropping-particle":"","family":"Ferdaña","given":"Zach A","non-dropping-particle":"","parse-names":false,"suffix":""},{"dropping-particle":"","family":"Finlayson","given":"M A X","non-dropping-particle":"","parse-names":false,"suffix":""},{"dropping-particle":"","family":"Halpern","given":"Benjamin S","non-dropping-particle":"","parse-names":false,"suffix":""},{"dropping-particle":"","family":"Jorge","given":"Miguel A","non-dropping-particle":"","parse-names":false,"suffix":""},{"dropping-particle":"","family":"Lombana","given":"A L","non-dropping-particle":"","parse-names":false,"suffix":""},{"dropping-particle":"","family":"Lourie","given":"Sara A","non-dropping-particle":"","parse-names":false,"suffix":""},{"dropping-particle":"","family":"Martin","given":"Kirsten D","non-dropping-particle":"","parse-names":false,"suffix":""},{"dropping-particle":"","family":"Manus","given":"M C","non-dropping-particle":"","parse-names":false,"suffix":""},{"dropping-particle":"","family":"Molnar","given":"Jennifer","non-dropping-particle":"","parse-names":false,"suffix":""},{"dropping-particle":"","family":"Recchia","given":"Cheri A","non-dropping-particle":"","parse-names":false,"suffix":""},{"dropping-particle":"","family":"Robertson","given":"James","non-dropping-particle":"","parse-names":false,"suffix":""}],"id":"ITEM-3","issue":"7","issued":{"date-parts":[["2007"]]},"page":"573-583","title":"Marine Ecoregions of the World : A Bioregionalization of Coastal and Shelf Areas","type":"article-journal","volume":"57"},"uris":["http://www.mendeley.com/documents/?uuid=75a3a620-dfd5-4c2d-ad6f-09ce8a83f173"]}],"mendeley":{"formattedCitation":"(13, 29, 30)","plainTextFormattedCitation":"(13, 29, 30)","previouslyFormattedCitation":"(4, 10, 11)"},"properties":{"noteIndex":0},"schema":"https://github.com/citation-style-language/schema/raw/master/csl-citation.json"}</w:instrText>
                            </w:r>
                            <w:r w:rsidRPr="00A4324C">
                              <w:rPr>
                                <w:rFonts w:ascii="Times New Roman" w:hAnsi="Times New Roman" w:cs="Times New Roman"/>
                                <w:color w:val="000000" w:themeColor="text1"/>
                                <w:sz w:val="20"/>
                                <w:szCs w:val="20"/>
                              </w:rPr>
                              <w:fldChar w:fldCharType="separate"/>
                            </w:r>
                            <w:r w:rsidRPr="00A4324C">
                              <w:rPr>
                                <w:rFonts w:ascii="Times New Roman" w:hAnsi="Times New Roman" w:cs="Times New Roman"/>
                                <w:color w:val="000000" w:themeColor="text1"/>
                                <w:sz w:val="20"/>
                                <w:szCs w:val="20"/>
                              </w:rPr>
                              <w:t>(13, 29, 30)</w:t>
                            </w:r>
                            <w:r w:rsidRPr="00A4324C">
                              <w:rPr>
                                <w:rFonts w:ascii="Times New Roman" w:hAnsi="Times New Roman" w:cs="Times New Roman"/>
                                <w:color w:val="000000" w:themeColor="text1"/>
                                <w:sz w:val="20"/>
                                <w:szCs w:val="20"/>
                              </w:rPr>
                              <w:fldChar w:fldCharType="end"/>
                            </w:r>
                            <w:r w:rsidRPr="00A4324C">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08B6C" id="_x0000_s1035" type="#_x0000_t202" style="position:absolute;left:0;text-align:left;margin-left:0;margin-top:12.55pt;width:467.05pt;height:90.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" fillcolor="white [3201]" stroked="f" strokeweight=".5pt">
                <v:textbox>
                  <w:txbxContent>
                    <w:p w14:paraId="418CAB4B" w14:textId="3AD691FF" w:rsidR="00A4324C" w:rsidRPr="00A4324C" w:rsidRDefault="00A4324C" w:rsidP="00A4324C">
                      <w:pPr>
                        <w:widowControl w:val="0"/>
                        <w:autoSpaceDE w:val="0"/>
                        <w:autoSpaceDN w:val="0"/>
                        <w:adjustRightInd w:val="0"/>
                        <w:spacing w:before="120" w:after="120"/>
                        <w:jc w:val="both"/>
                        <w:rPr>
                          <w:rFonts w:ascii="Times New Roman" w:hAnsi="Times New Roman" w:cs="Times New Roman"/>
                          <w:color w:val="000000" w:themeColor="text1"/>
                          <w:sz w:val="20"/>
                          <w:szCs w:val="20"/>
                        </w:rPr>
                      </w:pPr>
                      <w:r w:rsidRPr="00A4324C">
                        <w:rPr>
                          <w:rFonts w:ascii="Times New Roman" w:hAnsi="Times New Roman" w:cs="Times New Roman"/>
                          <w:b/>
                          <w:bCs/>
                          <w:color w:val="000000" w:themeColor="text1"/>
                          <w:sz w:val="20"/>
                          <w:szCs w:val="20"/>
                        </w:rPr>
                        <w:t xml:space="preserve">Figure </w:t>
                      </w:r>
                      <w:r>
                        <w:rPr>
                          <w:rFonts w:ascii="Times New Roman" w:hAnsi="Times New Roman" w:cs="Times New Roman"/>
                          <w:b/>
                          <w:bCs/>
                          <w:color w:val="000000" w:themeColor="text1"/>
                          <w:sz w:val="20"/>
                          <w:szCs w:val="20"/>
                        </w:rPr>
                        <w:t>3.</w:t>
                      </w:r>
                      <w:r w:rsidRPr="00A4324C">
                        <w:rPr>
                          <w:rFonts w:ascii="Times New Roman" w:hAnsi="Times New Roman" w:cs="Times New Roman"/>
                          <w:b/>
                          <w:bCs/>
                          <w:color w:val="000000" w:themeColor="text1"/>
                          <w:sz w:val="20"/>
                          <w:szCs w:val="20"/>
                        </w:rPr>
                        <w:t xml:space="preserve">4. </w:t>
                      </w:r>
                      <w:r w:rsidRPr="00A4324C">
                        <w:rPr>
                          <w:rFonts w:ascii="Times New Roman" w:hAnsi="Times New Roman" w:cs="Times New Roman"/>
                          <w:color w:val="000000" w:themeColor="text1"/>
                          <w:sz w:val="20"/>
                          <w:szCs w:val="20"/>
                        </w:rPr>
                        <w:t xml:space="preserve">A) A time-calibrated species tree, based on 28K SNPs, illustrates the ancestral range reconstruction across the biogeographical provinces of the Tropical Eastern Pacific (TEP) and Tropical Atlantic (TA). Habitat preferences are also illustrated next to species presence across biogeographic provinces and realms. B) The </w:t>
                      </w:r>
                      <w:r w:rsidRPr="00A4324C">
                        <w:rPr>
                          <w:rFonts w:ascii="Times New Roman" w:hAnsi="Times New Roman" w:cs="Times New Roman"/>
                          <w:i/>
                          <w:iCs/>
                          <w:color w:val="000000" w:themeColor="text1"/>
                          <w:sz w:val="20"/>
                          <w:szCs w:val="20"/>
                        </w:rPr>
                        <w:t>ecoevolity</w:t>
                      </w:r>
                      <w:r w:rsidRPr="00A4324C">
                        <w:rPr>
                          <w:rFonts w:ascii="Times New Roman" w:hAnsi="Times New Roman" w:cs="Times New Roman"/>
                          <w:color w:val="000000" w:themeColor="text1"/>
                          <w:sz w:val="20"/>
                          <w:szCs w:val="20"/>
                        </w:rPr>
                        <w:t xml:space="preserve"> results indicate that the two speciation events—the transisthmic clade and transisthmic geminate species-pair—occurred asynchronously. C) Inferred paths of dispersal</w:t>
                      </w:r>
                      <w:r w:rsidRPr="00A4324C">
                        <w:rPr>
                          <w:rFonts w:ascii="Times New Roman" w:hAnsi="Times New Roman" w:cs="Times New Roman"/>
                          <w:b/>
                          <w:bCs/>
                          <w:color w:val="000000" w:themeColor="text1"/>
                          <w:sz w:val="20"/>
                          <w:szCs w:val="20"/>
                        </w:rPr>
                        <w:t xml:space="preserve"> </w:t>
                      </w:r>
                      <w:r w:rsidRPr="00A4324C">
                        <w:rPr>
                          <w:rFonts w:ascii="Times New Roman" w:hAnsi="Times New Roman" w:cs="Times New Roman"/>
                          <w:color w:val="000000" w:themeColor="text1"/>
                          <w:sz w:val="20"/>
                          <w:szCs w:val="20"/>
                        </w:rPr>
                        <w:t xml:space="preserve">and colonization events within the genus. D) Biogeographic provinces utilized to reconstruct ancestral range distribution </w:t>
                      </w:r>
                      <w:r w:rsidRPr="00A4324C">
                        <w:rPr>
                          <w:rFonts w:ascii="Times New Roman" w:hAnsi="Times New Roman" w:cs="Times New Roman"/>
                          <w:color w:val="000000" w:themeColor="text1"/>
                          <w:sz w:val="20"/>
                          <w:szCs w:val="20"/>
                        </w:rPr>
                        <w:fldChar w:fldCharType="begin" w:fldLock="1"/>
                      </w:r>
                      <w:r w:rsidRPr="00A4324C">
                        <w:rPr>
                          <w:rFonts w:ascii="Times New Roman" w:hAnsi="Times New Roman" w:cs="Times New Roman"/>
                          <w:color w:val="000000" w:themeColor="text1"/>
                          <w:sz w:val="20"/>
                          <w:szCs w:val="20"/>
                        </w:rPr>
                        <w:instrText>ADDIN CSL_CITATION {"citationItems":[{"id":"ITEM-1","itemData":{"author":[{"dropping-particle":"","family":"Hastings","given":"Philip A","non-dropping-particle":"","parse-names":false,"suffix":""}],"container-title":"Zoological Journal of the Linnean Society","id":"ITEM-1","issued":{"date-parts":[["2000"]]},"page":"319-335","title":"Biogeography of the Tropical Eastern Pacific : distribution and phylogeny of chaenopsid fishes","type":"article-journal","volume":"128"},"uris":["http://www.mendeley.com/documents/?uuid=adfe0f8f-5f0b-4a86-8324-8cc7d41aa829"]},{"id":"ITEM-2","itemData":{"DOI":"10.1371/journal.pone.0102918","ISBN":"1932-6203 (Electronic)\\r1932-6203 (Linking)","ISSN":"19326203","PMID":"25054225","abstract":"The Greater Caribbean biogeographic region is the high-diversity heart of the Tropical West Atlantic, one of four global centers of tropical marine biodiversity. The traditional view of the Greater Caribbean is that it is limited to the Caribbean, West Indies, southwest Gulf of Mexico and tip of Florida, and that, due to its faunal homogeneity, lacks major provincial subdivisions. In this scenario the northern 2/3 of the Gulf of Mexico and southeastern USA represent a separate temperate, \"Carolinian\" biogeographic region. We completed a comprehensive re-assessment of the biogeography of the Greater Caribbean by comparing the distributions of 1,559 shorefish species within 45 sections of shelf waters of the Greater Caribbean and adjacent areas. This analysis shows that that the Greater Caribbean occupies a much larger area than usually thought, extending south to at least Guyana, and north to encompass the entire Carolinian area. Rather than being homogenous, the Greater Caribbean is divided into three major provinces, each with a distinctive, primarily tropical fauna: (1) a central, tropical province comprising the West Indies, Bermuda and Central America; (2) a southern, upwelling-affected province spanning the entire continental shelf of northern South America; and (iii) a northern, subtropical province that includes all of the Gulf of Mexico, Florida and southeastern USA. This three-province pattern holds for both reef- and soft bottom fishes, indicating a general response by demersal fishes to major variation in provincial shelf environments. Such environmental differences include latitudinal variation in sea temperature, availability of major habitats (coral reefs, soft bottom shorelines, and mangroves), and nutrient additions from upwelling areas and large rivers. The three-province arrangement of the Greater Caribbean broadly resembles and has a similar environmental basis to the provincial arrangement of its sister biogeographic region, the Tropical Eastern Pacific.","author":[{"dropping-particle":"","family":"Robertson","given":"D. Ross","non-dropping-particle":"","parse-names":false,"suffix":""},{"dropping-particle":"","family":"Cramer","given":"Katie L.","non-dropping-particle":"","parse-names":false,"suffix":""}],"container-title":"PLoS ONE","id":"ITEM-2","issue":"7","issued":{"date-parts":[["2014"]]},"title":"Defining and dividing the Greater Caribbean: Insights from the biogeography of shorefishes","type":"article-journal","volume":"9"},"uris":["http://www.mendeley.com/documents/?uuid=6ec7fa7d-ff3b-492d-babb-2749c8ab77b3"]},{"id":"ITEM-3","itemData":{"author":[{"dropping-particle":"","family":"Spalding","given":"Mark D","non-dropping-particle":"","parse-names":false,"suffix":""},{"dropping-particle":"","family":"Fox","given":"Helen E","non-dropping-particle":"","parse-names":false,"suffix":""},{"dropping-particle":"","family":"Allen","given":"Gerald R","non-dropping-particle":"","parse-names":false,"suffix":""},{"dropping-particle":"","family":"Davidson","given":"Nick","non-dropping-particle":"","parse-names":false,"suffix":""},{"dropping-particle":"","family":"Ferdaña","given":"Zach A","non-dropping-particle":"","parse-names":false,"suffix":""},{"dropping-particle":"","family":"Finlayson","given":"M A X","non-dropping-particle":"","parse-names":false,"suffix":""},{"dropping-particle":"","family":"Halpern","given":"Benjamin S","non-dropping-particle":"","parse-names":false,"suffix":""},{"dropping-particle":"","family":"Jorge","given":"Miguel A","non-dropping-particle":"","parse-names":false,"suffix":""},{"dropping-particle":"","family":"Lombana","given":"A L","non-dropping-particle":"","parse-names":false,"suffix":""},{"dropping-particle":"","family":"Lourie","given":"Sara A","non-dropping-particle":"","parse-names":false,"suffix":""},{"dropping-particle":"","family":"Martin","given":"Kirsten D","non-dropping-particle":"","parse-names":false,"suffix":""},{"dropping-particle":"","family":"Manus","given":"M C","non-dropping-particle":"","parse-names":false,"suffix":""},{"dropping-particle":"","family":"Molnar","given":"Jennifer","non-dropping-particle":"","parse-names":false,"suffix":""},{"dropping-particle":"","family":"Recchia","given":"Cheri A","non-dropping-particle":"","parse-names":false,"suffix":""},{"dropping-particle":"","family":"Robertson","given":"James","non-dropping-particle":"","parse-names":false,"suffix":""}],"id":"ITEM-3","issue":"7","issued":{"date-parts":[["2007"]]},"page":"573-583","title":"Marine Ecoregions of the World : A Bioregionalization of Coastal and Shelf Areas","type":"article-journal","volume":"57"},"uris":["http://www.mendeley.com/documents/?uuid=75a3a620-dfd5-4c2d-ad6f-09ce8a83f173"]}],"mendeley":{"formattedCitation":"(13, 29, 30)","plainTextFormattedCitation":"(13, 29, 30)","previouslyFormattedCitation":"(4, 10, 11)"},"properties":{"noteIndex":0},"schema":"https://github.com/citation-style-language/schema/raw/master/csl-citation.json"}</w:instrText>
                      </w:r>
                      <w:r w:rsidRPr="00A4324C">
                        <w:rPr>
                          <w:rFonts w:ascii="Times New Roman" w:hAnsi="Times New Roman" w:cs="Times New Roman"/>
                          <w:color w:val="000000" w:themeColor="text1"/>
                          <w:sz w:val="20"/>
                          <w:szCs w:val="20"/>
                        </w:rPr>
                        <w:fldChar w:fldCharType="separate"/>
                      </w:r>
                      <w:r w:rsidRPr="00A4324C">
                        <w:rPr>
                          <w:rFonts w:ascii="Times New Roman" w:hAnsi="Times New Roman" w:cs="Times New Roman"/>
                          <w:color w:val="000000" w:themeColor="text1"/>
                          <w:sz w:val="20"/>
                          <w:szCs w:val="20"/>
                        </w:rPr>
                        <w:t>(13, 29, 30)</w:t>
                      </w:r>
                      <w:r w:rsidRPr="00A4324C">
                        <w:rPr>
                          <w:rFonts w:ascii="Times New Roman" w:hAnsi="Times New Roman" w:cs="Times New Roman"/>
                          <w:color w:val="000000" w:themeColor="text1"/>
                          <w:sz w:val="20"/>
                          <w:szCs w:val="20"/>
                        </w:rPr>
                        <w:fldChar w:fldCharType="end"/>
                      </w:r>
                      <w:r w:rsidRPr="00A4324C">
                        <w:rPr>
                          <w:rFonts w:ascii="Times New Roman" w:hAnsi="Times New Roman" w:cs="Times New Roman"/>
                          <w:color w:val="000000" w:themeColor="text1"/>
                          <w:sz w:val="20"/>
                          <w:szCs w:val="20"/>
                        </w:rPr>
                        <w:t>.</w:t>
                      </w:r>
                    </w:p>
                  </w:txbxContent>
                </v:textbox>
              </v:shape>
            </w:pict>
          </mc:Fallback>
        </mc:AlternateContent>
      </w:r>
    </w:p>
    <w:p w14:paraId="14E54325" w14:textId="77777777" w:rsidR="00A4324C" w:rsidRDefault="00A4324C" w:rsidP="00335B29">
      <w:pPr>
        <w:jc w:val="both"/>
        <w:rPr>
          <w:rFonts w:asciiTheme="majorBidi" w:hAnsiTheme="majorBidi" w:cstheme="majorBidi"/>
          <w:sz w:val="24"/>
          <w:szCs w:val="24"/>
        </w:rPr>
      </w:pPr>
    </w:p>
    <w:p w14:paraId="4D57CBB9" w14:textId="77777777" w:rsidR="00A4324C" w:rsidRDefault="00A4324C" w:rsidP="00335B29">
      <w:pPr>
        <w:jc w:val="both"/>
        <w:rPr>
          <w:rFonts w:asciiTheme="majorBidi" w:hAnsiTheme="majorBidi" w:cstheme="majorBidi"/>
          <w:sz w:val="24"/>
          <w:szCs w:val="24"/>
        </w:rPr>
      </w:pPr>
    </w:p>
    <w:p w14:paraId="00A1AE8F" w14:textId="77777777" w:rsidR="00A4324C" w:rsidRDefault="00A4324C" w:rsidP="00335B29">
      <w:pPr>
        <w:jc w:val="both"/>
        <w:rPr>
          <w:rFonts w:asciiTheme="majorBidi" w:hAnsiTheme="majorBidi" w:cstheme="majorBidi"/>
          <w:sz w:val="24"/>
          <w:szCs w:val="24"/>
        </w:rPr>
      </w:pPr>
    </w:p>
    <w:p w14:paraId="42DBC7F8" w14:textId="77777777" w:rsidR="00335B29" w:rsidRPr="00335B29" w:rsidRDefault="00335B29" w:rsidP="00335B29">
      <w:pPr>
        <w:jc w:val="both"/>
        <w:rPr>
          <w:rFonts w:asciiTheme="majorBidi" w:hAnsiTheme="majorBidi" w:cstheme="majorBidi"/>
          <w:sz w:val="24"/>
          <w:szCs w:val="24"/>
        </w:rPr>
      </w:pPr>
    </w:p>
    <w:p w14:paraId="04249812" w14:textId="6376E5FB" w:rsidR="001E1B3B" w:rsidRPr="00E6459A" w:rsidRDefault="000803F9" w:rsidP="00E6459A">
      <w:pPr>
        <w:pStyle w:val="ListParagraph"/>
        <w:numPr>
          <w:ilvl w:val="1"/>
          <w:numId w:val="5"/>
        </w:numPr>
        <w:rPr>
          <w:rFonts w:asciiTheme="majorBidi" w:hAnsiTheme="majorBidi" w:cstheme="majorBidi"/>
          <w:b/>
          <w:bCs/>
          <w:sz w:val="32"/>
          <w:szCs w:val="32"/>
        </w:rPr>
      </w:pPr>
      <w:r>
        <w:rPr>
          <w:rFonts w:asciiTheme="majorBidi" w:hAnsiTheme="majorBidi" w:cstheme="majorBidi"/>
          <w:b/>
          <w:bCs/>
          <w:sz w:val="32"/>
          <w:szCs w:val="32"/>
        </w:rPr>
        <w:lastRenderedPageBreak/>
        <w:t>Discussion</w:t>
      </w:r>
    </w:p>
    <w:p w14:paraId="79EB7901" w14:textId="77777777" w:rsidR="001E1B3B" w:rsidRPr="001E1B3B" w:rsidRDefault="001E1B3B" w:rsidP="00E6459A">
      <w:pPr>
        <w:jc w:val="both"/>
        <w:rPr>
          <w:rFonts w:asciiTheme="majorBidi" w:hAnsiTheme="majorBidi" w:cstheme="majorBidi"/>
          <w:sz w:val="24"/>
          <w:szCs w:val="24"/>
        </w:rPr>
      </w:pPr>
      <w:r w:rsidRPr="001E1B3B">
        <w:rPr>
          <w:rFonts w:asciiTheme="majorBidi" w:hAnsiTheme="majorBidi" w:cstheme="majorBidi"/>
          <w:sz w:val="24"/>
          <w:szCs w:val="24"/>
        </w:rPr>
        <w:t xml:space="preserve">By integrating genome-wide, morphologic, and ecological data at both micro- and macroevolutionary scales, our study was able to assess the effects of previously proposed contemporary and historical marine breaks on the diversification and speciation of labrisomid blennies in the genus </w:t>
      </w:r>
      <w:r w:rsidRPr="001E1B3B">
        <w:rPr>
          <w:rFonts w:asciiTheme="majorBidi" w:hAnsiTheme="majorBidi" w:cstheme="majorBidi"/>
          <w:i/>
          <w:iCs/>
          <w:sz w:val="24"/>
          <w:szCs w:val="24"/>
        </w:rPr>
        <w:t>Malacoctenus</w:t>
      </w:r>
      <w:r w:rsidRPr="001E1B3B">
        <w:rPr>
          <w:rFonts w:asciiTheme="majorBidi" w:hAnsiTheme="majorBidi" w:cstheme="majorBidi"/>
          <w:sz w:val="24"/>
          <w:szCs w:val="24"/>
        </w:rPr>
        <w:t xml:space="preserve">. We detected consistent patterns of genome-wide signatures of genetic structure on codistributed species across the TEP and TA biogeographic regions, which allowed us to assess the effectiveness of each contemporary break evaluated and uncover potential new ones. Our seascape genomic analyses unveiled a complex interplay between seascape composition and seascape configuration features on shaping the distribution of species across both regions. When addressing intraspecies dynamics, major environmental variables influencing local adaptation included temperature, chlorophyll </w:t>
      </w:r>
      <w:r w:rsidRPr="001E1B3B">
        <w:rPr>
          <w:rFonts w:asciiTheme="majorBidi" w:hAnsiTheme="majorBidi" w:cstheme="majorBidi"/>
          <w:sz w:val="24"/>
          <w:szCs w:val="24"/>
        </w:rPr>
        <w:sym w:font="Symbol" w:char="F061"/>
      </w:r>
      <w:r w:rsidRPr="001E1B3B">
        <w:rPr>
          <w:rFonts w:asciiTheme="majorBidi" w:hAnsiTheme="majorBidi" w:cstheme="majorBidi"/>
          <w:sz w:val="24"/>
          <w:szCs w:val="24"/>
        </w:rPr>
        <w:t xml:space="preserve"> levels, and physical oceanographic components. At the interspecies level, additional factors identified as speciation drivers included depth and suspended particle matter levels. Furthermore, our time-calibrated analyses at macroevolutionary scales revealed that the sole African species constitutes the earliest-branching genus-level lineage, indicating an east-to-west dispersal of the clade into the Neotropics followed by the origin of asynchronous transisthmian clades.</w:t>
      </w:r>
    </w:p>
    <w:p w14:paraId="598E217C" w14:textId="77777777" w:rsidR="001E1B3B" w:rsidRPr="001E1B3B" w:rsidRDefault="001E1B3B" w:rsidP="00E6459A">
      <w:pPr>
        <w:ind w:firstLine="720"/>
        <w:jc w:val="both"/>
        <w:rPr>
          <w:rFonts w:asciiTheme="majorBidi" w:hAnsiTheme="majorBidi" w:cstheme="majorBidi"/>
          <w:sz w:val="24"/>
          <w:szCs w:val="24"/>
        </w:rPr>
      </w:pPr>
      <w:r w:rsidRPr="001E1B3B">
        <w:rPr>
          <w:rFonts w:asciiTheme="majorBidi" w:hAnsiTheme="majorBidi" w:cstheme="majorBidi"/>
          <w:sz w:val="24"/>
          <w:szCs w:val="24"/>
        </w:rPr>
        <w:t>In the TEP, when considering phylogeographic breaks and provinces, they are mostly arranged in a linear fashion, following the geomorphological configuration of the coastline, although there are exceptions like oceanic islands, such as the Galápagos Archipelago. In contrast, in the TA, there is a greater two-dimensionality that largely stems from the semi-enclosed configuration of the Greater Caribbean. While environmental clusters of sampling locations in the TEP also coincide with the delimitation of biogeographic provinces, this is not the case in the TA (Figs. S31</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 xml:space="preserve">S32), suggesting a more complex influence of microhabitats and environmental features in the area. Notably, major phylogeographic breaks in the TA do not align with established biogeographic provinces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{"citationItems":[{"id":"ITEM-1","itemData":{"DOI":"10.1371/journal.pone.0102918","author":[{"dropping-particle":"","family":"Robertson","given":"D Ross","non-dropping-particle":"","parse-names":false,"suffix":""},{"dropping-particle":"","family":"Cramer","given":"Katie L","non-dropping-particle":"","parse-names":false,"suffix":""}],"container-title":"PLoS ONE","id":"ITEM-1","issue":"7","issued":{"date-parts":[["2014"]]},"title":"Defining and Dividing the Greater Caribbean : Insights from the Biogeography of Shorefishes","type":"article-journal","volume":"9"},"uris":["http://www.mendeley.com/documents/?uuid=c7950928-07af-4d2a-8d99-2a7f8e3dba85"]}],"mendeley":{"formattedCitation":"(17)","plainTextFormattedCitation":"(17)","previouslyFormattedCitation":"(17)"},"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(17)</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emphasizing the need for broader comparative phylogeographic studies in this region.</w:t>
      </w:r>
    </w:p>
    <w:p w14:paraId="3CA77148" w14:textId="00D1FAF4" w:rsidR="001E1B3B" w:rsidRPr="001E1B3B" w:rsidRDefault="001E1B3B" w:rsidP="00E6459A">
      <w:pPr>
        <w:ind w:firstLine="720"/>
        <w:jc w:val="both"/>
        <w:rPr>
          <w:rFonts w:asciiTheme="majorBidi" w:hAnsiTheme="majorBidi" w:cstheme="majorBidi"/>
          <w:sz w:val="24"/>
          <w:szCs w:val="24"/>
        </w:rPr>
      </w:pPr>
      <w:r w:rsidRPr="001E1B3B">
        <w:rPr>
          <w:rFonts w:asciiTheme="majorBidi" w:hAnsiTheme="majorBidi" w:cstheme="majorBidi"/>
          <w:sz w:val="24"/>
          <w:szCs w:val="24"/>
        </w:rPr>
        <w:t xml:space="preserve">In general, major marine barriers that exhibited high effectiveness values are mostly related to habitat gaps, physical oceanographic features and processes (e.g., currents), marked environmental changes (e.g., temperature), or a combination of these. The Sinaloan (SB) and Central American (CB) breaks in the TEP are recognized as habitat gaps for labrisomid blennies, primarily attributed to the absence of significant rocky outcroppings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Hubbs","type":"thesis"},"uris":["http://www.mendeley.com/documents/?uuid=2bbfe69c-07bb-49dc-a59b-8bc4e67312a5"]},{"id":"ITEM-2","itemData":{"author":[{"dropping-particle":"","family":"Hastings","given":"Philip A","non-dropping-particle":"","parse-names":false,"suffix":""}],"container-title":"Zoological Journal of the Linnean Society","id":"ITEM-2","issued":{"date-parts":[["2000"]]},"page":"319-335","title":"Biogeography of the Tropical Eastern Pacific : distribution and phylogeny of chaenopsid fishes","type":"article-journal","volume":"128"},"uris":["http://www.mendeley.com/documents/?uuid=adfe0f8f-5f0b-4a86-8324-8cc7d41aa829"]}],"mendeley":{"formattedCitation":"(12, 13)","plainTextFormattedCitation":"(12, 13)","previouslyFormattedCitation":"(12, 13)"},"properties":{"noteIndex":0},"schema":"https://github.com/citation-style-language/schema/raw/master/csl-citation.json"}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(12, 13)</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Our study revealed that both the SB and the CB exhibit a 100% effectiveness in influencing the population structure of labrisomid blennies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1). While the SB has traditionally been considered to primarily impact species with limited dispersal capabilities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{"citationItems":[{"id":"ITEM-1","itemData":{"DOI":"10.1023/a:1011575722481","ISSN":"15660621","abstract":"Populations of the Calafia pearl oyster Pinctada mazatlanica of the American Pacific coasts have been considered endangered because of overfishing and/or alteration to coastal areas. We assessed genetic variability and the pattern of population structure among 9 samples collected from Mexico to Panama, using mtDNA RFLP analysis of two genes: 12S rRNA and subunit one of Cytochrome oxydase (COI). Haplotype diversity varied from 0.000 to 0.856. The Panama population appeared to be monomorphic, while the other samples exhibited a level of haplotypic variability similar to those reported in the literature for the same kind of analysis on other bivalves species. A test for the impact of demographic history on genetic diversity was applied on the sequence data, and the results were congruent with a recent decline of population sizes. Genetic differentiation was shown to follow a scheme of isolation by distance, with low levels of differentiation at the scales of ten to one hundred kilometres, whereas stronger and significant genetic structure was detected at a larger scale. Three significantly distinct groups could then be defined, which correspond to Northern Mexico, Southern Mexico, and Panama.","author":[{"dropping-particle":"","family":"Arnaud","given":"Sophie","non-dropping-particle":"","parse-names":false,"suffix":""},{"dropping-particle":"","family":"Monteforte","given":"Mario","non-dropping-particle":"","parse-names":false,"suffix":""},{"dropping-particle":"","family":"Galtier","given":"Nicolas","non-dropping-particle":"","parse-names":false,"suffix":""},{"dropping-particle":"","family":"Bonhomme","given":"François","non-dropping-particle":"","parse-names":false,"suffix":""},{"dropping-particle":"","family":"Blanc","given":"Françoise","non-dropping-particle":"","parse-names":false,"suffix":""}],"container-title":"Conservation Genetics","id":"ITEM-1","issue":"4","issued":{"date-parts":[["2000"]]},"page":"299-308","title":"Population structure and genetic variability of pearl oyster Pinctada mazatlanica along Pacific coasts from Mexico to Panama","type":"article-journal","volume":"1"},"uris":["http://www.mendeley.com/documents/?uuid=abfba770-dc89-4b7c-a873-667fcd0d867f"]},{"id":"ITEM-2","itemData":{"author":[{"dropping-particle":"","family":"Mora","given":"Camilo","non-dropping-particle":"","parse-names":false,"suffix":""},{"dropping-particle":"","family":"Robertson","given":"D Ross","non-dropping-particle":"","parse-names":false,"suffix":""}],"container-title":"Journal of Biogeography","id":"ITEM-2","issue":"32","issued":{"date-parts":[["2005"]]},"page":"277-286","title":"Factors shaping the range-size frequency distribution of the endemic fish fauna of the Tropical Eastern Pacific","type":"article-journal"},"uris":["http://www.mendeley.com/documents/?uuid=e784c844-de57-4a55-9294-fe2a081cebe5"]},{"id":"ITEM-3","itemData":{"DOI":"10.1371/journal.pone.0102918","ISBN":"1932-6203 (Electronic)\\r1932-6203 (Linking)","ISSN":"19326203","PMID":"25054225","abstract":"The Greater Caribbean biogeographic region is the high-diversity heart of the Tropical West Atlantic, one of four global centers of tropical marine biodiversity. The traditional view of the Greater Caribbean is that it is limited to the Caribbean, West Indies, southwest Gulf of Mexico and tip of Florida, and that, due to its faunal homogeneity, lacks major provincial subdivisions. In this scenario the northern 2/3 of the Gulf of Mexico and southeastern USA represent a separate temperate, \"Carolinian\" biogeographic region. We completed a comprehensive re-assessment of the biogeography of the Greater Caribbean by comparing the distributions of 1,559 shorefish species within 45 sections of shelf waters of the Greater Caribbean and adjacent areas. This analysis shows that that the Greater Caribbean occupies a much larger area than usually thought, extending south to at least Guyana, and north to encompass the entire Carolinian area. Rather than being homogenous, the Greater Caribbean is divided into three major provinces, each with a distinctive, primarily tropical fauna: (1) a central, tropical province comprising the West Indies, Bermuda and Central America; (2) a southern, upwelling-affected province spanning the entire continental shelf of northern South America; and (iii) a northern, subtropical province that includes all of the Gulf of Mexico, Florida and southeastern USA. This three-province pattern holds for both reef- and soft bottom fishes, indicating a general response by demersal fishes to major variation in provincial shelf environments. Such environmental differences include latitudinal variation in sea temperature, availability of major habitats (coral reefs, soft bottom shorelines, and mangroves), and nutrient additions from upwelling areas and large rivers. The three-province arrangement of the Greater Caribbean broadly resembles and has a similar environmental basis to the provincial arrangement of its sister biogeographic region, the Tropical Eastern Pacific.","author":[{"dropping-particle":"","family":"Robertson","given":"D. Ross","non-dropping-particle":"","parse-names":false,"suffix":""},{"dropping-particle":"","family":"Cramer","given":"Katie L.","non-dropping-particle":"","parse-names":false,"suffix":""}],"container-title":"PLoS ONE","id":"ITEM-3","issue":"7","issued":{"date-parts":[["2014"]]},"title":"Defining and dividing the Greater Caribbean: Insights from the biogeography of shorefishes","type":"article-journal","volume":"9"},"uris":["http://www.mendeley.com/documents/?uuid=6ec7fa7d-ff3b-492d-babb-2749c8ab77b3"]}],"mendeley":{"formattedCitation":"(29, 32, 33)","plainTextFormattedCitation":"(29, 32, 33)","previouslyFormattedCitation":"(29, 32, 33)"},"properties":{"noteIndex":0},"schema":"https://github.com/citation-style-language/schema/raw/master/csl-citation.json"}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(29, 32, 33)</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due to its relatively modest extent compared to the CB (approximately 300 km vs. 1000 km, respectively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{"citationItems":[{"id":"ITEM-1","itemData":{"author":[{"dropping-particle":"","family":"Hastings","given":"Philip A","non-dropping-particle":"","parse-names":false,"suffix":""}],"container-title":"Zoological Journal of the Linnean Society","id":"ITEM-1","issued":{"date-parts":[["2000"]]},"page":"319-335","title":"Biogeography of the Tropical Eastern Pacific : distribution and phylogeny of chaenopsid fishes","type":"article-journal","volume":"128"},"uris":["http://www.mendeley.com/documents/?uuid=adfe0f8f-5f0b-4a86-8324-8cc7d41aa829"]}],"mendeley":{"formattedCitation":"(13)","plainTextFormattedCitation":"(13)","previouslyFormattedCitation":"(13)"},"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(13)</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our findings challenge this perspective. Here, we identified four distinct instances of population structure aligned with the SB (Fig. </w:t>
      </w:r>
      <w:r w:rsidR="00E6459A">
        <w:rPr>
          <w:rFonts w:asciiTheme="majorBidi" w:hAnsiTheme="majorBidi" w:cstheme="majorBidi"/>
          <w:sz w:val="24"/>
          <w:szCs w:val="24"/>
        </w:rPr>
        <w:t>3.</w:t>
      </w:r>
      <w:r w:rsidRPr="001E1B3B">
        <w:rPr>
          <w:rFonts w:asciiTheme="majorBidi" w:hAnsiTheme="majorBidi" w:cstheme="majorBidi"/>
          <w:sz w:val="24"/>
          <w:szCs w:val="24"/>
        </w:rPr>
        <w:t>1, Figs. S16</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17, 19</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 xml:space="preserve">20). Notably, these results highlight that the SB may play a more significant role than previously assumed in shaping connectivity patterns in the region. For example, the independent evolutionary lineages observed in the zaca blenny on either side of the SB, along with previous meristic differences detected across those populations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mendeley":{"formattedCitation":"(12)","plainTextFormattedCitation":"(12)","previouslyFormattedCitation":"(12)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suggest that they could potentially represent new species. The genomic divergences (</w:t>
      </w:r>
      <w:r w:rsidRPr="001E1B3B">
        <w:rPr>
          <w:rFonts w:asciiTheme="majorBidi" w:hAnsiTheme="majorBidi" w:cstheme="majorBidi"/>
          <w:i/>
          <w:iCs/>
          <w:sz w:val="24"/>
          <w:szCs w:val="24"/>
        </w:rPr>
        <w:t>Fst</w:t>
      </w:r>
      <w:r w:rsidRPr="001E1B3B">
        <w:rPr>
          <w:rFonts w:asciiTheme="majorBidi" w:hAnsiTheme="majorBidi" w:cstheme="majorBidi"/>
          <w:sz w:val="24"/>
          <w:szCs w:val="24"/>
        </w:rPr>
        <w:t xml:space="preserve"> = 0.14) observed </w:t>
      </w:r>
      <w:r w:rsidRPr="001E1B3B">
        <w:rPr>
          <w:rFonts w:asciiTheme="majorBidi" w:hAnsiTheme="majorBidi" w:cstheme="majorBidi"/>
          <w:sz w:val="24"/>
          <w:szCs w:val="24"/>
        </w:rPr>
        <w:lastRenderedPageBreak/>
        <w:t>among these lineages are higher as those among recognized sister species separated by the SB, such as the species complex including the redside and porous blennies (</w:t>
      </w:r>
      <w:r w:rsidRPr="001E1B3B">
        <w:rPr>
          <w:rFonts w:asciiTheme="majorBidi" w:hAnsiTheme="majorBidi" w:cstheme="majorBidi"/>
          <w:i/>
          <w:iCs/>
          <w:sz w:val="24"/>
          <w:szCs w:val="24"/>
        </w:rPr>
        <w:t>Fst</w:t>
      </w:r>
      <w:r w:rsidRPr="001E1B3B">
        <w:rPr>
          <w:rFonts w:asciiTheme="majorBidi" w:hAnsiTheme="majorBidi" w:cstheme="majorBidi"/>
          <w:sz w:val="24"/>
          <w:szCs w:val="24"/>
        </w:rPr>
        <w:t xml:space="preserve"> = 0.11)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1A, Table 10). Population genetic patterns consistent with these habitat gaps have been observed in several cryptobenthic fish species. For instance, chaenopsids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{"citationItems":[{"id":"ITEM-1","itemData":{"author":[{"dropping-particle":"","family":"Lin","given":"Hsiu-chin","non-dropping-particle":"","parse-names":false,"suffix":""},{"dropping-particle":"","family":"Gallan","given":"G. R.","non-dropping-particle":"","parse-names":false,"suffix":""}],"container-title":"Zootaxa","id":"ITEM-1","issue":"2525","issued":{"date-parts":[["2010"]]},"page":"51-62","title":"Molecular analysis of Acanthemblemaria macrospilus (Teleostei: Chaenopsidae) with description of a new species from the Gulf of California, Mexico","type":"article-journal"},"uris":["http://www.mendeley.com/documents/?uuid=467096a0-6413-453f-8294-b2f6df2bac95"]}],"mendeley":{"formattedCitation":"(34)","plainTextFormattedCitation":"(34)","previouslyFormattedCitation":"(34)"},"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(34)</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exhibit such patterns in the SB, while in the CB similar trends are evident in clingfishes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{"citationItems":[{"id":"ITEM-1","itemData":{"DOI":"10.1016/j.ympev.2022.107496","ISSN":"10959513","PMID":"35569809","abstract":"The Panamic Clingfish Gobiesox adustus is widely distributed in the Tropical Eastern Pacific (TEP), from the central Gulf of California, Mexico to Ecuador, including the oceanic Revillagigedo Archipelago, and Isla del Coco. This cryptobenthic species is restricted to very shallow rocky-reef habitats. Here, we used one mitochondrial and three nuclear DNA markers from 155 individuals collected across the distribution range of the species in order to evaluate if geographically structured populations exist and to elucidate its evolutionary history. Phylogenetic analyses recovered a monophyletic group, with four well-supported, allopatric subgroups. Each subgroup corresponded to one of the following well-known biogeographic regions/provinces: 1) the Revillagigedo Archipelago, 2) the Cortez + Mexican provinces (Mexico), 3) the Panamic province (from El Salvador to Ecuador), and 4) Isla del Coco. A molecular-clock analysis showed a mean date for the divergence between clade I (the Revillagigedos and Cortez + Mexican provinces) and clade II (Panamic province and Isla del Coco) in the Pliocene, at ca. 5.33 Mya. Within clade I, the segregation between the Revillagigedos and Cortez + Mexican province populations was dated at ca. 1.18 Mya, during the Pleistocene. Within clade II, the segregation between samples of Isla del Coco and the Panamic province samples was dated at ca. 0.77 Mya, during the Pleistocene. The species tree, Bayesian species delimitation tests (BPP and STACEY), the ΦST, AMOVA, and the substantial genetic distances that exist between those four subgroups, indicate that they are independent evolutionary units. These cladogenetic events seem to be related to habitat discontinuities, and oceanographic and geological processes that produce barriers to gene flow for G. adustus, effects of which are enhanced by the intrinsic ecological characteristics of this species.","author":[{"dropping-particle":"","family":"Torres-Hernández","given":"Eloísa","non-dropping-particle":"","parse-names":false,"suffix":""},{"dropping-particle":"","family":"Betancourt-Resendes","given":"Isai","non-dropping-particle":"","parse-names":false,"suffix":""},{"dropping-particle":"","family":"Solís-Guzmán","given":"María Gloria","non-dropping-particle":"","parse-names":false,"suffix":""},{"dropping-particle":"","family":"Ross Robertson","given":"D.","non-dropping-particle":"","parse-names":false,"suffix":""},{"dropping-particle":"","family":"Angulo","given":"Arturo","non-dropping-particle":"","parse-names":false,"suffix":""},{"dropping-particle":"","family":"Martínez-Gómez","given":"Juan E.","non-dropping-particle":"","parse-names":false,"suffix":""},{"dropping-particle":"","family":"Espinoza","given":"Eduardo","non-dropping-particle":"","parse-names":false,"suffix":""},{"dropping-particle":"","family":"Domínguez-Domínguez","given":"Omar","non-dropping-particle":"","parse-names":false,"suffix":""}],"container-title":"Molecular Phylogenetics and Evolution","id":"ITEM-1","issue":"April","issued":{"date-parts":[["2022"]]},"title":"Phylogeography and evolutionary history of the Panamic Clingfish Gobiesox adustus in the Tropical Eastern Pacific","type":"article-journal","volume":"173"},"uris":["http://www.mendeley.com/documents/?uuid=0171c665-44f8-40cc-86a0-f36e55c65ded"]},{"id":"ITEM-2","itemData":{"DOI":"10.1016/j.ympev.2021.107316","ISSN":"10959513","PMID":"34537324","abstract":"Marine species that are widely distributed in the Tropical Eastern Pacific (TEP) has served as a model for studying biogeographic patterns resulting from the effects of intraregional habitat discontinuities and oceanographic processes on the diversification and evolution of cryptobenthic reef fishes. Tomicodon petersii, a clingfish (Gobiesocidae) endemic to the TEP, is found on very shallow rocky reefs from central Mexico to northern Peru, and in the Cocos and Galapagos islands. We evaluated the effect of likely biogeographic barriers in different parts of the TEP on the diversification process of this species. We used one mitochondrial and three nuclear DNA markers from 112 individuals collected across the distribution range of T. petersii. Our phylogenetic results showed the samples constituted a monophyletic group, with three well-supported, allopatric subgroups: in the Mexican province, the Panamic province (from El Salvador to Ecuador), and the Galapagos Islands. The split between the Mexican and more southerly clades was estimated to occur at the end of the Miocene ca. 5.74 Mya, and the subsequent cladogenetic event separating the Galapagos population from the Panamic population at the junction of the Pliocene and Pleistocene, ca. 2.85 Mya. The species tree, Bayesian species delimitation tests (BPP), STACEY, and substantial genetic distances separating these three populations indicate that these three independent evolutionary units likely include two unnamed species. The cladogenetic events that promoted the formation of those genetically differentiated groups are consistent with disruptive effects on gene flow of habitat discontinuities and oceanographic processes along the mainland shoreline in the TEP and of ocean-island isolation, in conjunction with the species intrinsic life-history characteristics.","author":[{"dropping-particle":"","family":"Torres-Hernández","given":"Eloísa","non-dropping-particle":"","parse-names":false,"suffix":""},{"dropping-particle":"","family":"Betancourt-Resendes","given":"Isai","non-dropping-particle":"","parse-names":false,"suffix":""},{"dropping-particle":"","family":"Angulo","given":"Arturo","non-dropping-particle":"","parse-names":false,"suffix":""},{"dropping-particle":"","family":"Robertson","given":"D. Ross","non-dropping-particle":"","parse-names":false,"suffix":""},{"dropping-particle":"","family":"Barraza","given":"Enrique","non-dropping-particle":"","parse-names":false,"suffix":""},{"dropping-particle":"","family":"Espinoza","given":"Eduardo","non-dropping-particle":"","parse-names":false,"suffix":""},{"dropping-particle":"","family":"Díaz-Jaimes","given":"Píndaro","non-dropping-particle":"","parse-names":false,"suffix":""},{"dropping-particle":"","family":"Domínguez-Domínguez","given":"Omar","non-dropping-particle":"","parse-names":false,"suffix":""}],"container-title":"Molecular Phylogenetics and Evolution","id":"ITEM-2","issue":"September 2021","issued":{"date-parts":[["2022"]]},"title":"A multi-locus approach to elucidating the evolutionary history of the clingfish Tomicodon petersii (Gobiesocidae) in the Tropical Eastern Pacific","type":"article-journal","volume":"166"},"uris":["http://www.mendeley.com/documents/?uuid=b5c89450-e46d-4f70-8ba4-5a9f09932e9d"]}],"mendeley":{"formattedCitation":"(24, 25)","plainTextFormattedCitation":"(24, 25)","previouslyFormattedCitation":"(24, 25)"},"properties":{"noteIndex":0},"schema":"https://github.com/citation-style-language/schema/raw/master/csl-citation.json"}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(24, 25)</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gobies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{"citationItems":[{"id":"ITEM-1","itemData":{"DOI":"10.1016/j.ympev.2018.10.020","ISSN":"10959513","abstract":"Habitat discontinuities, temperature gradients, upwelling systems, and ocean currents, gyres and fronts, can affect distributions of species with narrow environmental tolerance or motility and influence the dispersal of pelagic larvae, with effects ranging from the isolation of adjacent populations to connections between them. The coast of the Tropical Eastern Pacific (TEP) is a highly dynamic environment, with various large gyres and upwelling systems, alternating currents and large rocky-habitat discontinuities, which may greatly influence the genetic connectivity of populations in different parts of the coast. Elacatinus puncticulatus is a cryptic, shallow-living goby that is distributed along the continental shore of virtually the entire TEP, which makes it a good model for testing the influence of these environmental characteristics in the molecular evolution of widespread species in this region. A multilocus phylogeny was used to evaluate the influence of habitat gaps, and oceanographic processes in the evolutionary history of E. puncticulatus throughout its geographical range in the TEP. Two well-supported allopatric clades (one with two allopatric subclades) were recovered, the geographic distribution of which does not correspond to any previously proposed major biogeographic provinces. These populations show strong genetic structure and substantial genetic distances between clades and sub-clades (cytb 0.8–7.3%), with divergence times between them ranging from 0.53 to 4.88 Mya, and recent population expansions dated at 170–130 Kya. The ancestral area of all populations appears to be the Gulf of Panama, while several isolation events have formed the phylogeographic patterns evident in this species. Local and regional oceanographic processes as well as habitat discontinuities have shaped the distribution patterns of the genetic lineages along the continental TEP. Large genetic distances, high genetic differentiation, and the results of species-tree and phylogenetic analyses indicate that E. puncticulatus comprises a complex of three allopatric species with an unusual geographic arrangement.","author":[{"dropping-particle":"","family":"Sandoval-Huerta","given":"E. R.","non-dropping-particle":"","parse-names":false,"suffix":""},{"dropping-particle":"","family":"Beltrán-López","given":"R. G.","non-dropping-particle":"","parse-names":false,"suffix":""},{"dropping-particle":"","family":"Pedraza-Marrón","given":"C. R.","non-dropping-particle":"","parse-names":false,"suffix":""},{"dropping-particle":"","family":"Paz-Velásquez","given":"M. A.","non-dropping-particle":"","parse-names":false,"suffix":""},{"dropping-particle":"","family":"Angulo","given":"A.","non-dropping-particle":"","parse-names":false,"suffix":""},{"dropping-particle":"","family":"Robertson","given":"D. R.","non-dropping-particle":"","parse-names":false,"suffix":""},{"dropping-particle":"","family":"Espinoza","given":"E.","non-dropping-particle":"","parse-names":false,"suffix":""},{"dropping-particle":"","family":"Domínguez-Domínguez","given":"O.","non-dropping-particle":"","parse-names":false,"suffix":""}],"container-title":"Molecular Phylogenetics and Evolution","id":"ITEM-1","issue":"May 2018","issued":{"date-parts":[["2019"]]},"page":"269-285","publisher":"Elsevier","title":"The evolutionary history of the goby Elacatinus puncticulatus in the tropical eastern pacific: Effects of habitat discontinuities and local environmental variability","type":"article-journal","volume":"130"},"uris":["http://www.mendeley.com/documents/?uuid=208f8326-03fb-4a29-a3a4-6413277c0e7b"]}],"mendeley":{"formattedCitation":"(15)","plainTextFormattedCitation":"(15)","previouslyFormattedCitation":"(15)"},"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(15)</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other conspicuous fish species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{"citationItems":[{"id":"ITEM-1","itemData":{"DOI":"10.7717/peerj.15029","ISSN":"21678359","abstract":"Background. The lack of barriers in the marine environment has promoted the idea of panmixia in marine organisms. However, oceanographic conditions and habitat characteristics have recently been linked to genetic structure in marine species. The Tropical Eastern Pacific (TEP) is characterized by dynamic current systems and heterogeneous oceanographic conditions. The Gulf of Panama (part of the equatorial segment for the TEP) is influenced by a complex current system and heterogeneous environment, which has been shown to limit the gene flow for shoreline species. Next Generation Sequencing (NGS) has contributed to detect genetic differences in previously reported panmictic species by the assessment of loci associated with selection and to understand how selection acts affects marine populations. Lutjanus guttatus is a species distributed in the TEP for which previous studies using mitochondrial data recovered a panmictic pattern along its distributional range. In this study, we used SNP data of L. guttatus individuals sampled along its range to evaluate population genetic structure and investigate whether oceanographic factors influence the species’ genetic architecture. Finally, we assessed the role of adaptive selection by evaluating the contribution of outlier and neutral loci to genetic divergence. Methods. The RADcap method was used to obtain 24 million paired reads for 123 individuals of L. guttatus covering nearly all its distributional area. Genetic variation was assessed using both spatial and non-spatial methods by comparing three different data sets: (i) a Combined Loci (CL dataset = 2003 SNPs); a search for putative loci under selection allowed the evaluation of (ii) Neutral Loci (NL dataset = 1858 SNPs) and (iii) Outlier Loci (OL dataset = 145 SNPs). We used the estimating effective migration surface (EEMS) approach to detect possible barriers to gene flow. Results. Genetic differences were found in the OL dataset, showing two clusters (Northern and Southern), whereas NL showed no differences. This result may be related to the Selection-Migration balance model. The limit between the Northern and Southern groups was in the Gulf of Panama, which has been previously identified as a barrier to gene flow for other species, mainly due to its heterogeneous oceanographic conditions. The results suggest that selection plays an important role in generating genetic differences in Lutjanus guttatus. A migration corridor was detected that coincides with …","author":[{"dropping-particle":"","family":"Mar-Silva","given":"Adán F.","non-dropping-particle":"","parse-names":false,"suffix":""},{"dropping-particle":"","family":"Diaz-Jaimes","given":"Pindaro","non-dropping-particle":"","parse-names":false,"suffix":""},{"dropping-particle":"","family":"Domínguez-Mendoza","given":"Cristina","non-dropping-particle":"","parse-names":false,"suffix":""},{"dropping-particle":"","family":"Domínguez-Domínguez","given":"Omar","non-dropping-particle":"","parse-names":false,"suffix":""},{"dropping-particle":"","family":"Valdiviezo-Rivera","given":"Jonathan","non-dropping-particle":"","parse-names":false,"suffix":""},{"dropping-particle":"","family":"Espinoza-Herrera","given":"Eduardo","non-dropping-particle":"","parse-names":false,"suffix":""}],"container-title":"PeerJ","id":"ITEM-1","issued":{"date-parts":[["2023"]]},"page":"1-30","title":"Genomic assessment reveals signal of adaptive selection in populations of the Spotted rose snapper Lutjanus guttatus from the Tropical Eastern Pacific","type":"article-journal","volume":"11"},"uris":["http://www.mendeley.com/documents/?uuid=933e67a2-a486-4455-9022-8e09fc51f44a"]}],"mendeley":{"formattedCitation":"(14)","plainTextFormattedCitation":"(14)","previouslyFormattedCitation":"(14)"},"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(14)</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as well as snails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{"citationItems":[{"id":"ITEM-1","itemData":{"DOI":"10.1007/s00227-007-0620-5","ISBN":"0022700706","ISSN":"00253162","abstract":"The patchy distribution of rocky intertidal communities in the tropical eastern Pacific (TEP) may impose severe constraints on the genetic connectivity among populations of marine invertebrates associated with this habitat. In this study, we analyzed a portion of the mitochondrial cytochrome c oxidase subunit I (COI) gene in two sympatric species of marine snails, Nerita scabricosta and Nerita funiculata, common inhabitants of the rocky intertidal from the Gulf of California (Sea of Cortez) and outer Pacific coast of the southern Baja California (Baja) peninsula to northern South America, to assess genetic connectivity among populations of each species. One of our aims was to determine whether the morphological, behavioral, and ecological differences observed among populations of both species throughout their range in the TEP corresponded to population genetic differences. In addition, we were interested in elucidating the demographic history of both species. We found no evidence of genetic structure throughout the Gulf of California and outer coast of the Baja peninsula region for either species. Comparisons between Gulf of California/Baja and Panama populations, however, showed significant genetic differentiation for N. scabricosta, but not for N. funiculata. The genetic differences between Mexican and Panamanian populations of N. scabricosta were consistent with previously reported ecological and behavioral differences for this species between these two distant regions. However, previously reported size differences between northern and central/southern Gulf of California individuals of N. scabricosta do not correspond with our findings of genetic connectivity among these populations. Results from neutrality tests (Tajima's D and Fu's F S), the mismatch distribution, and Bayesian skyline analyses suggested that both species have experienced dramatic population expansions dating to the Pleistocene. © 2007 Springer-Verlag.","author":[{"dropping-particle":"","family":"Hurtado","given":"L. A.","non-dropping-particle":"","parse-names":false,"suffix":""},{"dropping-particle":"","family":"Frey","given":"M.","non-dropping-particle":"","parse-names":false,"suffix":""},{"dropping-particle":"","family":"Gaube","given":"P.","non-dropping-particle":"","parse-names":false,"suffix":""},{"dropping-particle":"","family":"Pfeiler","given":"E.","non-dropping-particle":"","parse-names":false,"suffix":""},{"dropping-particle":"","family":"Markow","given":"T. A.","non-dropping-particle":"","parse-names":false,"suffix":""}],"container-title":"Marine Biology","id":"ITEM-1","issue":"5","issued":{"date-parts":[["2007"]]},"page":"1863-1873","title":"Geographical subdivision, demographic history and gene flow in two sympatric species of intertidal snails, Nerita scabricosta and Nerita funiculata, from the tropical eastern Pacific","type":"article-journal","volume":"151"},"uris":["http://www.mendeley.com/documents/?uuid=54793e02-99a4-450e-80af-f2f4c83c3568"]}],"mendeley":{"formattedCitation":"(16)","plainTextFormattedCitation":"(16)","previouslyFormattedCitation":"(16)"},"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(16)</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oysters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{"citationItems":[{"id":"ITEM-1","itemData":{"DOI":"10.1023/a:1011575722481","ISSN":"15660621","abstract":"Populations of the Calafia pearl oyster Pinctada mazatlanica of the American Pacific coasts have been considered endangered because of overfishing and/or alteration to coastal areas. We assessed genetic variability and the pattern of population structure among 9 samples collected from Mexico to Panama, using mtDNA RFLP analysis of two genes: 12S rRNA and subunit one of Cytochrome oxydase (COI). Haplotype diversity varied from 0.000 to 0.856. The Panama population appeared to be monomorphic, while the other samples exhibited a level of haplotypic variability similar to those reported in the literature for the same kind of analysis on other bivalves species. A test for the impact of demographic history on genetic diversity was applied on the sequence data, and the results were congruent with a recent decline of population sizes. Genetic differentiation was shown to follow a scheme of isolation by distance, with low levels of differentiation at the scales of ten to one hundred kilometres, whereas stronger and significant genetic structure was detected at a larger scale. Three significantly distinct groups could then be defined, which correspond to Northern Mexico, Southern Mexico, and Panama.","author":[{"dropping-particle":"","family":"Arnaud","given":"Sophie","non-dropping-particle":"","parse-names":false,"suffix":""},{"dropping-particle":"","family":"Monteforte","given":"Mario","non-dropping-particle":"","parse-names":false,"suffix":""},{"dropping-particle":"","family":"Galtier","given":"Nicolas","non-dropping-particle":"","parse-names":false,"suffix":""},{"dropping-particle":"","family":"Bonhomme","given":"François","non-dropping-particle":"","parse-names":false,"suffix":""},{"dropping-particle":"","family":"Blanc","given":"Françoise","non-dropping-particle":"","parse-names":false,"suffix":""}],"container-title":"Conservation Genetics","id":"ITEM-1","issue":"4","issued":{"date-parts":[["2000"]]},"page":"299-308","title":"Population structure and genetic variability of pearl oyster Pinctada mazatlanica along Pacific coasts from Mexico to Panama","type":"article-journal","volume":"1"},"uris":["http://www.mendeley.com/documents/?uuid=abfba770-dc89-4b7c-a873-667fcd0d867f"]}],"mendeley":{"formattedCitation":"(32)","plainTextFormattedCitation":"(32)","previouslyFormattedCitation":"(32)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(32)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and barnacles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{"citationItems":[{"id":"ITEM-1","itemData":{"DOI":"10.11646/zootaxa.4461.2.12","ISSN":"11755334","PMID":"30314092","abstract":"We report a lapsus calami in our explanation of the etymology of the name Chthamalus southwardorum sp. nov. in Pitombo Burton 2007.","author":[{"dropping-particle":"","family":"Pitombo","given":"Fabio Bettini","non-dropping-particle":"","parse-names":false,"suffix":""},{"dropping-particle":"","family":"Burton","given":"Ron","non-dropping-particle":"","parse-names":false,"suffix":""}],"container-title":"Zootaxa","id":"ITEM-1","issue":"1574","issued":{"date-parts":[["2007"]]},"page":"1-30","title":"Systematics and biogeography of Tropical Eastern Pacific Chthamalus with descriptions of two new species (Cirripedia, Thoracica)","type":"article-journal"},"uris":["http://www.mendeley.com/documents/?uuid=3af9bb96-3f00-47d6-a318-83139dd2d868"]}],"mendeley":{"formattedCitation":"(35)","plainTextFormattedCitation":"(35)","previouslyFormattedCitation":"(35)"},"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(35)</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w:t>
      </w:r>
    </w:p>
    <w:p w14:paraId="7EB1ABD2" w14:textId="77777777" w:rsidR="001E1B3B" w:rsidRPr="001E1B3B" w:rsidRDefault="001E1B3B" w:rsidP="00E6459A">
      <w:pPr>
        <w:jc w:val="both"/>
        <w:rPr>
          <w:rFonts w:asciiTheme="majorBidi" w:hAnsiTheme="majorBidi" w:cstheme="majorBidi"/>
          <w:sz w:val="24"/>
          <w:szCs w:val="24"/>
        </w:rPr>
      </w:pPr>
      <w:r w:rsidRPr="001E1B3B">
        <w:rPr>
          <w:rFonts w:asciiTheme="majorBidi" w:hAnsiTheme="majorBidi" w:cstheme="majorBidi"/>
          <w:sz w:val="24"/>
          <w:szCs w:val="24"/>
        </w:rPr>
        <w:t xml:space="preserve">The Panama gyre break (PGB) in the Gulf of Panama (TEP) has been proposed as a mechanism for transporting larvae offshore, reducing population connectivity between Las Perlas Archipelago and western Panama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{"citationItems":[{"id":"ITEM-1","itemData":{"DOI":"10.1029/2002GL016794","ISSN":"00948276","abstract":"The seasonal evolution of geostrophic currents in the Panama Bight is derived from satellite-borne altimeter data. Current literature describes the circulation in the Bight as being cyclonic only. Our study, instead, reveals two distinct seasonal patterns. In summer the circulation in the Panama Bight is anticyclonic, with a coastal current to the south, whereas in winter, the circulation reverses and is cyclonic with a coastal current to the north, and an oceanic upwelling center in the middle of the Bight. A seasonally changing wind field caused by the meridional migration of the Intertropical Convergence Zone, from 8-10°N in summer, to about 2°N in winter, controls the circulation of the basin. In summer southeasterly trade winds dominate the region, but in winte rnortheasterly trade winds of the North Atlantic, by means of the Panama Jet, enter the region via the Isthmus of Panama.","author":[{"dropping-particle":"","family":"Rodríguez-Rubio","given":"Efraín","non-dropping-particle":"","parse-names":false,"suffix":""},{"dropping-particle":"","family":"Schneider","given":"Wolfgang","non-dropping-particle":"","parse-names":false,"suffix":""},{"dropping-particle":"","family":"Río","given":"Rodrigo Abarca","non-dropping-particle":"del","parse-names":false,"suffix":""}],"container-title":"Geophysical Research Letters","id":"ITEM-1","issue":"7","issued":{"date-parts":[["2003"]]},"title":"On the seasonal circulation within the Panama Bight derived from satellite observations of wind, altimetry and sea surface temperature","type":"article-journal","volume":"30"},"uris":["http://www.mendeley.com/documents/?uuid=1a08b199-8912-454f-b970-91078f851698"]}],"mendeley":{"formattedCitation":"(36)","plainTextFormattedCitation":"(36)","previouslyFormattedCitation":"(36)"},"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(36)</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This gyre, in combination with seasonal upwelling in the area, triggers a series of environmental changes, including significantly lower temperatures, decreased oxygen levels, and changes in pH, along with an increased nutrient availability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{"citationItems":[{"id":"ITEM-1","itemData":{"author":[{"dropping-particle":"","family":"D'Croz","given":"Luis","non-dropping-particle":"","parse-names":false,"suffix":""},{"dropping-particle":"","family":"Robertson","given":"D. R.","non-dropping-particle":"","parse-names":false,"suffix":""}],"container-title":"Proc. 8th Int. Coral Reef Symp.","id":"ITEM-1","issued":{"date-parts":[["1997"]]},"page":"2053-2058","title":"Coastal oceanographic conditions affecting coral reefs on both sides of the isthmus of Panama","type":"paper-conference"},"uris":["http://www.mendeley.com/documents/?uuid=ca54a075-4346-4d7e-a163-497de0771f95"]}],"mendeley":{"formattedCitation":"(37)","plainTextFormattedCitation":"(37)","previouslyFormattedCitation":"(37)"},"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(37)</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These environmental factors can collectively form physical and environmental barriers for cryptobenthic fishes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{"citationItems":[{"id":"ITEM-1","itemData":{"DOI":"10.1016/j.ympev.2018.10.020","ISSN":"10959513","abstract":"Habitat discontinuities, temperature gradients, upwelling systems, and ocean currents, gyres and fronts, can affect distributions of species with narrow environmental tolerance or motility and influence the dispersal of pelagic larvae, with effects ranging from the isolation of adjacent populations to connections between them. The coast of the Tropical Eastern Pacific (TEP) is a highly dynamic environment, with various large gyres and upwelling systems, alternating currents and large rocky-habitat discontinuities, which may greatly influence the genetic connectivity of populations in different parts of the coast. Elacatinus puncticulatus is a cryptic, shallow-living goby that is distributed along the continental shore of virtually the entire TEP, which makes it a good model for testing the influence of these environmental characteristics in the molecular evolution of widespread species in this region. A multilocus phylogeny was used to evaluate the influence of habitat gaps, and oceanographic processes in the evolutionary history of E. puncticulatus throughout its geographical range in the TEP. Two well-supported allopatric clades (one with two allopatric subclades) were recovered, the geographic distribution of which does not correspond to any previously proposed major biogeographic provinces. These populations show strong genetic structure and substantial genetic distances between clades and sub-clades (cytb 0.8–7.3%), with divergence times between them ranging from 0.53 to 4.88 Mya, and recent population expansions dated at 170–130 Kya. The ancestral area of all populations appears to be the Gulf of Panama, while several isolation events have formed the phylogeographic patterns evident in this species. Local and regional oceanographic processes as well as habitat discontinuities have shaped the distribution patterns of the genetic lineages along the continental TEP. Large genetic distances, high genetic differentiation, and the results of species-tree and phylogenetic analyses indicate that E. puncticulatus comprises a complex of three allopatric species with an unusual geographic arrangement.","author":[{"dropping-particle":"","family":"Sandoval-Huerta","given":"E. R.","non-dropping-particle":"","parse-names":false,"suffix":""},{"dropping-particle":"","family":"Beltrán-López","given":"R. G.","non-dropping-particle":"","parse-names":false,"suffix":""},{"dropping-particle":"","family":"Pedraza-Marrón","given":"C. R.","non-dropping-particle":"","parse-names":false,"suffix":""},{"dropping-particle":"","family":"Paz-Velásquez","given":"M. A.","non-dropping-particle":"","parse-names":false,"suffix":""},{"dropping-particle":"","family":"Angulo","given":"A.","non-dropping-particle":"","parse-names":false,"suffix":""},{"dropping-particle":"","family":"Robertson","given":"D. R.","non-dropping-particle":"","parse-names":false,"suffix":""},{"dropping-particle":"","family":"Espinoza","given":"E.","non-dropping-particle":"","parse-names":false,"suffix":""},{"dropping-particle":"","family":"Domínguez-Domínguez","given":"O.","non-dropping-particle":"","parse-names":false,"suffix":""}],"container-title":"Molecular Phylogenetics and Evolution","id":"ITEM-1","issue":"May 2018","issued":{"date-parts":[["2019"]]},"page":"269-285","publisher":"Elsevier","title":"The evolutionary history of the goby Elacatinus puncticulatus in the tropical eastern pacific: Effects of habitat discontinuities and local environmental variability","type":"article-journal","volume":"130"},"uris":["http://www.mendeley.com/documents/?uuid=208f8326-03fb-4a29-a3a4-6413277c0e7b"]}],"mendeley":{"formattedCitation":"(15)","plainTextFormattedCitation":"(15)","previouslyFormattedCitation":"(15)"},"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(15)</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Our results have revealed evidence of population structure in the fishgod and southern blennies (Figs. S13 and S17), which could be attributed to this break. In addition, the open ocean Galápagos break (OOGB) serves as a physical barrier in the region (</w:t>
      </w:r>
      <w:r w:rsidRPr="001E1B3B">
        <w:rPr>
          <w:rFonts w:asciiTheme="majorBidi" w:hAnsiTheme="majorBidi" w:cstheme="majorBidi"/>
          <w:i/>
          <w:iCs/>
          <w:sz w:val="24"/>
          <w:szCs w:val="24"/>
        </w:rPr>
        <w:t>ca.</w:t>
      </w:r>
      <w:r w:rsidRPr="001E1B3B">
        <w:rPr>
          <w:rFonts w:asciiTheme="majorBidi" w:hAnsiTheme="majorBidi" w:cstheme="majorBidi"/>
          <w:sz w:val="24"/>
          <w:szCs w:val="24"/>
        </w:rPr>
        <w:t xml:space="preserve"> 1000 km from the mainland). Studies on TEP faunas have shown that environmental conditions in oceanic islands differ from those in the mainland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10.3354/meps07925","author":[{"dropping-particle":"","family":"April","given":"Published","non-dropping-particle":"","parse-names":false,"suffix":""},{"dropping-particle":"","family":"Pen","given":"O","non-dropping-particle":"","parse-names":false,"suffix":""},{"dropping-particle":"","family":"Robertson","given":"D Ross","non-dropping-particle":"","parse-names":false,"suffix":""},{"dropping-particle":"","family":"Cramer","given":"Katie L","non-dropping-particle":"","parse-names":false,"suffix":""}],"id":"ITEM-1","issue":"Ekman 1953","issued":{"date-parts":[["2009"]]},"page":"1-17","title":"Shore fishes and biogeographic subdivisions of the Tropical Eastern Pacific","type":"article-journal","volume":"380"},"uris":["http://www.mendeley.com/documents/?uuid=4d7cd0b3-01a3-41c3-9ff2-6baa1bd29794"]},{"id":"ITEM-2","itemData":{"author":[{"dropping-particle":"","family":"Acevedo-Álvarez","given":"E. A.","non-dropping-particle":"","parse-names":false,"suffix":""},{"dropping-particle":"","family":"Ruiz-Campos","given":"G.","non-dropping-particle":"","parse-names":false,"suffix":""},{"dropping-particle":"","family":"Domínguez-Domínguez","given":"O.","non-dropping-particle":"","parse-names":false,"suffix":""}],"container-title":"Zootaxa","id":"ITEM-2","issue":"141158","issued":{"date-parts":[["2021"]]},"title":"Population-level morphological variation of Anisotremus interruptus (Gill, 1862) (Perciformes: Haemulidae) in the Tropical Eastern Pacific, with the description of two new species","type":"article-journal","volume":"4975"},"uris":["http://www.mendeley.com/documents/?uuid=9769f000-c8c5-4770-85c7-09eac809f356"]}],"mendeley":{"formattedCitation":"(18, 38)","plainTextFormattedCitation":"(18, 38)","previouslyFormattedCitation":"(18, 38)"},"properties":{"noteIndex":0},"schema":"https://github.com/citation-style-language/schema/raw/master/csl-citation.json"}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(18, 38)</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We recovered patterns of population structure consistent with this break in the throat-spotted blenny, the most widely distributed species, which inhabits both the mainland and the archipelago (Fig. S17).</w:t>
      </w:r>
    </w:p>
    <w:p w14:paraId="0119A13C" w14:textId="77777777" w:rsidR="001E1B3B" w:rsidRPr="001E1B3B" w:rsidRDefault="001E1B3B" w:rsidP="00E6459A">
      <w:pPr>
        <w:jc w:val="both"/>
        <w:rPr>
          <w:rFonts w:asciiTheme="majorBidi" w:hAnsiTheme="majorBidi" w:cstheme="majorBidi"/>
          <w:sz w:val="24"/>
          <w:szCs w:val="24"/>
        </w:rPr>
      </w:pPr>
      <w:r w:rsidRPr="001E1B3B">
        <w:rPr>
          <w:rFonts w:asciiTheme="majorBidi" w:hAnsiTheme="majorBidi" w:cstheme="majorBidi"/>
          <w:sz w:val="24"/>
          <w:szCs w:val="24"/>
        </w:rPr>
        <w:t>In the TA, our study identified multiple marine breaks hindering population connectivity. Major barriers included the Eastern Caribbean (ECB) and the Bahamas (BB) breaks, which show 100% and 83% effectiveness. The ECB, and the western Caribbean break (WCB), with a 50% effectiveness, were proposed based on high-resolution biophysical models and simulations of typical larval dispersal distances of reef fish species (10</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 xml:space="preserve">100km)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{"citationItems":[{"id":"ITEM-1","itemData":{"DOI":"10.1126/science.1122039","author":[{"dropping-particle":"","family":"Cowen","given":"R K","non-dropping-particle":"","parse-names":false,"suffix":""}],"container-title":"Science","id":"ITEM-1","issued":{"date-parts":[["2006"]]},"page":"522-527","title":"Scaling of Connectivity in Marine Populations","type":"article-journal","volume":"311"},"uris":["http://www.mendeley.com/documents/?uuid=fe07149d-671e-4b5c-a4fc-3b1e59c012b8"]}],"mendeley":{"formattedCitation":"(22)","plainTextFormattedCitation":"(22)","previouslyFormattedCitation":"(22)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(22)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This suggest that the oceanographic processes in the region cause these barriers. In contrast, the BB is attributed to different environmental conditions between insular and coastal shelves and the flow of the Gulf stream limiting reef fish dispersal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{"citationItems":[{"id":"ITEM-1","itemData":{"DOI":"10.1007/s00227-003-1151-3","ISBN":"1808236742","author":[{"dropping-particle":"","family":"Carlin","given":"J L","non-dropping-particle":"","parse-names":false,"suffix":""},{"dropping-particle":"","family":"Robertson","given":"D R","non-dropping-particle":"","parse-names":false,"suffix":""},{"dropping-particle":"","family":"Bowen","given":"B W","non-dropping-particle":"","parse-names":false,"suffix":""}],"id":"ITEM-1","issued":{"date-parts":[["2003"]]},"page":"1057-1069","title":"Ancient divergences and recent connections in two tropical Atlantic reef fishes Epinephelus adscensionis and Rypticus saponaceous ( Percoidei : Serranidae )","type":"article-journal"},"uris":["http://www.mendeley.com/documents/?uuid=8dee99e7-59e3-4b6e-a033-5c7d72da5b74"]},{"id":"ITEM-2","itemData":{"DOI":"10.1111/j.1365-2699.2011.02496.x","author":[{"dropping-particle":"","family":"Betancur-r","given":"Ricardo","non-dropping-particle":"","parse-names":false,"suffix":""},{"dropping-particle":"","family":"Hines","given":"Andrew","non-dropping-particle":"","parse-names":false,"suffix":""},{"dropping-particle":"","family":"P","given":"Arturo Acero","non-dropping-particle":"","parse-names":false,"suffix":""},{"dropping-particle":"","family":"Ortı","given":"Guillermo","non-dropping-particle":"","parse-names":false,"suffix":""},{"dropping-particle":"","family":"Wilbur","given":"Ami E","non-dropping-particle":"","parse-names":false,"suffix":""},{"dropping-particle":"","family":"Freshwater","given":"D Wilson","non-dropping-particle":"","parse-names":false,"suffix":""}],"container-title":"Journal of Biogeography","id":"ITEM-2","issued":{"date-parts":[["2011"]]},"page":"1281-1293","title":"Reconstructing the lionfish invasion : insights into Greater Caribbean biogeography","type":"article-journal","volume":"38"},"uris":["http://www.mendeley.com/documents/?uuid=c887fa9a-bbb2-409e-949b-8c12d9eaf8c8"]},{"id":"ITEM-3","itemData":{"abstract":"The lionfish species Pterois miles and P. volitans are popular aquarium fishes that have gained recent notoriety as invasive species along the east coast of the United States and the Bahamas. The two species can usually be identified using dorsal and anal fin ray counts as well as geographic origin, but neither meristics nor geography are always definitive, and their taxonomic status as separate species has been questioned. Analyses of two mitochondria-encoded cytochrome b sequence data sets resolved specimens of P. miles and P. volitans in distinct monophyletic clades. There was also a &gt;4% difference in the maximum intraspecific and minimum interspecific sequence divergences between specimens of the two species. These results are comparable to those of other analyzed Pterois and Dendrochirus sister species, and support their recognition as separate species. The cytochrome b analyses also show that Dendrochirus and Pterois are not reciprocally monophyletic as currently circumscribed, and that a comprehensive study is needed to resolve the taxonomy of Pteroinae genera.","author":[{"dropping-particle":"","family":"Freshwater","given":"D Wilson","non-dropping-particle":"","parse-names":false,"suffix":""},{"dropping-particle":"","family":"Hamner","given":"Rebecca M","non-dropping-particle":"","parse-names":false,"suffix":""},{"dropping-particle":"","family":"Parham","given":"Seth","non-dropping-particle":"","parse-names":false,"suffix":""},{"dropping-particle":"","family":"Wilbur","given":"Ami E","non-dropping-particle":"","parse-names":false,"suffix":""}],"container-title":"Journal of the North Carolina Academy of Science","id":"ITEM-3","issue":"2","issued":{"date-parts":[["2009"]]},"page":"39-46","title":"Molecular evidence that the lionfishes Pterois miles and Pterois volitans are distinct species","type":"article-journal","volume":"125"},"uris":["http://www.mendeley.com/documents/?uuid=19c68cba-d492-48c9-b7da-3c7d8314e558"]}],"mendeley":{"formattedCitation":"(20, 39, 40)","plainTextFormattedCitation":"(20, 39, 40)","previouslyFormattedCitation":"(20, 39, 40)"},"properties":{"noteIndex":0},"schema":"https://github.com/citation-style-language/schema/raw/master/csl-citation.json"}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(20, 39, 40)</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West of the BB, the Gulf of Mexico Break (GMB), with a 67% effectiveness, is also attributed to ecological differences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{"citationItems":[{"id":"ITEM-1","itemData":{"DOI":"10.1111/j.1365-2699.2010.02288.x","ISSN":"03050270","abstract":"Aim: To elucidate the historical phylogeography of the dusky pipefish (Syngnathus floridae) in the North American Atlantic and Gulf of Mexico ocean basins. Location: Southern Atlantic Ocean and northern Gulf of Mexico within the continental United States. Methods: A 394-bp fragment of the mitochondrial cytochrome b gene and a 235-bp fragment of the mitochondrial control region were analysed from individuals from 10 locations. Phylogenetic reconstruction, haplotype network, mismatch distributions and analysis of molecular variance were used to infer population structure between ocean basins and time from population expansion within ocean basins. Six microsatellite loci were also analysed to estimate population structure and gene flow among five populations using genetic distance methods (FST, Nei's genetic distance), isolation by distance (Mantel's test), coalescent-based estimates of genetic diversity and migration patterns, Bayesian cluster analysis and bottleneck simulations. Results: Mitochondrial analyses revealed significant structuring between ocean basins in both cytochrome b (φST = 0.361, P &lt; 0.0001; φCT = 0.312, P &lt; 0.02) and control region (φST = 0.166, P &lt; 0.0001; φCT = 0.128, P &lt; 0.03) sequences. However, phylogenetic reconstructions failed to show reciprocal monophyly in populations between ocean basins. Microsatellite analyses revealed significant population substructuring between all locations sampled except for the two locations that were in closest proximity to each other (global FST value = 0.026). Bayesian analysis of microsatellite data also revealed significant population structuring between ocean basins. Coalescent-based analyses of microsatellite data revealed low migration rates among all sites. Mismatch distribution analysis of mitochondrial loci supports a sudden population expansion in both ocean basins in the late Pleistocene, with the expansion of Atlantic populations occurring more recently. Main conclusions: Present-day populations of S. floridae do not bear the mitochondrial DNA signature of the strong phylogenetic discontinuity between the Atlantic and Gulf coasts of North America commonly observed in other species. Rather, our results suggest that Atlantic and Gulf of Mexico populations of S. floridae are closely related but nevertheless exhibit local and regional population structure. We conclude that the present-day phylogeographic pattern is the result of a recent population expansion into the Atlantic in the late Pl…","author":[{"dropping-particle":"","family":"Mobley","given":"Kenyon B.","non-dropping-particle":"","parse-names":false,"suffix":""},{"dropping-particle":"","family":"Small","given":"Clayton M.","non-dropping-particle":"","parse-names":false,"suffix":""},{"dropping-particle":"","family":"Jue","given":"Nathaniel K.","non-dropping-particle":"","parse-names":false,"suffix":""},{"dropping-particle":"","family":"Jones","given":"Adam G.","non-dropping-particle":"","parse-names":false,"suffix":""}],"container-title":"Journal of Biogeography","id":"ITEM-1","issue":"7","issued":{"date-parts":[["2010"]]},"page":"1363-1377","title":"Population structure of the dusky pipefish (Syngnathus floridae) from the Atlantic and Gulf of Mexico, as revealed by mitochondrial DNA and microsatellite analyses","type":"article-journal","volume":"37"},"uris":["http://www.mendeley.com/documents/?uuid=e33f6ef2-14a2-447e-95b2-36e749e1847f"]}],"mendeley":{"formattedCitation":"(41)","plainTextFormattedCitation":"(41)","previouslyFormattedCitation":"(41)"},"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(41)</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In addition, the Yucatán Current Break (YCB), although less than 50% effective, is influenced by the northward flow of the Caribbean Current, which causes cyclonic gyres and mesoscale eddies that enhance larval retention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{"citationItems":[{"id":"ITEM-1","itemData":{"DOI":"10.1371/journal.pone.0097508","ISSN":"19326203","PMID":"24830641","abstract":"To address patterns of genetic connectivity in a mass-aggregating marine fish, we analyzed genetic variation in mitochondrial DNA (mtDNA), microsatellites, and single nucleotide polymorphisms (SNPs) for Nassau grouper (Epinephelus striatus). We expected Nassau grouper to exhibit genetic differentiation among its subpopulations due to its reproductive behavior and retentive oceanographic conditions experienced across the Caribbean basin. All samples were genotyped for two mitochondrial markers and 9 microsatellite loci, and a subset of samples were genotyped for 4,234 SNPs. We found evidence of genetic differentiation in a Caribbean-wide study of this mass-aggregating marine fish using mtDNA (FST = 0.206, p&lt;0.001), microsatellites (FST = 0.002, p = 0.004) and SNPs (FST = 0.002, p = 0.014), and identified three potential barriers to larval dispersal. Genetically isolated regions identified in our work mirror those seen for other invertebrate and fish species in the Caribbean basin. Oceanographic regimes in the Caribbean may largely explain patterns of genetic differentiation among Nassau grouper subpopulations. Regional patterns observed warrant standardization of fisheries management and conservation initiatives among countries within genetically isolated regions. © 2014 Jackson et al.","author":[{"dropping-particle":"","family":"Jackson","given":"Alexis M.","non-dropping-particle":"","parse-names":false,"suffix":""},{"dropping-particle":"","family":"Semmens","given":"Brice X.","non-dropping-particle":"","parse-names":false,"suffix":""},{"dropping-particle":"","family":"Mitcheson","given":"Yvonne Sadovy","non-dropping-particle":"De","parse-names":false,"suffix":""},{"dropping-particle":"","family":"Nemeth","given":"Richard S.","non-dropping-particle":"","parse-names":false,"suffix":""},{"dropping-particle":"","family":"Heppell","given":"Scott A.","non-dropping-particle":"","parse-names":false,"suffix":""},{"dropping-particle":"","family":"Bush","given":"Phillippe G.","non-dropping-particle":"","parse-names":false,"suffix":""},{"dropping-particle":"","family":"Aguilar-Perera","given":"Alfonso","non-dropping-particle":"","parse-names":false,"suffix":""},{"dropping-particle":"","family":"Claydon","given":"John A.B.","non-dropping-particle":"","parse-names":false,"suffix":""},{"dropping-particle":"","family":"Calosso","given":"Marta C.","non-dropping-particle":"","parse-names":false,"suffix":""},{"dropping-particle":"","family":"Sealey","given":"Kathleen S.","non-dropping-particle":"","parse-names":false,"suffix":""},{"dropping-particle":"","family":"Schärer","given":"Michelle T.","non-dropping-particle":"","parse-names":false,"suffix":""},{"dropping-particle":"","family":"Bernardi","given":"Giacomo","non-dropping-particle":"","parse-names":false,"suffix":""}],"container-title":"PLoS ONE","id":"ITEM-1","issue":"5","issued":{"date-parts":[["2014"]]},"title":"Population structure and phylogeography in Nassau grouper (epinephelus striatus), a mass-aggregating marine fish","type":"article-journal","volume":"9"},"uris":["http://www.mendeley.com/documents/?uuid=b3a649fa-eb42-468d-b9fc-03f89404fcfa"]},{"id":"ITEM-2","itemData":{"DOI":"10.1111/j.1558-5646.1995.tb02325.x","ISSN":"00143820","author":[{"dropping-particle":"","family":"Shulman","given":"M. J.","non-dropping-particle":"","parse-names":false,"suffix":""},{"dropping-particle":"","family":"Bermingham","given":"E.","non-dropping-particle":"","parse-names":false,"suffix":""}],"container-title":"Evolution","id":"ITEM-2","issue":"5","issued":{"date-parts":[["1995"]]},"page":"897-910","title":"Early life histories, ocean currents, and the population genetics of Caribbean reef fishes","type":"article-journal","volume":"49"},"uris":["http://www.mendeley.com/documents/?uuid=0ab0e2a4-af42-4dca-ba09-775419ed64ac"]}],"mendeley":{"formattedCitation":"(42, 43)","plainTextFormattedCitation":"(42, 43)","previouslyFormattedCitation":"(42, 43)"},"properties":{"noteIndex":0},"schema":"https://github.com/citation-style-language/schema/raw/master/csl-citation.json"}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(42, 43)</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Our study also highlights Mona Passage (MPB) and northeastern Colombian coast (NECC) breaks as significant barriers for labrisomid blennies. While we only assessed populations of the saddled blenny due to taxonomic sampling limitations, it is likely that both breaks strongly impact other cryptobenthic fishes. As shown previously, strong currents across the deep-sea Mona passage may pose a physical obstacle that some reef fishes cannot overcome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{"citationItems":[{"id":"ITEM-1","itemData":{"author":[{"dropping-particle":"","family":"Dennis","given":"George D","non-dropping-particle":"","parse-names":false,"suffix":""},{"dropping-particle":"","family":"Hensley","given":"Dannie A","non-dropping-particle":"","parse-names":false,"suffix":""},{"dropping-particle":"","family":"Colin","given":"Patrick L","non-dropping-particle":"","parse-names":false,"suffix":""},{"dropping-particle":"","family":"Kimmel","given":"Joseph J","non-dropping-particle":"","parse-names":false,"suffix":""}],"container-title":"Caribbean Journal of Science","id":"ITEM-1","issue":"40","issued":{"date-parts":[["2004"]]},"page":"70-87","title":"New Records of Marine Fishes from the Puerto Rican Plateau","type":"article-journal"},"uris":["http://www.mendeley.com/documents/?uuid=b8a952b5-6560-47e1-84a9-94b45f3b9e3a"]},{"id":"ITEM-2","itemData":{"DOI":"10.1126/science.300.5626.1657c","ISSN":"0036-8075","abstract":"(response to letter) We agree that oceanographic physical barriers may be sufficient in some cases to limit gene flow between marine populations, but it certainly is not clear that \"simple\" oceanography will always be sufficient to isolate populations over the distances shown by Taylor and Hellberg in their Report. There is strong population genetic structure among islands between different color groups. But as Taylor and Hellberg show, there is also strong genetic differentiation within color groups over relatively short distances. This differentiation in the absence of color-based selection strongly suggests that dispersal is limited beyond what would be expected from simple oceanography. What Colin offers as fact--that shore-spawned pelagic larvae do not enter oceanic waters and stay close to home--is actually one side of a lively ongoing controversy in marine ecology. Although opinions on this subject may be changing (this is why articles like Taylor and Hellberg's are noteworthy), we are by no means at a point where we can identify the mechanisms for limited dispersal. It is certainly premature to dismiss larval behavior as an important factor. In the end, this discussion points to the need for more detailed studies of dispersal, an exciting and vitally important area of focus in marine ecology.","author":[{"dropping-particle":"","family":"Colin","given":"Patrick L.","non-dropping-particle":"","parse-names":false,"suffix":""}],"container-title":"Science","id":"ITEM-2","issue":"5626","issued":{"date-parts":[["2003"]]},"page":"1657-1659","title":"Larvae Retention: Genes or Oceanography?","type":"article-journal","volume":"300"},"uris":["http://www.mendeley.com/documents/?uuid=e87971e6-3341-4f12-a405-71b08152b170"]},{"id":"ITEM-3","itemData":{"DOI":"10.1111/j.1365-294X.2006.02820.x","ISSN":"09621083","PMID":"16499695","abstract":"Geographic barriers that limit the movement of individuals between populations may create or maintain phylogenetically discrete lineages. Such barriers are often inferred from geographic surveys of a single mitochondrial marker to identify phylogenetic splits. Mitochondrial DNA, however, has an effective population size one-fourth that of nuclear DNA, which can facilitate the rapid evolution of monophyletic mtDNA lineages in the absence of geographic barriers. The identification of geographic barriers will thus be more robust if barriers are proposed a priori, and tested with multiple independent genetic markers in multiple species. Here, we tested two proposed marine biogeographic breaks located at the Mona Passage in the Caribbean Sea and at the southern end of Exuma Sound in the Bahamas. We sequenced mitochondrial cytochrome b (400 bp) and nuclear rag1 (573 bp) for nine species and colour forms (183 individuals total) within the teleost genus Elacatinus (Gobiidae) that span the proposed breaks. Our results showed that Mona Passage separated mtcyb and rag1 lineages, with no genetic exchange between populations separated by just 23 km. However, the Central Bahamas barrier was only weakly supported by our data. Importantly, neither barrier coincided with deep genetic splits. This suggests that these two barriers did not initially isolate regional populations, but instead disrupt ongoing gene flow between regions. Our inferred relationships further suggested a division of the Caribbean region into northwestern and southeastern regions, a pattern reflected by some freshwater and terrestrial vertebrates. Our results, coupled with genetic and demographic data from other reef fishes and corals, provide robust support for the Mona Passage as a long-term biogeographic barrier for Caribbean animals. © 2006 Blackwell Publishing Ltd.","author":[{"dropping-particle":"","family":"Taylor","given":"Michael S.","non-dropping-particle":"","parse-names":false,"suffix":""},{"dropping-particle":"","family":"Hellberg","given":"Michael E.","non-dropping-particle":"","parse-names":false,"suffix":""}],"container-title":"Molecular Ecology","id":"ITEM-3","issue":"3","issued":{"date-parts":[["2006"]]},"page":"695-707","title":"Comparative phylogeography in a genus of coral reef fishes: Biogeographic and genetic concordance in the Caribbean","type":"article-journal","volume":"15"},"uris":["http://www.mendeley.com/documents/?uuid=593a44fb-f841-463c-b9fe-42553c2281bd"]}],"mendeley":{"formattedCitation":"(3, 44, 45)","plainTextFormattedCitation":"(3, 44, 45)","previouslyFormattedCitation":"(3, 44, 45)"},"properties":{"noteIndex":0},"schema":"https://github.com/citation-style-language/schema/raw/master/csl-citation.json"}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(3, 44, 45)</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On the other hand, previous studies suggest three major components affecting the NECC: the outflow of the Magdalena river, the absence of rocky bottoms east of the Santa Marta massif, and a seasonal upwelling near La Guajira, Colombia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{"citationItems":[{"id":"ITEM-1","itemData":{"DOI":"10.1371/journal.pone.0011566","ISSN":"19326203","PMID":"20644638","abstract":"Background: Marine allopatric speciation involves interplay between intrinsic organismal properties and extrinsic factors. However, the relative contribution of each depends on the taxon under study and its geographic context. Utilizing sea catfishes in the Cathorops mapale species group, this study tests the hypothesis that both reproductive strategies conferring limited dispersal opportunities and an apparent geomorphologic barrier in the Southern Caribbean have promoted speciation in this group from a little studied area of the world. Methodology/Principal Findings: Mitochondrial gene sequences were obtained from representatives of the Cathorops mapale species group across its distributional range from Colombia to Venezuela. Morphometric and meristic analyses were also done to assess morphologic variation. Along a ~2000 km transect, two major lineages, Cathorops sp. and C. mapale, were identified by levels of genetic differentiation, phylogenetic reconstructions, and morphological analyses. The lineages are separated by ~150 km at the Santa Marta Massif (SMM) in Colombia. The northward displacement of the SMM into the Caribbean in the early Pleistocene altered the geomorphology of the continental margin, ultimately disrupting the natural habitat of C. mapale. The estimated ~0.86 my divergence of the lineages from a common ancestor coincides with the timing of the SMM displacement at ~0.78 my. Main Conclusions/Significance: Results presented here support the hypothesis that organismal properties as well as extrinsic factors lead to diversification of the Cathorops mapale group along the northern coast of South America. While a lack of pelagic larval stages and ecological specialization are forces impacting this process, the identification of the SMM as contributing to allopatric speciation in marine organisms adds to the list of recognized barriers in the Caribbean. Comparative examination of additional Southern Caribbean taxa, particularly those with varying life history traits and dispersal capabilities, will determine the extent by which the SMM has influenced marine phylogeography in the region. © 2010 Betancur-R. et al.","author":[{"dropping-particle":"","family":"Betancur-R","given":"Ricardo","non-dropping-particle":"","parse-names":false,"suffix":""},{"dropping-particle":"","family":"Arturo Acero","given":"P.","non-dropping-particle":"","parse-names":false,"suffix":""},{"dropping-particle":"","family":"Duque-Caro","given":"Hermann","non-dropping-particle":"","parse-names":false,"suffix":""},{"dropping-particle":"","family":"Santos","given":"Scott R.","non-dropping-particle":"","parse-names":false,"suffix":""}],"container-title":"PLoS ONE","id":"ITEM-1","issue":"7","issued":{"date-parts":[["2010"]]},"page":"1-10","title":"Phylogenetic and morphologic analyses of a coastal fish reveals a marine biogeographic break of terrestrial origin in the Southern Caribbean","type":"article-journal","volume":"5"},"uris":["http://www.mendeley.com/documents/?uuid=73e0cfb4-90ed-487f-b752-8c7bf4cc8936"]},{"id":"ITEM-2","itemData":{"DOI":"10.1111/j.1365-2699.2011.02496.x","author":[{"dropping-particle":"","family":"Betancur-r","given":"Ricardo","non-dropping-particle":"","parse-names":false,"suffix":""},{"dropping-particle":"","family":"Hines","given":"Andrew","non-dropping-particle":"","parse-names":false,"suffix":""},{"dropping-particle":"","family":"P","given":"Arturo Acero","non-dropping-particle":"","parse-names":false,"suffix":""},{"dropping-particle":"","family":"Ortı","given":"Guillermo","non-dropping-particle":"","parse-names":false,"suffix":""},{"dropping-particle":"","family":"Wilbur","given":"Ami E","non-dropping-particle":"","parse-names":false,"suffix":""},{"dropping-particle":"","family":"Freshwater","given":"D Wilson","non-dropping-particle":"","parse-names":false,"suffix":""}],"container-title":"Journal of Biogeography","id":"ITEM-2","issued":{"date-parts":[["2011"]]},"page":"1281-1293","title":"Reconstructing the lionfish invasion : insights into Greater Caribbean biogeography","type":"article-journal","volume":"38"},"uris":["http://www.mendeley.com/documents/?uuid=c887fa9a-bbb2-409e-949b-8c12d9eaf8c8"]},{"id":"ITEM-3","itemData":{"DOI":"10.3390/ani13152528","ISSN":"20762615","abstract":"The comparative phylogeography of marine species with contrasting dispersal potential across the southern Caribbean Sea was evaluated by the presence of two putative barriers: the Magdalena River plume (MRP) and the combination of the absence of a rocky bottom and the almost permanent upwelling in the La Guajira Peninsula (ARB + PUG). Three species with varying biological and ecological characteristics (i.e., dispersal potentials) that inhabit shallow rocky bottoms were selected: Cittarium pica (PLD &lt; 6 days), Acanthemblemaria rivasi (PLD &lt; 22 days), and Nerita tessellata (PLD &gt; 60 days). We generated a set of SNPs for the three species using the ddRad-seq technique. Samples of each species were collected in five locations from Capurganá to La Guajira. For the first time, evidence of a phylogeographic break caused by the MRP is provided, mainly for A. rivasi (AMOVA: ΦCT = 0.420). The ARB + PUG barrier causes another break for A. rivasi (ΦCT = 0.406) and C. pica (ΦCT = 0.224). Three populations (K = 3) were identified for A. rivasi and C. pica, while N. tessellata presented one population (K = 1). The Mantel correlogram indicated that A. rivasi and C. pica fit the hierarchical population model, and only the A. rivasi and C. pica comparisons showed phylogeographic congruence. Our results demonstrate how the biological traits of these three species and the biogeographic barriers have influenced their phylogeographic structure.","author":[{"dropping-particle":"","family":"Narváez-Barandica","given":"Juan Carlos","non-dropping-particle":"","parse-names":false,"suffix":""},{"dropping-particle":"","family":"Quintero-Galvis","given":"Julián F.","non-dropping-particle":"","parse-names":false,"suffix":""},{"dropping-particle":"","family":"Aguirre-Pabón","given":"Juan Carlos","non-dropping-particle":"","parse-names":false,"suffix":""},{"dropping-particle":"","family":"Castro","given":"Lyda R.","non-dropping-particle":"","parse-names":false,"suffix":""},{"dropping-particle":"","family":"Betancur","given":"Ricardo","non-dropping-particle":"","parse-names":false,"suffix":""},{"dropping-particle":"","family":"Acero Pizarro","given":"Arturo","non-dropping-particle":"","parse-names":false,"suffix":""}],"container-title":"Animals","id":"ITEM-3","issue":"15","issued":{"date-parts":[["2023"]]},"title":"A Comparative Phylogeography of Three Marine Species with Different PLD Modes Reveals Two Genetic Breaks across the Southern Caribbean Sea","type":"article-journal","volume":"13"},"uris":["http://www.mendeley.com/documents/?uuid=0a95122e-29b9-474d-95d6-f0f66a7b1445"]},{"id":"ITEM-4","itemData":{"DOI":"10.11646/zootaxa.4816.2.5","ISSN":"11755334","PMID":"33055705","abstract":"Acanthemblemaria aceroi new species is described from the upwelling region of the Caribbean coasts of Venezuela and Colombia. It differs from its closest relative, Acanthemblemaria rivasi Stephens, 1970, known from Panama and Costa Rica, in the posterior extent of the infraorbitals, details of head spination, and unique COI sequences. The description of Acanthemblemaria johnsonsi Almany &amp; Baldwin, 1996, heretofore known only from Tobago, is expanded based on specimens from islands offshore of eastern Venezuela.","author":[{"dropping-particle":"","family":"Hastings","given":"Philip A.","non-dropping-particle":"","parse-names":false,"suffix":""},{"dropping-particle":"","family":"Eytan","given":"Ron I.","non-dropping-particle":"","parse-names":false,"suffix":""},{"dropping-particle":"","family":"Summers","given":"Adam P.","non-dropping-particle":"","parse-names":false,"suffix":""}],"container-title":"Zootaxa","id":"ITEM-4","issue":"2","issued":{"date-parts":[["2020"]]},"page":"209-216","title":"Acanthemblemaria aceroi, a new species of tube blenny from the Caribbean coast of South America with notes on Acanthemblemaria johnsoni (Teleostei: Chaenopsidae)","type":"article-journal","volume":"4816"},"uris":["http://www.mendeley.com/documents/?uuid=63fe25a6-938c-42c6-963c-8fd7d613cf6c"]}],"mendeley":{"formattedCitation":"(20, 46–48)","plainTextFormattedCitation":"(20, 46–48)","previouslyFormattedCitation":"(20, 46–48)"},"properties":{"noteIndex":0},"schema":"https://github.com/citation-style-language/schema/raw/master/csl-citation.json"}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(20, 46–48)</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Although large river deltas are considered habitat breaks for labrisomid blennies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mendeley":{"formattedCitation":"(12)","plainTextFormattedCitation":"(12)","previouslyFormattedCitation":"(12)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the observed clustering patterns in our study do not support the Magdalena River plume hindering population dispersal (Fig. S25). While the absence of rocky bottoms may be a contributing factor, the Guajira upwelling is known to play a significant role triggering speciation in chaenopsids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{"citationItems":[{"id":"ITEM-1","itemData":{"DOI":"10.11646/zootaxa.4816.2.5","ISSN":"11755334","PMID":"33055705","abstract":"Acanthemblemaria aceroi new species is described from the upwelling region of the Caribbean coasts of Venezuela and Colombia. It differs from its closest relative, Acanthemblemaria rivasi Stephens, 1970, known from Panama and Costa Rica, in the posterior extent of the infraorbitals, details of head spination, and unique COI sequences. The description of Acanthemblemaria johnsonsi Almany &amp; Baldwin, 1996, heretofore known only from Tobago, is expanded based on specimens from islands offshore of eastern Venezuela.","author":[{"dropping-particle":"","family":"Hastings","given":"Philip A.","non-dropping-particle":"","parse-names":false,"suffix":""},{"dropping-particle":"","family":"Eytan","given":"Ron I.","non-dropping-particle":"","parse-names":false,"suffix":""},{"dropping-particle":"","family":"Summers","given":"Adam P.","non-dropping-particle":"","parse-names":false,"suffix":""}],"container-title":"Zootaxa","id":"ITEM-1","issue":"2","issued":{"date-parts":[["2020"]]},"page":"209-216","title":"Acanthemblemaria aceroi, a new species of tube blenny from the Caribbean coast of South America with notes on Acanthemblemaria johnsoni (Teleostei: Chaenopsidae)","type":"article-journal","volume":"4816"},"uris":["http://www.mendeley.com/documents/?uuid=63fe25a6-938c-42c6-963c-8fd7d613cf6c"]}],"mendeley":{"formattedCitation":"(48)","plainTextFormattedCitation":"(48)","previouslyFormattedCitation":"(48)"},"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(48)</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w:t>
      </w:r>
    </w:p>
    <w:p w14:paraId="4F4B3DB5" w14:textId="77777777" w:rsidR="001E1B3B" w:rsidRPr="001E1B3B" w:rsidRDefault="001E1B3B" w:rsidP="00E6459A">
      <w:pPr>
        <w:jc w:val="both"/>
        <w:rPr>
          <w:rFonts w:asciiTheme="majorBidi" w:hAnsiTheme="majorBidi" w:cstheme="majorBidi"/>
          <w:sz w:val="24"/>
          <w:szCs w:val="24"/>
        </w:rPr>
      </w:pPr>
      <w:r w:rsidRPr="001E1B3B">
        <w:rPr>
          <w:rFonts w:asciiTheme="majorBidi" w:hAnsiTheme="majorBidi" w:cstheme="majorBidi"/>
          <w:sz w:val="24"/>
          <w:szCs w:val="24"/>
        </w:rPr>
        <w:lastRenderedPageBreak/>
        <w:t>Our analyses also identified 11 potential new breaks (PNB1</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PNB4 in the TEP; PNB5</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PNB11 in the TA). However, except for PNB3, which affected three species, and PNB4 and PNB7, each of which affected two species, these breaks were primarily idiosyncratic, impacting in most cases a single species. It is particularly interesting that five of these putative barriers seem to be promoting the generation of independent evolutionary lineages (Figs. S17, S19</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S20, S23, S25), suggesting the presence of putative species complexes with high genomic divergences (</w:t>
      </w:r>
      <w:r w:rsidRPr="001E1B3B">
        <w:rPr>
          <w:rFonts w:asciiTheme="majorBidi" w:hAnsiTheme="majorBidi" w:cstheme="majorBidi"/>
          <w:i/>
          <w:iCs/>
          <w:sz w:val="24"/>
          <w:szCs w:val="24"/>
        </w:rPr>
        <w:t>Fst</w:t>
      </w:r>
      <w:r w:rsidRPr="001E1B3B">
        <w:rPr>
          <w:rFonts w:asciiTheme="majorBidi" w:hAnsiTheme="majorBidi" w:cstheme="majorBidi"/>
          <w:sz w:val="24"/>
          <w:szCs w:val="24"/>
        </w:rPr>
        <w:t xml:space="preserve"> = 0.06</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0.19, Table 10). While sampling localities separated by PNB2 and PNB4 exhibit unique environmental features (Fig. S32) in the TEP, PNB5</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 xml:space="preserve">PNB11 in the TA seem to be linked to environmental shifts influenced by seasonal upwellings, the direction and intensity of predominant oceanographic currents, and gyres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{"citationItems":[{"id":"ITEM-1","itemData":{"DOI":"10.1093/mollus/eyr050","ISBN":"0260-1230","ISSN":"02601230","abstract":"The extent of gene flow in Caribbean marine communities has been investigated primarily in taxa from coral reef habitats, particularly in corals and reef fishes. Results from empirical population genetic studies in those taxa have indicated the presence of an east-west genetic break between 67 degrees and 70 degrees W longitude, and isolation of populations in the Bahamas. Hydrodynamic modelling has further suggested the presence of four connectivity regions that may contribute to genetic isolation. In this study we test for the presence of genetic structure in two gastropods (Cenchritis muricatus and Echinolittorina ziczac) from poorly sampled rocky-intertidal habitats, using mitochondrial sequence data. Significant genetic structure was found in C. muricatus (S-nn = 0.29, P &amp;lt; 0.001; F-st = 0.022, P &amp;lt; 0.001), but not in E. ziczac (S-nn = 0.17, P = 0.48; F-st = 0.022, P = 0.48), in spite of similar larval life histories. The pattern of differentiation does not match a simple east-west model in either species, nor a four-region model, nor do the Bahamas show evidence of isolation. However, the genetic differentiation of Bonaire from other sites that is observed in C. muricatus and E. ziczac is consistent with the previously observed isolation of this location in the trochid gastropod Cittarium pica.","author":[{"dropping-particle":"","family":"Díaz-Ferguson","given":"E.","non-dropping-particle":"","parse-names":false,"suffix":""},{"dropping-particle":"","family":"Haney","given":"R. A.","non-dropping-particle":"","parse-names":false,"suffix":""},{"dropping-particle":"","family":"Wares","given":"J. P.","non-dropping-particle":"","parse-names":false,"suffix":""},{"dropping-particle":"","family":"Silliman","given":"B. R.","non-dropping-particle":"","parse-names":false,"suffix":""}],"container-title":"Journal of Molluscan Studies","id":"ITEM-1","issue":"1","issued":{"date-parts":[["2012"]]},"page":"112-118","title":"Genetic structure and connectivity patterns of two Caribbean rocky-intertidal gastropods","type":"article-journal","volume":"78"},"uris":["http://www.mendeley.com/documents/?uuid=7de1c59a-7651-4513-9c15-3581cf007a5f"]},{"id":"ITEM-2","itemData":{"DOI":"10.1007/s00338-016-1516-y","ISSN":"07224028","abstract":"Connectivity, the exchange of individuals among locations, is a fundamental ecological process that explains how otherwise disparate populations interact. For most marine organisms, dispersal occurs primarily during a pelagic larval phase that connects populations. We paired population structure from comprehensive genetic sampling and biophysical larval transport modeling to describe how spiny lobster (Panulirus argus) population differentiation is related to biological oceanography. A total of 581 lobsters were genotyped with 11 microsatellites from ten locations around the greater Caribbean. The overall FST of 0.0016 (P = 0.005) suggested low yet significant levels of structuring among sites. An isolation by geographic distance model did not explain spatial patterns of genetic differentiation in P. argus (P = 0.19; Mantel r = 0.18), whereas a biophysical connectivity model provided a significant explanation of population differentiation (P = 0.04; Mantel r = 0.47). Thus, even for a widely dispersing species, dispersal occurs over a continuum where basin-wide larval retention creates genetic structure. Our study provides a framework for future explorations of wide-scale larval dispersal and marine connectivity by integrating empirical genetic research and probabilistic modeling.","author":[{"dropping-particle":"","family":"Truelove","given":"Nathan K.","non-dropping-particle":"","parse-names":false,"suffix":""},{"dropping-particle":"","family":"Kough","given":"Andrew S.","non-dropping-particle":"","parse-names":false,"suffix":""},{"dropping-particle":"","family":"Behringer","given":"Donald C.","non-dropping-particle":"","parse-names":false,"suffix":""},{"dropping-particle":"","family":"Paris","given":"Claire B.","non-dropping-particle":"","parse-names":false,"suffix":""},{"dropping-particle":"","family":"Box","given":"Stephen J.","non-dropping-particle":"","parse-names":false,"suffix":""},{"dropping-particle":"","family":"Preziosi","given":"Richard F.","non-dropping-particle":"","parse-names":false,"suffix":""},{"dropping-particle":"","family":"Butler","given":"Mark J.","non-dropping-particle":"","parse-names":false,"suffix":""}],"container-title":"Coral Reefs","id":"ITEM-2","issue":"1","issued":{"date-parts":[["2017"]]},"page":"233-244","publisher":"Springer Berlin Heidelberg","title":"Biophysical connectivity explains population genetic structure in a highly dispersive marine species","type":"article-journal","volume":"36"},"uris":["http://www.mendeley.com/documents/?uuid=d926e531-b54d-4eec-baa0-42e13d114758"]},{"id":"ITEM-3","itemData":{"DOI":"10.1016/S0924-7963(96)00123-6","ISSN":"09247963","abstract":"Hydrographic data gathered during four cruises are used to evidence upwelling on the Yucatan Shelf, and describe its structure. Subsurface Caribbean water (characterized by 16 to 20°C, 36.1 to 36.5 S, and 8 to 14 μmol l-1 nitrate concentrations) upwells along the eastern slope of the Yucatan Shelf. This water, which originates at depths of about 220-250 m in the Yucatan Channel, rises at about 10-2 cm s-1 to dome into the euphotic zone but only occasionally breaks the ocean surface. This upwelling appears to follow a seasonal cycle. During spring and summer the upwelled water intrudes over the Yucatan Shelf to create a two-layered water column. Strong stratification between Caribbean surface water (CSW) and the Yucatan upwelling water (YUW) layer on the shelf is likely to prevent mixing between them, except during the winter periods of northern winds. The YUW layer moves westward across the shelf and contributes to the formation of a cyclonic gyre north of Cape Catoche. The curl of the prevailing wind stress is not likely to induce upwelling along the eastern Yucatan slope. The observations imply that the upwelling is probably caused by bottom friction or other topographical mechanisms. A subsurface countercurrent runs southward along the eastern slope of the Yucatan or other appears to be closely related to the upwelling process. The Salinity Maximum is ruptured on the western side of the Yucatan Channel as a consequence of the upwelling. The data presented support the hypothesis that Yucatan is one of the most important upwelling regions on a western oceanic margin.","author":[{"dropping-particle":"","family":"Merino","given":"Martín","non-dropping-particle":"","parse-names":false,"suffix":""}],"container-title":"Journal of Marine Systems","id":"ITEM-3","issue":"1-4","issued":{"date-parts":[["1997"]]},"page":"101-121","title":"Upwelling on the Yucatan Shelf: Hydrographic evidence","type":"article-journal","volume":"13"},"uris":["http://www.mendeley.com/documents/?uuid=f5c30d76-d28b-4432-862f-b9e6e8c55f58"]}],"mendeley":{"formattedCitation":"(49–51)","plainTextFormattedCitation":"(49–51)","previouslyFormattedCitation":"(49–51)"},"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(49–51)</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In this scenario, while our ecological hypothesis suggests that mayor connectivity patterns arise from large-scale environmental variation in the TA, here we observe that several marine breaks reflect a limited gene flow among populations driven by localized environmental variation (e.g. upwellings).</w:t>
      </w:r>
    </w:p>
    <w:p w14:paraId="148B2A77" w14:textId="622703A3" w:rsidR="001E1B3B" w:rsidRPr="001E1B3B" w:rsidRDefault="001E1B3B" w:rsidP="00E6459A">
      <w:pPr>
        <w:jc w:val="both"/>
        <w:rPr>
          <w:rFonts w:asciiTheme="majorBidi" w:hAnsiTheme="majorBidi" w:cstheme="majorBidi"/>
          <w:sz w:val="24"/>
          <w:szCs w:val="24"/>
        </w:rPr>
      </w:pPr>
      <w:r w:rsidRPr="001E1B3B">
        <w:rPr>
          <w:rFonts w:asciiTheme="majorBidi" w:hAnsiTheme="majorBidi" w:cstheme="majorBidi"/>
          <w:sz w:val="24"/>
          <w:szCs w:val="24"/>
        </w:rPr>
        <w:tab/>
        <w:t xml:space="preserve">Zamudio et al.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{"citationItems":[{"id":"ITEM-1","itemData":{"DOI":"10.1073/pnas.1602237113","ISSN":"1091-6490","PMID":"27432983","abstract":"Almost 30 y ago, the field of intraspecific phylogeography laid the foundation for spatially explicit and genealogically informed studies of population divergence. With new methods and markers, the focus in phylogeography shifted to previously unrecognized geographic genetic variation, thus reducing the attention paid to phenotypic variation in those same diverging lineages. Although phenotypic differences among lineages once provided the main data for studies of evolutionary change, the mechanisms shaping phenotypic differentiation and their integration with intraspecific genetic structure have been underexplored in phylogeographic studies. However, phenotypes are targets of selection and play important roles in species performance, recognition, and diversification. Here, we focus on three questions. First, how can phenotypes elucidate mechanisms underlying concordant or idiosyncratic responses of vertebrate species evolving in shared landscapes? Second, what mechanisms underlie the concordance or discordance of phenotypic and phylogeographic differentiation? Third, how can phylogeography contribute to our understanding of functional phenotypic evolution? We demonstrate that the integration of phenotypic data extends the reach of phylogeography to explain the origin and maintenance of biodiversity. Finally, we stress the importance of natural history collections as sources of high-quality phenotypic data that span temporal and spatial axes.","author":[{"dropping-particle":"","family":"Zamudio","given":"Kelly R","non-dropping-particle":"","parse-names":false,"suffix":""},{"dropping-particle":"","family":"Bell","given":"Rayna C","non-dropping-particle":"","parse-names":false,"suffix":""},{"dropping-particle":"","family":"Mason","given":"Nicholas A","non-dropping-particle":"","parse-names":false,"suffix":""}],"container-title":"Proceedings of the National Academy of Sciences of the United States of America","id":"ITEM-1","issue":"29","issued":{"date-parts":[["2016"]]},"page":"8041-8","title":"Phenotypes in phylogeography: Species' traits, environmental variation, and vertebrate diversification.","type":"article-journal","volume":"113"},"uris":["http://www.mendeley.com/documents/?uuid=ff4db238-226d-4b1a-8d73-db3cff5d5c34"]}],"mendeley":{"formattedCitation":"(2)","plainTextFormattedCitation":"(2)","previouslyFormattedCitation":"(2)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recently emphasized the importance of incorporating phenotypic variation and genetic data into phylogeographic studies to gain a deeper understanding of the origins of biodiversity. In this context, a closer examination of phenotypes can help elucidate the mechanisms influencing responses of co-distributed species to environmental variations. In this study, our geometric morphometric analyses revealed varying degrees of congruence with genomic divergences. While they failed to detect morphologic clusters that aligned with the genomic groups in the throat-spotted blenny in the TEP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2B), they showed a partial geographic clustering in correspondence with the PNB10 in the TA, separating the saddled and Noronha scaly blennies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2C). Moreover, when these analyses were conducted across 20 species, there was a lack of species-level clustering in morphospace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2D). Undetectable geographic variation in phenotypes in the presence of phylogeographic structure is generally attributed to biological processes such as stabilizing selection or cryptic diversification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{"citationItems":[{"id":"ITEM-1","itemData":{"DOI":"10.1073/pnas.1602237113","ISSN":"1091-6490","PMID":"27432983","abstract":"Almost 30 y ago, the field of intraspecific phylogeography laid the foundation for spatially explicit and genealogically informed studies of population divergence. With new methods and markers, the focus in phylogeography shifted to previously unrecognized geographic genetic variation, thus reducing the attention paid to phenotypic variation in those same diverging lineages. Although phenotypic differences among lineages once provided the main data for studies of evolutionary change, the mechanisms shaping phenotypic differentiation and their integration with intraspecific genetic structure have been underexplored in phylogeographic studies. However, phenotypes are targets of selection and play important roles in species performance, recognition, and diversification. Here, we focus on three questions. First, how can phenotypes elucidate mechanisms underlying concordant or idiosyncratic responses of vertebrate species evolving in shared landscapes? Second, what mechanisms underlie the concordance or discordance of phenotypic and phylogeographic differentiation? Third, how can phylogeography contribute to our understanding of functional phenotypic evolution? We demonstrate that the integration of phenotypic data extends the reach of phylogeography to explain the origin and maintenance of biodiversity. Finally, we stress the importance of natural history collections as sources of high-quality phenotypic data that span temporal and spatial axes.","author":[{"dropping-particle":"","family":"Zamudio","given":"Kelly R","non-dropping-particle":"","parse-names":false,"suffix":""},{"dropping-particle":"","family":"Bell","given":"Rayna C","non-dropping-particle":"","parse-names":false,"suffix":""},{"dropping-particle":"","family":"Mason","given":"Nicholas A","non-dropping-particle":"","parse-names":false,"suffix":""}],"container-title":"Proceedings of the National Academy of Sciences of the United States of America","id":"ITEM-1","issue":"29","issued":{"date-parts":[["2016"]]},"page":"8041-8","title":"Phenotypes in phylogeography: Species' traits, environmental variation, and vertebrate diversification.","type":"article-journal","volume":"113"},"uris":["http://www.mendeley.com/documents/?uuid=ff4db238-226d-4b1a-8d73-db3cff5d5c34"]}],"mendeley":{"formattedCitation":"(2)","plainTextFormattedCitation":"(2)","previouslyFormattedCitation":"(2)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Cryptobenthic reef fishes often lack discernible diagnostic features, as many sympatric species exhibit morphological overlap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Hubbs","type":"thesis"},"uris":["http://www.mendeley.com/documents/?uuid=2bbfe69c-07bb-49dc-a59b-8bc4e67312a5"]},{"id":"ITEM-2","itemData":{"DOI":"10.1111/brv.12423","ISSN":"1469185X","abstract":"Teleost fishes are the most diverse group of vertebrates on Earth. On tropical coral reefs, their species richness exceeds 6000 species; one tenth of total vertebrate biodiversity. A large proportion of this diversity is composed of cryptobenthic reef fishes (CRFs): bottom-dwelling, morphologically or behaviourally cryptic species typically less than 50 mm in length. Yet, despite their diversity and abundance, these fishes are both poorly defined and understood. Herein we provide a new quantitative definition and synthesise current knowledge on the diversity, distribution and life history of CRFs. First, we use size distributions within families to define 17 core CRF families as characterised by the high prevalence (&gt;10%) of small-bodied species (&lt;50 mm). This stands in strong contrast to 42 families of large reef fishes, in which virtually no small-bodied species have evolved. We posit that small body size has allowed CRFs to diversify at extremely high rates, primarily by allowing for fine partitioning of microhabitats and facilitation of allopatric reproductive isolation; yet, we are far from understanding and documenting the biodiversity of CRFs. Using rates of description since 1758, we predict that approximately 30 new species of cryptobenthic species will be described per year until 2050 (approximately twice the annual rate compared to large fishes). Furthermore, we predict that by the year 2031, more than half of the described coral reef fish biodiversity will consist of CRFs. These fishes are the 'hidden half' of vertebrate biodiversity on coral reefs. Notably, global geographic coverage and spatial resolution of quantitative data on CRF communities is uniformly poor, which further emphasises the remarkable reservoir of biodiversity that is yet to be discovered. Although small body size may have enabled extensive diversification within CRF families, small size also comes with a suite of ecological challenges that affect fishes' capacities to feed, survive and reproduce; we identify a range of life-history adaptations that have enabled CRFs to overcome these limitations. In turn, these adaptations bestow a unique socio-ecological role on CRFs, which includes a key role in coral reef trophodynamics by cycling trophic energy provided by microscopic prey to larger consumers. Although small in body size, the ecology and evolutionary history of CRFs may make them a critical component of coral-reef food webs; yet our review also shows that these fishe…","author":[{"dropping-particle":"","family":"Brandl","given":"Simon J.","non-dropping-particle":"","parse-names":false,"suffix":""},{"dropping-particle":"","family":"Goatley","given":"Christopher H.R.","non-dropping-particle":"","parse-names":false,"suffix":""},{"dropping-particle":"","family":"Bellwood","given":"David R.","non-dropping-particle":"","parse-names":false,"suffix":""},{"dropping-particle":"","family":"Tornabene","given":"Luke","non-dropping-particle":"","parse-names":false,"suffix":""}],"container-title":"Biological Reviews","id":"ITEM-2","issued":{"date-parts":[["2018"]]},"title":"The hidden half: Ecology and evolution of cryptobenthic fishes on coral reefs","type":"article-journal"},"uris":["http://www.mendeley.com/documents/?uuid=d07cef2c-cbf6-40aa-ab36-6d2c12897476"]}],"mendeley":{"formattedCitation":"(12, 52)","plainTextFormattedCitation":"(12, 52)","previouslyFormattedCitation":"(12, 52)"},"properties":{"noteIndex":0},"schema":"https://github.com/citation-style-language/schema/raw/master/csl-citation.json"}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(12, 52)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Consequently, the absence of clear morphological differences within populations of the throat-spotted blenny (Figs. </w:t>
      </w:r>
      <w:r w:rsidR="00E6459A">
        <w:rPr>
          <w:rFonts w:asciiTheme="majorBidi" w:hAnsiTheme="majorBidi" w:cstheme="majorBidi"/>
          <w:sz w:val="24"/>
          <w:szCs w:val="24"/>
        </w:rPr>
        <w:t>3.</w:t>
      </w:r>
      <w:r w:rsidRPr="001E1B3B">
        <w:rPr>
          <w:rFonts w:asciiTheme="majorBidi" w:hAnsiTheme="majorBidi" w:cstheme="majorBidi"/>
          <w:sz w:val="24"/>
          <w:szCs w:val="24"/>
        </w:rPr>
        <w:t xml:space="preserve">4B and S28) as well as between some species (Figs. </w:t>
      </w:r>
      <w:r w:rsidR="00E6459A">
        <w:rPr>
          <w:rFonts w:asciiTheme="majorBidi" w:hAnsiTheme="majorBidi" w:cstheme="majorBidi"/>
          <w:sz w:val="24"/>
          <w:szCs w:val="24"/>
        </w:rPr>
        <w:t>3.</w:t>
      </w:r>
      <w:r w:rsidRPr="001E1B3B">
        <w:rPr>
          <w:rFonts w:asciiTheme="majorBidi" w:hAnsiTheme="majorBidi" w:cstheme="majorBidi"/>
          <w:sz w:val="24"/>
          <w:szCs w:val="24"/>
        </w:rPr>
        <w:t xml:space="preserve">4D and S30) may be indicative of cryptic speciation, possibly driven by niche conservatism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{"citationItems":[{"id":"ITEM-1","itemData":{"author":[{"dropping-particle":"","family":"Springer","given":"Victor G","non-dropping-particle":"","parse-names":false,"suffix":""},{"dropping-particle":"","family":"Gomon","given":"Martin F.","non-dropping-particle":"","parse-names":false,"suffix":""}],"container-title":"Smithsonian Contributions to Zoology","id":"ITEM-1","issue":"200","issued":{"date-parts":[["1975"]]},"page":"1-11","title":"Variation in the Western Atlantic Clinid Fish Malacoctenus triangulatus with a Revised Key to the Atlantic Species of Malacoctenus","type":"article-journal"},"uris":["http://www.mendeley.com/documents/?uuid=95d622c2-4f57-49f3-95b5-74c47607ebc9"]},{"id":"ITEM-2","itemData":{"DOI":"10.1093/zoolinnean/zlz142","ISSN":"10963642","abstract":"Here we present the first phylogeny of the genus Scartella based on mitochondrial data. The analysis strongly corroborates the validity of all species of the genus and shows that Scartella cristata, a species with a disjunct distribution, is a lineage complex comprising five clades: two in Caribbean waters, another in the East Atlantic/ Mediterranean and two in Brazil. Brazilian clades occur in sympatry from Rio de Janeiro to Rio Grande do Sul states (southern Brazil). One clade (BRA 1) is unique to Brazil, while the other (BRA 2) is closely related to the eastern Atlantic lineage. Possible explanations for this pattern include both natural and anthropic mechanisms.","author":[{"dropping-particle":"","family":"Araujo","given":"G. S.","non-dropping-particle":"","parse-names":false,"suffix":""},{"dropping-particle":"","family":"Vilasboa","given":"A.","non-dropping-particle":"","parse-names":false,"suffix":""},{"dropping-particle":"","family":"Britto","given":"M. R.","non-dropping-particle":"","parse-names":false,"suffix":""},{"dropping-particle":"","family":"Bernardi","given":"G.","non-dropping-particle":"","parse-names":false,"suffix":""},{"dropping-particle":"","family":"Heyden","given":"S.","non-dropping-particle":"von der","parse-names":false,"suffix":""},{"dropping-particle":"","family":"Levy","given":"A.","non-dropping-particle":"","parse-names":false,"suffix":""},{"dropping-particle":"","family":"Floeter","given":"S. R.","non-dropping-particle":"","parse-names":false,"suffix":""}],"container-title":"Zoological Journal of the Linnean Society","id":"ITEM-2","issue":"1","issued":{"date-parts":[["2020"]]},"page":"54-64","title":"Phylogeny of the comb-tooth blenny genus Scartella (Blenniiformes: Blenniidae) reveals several cryptic lineages and a trans-Atlantic relationship","type":"article-journal","volume":"190"},"uris":["http://www.mendeley.com/documents/?uuid=b776f681-ec61-4ea0-8cde-3bea7c41561e"]},{"id":"ITEM-3","itemData":{"DOI":"10.1073/pnas.0901648106","ISSN":"10916490","PMID":"19897730","abstract":"Traits that enable species to persist in ecological environments are often maintained over time, a phenomenon known as niche conservatism. Here we argue that ecological niches function at levels above species, notably at the level of genus for mammals, and that niche conservatism is also evident above the species level. Using the proxy of geographic range size, we explore changes in the realized niche of North American mammalian genera and families across the major climatic transition represented by the last glacial-interglacial transition. We calculate the mean and variance of range size for extant mammalian genera and families, rank them by range size, and estimate the change in range size and rank during the late Pleistocene and late Holocene. We demonstrate that range size at the genus and family levels was surprisingly constant over this period despite range shifts and extinctions of species within the clades. We suggest that underlying controls on niche conservatism may be different at these higher taxonomic levels than at the species level. Niche conservatism at higher levels seems primarily controlled by intrinsic life history traits, whereas niche conservatism at the species level may reflect underlying environmental controls. These results highlight the critical importance of conserving the biodiversity of mammals at the genus level and of maintaining an adequate species pool within genera.","author":[{"dropping-particle":"","family":"Hadly","given":"Elizabeth A.","non-dropping-particle":"","parse-names":false,"suffix":""},{"dropping-particle":"","family":"Spaeth","given":"Paula A.","non-dropping-particle":"","parse-names":false,"suffix":""},{"dropping-particle":"","family":"Li","given":"Cheng","non-dropping-particle":"","parse-names":false,"suffix":""}],"container-title":"Proceedings of the National Academy of Sciences of the United States of America","id":"ITEM-3","issue":"SUPPL. 2","issued":{"date-parts":[["2009"]]},"page":"19707-19714","title":"Niche conservatism above the species level","type":"article-journal","volume":"106"},"uris":["http://www.mendeley.com/documents/?uuid=46be5b21-421f-4778-828c-539555678384"]},{"id":"ITEM-4","itemData":{"DOI":"10.1146/annurev.ecolsys.36.102803.095431","ISSN":"00664162","abstract":"Niche conservatism is the tendency of species to retain ancestral ecological characteristics. In the recent literature, a debate has emerged as to whether niches are conserved. We suggest that simply testing whether niches are conserved is not by itself particularly helpful or interesting and that a more useful focus is on the patterns that niche conservatism may (or may not) create. We focus specifically on how niche conservatism in climatic tolerances may limit geographic range expansion and how this one type of niche conservatism may be important in (a) allopatric speciation, (b) historical biogeography, (c) patterns of species richness, (d) community structure, (e) the spread of invasive, human-introduced species, (f) responses of species to global climate change, and (g) human history, from 13,000 years ago to the present. We describe how these effects of niche conservatism can be examined with new tools for ecological niche modeling. Copyright © 2005 by Annual Reviews. All rights reserved.","author":[{"dropping-particle":"","family":"Wiens","given":"John J.","non-dropping-particle":"","parse-names":false,"suffix":""},{"dropping-particle":"","family":"Graham","given":"Catherine H.","non-dropping-particle":"","parse-names":false,"suffix":""}],"container-title":"Annual Review of Ecology, Evolution, and Systematics","id":"ITEM-4","issued":{"date-parts":[["2005"]]},"page":"519-539","title":"Niche conservatism: Integrating evolution, ecology, and conservation biology","type":"article-journal","volume":"36"},"uris":["http://www.mendeley.com/documents/?uuid=74e35c7f-56c7-4bbc-91f4-28fb57be8a62"]}],"mendeley":{"formattedCitation":"(53–56)","plainTextFormattedCitation":"(53–56)","previouslyFormattedCitation":"(53–56)"},"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(53–56)</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In contrast, the presence of both phylogeographic patterns and slightly detectable phenotypic variation between the saddled and the Noronha scaly blennies (Figs. </w:t>
      </w:r>
      <w:r w:rsidR="00E6459A">
        <w:rPr>
          <w:rFonts w:asciiTheme="majorBidi" w:hAnsiTheme="majorBidi" w:cstheme="majorBidi"/>
          <w:sz w:val="24"/>
          <w:szCs w:val="24"/>
        </w:rPr>
        <w:t>3.</w:t>
      </w:r>
      <w:r w:rsidRPr="001E1B3B">
        <w:rPr>
          <w:rFonts w:asciiTheme="majorBidi" w:hAnsiTheme="majorBidi" w:cstheme="majorBidi"/>
          <w:sz w:val="24"/>
          <w:szCs w:val="24"/>
        </w:rPr>
        <w:t xml:space="preserve">4C and S29) may arise from biological mechanisms like environmental local adaptation or divergent sexual selection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{"citationItems":[{"id":"ITEM-1","itemData":{"DOI":"10.1073/pnas.1602237113","ISSN":"1091-6490","PMID":"27432983","abstract":"Almost 30 y ago, the field of intraspecific phylogeography laid the foundation for spatially explicit and genealogically informed studies of population divergence. With new methods and markers, the focus in phylogeography shifted to previously unrecognized geographic genetic variation, thus reducing the attention paid to phenotypic variation in those same diverging lineages. Although phenotypic differences among lineages once provided the main data for studies of evolutionary change, the mechanisms shaping phenotypic differentiation and their integration with intraspecific genetic structure have been underexplored in phylogeographic studies. However, phenotypes are targets of selection and play important roles in species performance, recognition, and diversification. Here, we focus on three questions. First, how can phenotypes elucidate mechanisms underlying concordant or idiosyncratic responses of vertebrate species evolving in shared landscapes? Second, what mechanisms underlie the concordance or discordance of phenotypic and phylogeographic differentiation? Third, how can phylogeography contribute to our understanding of functional phenotypic evolution? We demonstrate that the integration of phenotypic data extends the reach of phylogeography to explain the origin and maintenance of biodiversity. Finally, we stress the importance of natural history collections as sources of high-quality phenotypic data that span temporal and spatial axes.","author":[{"dropping-particle":"","family":"Zamudio","given":"Kelly R","non-dropping-particle":"","parse-names":false,"suffix":""},{"dropping-particle":"","family":"Bell","given":"Rayna C","non-dropping-particle":"","parse-names":false,"suffix":""},{"dropping-particle":"","family":"Mason","given":"Nicholas A","non-dropping-particle":"","parse-names":false,"suffix":""}],"container-title":"Proceedings of the National Academy of Sciences of the United States of America","id":"ITEM-1","issue":"29","issued":{"date-parts":[["2016"]]},"page":"8041-8","title":"Phenotypes in phylogeography: Species' traits, environmental variation, and vertebrate diversification.","type":"article-journal","volume":"113"},"uris":["http://www.mendeley.com/documents/?uuid=ff4db238-226d-4b1a-8d73-db3cff5d5c34"]}],"mendeley":{"formattedCitation":"(2)","plainTextFormattedCitation":"(2)","previouslyFormattedCitation":"(2)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As expected, these analyses provide less resolution than our genomic data, highlighting the limitations of integrating phenotypes into phylogeographic studies.</w:t>
      </w:r>
    </w:p>
    <w:p w14:paraId="39E8D0C7" w14:textId="040B9806" w:rsidR="001E1B3B" w:rsidRPr="001E1B3B" w:rsidRDefault="001E1B3B" w:rsidP="00E6459A">
      <w:pPr>
        <w:ind w:firstLine="720"/>
        <w:jc w:val="both"/>
        <w:rPr>
          <w:rFonts w:asciiTheme="majorBidi" w:hAnsiTheme="majorBidi" w:cstheme="majorBidi"/>
          <w:sz w:val="24"/>
          <w:szCs w:val="24"/>
        </w:rPr>
      </w:pPr>
      <w:r w:rsidRPr="001E1B3B">
        <w:rPr>
          <w:rFonts w:asciiTheme="majorBidi" w:hAnsiTheme="majorBidi" w:cstheme="majorBidi"/>
          <w:sz w:val="24"/>
          <w:szCs w:val="24"/>
        </w:rPr>
        <w:t xml:space="preserve">Our seascape genomic analyses of the throat-spotted blenny align with ecological hypotheses confirming that biogeographical provinces in the TEP exhibit unique seascape compositions (Fig. </w:t>
      </w:r>
      <w:r w:rsidR="00E6459A">
        <w:rPr>
          <w:rFonts w:asciiTheme="majorBidi" w:hAnsiTheme="majorBidi" w:cstheme="majorBidi"/>
          <w:sz w:val="24"/>
          <w:szCs w:val="24"/>
        </w:rPr>
        <w:t>3.</w:t>
      </w:r>
      <w:r w:rsidRPr="001E1B3B">
        <w:rPr>
          <w:rFonts w:asciiTheme="majorBidi" w:hAnsiTheme="majorBidi" w:cstheme="majorBidi"/>
          <w:sz w:val="24"/>
          <w:szCs w:val="24"/>
        </w:rPr>
        <w:t>3A</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 xml:space="preserve">B). Specifically, the Cortez province undergoes significant fluctuations in sea surface temperatures across the year. In turn, the Mexican province presents variations in average chlorophyll </w:t>
      </w:r>
      <w:r w:rsidRPr="001E1B3B">
        <w:rPr>
          <w:rFonts w:asciiTheme="majorBidi" w:hAnsiTheme="majorBidi" w:cstheme="majorBidi"/>
          <w:sz w:val="24"/>
          <w:szCs w:val="24"/>
        </w:rPr>
        <w:sym w:font="Symbol" w:char="F061"/>
      </w:r>
      <w:r w:rsidRPr="001E1B3B">
        <w:rPr>
          <w:rFonts w:asciiTheme="majorBidi" w:hAnsiTheme="majorBidi" w:cstheme="majorBidi"/>
          <w:sz w:val="24"/>
          <w:szCs w:val="24"/>
        </w:rPr>
        <w:t xml:space="preserve"> values and temperature during the hottest months of the year. These data suggest that populations on either side of the SB barrier have undergone local adaptation, exhibiting different ecological requirements. Noteworthy, changes in temperature and chlorophyll </w:t>
      </w:r>
      <w:r w:rsidRPr="001E1B3B">
        <w:rPr>
          <w:rFonts w:asciiTheme="majorBidi" w:hAnsiTheme="majorBidi" w:cstheme="majorBidi"/>
          <w:sz w:val="24"/>
          <w:szCs w:val="24"/>
        </w:rPr>
        <w:sym w:font="Symbol" w:char="F061"/>
      </w:r>
      <w:r w:rsidRPr="001E1B3B">
        <w:rPr>
          <w:rFonts w:asciiTheme="majorBidi" w:hAnsiTheme="majorBidi" w:cstheme="majorBidi"/>
          <w:sz w:val="24"/>
          <w:szCs w:val="24"/>
        </w:rPr>
        <w:t xml:space="preserve"> levels are considered to play a pivotal role in ecological diversification within marine ecosystems </w:t>
      </w:r>
      <w:r w:rsidRPr="001E1B3B">
        <w:rPr>
          <w:rFonts w:asciiTheme="majorBidi" w:hAnsiTheme="majorBidi" w:cstheme="majorBidi"/>
          <w:sz w:val="24"/>
          <w:szCs w:val="24"/>
        </w:rPr>
        <w:lastRenderedPageBreak/>
        <w:fldChar w:fldCharType="begin" w:fldLock="1"/>
      </w:r>
      <w:r w:rsidRPr="001E1B3B">
        <w:rPr>
          <w:rFonts w:asciiTheme="majorBidi" w:hAnsiTheme="majorBidi" w:cstheme="majorBidi"/>
          <w:sz w:val="24"/>
          <w:szCs w:val="24"/>
        </w:rPr>
        <w:instrText>ADDIN CSL_CITATION {"citationItems":[{"id":"ITEM-1","itemData":{"DOI":"10.1371/journal.pone.0031482","ISSN":"19326203","PMID":"22319634","abstract":"Identifying which factors shape the distribution of intraspecific genetic diversity is central in evolutionary and conservation biology. In the marine realm, the absence of obvious barriers to dispersal can make this task more difficult. Nevertheless, recent studies have provided valuable insights into which factors may be shaping genetic structure in the world's oceans. These studies were, however, generally conducted on marine organisms with larval dispersal. Here, using a seascape genetics approach, we show that marine productivity and sea surface temperature are correlated with genetic structure in a highly mobile, widely distributed marine mammal species, the short-beaked common dolphin. Isolation by distance also appears to influence population divergence over larger geographical scales (i.e. across different ocean basins). We suggest that the relationship between environmental variables and population structure may be caused by prey behaviour, which is believed to determine common dolphins' movement patterns and preferred associations with certain oceanographic conditions. Our study highlights the role of oceanography in shaping genetic structure of a highly mobile and widely distributed top marine predator. Thus, seascape genetic studies can potentially track the biological effects of ongoing climate-change at oceanographic interfaces and also inform marine reserve design in relation to the distribution and genetic connectivity of charismatic and ecologically important megafauna. © 2012 Amaral et al.","author":[{"dropping-particle":"","family":"Amaral","given":"Ana R.","non-dropping-particle":"","parse-names":false,"suffix":""},{"dropping-particle":"","family":"Beheregaray","given":"Luciano B.","non-dropping-particle":"","parse-names":false,"suffix":""},{"dropping-particle":"","family":"Bilgmann","given":"Kerstin","non-dropping-particle":"","parse-names":false,"suffix":""},{"dropping-particle":"","family":"Boutov","given":"Dmitri","non-dropping-particle":"","parse-names":false,"suffix":""},{"dropping-particle":"","family":"Freitas","given":"Luís","non-dropping-particle":"","parse-names":false,"suffix":""},{"dropping-particle":"","family":"Robertson","given":"Kelly M.","non-dropping-particle":"","parse-names":false,"suffix":""},{"dropping-particle":"","family":"Sequeira","given":"Marina","non-dropping-particle":"","parse-names":false,"suffix":""},{"dropping-particle":"","family":"Stockin","given":"Karen A.","non-dropping-particle":"","parse-names":false,"suffix":""},{"dropping-particle":"","family":"Coelho","given":"M. Manuela","non-dropping-particle":"","parse-names":false,"suffix":""},{"dropping-particle":"","family":"Möller","given":"Luciana M.","non-dropping-particle":"","parse-names":false,"suffix":""}],"container-title":"PLoS ONE","id":"ITEM-1","issue":"2","issued":{"date-parts":[["2012"]]},"title":"Seascape genetics of a globally distributed, highly mobile marine mammal: The short-beaked common dolphin (genus delphinus)","type":"article-journal","volume":"7"},"uris":["http://www.mendeley.com/documents/?uuid=cd33219c-5fbf-46e1-acb4-8d2bdd5a0485"]}],"mendeley":{"formattedCitation":"(57)","plainTextFormattedCitation":"(57)","previouslyFormattedCitation":"(57)"},"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(57)</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In contrast, seascape configuration features were responsible for separating populations across the Panamic and Galápagos provinces. At the interspecific level, depth was the strongest variable promoting speciation in this region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3C). These results also suggest that labrisomid blennies are habitat specific, represented mainly by tide-pool or reef-associated species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4). In this scenario, diversification processes may be related to intertidal species having a higher resilience to environmental changes as they are subjected to dramatic fluctuations in temperature, salinity and dissolved oxygen levels during daytime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{"citationItems":[{"id":"ITEM-1","itemData":{"DOI":"10.1007/s10641-014-0269-0","ISBN":"1064101402","author":[{"dropping-particle":"","family":"Macieira","given":"Raphael M","non-dropping-particle":"","parse-names":false,"suffix":""},{"dropping-particle":"","family":"Simon","given":"Thiony","non-dropping-particle":"","parse-names":false,"suffix":""},{"dropping-particle":"","family":"Pimentel","given":"Caio R","non-dropping-particle":"","parse-names":false,"suffix":""},{"dropping-particle":"","family":"Joyeux","given":"Jean-christophe","non-dropping-particle":"","parse-names":false,"suffix":""}],"id":"ITEM-1","issued":{"date-parts":[["2014"]]},"title":"Isolation and speciation of tidepool fishes as a consequence of Quaternary sea-level fluctuations","type":"article-journal"},"uris":["http://www.mendeley.com/documents/?uuid=59bbef58-51fe-46cc-9533-4b73a60fef49"]}],"mendeley":{"formattedCitation":"(58)","plainTextFormattedCitation":"(58)","previouslyFormattedCitation":"(58)"},"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(58)</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w:t>
      </w:r>
    </w:p>
    <w:p w14:paraId="339E28F4" w14:textId="36BCA81A" w:rsidR="001E1B3B" w:rsidRPr="001E1B3B" w:rsidRDefault="001E1B3B" w:rsidP="00E6459A">
      <w:pPr>
        <w:ind w:firstLine="720"/>
        <w:jc w:val="both"/>
        <w:rPr>
          <w:rFonts w:asciiTheme="majorBidi" w:hAnsiTheme="majorBidi" w:cstheme="majorBidi"/>
          <w:sz w:val="24"/>
          <w:szCs w:val="24"/>
        </w:rPr>
      </w:pPr>
      <w:r w:rsidRPr="001E1B3B">
        <w:rPr>
          <w:rFonts w:asciiTheme="majorBidi" w:hAnsiTheme="majorBidi" w:cstheme="majorBidi"/>
          <w:sz w:val="24"/>
          <w:szCs w:val="24"/>
        </w:rPr>
        <w:t xml:space="preserve">Genotype association analyses conducted at the intraspecific level on the saddled blenny (Fig. </w:t>
      </w:r>
      <w:r w:rsidR="00E6459A">
        <w:rPr>
          <w:rFonts w:asciiTheme="majorBidi" w:hAnsiTheme="majorBidi" w:cstheme="majorBidi"/>
          <w:sz w:val="24"/>
          <w:szCs w:val="24"/>
        </w:rPr>
        <w:t>3.</w:t>
      </w:r>
      <w:r w:rsidRPr="001E1B3B">
        <w:rPr>
          <w:rFonts w:asciiTheme="majorBidi" w:hAnsiTheme="majorBidi" w:cstheme="majorBidi"/>
          <w:sz w:val="24"/>
          <w:szCs w:val="24"/>
        </w:rPr>
        <w:t>3D</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 xml:space="preserve">E) differentiate the populations of the Gulf of Mexico based on variations in temperature during the hottest and coldest months of the year. This observation aligns with previous studies suggesting that cooler temperatures during winter affect fish distributions in this region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{"citationItems":[{"id":"ITEM-1","itemData":{"DOI":"10.1371/journal.pone.0102918","author":[{"dropping-particle":"","family":"Robertson","given":"D Ross","non-dropping-particle":"","parse-names":false,"suffix":""},{"dropping-particle":"","family":"Cramer","given":"Katie L","non-dropping-particle":"","parse-names":false,"suffix":""}],"container-title":"PLoS ONE","id":"ITEM-1","issue":"7","issued":{"date-parts":[["2014"]]},"title":"Defining and Dividing the Greater Caribbean : Insights from the Biogeography of Shorefishes","type":"article-journal","volume":"9"},"uris":["http://www.mendeley.com/documents/?uuid=c7950928-07af-4d2a-8d99-2a7f8e3dba85"]}],"mendeley":{"formattedCitation":"(17)","plainTextFormattedCitation":"(17)","previouslyFormattedCitation":"(17)"},"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(17)</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These locations are also affected by factors such as sea current velocity and sea configuration features, while areas along the coasts of Central America and northern South America display distinct levels of suspended particulate matter. The remaining populations are primarily segregated by variations in temperature and sea configuration characteristics. At interspecific levels, major environmental factors promoting speciation include depth, suspended particle matter, chlorophyll </w:t>
      </w:r>
      <w:r w:rsidRPr="001E1B3B">
        <w:rPr>
          <w:rFonts w:asciiTheme="majorBidi" w:hAnsiTheme="majorBidi" w:cstheme="majorBidi"/>
          <w:sz w:val="24"/>
          <w:szCs w:val="24"/>
        </w:rPr>
        <w:sym w:font="Symbol" w:char="F061"/>
      </w:r>
      <w:r w:rsidRPr="001E1B3B">
        <w:rPr>
          <w:rFonts w:asciiTheme="majorBidi" w:hAnsiTheme="majorBidi" w:cstheme="majorBidi"/>
          <w:sz w:val="24"/>
          <w:szCs w:val="24"/>
        </w:rPr>
        <w:t xml:space="preserve"> levels, and seascape physical features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3F). Overall, our seascape genomic analyses suggest that environmental associations in the TA are more complex than those in the TEP. This aligns with the observation that species distributions in the TEP are primarily allopatric, whereas in the TA, there is a significant overlap in species distributions, indicating a more dynamic interplay of environmental factors influencing diversification across large areas in the region. In the TEP, habitat types are predominantly dominated by reef or tide-pool environments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{"citationItems":[{"id":"ITEM-1","itemData":{"author":[{"dropping-particle":"","family":"Hastings","given":"Philip A","non-dropping-particle":"","parse-names":false,"suffix":""}],"container-title":"Zoological Journal of the Linnean Society","id":"ITEM-1","issued":{"date-parts":[["2000"]]},"page":"319-335","title":"Biogeography of the Tropical Eastern Pacific : distribution and phylogeny of chaenopsid fishes","type":"article-journal","volume":"128"},"uris":["http://www.mendeley.com/documents/?uuid=adfe0f8f-5f0b-4a86-8324-8cc7d41aa829"]},{"id":"ITEM-2","itemData":{"DOI":"10.3354/meps07925","author":[{"dropping-particle":"","family":"April","given":"Published","non-dropping-particle":"","parse-names":false,"suffix":""},{"dropping-particle":"","family":"Pen","given":"O","non-dropping-particle":"","parse-names":false,"suffix":""},{"dropping-particle":"","family":"Robertson","given":"D Ross","non-dropping-particle":"","parse-names":false,"suffix":""},{"dropping-particle":"","family":"Cramer","given":"Katie L","non-dropping-particle":"","parse-names":false,"suffix":""}],"id":"ITEM-2","issue":"Ekman 1953","issued":{"date-parts":[["2009"]]},"page":"1-17","title":"Shore fishes and biogeographic subdivisions of the Tropical Eastern Pacific","type":"article-journal","volume":"380"},"uris":["http://www.mendeley.com/documents/?uuid=4d7cd0b3-01a3-41c3-9ff2-6baa1bd29794"]}],"mendeley":{"formattedCitation":"(13, 18)","plainTextFormattedCitation":"(13, 18)","previouslyFormattedCitation":"(13, 18)"},"properties":{"noteIndex":0},"schema":"https://github.com/citation-style-language/schema/raw/master/csl-citation.json"}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(13, 18)</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However, in the TA, several labrisomid blennies are also associated to rubble-sandy bottoms or sea grass beds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Hubbs","type":"thesis"},"uris":["http://www.mendeley.com/documents/?uuid=2bbfe69c-07bb-49dc-a59b-8bc4e67312a5"]},{"id":"ITEM-2","itemData":{"DOI":"10.1371/journal.pone.0102918","author":[{"dropping-particle":"","family":"Robertson","given":"D Ross","non-dropping-particle":"","parse-names":false,"suffix":""},{"dropping-particle":"","family":"Cramer","given":"Katie L","non-dropping-particle":"","parse-names":false,"suffix":""}],"container-title":"PLoS ONE","id":"ITEM-2","issue":"7","issued":{"date-parts":[["2014"]]},"title":"Defining and Dividing the Greater Caribbean : Insights from the Biogeography of Shorefishes","type":"article-journal","volume":"9"},"uris":["http://www.mendeley.com/documents/?uuid=c7950928-07af-4d2a-8d99-2a7f8e3dba85"]}],"mendeley":{"formattedCitation":"(12, 17)","plainTextFormattedCitation":"(12, 17)","previouslyFormattedCitation":"(12, 17)"},"properties":{"noteIndex":0},"schema":"https://github.com/citation-style-language/schema/raw/master/csl-citation.json"}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(12, 17)</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w:t>
      </w:r>
    </w:p>
    <w:p w14:paraId="5595D721" w14:textId="02AD631F" w:rsidR="001E1B3B" w:rsidRPr="001E1B3B" w:rsidRDefault="001E1B3B" w:rsidP="00E6459A">
      <w:pPr>
        <w:ind w:firstLine="720"/>
        <w:jc w:val="both"/>
        <w:rPr>
          <w:rFonts w:asciiTheme="majorBidi" w:hAnsiTheme="majorBidi" w:cstheme="majorBidi"/>
          <w:sz w:val="24"/>
          <w:szCs w:val="24"/>
        </w:rPr>
      </w:pPr>
      <w:r w:rsidRPr="001E1B3B">
        <w:rPr>
          <w:rFonts w:asciiTheme="majorBidi" w:hAnsiTheme="majorBidi" w:cstheme="majorBidi"/>
          <w:sz w:val="24"/>
          <w:szCs w:val="24"/>
        </w:rPr>
        <w:t xml:space="preserve">At the macroevolutionary level, our ancestral range reconstruction analyses place the origin of the genus in the eastern Atlantic around 30 Mya (event 1;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4C). The transatlantic dispersal occurred from Cabo Verde, Africa, following an east-to-west trajectory probably linked to the flow of oceanic currents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mendeley":{"formattedCitation":"(12)","plainTextFormattedCitation":"(12)","previouslyFormattedCitation":"(12)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While a higher species richness in the Americas might suggest a center of origin in this hemisphere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mendeley":{"formattedCitation":"(12)","plainTextFormattedCitation":"(12)","previouslyFormattedCitation":"(12)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our analyses invariably place the African species as the oldest lineage in the genus, supporting an east-to-west dispersal. This out-of-Africa pattern of colonization of the Caribbean has also been observed in other blennies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{"citationItems":[{"id":"ITEM-1","itemData":{"DOI":"10.1093/zoolinnean/zlz142","ISSN":"10963642","abstract":"Here we present the first phylogeny of the genus Scartella based on mitochondrial data. The analysis strongly corroborates the validity of all species of the genus and shows that Scartella cristata, a species with a disjunct distribution, is a lineage complex comprising five clades: two in Caribbean waters, another in the East Atlantic/ Mediterranean and two in Brazil. Brazilian clades occur in sympatry from Rio de Janeiro to Rio Grande do Sul states (southern Brazil). One clade (BRA 1) is unique to Brazil, while the other (BRA 2) is closely related to the eastern Atlantic lineage. Possible explanations for this pattern include both natural and anthropic mechanisms.","author":[{"dropping-particle":"","family":"Araujo","given":"G. S.","non-dropping-particle":"","parse-names":false,"suffix":""},{"dropping-particle":"","family":"Vilasboa","given":"A.","non-dropping-particle":"","parse-names":false,"suffix":""},{"dropping-particle":"","family":"Britto","given":"M. R.","non-dropping-particle":"","parse-names":false,"suffix":""},{"dropping-particle":"","family":"Bernardi","given":"G.","non-dropping-particle":"","parse-names":false,"suffix":""},{"dropping-particle":"","family":"Heyden","given":"S.","non-dropping-particle":"von der","parse-names":false,"suffix":""},{"dropping-particle":"","family":"Levy","given":"A.","non-dropping-particle":"","parse-names":false,"suffix":""},{"dropping-particle":"","family":"Floeter","given":"S. R.","non-dropping-particle":"","parse-names":false,"suffix":""}],"container-title":"Zoological Journal of the Linnean Society","id":"ITEM-1","issue":"1","issued":{"date-parts":[["2020"]]},"page":"54-64","title":"Phylogeny of the comb-tooth blenny genus Scartella (Blenniiformes: Blenniidae) reveals several cryptic lineages and a trans-Atlantic relationship","type":"article-journal","volume":"190"},"uris":["http://www.mendeley.com/documents/?uuid=b776f681-ec61-4ea0-8cde-3bea7c41561e"]},{"id":"ITEM-2","itemData":{"DOI":"10.1016/j.ympev.2023.107933","ISSN":"10959513","abstract":"As some of the smallest vertebrates, yet largest producers of consumed reef biomass, cryptobenthic reef fishes serve a disproportionate role in reef ecosystems and are one of the most poorly understood groups of fish. The blenny genera Hypleurochilus and Parablennius are currently considered paraphyletic and the interrelationships of Parablennius have been the focus of recent phylogenetic studies. However, the interrelationships of Hypleurochilus remain understudied. This genus is transatlantically distributed and comprises 11 species with a convoluted taxonomic history. In this study, relationships for ten Hypleurochilus species are resolved using multi-locus nuclear and mtDNA sequence data, morphological data, and mined COI barcode data. Mitochondrial and nuclear sequence data from 61 individuals collected from the western Atlantic and northern Gulf of Mexico (N. GoM) delimit seven species into a temperate clade, a tropical clade, and a third distinct lineage. This lineage, herein referred to as H. cf. aequipinnis, may represent a species of Hypleurochilus whose range has expanded into the N. GoM. Inclusion of publicly available COI sequence for an additional three species provides further phylogenetic resolution. H. bananensis forms a new eastern Atlantic clade with H. cf. aequipinnis, providing further evidence for a western Atlantic range expansion. Single marker COI delimitation was unable to elucidate the relationships between H. springeri/H. pseudoaequipinnis and between H. multifilis/H. caudovittatus due to incomplete lineage sorting. Mitochondrial data are also unable to accurately resolve the placement of H. bermudensis. However, a comprehensive approach using multi-locus phylogenetic and species delimitation methods was able to resolve these relationships. While mining publicly available sequence data allowed for the inclusion of an increased number of species in the analysis and a more comprehensive phylogeny, it was not without drawbacks, as a handful of sequences are potentially mis-identified. Overall, we find that the recent divergence of some species within this genus and potential introgression events confound the results of single locus delimitation methods, yet a combination of single and multi-locus analyses has allowed for insights into the biogeography of this genus and uncovered a potential transatlantic range expansion.","author":[{"dropping-particle":"","family":"Carter","given":"Joshua E.","non-dropping-particle":"","parse-names":false,"suffix":""},{"dropping-particle":"","family":"Sporre","given":"Megan A.","non-dropping-particle":"","parse-names":false,"suffix":""},{"dropping-particle":"","family":"Eytan","given":"Ron I.","non-dropping-particle":"","parse-names":false,"suffix":""}],"container-title":"Molecular Phylogenetics and Evolution","id":"ITEM-2","issue":"September","issued":{"date-parts":[["2023"]]},"publisher":"Elsevier Inc.","title":"Phylogenetic review of the comb-tooth blenny genus Hypleurochilus in the northwest Atlantic and Gulf of Mexico","type":"article-journal","volume":"189"},"uris":["http://www.mendeley.com/documents/?uuid=3ae86a19-81d2-40c7-ba52-0771c694191c"]}],"mendeley":{"formattedCitation":"(54, 59)","plainTextFormattedCitation":"(54, 59)","previouslyFormattedCitation":"(54, 59)"},"properties":{"noteIndex":0},"schema":"https://github.com/citation-style-language/schema/raw/master/csl-citation.json"}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(54, 59)</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as well as other reef fishes such as porgies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{"citationItems":[{"id":"ITEM-1","itemData":{"DOI":"10.1006/jfbi.2001.1796","ISSN":"00221112","abstract":"Phylogenetic analyses, using 482 bp of the mitochondrial 16S rDNA and 461 bp of the control region of 16 Diplodus species and Oblada melanura, Pagellus bogaraveo and Pagellus acarne, all close relatives of Diplodus, identified the two representatives of Pagellus as the sister group of Diplodus. Oblada melanura was confirmed as the sister taxon of D. puntazzo, despite its different dental morphology and ecology. Within the genus Diplodus, three clades were identified, the first containing D. annularis and D. bellottii, the second D. vulgaris and D. prayensis, and the third comprising three subclades. These were formed by O. melanura clustering with D. puntazzo, D. fasciatus with D. cervinus, and by the Diplodus sargus sub-species assemblage which also included the West Atlantic taxa D. argenteus, D. bermudensis, D. holbrooki, and the Red Sea endemic D. noct. All members of the D. sargus assemblage were genetically closely related. Among them, D. sargus lineatus from the Cape Verde islands was resolved as most ancestral branch, pointing to the possibility that the diversification and spread of the D. sargus assemblage originated in this region. The hypothesis of stepwise speciation following colonization events within the D. sargus complex is fully supported by phylogenetic reconstruction. © 2001 The Fisheries Society of the British Isles.","author":[{"dropping-particle":"","family":"Summerer","given":"M.","non-dropping-particle":"","parse-names":false,"suffix":""},{"dropping-particle":"","family":"Hanel","given":"R.","non-dropping-particle":"","parse-names":false,"suffix":""},{"dropping-particle":"","family":"Sturmbauer","given":"Christian","non-dropping-particle":"","parse-names":false,"suffix":""}],"container-title":"Journal of Fish Biology","id":"ITEM-1","issue":"6","issued":{"date-parts":[["2001"]]},"page":"1638-1652","title":"Mitochondrial phylogeny and biogeographic affinities of sea breams of the genus Diplodus (Sparidae)","type":"article-journal","volume":"59"},"uris":["http://www.mendeley.com/documents/?uuid=5d8aa18f-7dfe-4e97-92c9-a22a7afdab37"]}],"mendeley":{"formattedCitation":"(60)","plainTextFormattedCitation":"(60)","previouslyFormattedCitation":"(60)"},"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(60)</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Approximately </w:t>
      </w:r>
      <w:r w:rsidRPr="001E1B3B">
        <w:rPr>
          <w:rFonts w:asciiTheme="majorBidi" w:hAnsiTheme="majorBidi" w:cstheme="majorBidi"/>
          <w:i/>
          <w:iCs/>
          <w:sz w:val="24"/>
          <w:szCs w:val="24"/>
        </w:rPr>
        <w:t>ca.</w:t>
      </w:r>
      <w:r w:rsidRPr="001E1B3B">
        <w:rPr>
          <w:rFonts w:asciiTheme="majorBidi" w:hAnsiTheme="majorBidi" w:cstheme="majorBidi"/>
          <w:sz w:val="24"/>
          <w:szCs w:val="24"/>
        </w:rPr>
        <w:t xml:space="preserve"> 20</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 xml:space="preserve">18 Mya, clade-A colonized the Greater Caribbean region, initially occupying an ancestral area that consisted of the Panamic and Central provinces, before expanding northwards in the Pacific. A similar, albeit more recent, dispersal pattern has been observed in the redhead goby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{"citationItems":[{"id":"ITEM-1","itemData":{"DOI":"10.1016/j.ympev.2018.10.020","ISSN":"10959513","abstract":"Habitat discontinuities, temperature gradients, upwelling systems, and ocean currents, gyres and fronts, can affect distributions of species with narrow environmental tolerance or motility and influence the dispersal of pelagic larvae, with effects ranging from the isolation of adjacent populations to connections between them. The coast of the Tropical Eastern Pacific (TEP) is a highly dynamic environment, with various large gyres and upwelling systems, alternating currents and large rocky-habitat discontinuities, which may greatly influence the genetic connectivity of populations in different parts of the coast. Elacatinus puncticulatus is a cryptic, shallow-living goby that is distributed along the continental shore of virtually the entire TEP, which makes it a good model for testing the influence of these environmental characteristics in the molecular evolution of widespread species in this region. A multilocus phylogeny was used to evaluate the influence of habitat gaps, and oceanographic processes in the evolutionary history of E. puncticulatus throughout its geographical range in the TEP. Two well-supported allopatric clades (one with two allopatric subclades) were recovered, the geographic distribution of which does not correspond to any previously proposed major biogeographic provinces. These populations show strong genetic structure and substantial genetic distances between clades and sub-clades (cytb 0.8–7.3%), with divergence times between them ranging from 0.53 to 4.88 Mya, and recent population expansions dated at 170–130 Kya. The ancestral area of all populations appears to be the Gulf of Panama, while several isolation events have formed the phylogeographic patterns evident in this species. Local and regional oceanographic processes as well as habitat discontinuities have shaped the distribution patterns of the genetic lineages along the continental TEP. Large genetic distances, high genetic differentiation, and the results of species-tree and phylogenetic analyses indicate that E. puncticulatus comprises a complex of three allopatric species with an unusual geographic arrangement.","author":[{"dropping-particle":"","family":"Sandoval-Huerta","given":"E. R.","non-dropping-particle":"","parse-names":false,"suffix":""},{"dropping-particle":"","family":"Beltrán-López","given":"R. G.","non-dropping-particle":"","parse-names":false,"suffix":""},{"dropping-particle":"","family":"Pedraza-Marrón","given":"C. R.","non-dropping-particle":"","parse-names":false,"suffix":""},{"dropping-particle":"","family":"Paz-Velásquez","given":"M. A.","non-dropping-particle":"","parse-names":false,"suffix":""},{"dropping-particle":"","family":"Angulo","given":"A.","non-dropping-particle":"","parse-names":false,"suffix":""},{"dropping-particle":"","family":"Robertson","given":"D. R.","non-dropping-particle":"","parse-names":false,"suffix":""},{"dropping-particle":"","family":"Espinoza","given":"E.","non-dropping-particle":"","parse-names":false,"suffix":""},{"dropping-particle":"","family":"Domínguez-Domínguez","given":"O.","non-dropping-particle":"","parse-names":false,"suffix":""}],"container-title":"Molecular Phylogenetics and Evolution","id":"ITEM-1","issue":"May 2018","issued":{"date-parts":[["2019"]]},"page":"269-285","publisher":"Elsevier","title":"The evolutionary history of the goby Elacatinus puncticulatus in the tropical eastern pacific: Effects of habitat discontinuities and local environmental variability","type":"article-journal","volume":"130"},"uris":["http://www.mendeley.com/documents/?uuid=208f8326-03fb-4a29-a3a4-6413277c0e7b"]}],"mendeley":{"formattedCitation":"(15)","plainTextFormattedCitation":"(15)","previouslyFormattedCitation":"(15)"},"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(15)</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Clade B1 settled within the Cortez-Mexican provinces, later dispersing into the Galapagos Archipelago (event 3;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4C), while Clade B2 experienced cladogenetic events triggered by the rise of the Isthmus of Panama, resulting in sister lineages on both sides of the Isthmus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4A), represented by a geminate species pair (TIg) and a transisthmian clade (TIc). The formation of the isthmus is considered one of the most significant geological events, acting as a historical marine barrier that unchained species diversification strongly impacting marine organisms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{"citationItems":[{"id":"ITEM-1","itemData":{"DOI":"10.1146/annurev.ecolsys.38.091206.095815","author":[{"dropping-particle":"","family":"Lessios","given":"H A","non-dropping-particle":"","parse-names":false,"suffix":""}],"container-title":"The Annual Review of Ecology, Evolution, and Systematics","id":"ITEM-1","issued":{"date-parts":[["2008"]]},"title":"The Great American Schism : Divergence of Marine Organisms After the Rise of the Central American Isthmus","type":"article-journal"},"uris":["http://www.mendeley.com/documents/?uuid=3b7315a4-fafe-4010-8d5c-709c06e198b7"]}],"mendeley":{"formattedCitation":"(61)","plainTextFormattedCitation":"(61)","previouslyFormattedCitation":"(61)"},"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(61)</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The emergence of the land was a gradual process, facilitating the connection and disconnection of the Pacific and Atlantic oceans that culminated </w:t>
      </w:r>
      <w:r w:rsidRPr="001E1B3B">
        <w:rPr>
          <w:rFonts w:asciiTheme="majorBidi" w:hAnsiTheme="majorBidi" w:cstheme="majorBidi"/>
          <w:sz w:val="24"/>
          <w:szCs w:val="24"/>
        </w:rPr>
        <w:lastRenderedPageBreak/>
        <w:t xml:space="preserve">with the final rise of the Isthmus of Panama around 2.8 Mya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10.1126/sciadv.1600883","author":[{"dropping-particle":"","family":"O'Dea","given":"Aaron","non-dropping-particle":"","parse-names":false,"suffix":""},{"dropping-particle":"","family":"Collins","given":"Laurel","non-dropping-particle":"","parse-names":false,"suffix":""},{"dropping-particle":"","family":"Rachello-dolmen","given":"Paola G","non-dropping-particle":"","parse-names":false,"suffix":""},{"dropping-particle":"","family":"Lessios","given":"Harilaos A","non-dropping-particle":"","parse-names":false,"suffix":""},{"dropping-particle":"","family":"Coates","given":"Anthony G","non-dropping-particle":"","parse-names":false,"suffix":""},{"dropping-particle":"","family":"Eytan","given":"Ron I","non-dropping-particle":"","parse-names":false,"suffix":""},{"dropping-particle":"","family":"Restrepo-moreno","given":"Sergio A","non-dropping-particle":"","parse-names":false,"suffix":""}],"container-title":"Science Advances","id":"ITEM-1","issue":"August","issued":{"date-parts":[["2016"]]},"page":"1-11","title":"Formation of the Isthmus of Panama","type":"article-journal","volume":"2"},"uris":["http://www.mendeley.com/documents/?uuid=e21fa142-050b-4863-98b3-a717cfb3e9c5"]}],"mendeley":{"formattedCitation":"(62)","plainTextFormattedCitation":"(62)","previouslyFormattedCitation":"(62)"},"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(62)</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Teleost fishes experienced a series of transisthmian splits between 1</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 xml:space="preserve">23 Mya, peaking around the final stages of Isthmus completion </w:t>
      </w:r>
      <w:r w:rsidRPr="001E1B3B">
        <w:rPr>
          <w:rFonts w:asciiTheme="majorBidi" w:hAnsiTheme="majorBidi" w:cstheme="majorBidi"/>
          <w:i/>
          <w:iCs/>
          <w:sz w:val="24"/>
          <w:szCs w:val="24"/>
        </w:rPr>
        <w:t>ca.</w:t>
      </w:r>
      <w:r w:rsidRPr="001E1B3B">
        <w:rPr>
          <w:rFonts w:asciiTheme="majorBidi" w:hAnsiTheme="majorBidi" w:cstheme="majorBidi"/>
          <w:sz w:val="24"/>
          <w:szCs w:val="24"/>
        </w:rPr>
        <w:t xml:space="preserve"> 5 Mya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10.1126/sciadv.1600883","author":[{"dropping-particle":"","family":"O'Dea","given":"Aaron","non-dropping-particle":"","parse-names":false,"suffix":""},{"dropping-particle":"","family":"Collins","given":"Laurel","non-dropping-particle":"","parse-names":false,"suffix":""},{"dropping-particle":"","family":"Rachello-dolmen","given":"Paola G","non-dropping-particle":"","parse-names":false,"suffix":""},{"dropping-particle":"","family":"Lessios","given":"Harilaos A","non-dropping-particle":"","parse-names":false,"suffix":""},{"dropping-particle":"","family":"Coates","given":"Anthony G","non-dropping-particle":"","parse-names":false,"suffix":""},{"dropping-particle":"","family":"Eytan","given":"Ron I","non-dropping-particle":"","parse-names":false,"suffix":""},{"dropping-particle":"","family":"Restrepo-moreno","given":"Sergio A","non-dropping-particle":"","parse-names":false,"suffix":""}],"container-title":"Science Advances","id":"ITEM-1","issue":"August","issued":{"date-parts":[["2016"]]},"page":"1-11","title":"Formation of the Isthmus of Panama","type":"article-journal","volume":"2"},"uris":["http://www.mendeley.com/documents/?uuid=e21fa142-050b-4863-98b3-a717cfb3e9c5"]},{"id":"ITEM-2","itemData":{"DOI":"10.1073/pnas.1514719112","ISSN":"10916490","PMID":"26489658","author":[{"dropping-particle":"","family":"Lessios","given":"Harilaos A.","non-dropping-particle":"","parse-names":false,"suffix":""}],"container-title":"Proceedings of the National Academy of Sciences of the United States of America","id":"ITEM-2","issue":"43","issued":{"date-parts":[["2015"]]},"page":"E5765","title":"Appearance of an early closure of the Isthmus of Panama is the product of biased inclusion of data in the metaanalysis","type":"article-journal","volume":"112"},"uris":["http://www.mendeley.com/documents/?uuid=2a9bb279-ebe6-4b25-8b4b-19655b4b6e0e"]},{"id":"ITEM-3","itemData":{"DOI":"10.1073/pnas.1509107112","ISBN":"1091-6490 (Electronic) 0027-8424 (Linking)","ISSN":"0027-8424","PMID":"25918375","abstract":"The linking of North and South America by the Isthmus of Panama had major impacts on global climate, oceanic and atmospheric currents, and biodiversity, yet the timing of this critical event remains contentious. The Isthmus is traditionally understood to have fully closed by ca. 3.5 million years ago (Ma), and this date has been used as a benchmark for oceanographic, climatic, and evolutionary research, but recent evidence suggests a more complex geological formation. Here, we analyze both molecular and fossil data to evaluate the tempo of biotic exchange across the Americas in light of geological evidence. We demonstrate signif- icant waves of dispersal of terrestrial organisms at approximately ca. 20 and 6 Ma and corresponding events separating marine organisms in the Atlantic and Pacific oceans at ca. 23 and 7 Ma. The direction of dispersal and their rates were symmetrical until the last ca. 6 Ma, when northern migration of South American lineages increased significantly. Variability among taxa in their timing of dispersal or vicariance across the Isthmus is not explained by the ecological factors tested in these analyses, including biome type, dispersal ability, and elevation preference. Migration was therefore not generally regulated by intrinsic traits but more likely reflects the presence of emergent terrain several millions of years earlier than commonly assumed. These results indicate that the dramatic biotic turnover associated with the Great American Biotic Interchange was a long and complex process that began as early as the Oligocene–Miocene transition.","author":[{"dropping-particle":"","family":"Silvestro","given":"Daniele","non-dropping-particle":"","parse-names":false,"suffix":""},{"dropping-particle":"","family":"Jaramillo","given":"Carlos","non-dropping-particle":"","parse-names":false,"suffix":""},{"dropping-particle":"","family":"Smith","given":"Brian Tilston","non-dropping-particle":"","parse-names":false,"suffix":""},{"dropping-particle":"","family":"Bacon","given":"Christine D","non-dropping-particle":"","parse-names":false,"suffix":""},{"dropping-particle":"","family":"Silvestro","given":"Daniele","non-dropping-particle":"","parse-names":false,"suffix":""},{"dropping-particle":"","family":"Jaramillo","given":"Carlos","non-dropping-particle":"","parse-names":false,"suffix":""},{"dropping-particle":"","family":"Tilston","given":"Brian","non-dropping-particle":"","parse-names":false,"suffix":""},{"dropping-particle":"","family":"Chakrabarty","given":"Prosanta","non-dropping-particle":"","parse-names":false,"suffix":""}],"container-title":"Proceedings of the National Academy of Sciences","id":"ITEM-3","issue":"24","issued":{"date-parts":[["2015"]]},"page":"E3153-E3153","title":"Biological evidence supports an early and complex emergence of the Isthmus of Panama","type":"article-journal","volume":"112"},"uris":["http://www.mendeley.com/documents/?uuid=0fa9b00a-88e8-4457-b223-7f568623ab18"]}],"mendeley":{"formattedCitation":"(62–64)","plainTextFormattedCitation":"(62–64)","previouslyFormattedCitation":"(62–64)"},"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(62–64)</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Assumptions regarding the timing of split divergences across marine animal groups suggest that the life history parameters play a pivotal role. For example, high intertidal geminate pairs tend to show less genetic differentiation than lower intertidal ones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10.1016/j.ympev.2010.04.012","ISSN":"1055-7903","author":[{"dropping-particle":"","family":"Miura","given":"Osamu","non-dropping-particle":"","parse-names":false,"suffix":""},{"dropping-particle":"","family":"Torchin","given":"Mark E","non-dropping-particle":"","parse-names":false,"suffix":""},{"dropping-particle":"","family":"Bermingham","given":"Eldredge","non-dropping-particle":"","parse-names":false,"suffix":""}],"container-title":"Molecular Phylogenetics and Evolution","id":"ITEM-1","issue":"1","issued":{"date-parts":[["2010"]]},"page":"40-48","publisher":"Elsevier Inc.","title":"Molecular Phylogenetics and Evolution Molecular phylogenetics reveals differential divergence of coastal snails separated by the Isthmus of Panama","type":"article-journal","volume":"56"},"uris":["http://www.mendeley.com/documents/?uuid=d8e4c5a3-a2f1-404e-b746-b8636300952e"]}],"mendeley":{"formattedCitation":"(65)","plainTextFormattedCitation":"(65)","previouslyFormattedCitation":"(65)"},"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(65)</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Herein, our study recovered strong evidence supporting a non-synchronous divergence between the TIc and TIg lineages, even though they possess similar life history traits (Fig. </w:t>
      </w:r>
      <w:r w:rsidR="00E6459A">
        <w:rPr>
          <w:rFonts w:asciiTheme="majorBidi" w:hAnsiTheme="majorBidi" w:cstheme="majorBidi"/>
          <w:sz w:val="24"/>
          <w:szCs w:val="24"/>
        </w:rPr>
        <w:t>3.</w:t>
      </w:r>
      <w:r w:rsidRPr="001E1B3B">
        <w:rPr>
          <w:rFonts w:asciiTheme="majorBidi" w:hAnsiTheme="majorBidi" w:cstheme="majorBidi"/>
          <w:sz w:val="24"/>
          <w:szCs w:val="24"/>
        </w:rPr>
        <w:t>4 A</w:t>
      </w:r>
      <w:r w:rsidRPr="001E1B3B">
        <w:rPr>
          <w:rFonts w:asciiTheme="majorBidi" w:hAnsiTheme="majorBidi" w:cstheme="majorBidi"/>
          <w:sz w:val="24"/>
          <w:szCs w:val="24"/>
        </w:rPr>
        <w:sym w:font="Symbol" w:char="F02D"/>
      </w:r>
      <w:r w:rsidRPr="001E1B3B">
        <w:rPr>
          <w:rFonts w:asciiTheme="majorBidi" w:hAnsiTheme="majorBidi" w:cstheme="majorBidi"/>
          <w:sz w:val="24"/>
          <w:szCs w:val="24"/>
        </w:rPr>
        <w:t xml:space="preserve">B). Lastly, before the final closure of the Isthmus, the most recent common ancestor of the transisthmian clade colonized the Tropical Southwestern Atlantic around 3 Mya (event 4;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4C). This event is supported by other studies on blennies, which suggest a greater connectivity between the Caribbean and eastern Atlantic than between the Caribbean and the coasts of Brazil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{"citationItems":[{"id":"ITEM-1","itemData":{"DOI":"10.1093/zoolinnean/zlz142","ISSN":"10963642","abstract":"Here we present the first phylogeny of the genus Scartella based on mitochondrial data. The analysis strongly corroborates the validity of all species of the genus and shows that Scartella cristata, a species with a disjunct distribution, is a lineage complex comprising five clades: two in Caribbean waters, another in the East Atlantic/ Mediterranean and two in Brazil. Brazilian clades occur in sympatry from Rio de Janeiro to Rio Grande do Sul states (southern Brazil). One clade (BRA 1) is unique to Brazil, while the other (BRA 2) is closely related to the eastern Atlantic lineage. Possible explanations for this pattern include both natural and anthropic mechanisms.","author":[{"dropping-particle":"","family":"Araujo","given":"G. S.","non-dropping-particle":"","parse-names":false,"suffix":""},{"dropping-particle":"","family":"Vilasboa","given":"A.","non-dropping-particle":"","parse-names":false,"suffix":""},{"dropping-particle":"","family":"Britto","given":"M. R.","non-dropping-particle":"","parse-names":false,"suffix":""},{"dropping-particle":"","family":"Bernardi","given":"G.","non-dropping-particle":"","parse-names":false,"suffix":""},{"dropping-particle":"","family":"Heyden","given":"S.","non-dropping-particle":"von der","parse-names":false,"suffix":""},{"dropping-particle":"","family":"Levy","given":"A.","non-dropping-particle":"","parse-names":false,"suffix":""},{"dropping-particle":"","family":"Floeter","given":"S. R.","non-dropping-particle":"","parse-names":false,"suffix":""}],"container-title":"Zoological Journal of the Linnean Society","id":"ITEM-1","issue":"1","issued":{"date-parts":[["2020"]]},"page":"54-64","title":"Phylogeny of the comb-tooth blenny genus Scartella (Blenniiformes: Blenniidae) reveals several cryptic lineages and a trans-Atlantic relationship","type":"article-journal","volume":"190"},"uris":["http://www.mendeley.com/documents/?uuid=b776f681-ec61-4ea0-8cde-3bea7c41561e"]}],"mendeley":{"formattedCitation":"(54)","plainTextFormattedCitation":"(54)","previouslyFormattedCitation":"(54)"},"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(54)</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 xml:space="preserve">. Finally, our macroevolutionary analyses also show two major niche divergences in the genus (Fig. </w:t>
      </w:r>
      <w:r w:rsidR="00E6459A">
        <w:rPr>
          <w:rFonts w:asciiTheme="majorBidi" w:hAnsiTheme="majorBidi" w:cstheme="majorBidi"/>
          <w:sz w:val="24"/>
          <w:szCs w:val="24"/>
        </w:rPr>
        <w:t>3.</w:t>
      </w:r>
      <w:r w:rsidRPr="001E1B3B">
        <w:rPr>
          <w:rFonts w:asciiTheme="majorBidi" w:hAnsiTheme="majorBidi" w:cstheme="majorBidi"/>
          <w:sz w:val="24"/>
          <w:szCs w:val="24"/>
        </w:rPr>
        <w:t xml:space="preserve">4A). The first occurred in clade A, when </w:t>
      </w:r>
      <w:r w:rsidRPr="001E1B3B">
        <w:rPr>
          <w:rFonts w:asciiTheme="majorBidi" w:hAnsiTheme="majorBidi" w:cstheme="majorBidi"/>
          <w:i/>
          <w:iCs/>
          <w:sz w:val="24"/>
          <w:szCs w:val="24"/>
        </w:rPr>
        <w:t xml:space="preserve">Malacoctenus </w:t>
      </w:r>
      <w:r w:rsidRPr="001E1B3B">
        <w:rPr>
          <w:rFonts w:asciiTheme="majorBidi" w:hAnsiTheme="majorBidi" w:cstheme="majorBidi"/>
          <w:sz w:val="24"/>
          <w:szCs w:val="24"/>
        </w:rPr>
        <w:t xml:space="preserve">lineages colonized the Caribbean, encountering a wide variety of habitats. The second was observed in subclade B1, when the ancestral lineage and its daughter species became restricted to tide-pool environments, triggering niche conservatism </w:t>
      </w:r>
      <w:r w:rsidRPr="001E1B3B">
        <w:rPr>
          <w:rFonts w:asciiTheme="majorBidi" w:hAnsiTheme="majorBidi" w:cstheme="majorBidi"/>
          <w:sz w:val="24"/>
          <w:szCs w:val="24"/>
        </w:rPr>
        <w:fldChar w:fldCharType="begin" w:fldLock="1"/>
      </w:r>
      <w:r w:rsidRPr="001E1B3B">
        <w:rPr>
          <w:rFonts w:asciiTheme="majorBidi" w:hAnsiTheme="majorBidi" w:cstheme="majorBidi"/>
          <w:sz w:val="24"/>
          <w:szCs w:val="24"/>
        </w:rPr>
        <w:instrText>ADDIN CSL_CITATION {"citationItems":[{"id":"ITEM-1","itemData":{"DOI":"10.1111/j.1461-0248.2010.01515.x","ISSN":"1461-0248 (Electronic)","PMID":"20649638","abstract":"The diversity of life is ultimately generated by evolution, and much attention  has focused on the rapid evolution of ecological traits. Yet, the tendency for many ecological traits to instead remain similar over time [niche conservatism (NC)] has many consequences for the fundamental patterns and processes studied in ecology and conservation biology. Here, we describe the mounting evidence for the importance of NC to major topics in ecology (e.g. species richness, ecosystem function) and conservation (e.g. climate change, invasive species). We also review other areas where it may be important but has generally been overlooked, in both ecology (e.g. food webs, disease ecology, mutualistic interactions) and conservation (e.g. habitat modification). We summarize methods for testing for NC, and suggest that a commonly used and advocated method (involving a test for phylogenetic signal) is potentially problematic, and describe alternative approaches. We suggest that considering NC: (1) focuses attention on the within-species processes that cause traits to be conserved over time, (2) emphasizes connections between questions and research areas that are not obviously related (e.g. invasives, global warming, tropical richness), and (3) suggests new areas for research (e.g. why are some clades largely nocturnal? why do related species share diseases?).","author":[{"dropping-particle":"","family":"Wiens","given":"John J","non-dropping-particle":"","parse-names":false,"suffix":""},{"dropping-particle":"","family":"Ackerly","given":"David D","non-dropping-particle":"","parse-names":false,"suffix":""},{"dropping-particle":"","family":"Allen","given":"Andrew P","non-dropping-particle":"","parse-names":false,"suffix":""},{"dropping-particle":"","family":"Anacker","given":"Brian L","non-dropping-particle":"","parse-names":false,"suffix":""},{"dropping-particle":"","family":"Buckley","given":"Lauren B","non-dropping-particle":"","parse-names":false,"suffix":""},{"dropping-particle":"V","family":"Cornell","given":"Howard","non-dropping-particle":"","parse-names":false,"suffix":""},{"dropping-particle":"","family":"Damschen","given":"Ellen I","non-dropping-particle":"","parse-names":false,"suffix":""},{"dropping-particle":"","family":"Jonathan Davies","given":"T","non-dropping-particle":"","parse-names":false,"suffix":""},{"dropping-particle":"","family":"Grytnes","given":"John-Arvid","non-dropping-particle":"","parse-names":false,"suffix":""},{"dropping-particle":"","family":"Harrison","given":"Susan P","non-dropping-particle":"","parse-names":false,"suffix":""},{"dropping-particle":"","family":"Hawkins","given":"Bradford A","non-dropping-particle":"","parse-names":false,"suffix":""},{"dropping-particle":"","family":"Holt","given":"Robert D","non-dropping-particle":"","parse-names":false,"suffix":""},{"dropping-particle":"","family":"McCain","given":"Christy M","non-dropping-particle":"","parse-names":false,"suffix":""},{"dropping-particle":"","family":"Stephens","given":"Patrick R","non-dropping-particle":"","parse-names":false,"suffix":""}],"container-title":"Ecology letters","id":"ITEM-1","issue":"10","issued":{"date-parts":[["2010","10"]]},"language":"eng","page":"1310-1324","publisher-place":"England","title":"Niche conservatism as an emerging principle in ecology and conservation biology.","type":"article-journal","volume":"13"},"uris":["http://www.mendeley.com/documents/?uuid=de924c24-8b88-42b1-8e7a-8537697e6cfa"]},{"id":"ITEM-2","itemData":{"DOI":"10.3389/fevo.2022.774481","ISSN":"2296701X","abstract":"The role of ecological niche divergence in lineage speciation has recently stimulated the interest of evolutionary biologists and ecologists. Phylogenetic analysis has revealed that the Hyrcanian wood frog, Rana pseudodalmatina, has diverged into two western and eastern regional clades (WRC and ERC) within the Hyrcanian forest. The goal of this study was to investigate whether the ecological niches of WRC and ERC are conserved or diverged, as well as to figure out what variables promote niche conservatism or divergence. For this purpose, the maximum entropy model was employed to assess environmental niche modeling in geographical (G) space utilizing climatic and macro-environmental data. The niche overlap, equivalency, and similarity tests based on PCAenv analyses were used to assess niche divergence or conservatism in environmental (E) space. The findings strongly support the hypothesis that WRC and ERC have undergone substantial niche divergence and are constrained by a unique set of climatic and macro-environmental conditions. This study by ecological niche comparisons based on phylogenetic data provides new insights into the exploration of species diversification processes in the Hyrcanian forests.","author":[{"dropping-particle":"","family":"Vaissi","given":"Somaye","non-dropping-particle":"","parse-names":false,"suffix":""},{"dropping-particle":"","family":"Rezaei","given":"Sahar","non-dropping-particle":"","parse-names":false,"suffix":""}],"container-title":"Frontiers in Ecology and Evolution","id":"ITEM-2","issue":"January","issued":{"date-parts":[["2022"]]},"page":"1-12","title":"Niche Divergence at Intraspecific Level in the Hyrcanian Wood Frog, Rana pseudodalmatina: A Phylogenetic, Climatic, and Environmental Survey","type":"article-journal","volume":"10"},"uris":["http://www.mendeley.com/documents/?uuid=c61cd551-ea84-4d86-9a0c-b56821a872bd"]}],"mendeley":{"formattedCitation":"(66, 67)","plainTextFormattedCitation":"(66, 67)","previouslyFormattedCitation":"(66, 67)"},"properties":{"noteIndex":0},"schema":"https://github.com/citation-style-language/schema/raw/master/csl-citation.json"}</w:instrText>
      </w:r>
      <w:r w:rsidRPr="001E1B3B">
        <w:rPr>
          <w:rFonts w:asciiTheme="majorBidi" w:hAnsiTheme="majorBidi" w:cstheme="majorBidi"/>
          <w:sz w:val="24"/>
          <w:szCs w:val="24"/>
        </w:rPr>
        <w:fldChar w:fldCharType="separate"/>
      </w:r>
      <w:r w:rsidRPr="001E1B3B">
        <w:rPr>
          <w:rFonts w:asciiTheme="majorBidi" w:hAnsiTheme="majorBidi" w:cstheme="majorBidi"/>
          <w:sz w:val="24"/>
          <w:szCs w:val="24"/>
        </w:rPr>
        <w:t>(66, 67)</w:t>
      </w:r>
      <w:r w:rsidRPr="001E1B3B">
        <w:rPr>
          <w:rFonts w:asciiTheme="majorBidi" w:hAnsiTheme="majorBidi" w:cstheme="majorBidi"/>
          <w:sz w:val="24"/>
          <w:szCs w:val="24"/>
        </w:rPr>
        <w:fldChar w:fldCharType="end"/>
      </w:r>
      <w:r w:rsidRPr="001E1B3B">
        <w:rPr>
          <w:rFonts w:asciiTheme="majorBidi" w:hAnsiTheme="majorBidi" w:cstheme="majorBidi"/>
          <w:sz w:val="24"/>
          <w:szCs w:val="24"/>
        </w:rPr>
        <w:t>.</w:t>
      </w:r>
    </w:p>
    <w:p w14:paraId="0E011B0F" w14:textId="77777777" w:rsidR="001E1B3B" w:rsidRPr="001E1B3B" w:rsidRDefault="001E1B3B" w:rsidP="001E1B3B">
      <w:pPr>
        <w:rPr>
          <w:rFonts w:asciiTheme="majorBidi" w:hAnsiTheme="majorBidi" w:cstheme="majorBidi"/>
          <w:sz w:val="28"/>
          <w:szCs w:val="28"/>
        </w:rPr>
      </w:pPr>
    </w:p>
    <w:p w14:paraId="52A32909" w14:textId="1FE6B063" w:rsidR="000803F9" w:rsidRDefault="000803F9" w:rsidP="000803F9">
      <w:pPr>
        <w:pStyle w:val="ListParagraph"/>
        <w:numPr>
          <w:ilvl w:val="1"/>
          <w:numId w:val="5"/>
        </w:numPr>
        <w:rPr>
          <w:rFonts w:asciiTheme="majorBidi" w:hAnsiTheme="majorBidi" w:cstheme="majorBidi"/>
          <w:b/>
          <w:bCs/>
          <w:sz w:val="32"/>
          <w:szCs w:val="32"/>
        </w:rPr>
      </w:pPr>
      <w:r>
        <w:rPr>
          <w:rFonts w:asciiTheme="majorBidi" w:hAnsiTheme="majorBidi" w:cstheme="majorBidi"/>
          <w:b/>
          <w:bCs/>
          <w:sz w:val="32"/>
          <w:szCs w:val="32"/>
        </w:rPr>
        <w:t>Conclusion</w:t>
      </w:r>
    </w:p>
    <w:p w14:paraId="7880634A" w14:textId="11824166" w:rsidR="001E1B3B" w:rsidRPr="001E1B3B" w:rsidRDefault="001E1B3B" w:rsidP="001E1B3B">
      <w:pPr>
        <w:jc w:val="both"/>
        <w:rPr>
          <w:rFonts w:asciiTheme="majorBidi" w:hAnsiTheme="majorBidi" w:cstheme="majorBidi"/>
          <w:sz w:val="24"/>
          <w:szCs w:val="24"/>
        </w:rPr>
      </w:pPr>
      <w:r w:rsidRPr="001E1B3B">
        <w:rPr>
          <w:rFonts w:asciiTheme="majorBidi" w:hAnsiTheme="majorBidi" w:cstheme="majorBidi"/>
          <w:sz w:val="24"/>
          <w:szCs w:val="24"/>
        </w:rPr>
        <w:t>Our study recovered genomic patterns of population structure in co-distributed species, demonstrating the significant impact of marine breaks on the populations of cryptobenthic fishes in the TEP and TA. In these biogeographic regions, major contemporary breaks result from unsuitable habitat gaps combined with oceanographic processes, including marine currents, seasonal upwellings, and gyres, followed by marked environmental changes. In the TEP, the SB and CB emerge as major barriers, promoting not only population diversification but also speciation processes, representing the distribution limit for several labrisomid blennies. In the TA, the ECB and the BB play a crucial role in shaping population connectivity. The discrepancy between phylogeographic breaks in cryptobenthic fishes and biogeographic provinces highlights the need for further comparative phylogeographic studies, as cryptic species complexes may have been overlooked in the assessment of biogeographic patterns. Overall, the effect of these breaks varies across species, suggesting that species-specific traits, such as habitat preference, also greatly influence their dispersal capabilities. Our study identified five instances where marine breaks led to highly differentiated evolutionary lineages that could potentially represent species complexes. Some of these genetically distinct groups are supported by evidence of population differentiation from previous morphological studies as well as by our geometric morphometric analyses.</w:t>
      </w:r>
      <w:r w:rsidR="00E6459A">
        <w:rPr>
          <w:rFonts w:asciiTheme="majorBidi" w:hAnsiTheme="majorBidi" w:cstheme="majorBidi"/>
          <w:sz w:val="24"/>
          <w:szCs w:val="24"/>
        </w:rPr>
        <w:t xml:space="preserve"> </w:t>
      </w:r>
      <w:r w:rsidRPr="001E1B3B">
        <w:rPr>
          <w:rFonts w:asciiTheme="majorBidi" w:hAnsiTheme="majorBidi" w:cstheme="majorBidi"/>
          <w:sz w:val="24"/>
          <w:szCs w:val="24"/>
        </w:rPr>
        <w:t xml:space="preserve">Our seascape genomic analyses highlighted that temperature, chlorophyll α levels, and physical features played pivotal roles in driving local adaptation of the throat-spotted blenny in the TEP. However, at interspecific levels, depth emerged as the primary driver of speciation within this region, leading to niche divergence between tide pool- and reef-associated clades. In contrast, in the TA, patterns of environmental association appeared more intricate, with suspended particle matter, depth, temperature, and physical features significantly influencing population differentiation, with chlorophyll </w:t>
      </w:r>
      <w:r w:rsidRPr="001E1B3B">
        <w:rPr>
          <w:sz w:val="24"/>
          <w:szCs w:val="24"/>
        </w:rPr>
        <w:sym w:font="Symbol" w:char="F061"/>
      </w:r>
      <w:r w:rsidRPr="001E1B3B">
        <w:rPr>
          <w:rFonts w:asciiTheme="majorBidi" w:hAnsiTheme="majorBidi" w:cstheme="majorBidi"/>
          <w:sz w:val="24"/>
          <w:szCs w:val="24"/>
        </w:rPr>
        <w:t xml:space="preserve"> further contributing to speciation in this region. Finally, our </w:t>
      </w:r>
      <w:r w:rsidRPr="001E1B3B">
        <w:rPr>
          <w:rFonts w:asciiTheme="majorBidi" w:hAnsiTheme="majorBidi" w:cstheme="majorBidi"/>
          <w:sz w:val="24"/>
          <w:szCs w:val="24"/>
        </w:rPr>
        <w:lastRenderedPageBreak/>
        <w:t>time-calibrated analyses at macroevolutionary scales elucidated an Eastern Atlantic origin of the clade followed by an east-to-west dispersal. Although the historical break attributed to the rise of the Isthmus of Panama had a substantial influence on the evolutionary history of the genus, our analyses demonstrate that it did not triggered synchronous cladogenetic events. Altogether, through the integration of approaches from population genomics, comparative phylogeography, phylogenomics, seascape genomics, and geometric morphometric analyses, our study has identified the primary contemporary and historical drivers of lineage diversification and speciation in labrisomid blennies in the TEP and TA, encompassing a spectrum from micro- to macroevolution.</w:t>
      </w:r>
    </w:p>
    <w:p w14:paraId="1F33E893" w14:textId="77777777" w:rsidR="001E1B3B" w:rsidRPr="001E1B3B" w:rsidRDefault="001E1B3B" w:rsidP="001E1B3B">
      <w:pPr>
        <w:jc w:val="both"/>
        <w:rPr>
          <w:rFonts w:asciiTheme="majorBidi" w:hAnsiTheme="majorBidi" w:cstheme="majorBidi"/>
          <w:b/>
          <w:bCs/>
          <w:sz w:val="24"/>
          <w:szCs w:val="24"/>
        </w:rPr>
      </w:pPr>
    </w:p>
    <w:p w14:paraId="26F01FB4" w14:textId="27BCA72B" w:rsidR="00195F45" w:rsidRPr="00195F45" w:rsidRDefault="000803F9" w:rsidP="00195F45">
      <w:pPr>
        <w:pStyle w:val="ListParagraph"/>
        <w:numPr>
          <w:ilvl w:val="1"/>
          <w:numId w:val="5"/>
        </w:numPr>
        <w:rPr>
          <w:rFonts w:asciiTheme="majorBidi" w:hAnsiTheme="majorBidi" w:cstheme="majorBidi"/>
          <w:b/>
          <w:bCs/>
          <w:sz w:val="32"/>
          <w:szCs w:val="32"/>
        </w:rPr>
      </w:pPr>
      <w:r>
        <w:rPr>
          <w:rFonts w:asciiTheme="majorBidi" w:hAnsiTheme="majorBidi" w:cstheme="majorBidi"/>
          <w:b/>
          <w:bCs/>
          <w:sz w:val="32"/>
          <w:szCs w:val="32"/>
        </w:rPr>
        <w:t>References</w:t>
      </w:r>
    </w:p>
    <w:p w14:paraId="64FD0B37"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fldChar w:fldCharType="begin" w:fldLock="1"/>
      </w:r>
      <w:r w:rsidRPr="00195F45">
        <w:rPr>
          <w:rFonts w:asciiTheme="majorBidi" w:hAnsiTheme="majorBidi" w:cstheme="majorBidi"/>
          <w:bCs/>
          <w:sz w:val="24"/>
          <w:szCs w:val="24"/>
        </w:rPr>
        <w:instrText xml:space="preserve">ADDIN Mendeley Bibliography CSL_BIBLIOGRAPHY </w:instrText>
      </w:r>
      <w:r w:rsidRPr="00195F45">
        <w:rPr>
          <w:rFonts w:asciiTheme="majorBidi" w:hAnsiTheme="majorBidi" w:cstheme="majorBidi"/>
          <w:bCs/>
          <w:sz w:val="24"/>
          <w:szCs w:val="24"/>
        </w:rPr>
        <w:fldChar w:fldCharType="separate"/>
      </w:r>
      <w:r w:rsidRPr="00195F45">
        <w:rPr>
          <w:rFonts w:asciiTheme="majorBidi" w:hAnsiTheme="majorBidi" w:cstheme="majorBidi"/>
          <w:bCs/>
          <w:sz w:val="24"/>
          <w:szCs w:val="24"/>
        </w:rPr>
        <w:t xml:space="preserve">1. </w:t>
      </w:r>
      <w:r w:rsidRPr="00195F45">
        <w:rPr>
          <w:rFonts w:asciiTheme="majorBidi" w:hAnsiTheme="majorBidi" w:cstheme="majorBidi"/>
          <w:bCs/>
          <w:sz w:val="24"/>
          <w:szCs w:val="24"/>
        </w:rPr>
        <w:tab/>
        <w:t xml:space="preserve">J. Li, J. P. Huang, J. Sukumaran, L. L. Knowles, Microevolutionary processes impact macroevolutionary patterns. </w:t>
      </w:r>
      <w:r w:rsidRPr="00195F45">
        <w:rPr>
          <w:rFonts w:asciiTheme="majorBidi" w:hAnsiTheme="majorBidi" w:cstheme="majorBidi"/>
          <w:bCs/>
          <w:i/>
          <w:iCs/>
          <w:sz w:val="24"/>
          <w:szCs w:val="24"/>
        </w:rPr>
        <w:t>BMC Evol. Biol.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18</w:t>
      </w:r>
      <w:r w:rsidRPr="00195F45">
        <w:rPr>
          <w:rFonts w:asciiTheme="majorBidi" w:hAnsiTheme="majorBidi" w:cstheme="majorBidi"/>
          <w:bCs/>
          <w:sz w:val="24"/>
          <w:szCs w:val="24"/>
        </w:rPr>
        <w:t>, 1–8 (2018).</w:t>
      </w:r>
    </w:p>
    <w:p w14:paraId="5AA41A1D"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2. </w:t>
      </w:r>
      <w:r w:rsidRPr="00195F45">
        <w:rPr>
          <w:rFonts w:asciiTheme="majorBidi" w:hAnsiTheme="majorBidi" w:cstheme="majorBidi"/>
          <w:bCs/>
          <w:sz w:val="24"/>
          <w:szCs w:val="24"/>
        </w:rPr>
        <w:tab/>
        <w:t xml:space="preserve">K. R. Zamudio, R. C. Bell, N. A. Mason, Phenotypes in phylogeography: Species’ traits, environmental variation, and vertebrate diversification. </w:t>
      </w:r>
      <w:r w:rsidRPr="00195F45">
        <w:rPr>
          <w:rFonts w:asciiTheme="majorBidi" w:hAnsiTheme="majorBidi" w:cstheme="majorBidi"/>
          <w:bCs/>
          <w:i/>
          <w:iCs/>
          <w:sz w:val="24"/>
          <w:szCs w:val="24"/>
        </w:rPr>
        <w:t>Proc. Natl. Acad. Sci. U. S. A.</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113</w:t>
      </w:r>
      <w:r w:rsidRPr="00195F45">
        <w:rPr>
          <w:rFonts w:asciiTheme="majorBidi" w:hAnsiTheme="majorBidi" w:cstheme="majorBidi"/>
          <w:bCs/>
          <w:sz w:val="24"/>
          <w:szCs w:val="24"/>
        </w:rPr>
        <w:t>, 8041–8 (2016).</w:t>
      </w:r>
    </w:p>
    <w:p w14:paraId="648AC245"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3. </w:t>
      </w:r>
      <w:r w:rsidRPr="00195F45">
        <w:rPr>
          <w:rFonts w:asciiTheme="majorBidi" w:hAnsiTheme="majorBidi" w:cstheme="majorBidi"/>
          <w:bCs/>
          <w:sz w:val="24"/>
          <w:szCs w:val="24"/>
        </w:rPr>
        <w:tab/>
        <w:t xml:space="preserve">M. S. Taylor, M. E. Hellberg, Comparative phylogeography in a genus of coral reef fishes: Biogeographic and genetic concordance in the Caribbean. </w:t>
      </w:r>
      <w:r w:rsidRPr="00195F45">
        <w:rPr>
          <w:rFonts w:asciiTheme="majorBidi" w:hAnsiTheme="majorBidi" w:cstheme="majorBidi"/>
          <w:bCs/>
          <w:i/>
          <w:iCs/>
          <w:sz w:val="24"/>
          <w:szCs w:val="24"/>
        </w:rPr>
        <w:t>Mol. Ecol.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15</w:t>
      </w:r>
      <w:r w:rsidRPr="00195F45">
        <w:rPr>
          <w:rFonts w:asciiTheme="majorBidi" w:hAnsiTheme="majorBidi" w:cstheme="majorBidi"/>
          <w:bCs/>
          <w:sz w:val="24"/>
          <w:szCs w:val="24"/>
        </w:rPr>
        <w:t>, 695–707 (2006).</w:t>
      </w:r>
    </w:p>
    <w:p w14:paraId="3A4BB4F2"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 </w:t>
      </w:r>
      <w:r w:rsidRPr="00195F45">
        <w:rPr>
          <w:rFonts w:asciiTheme="majorBidi" w:hAnsiTheme="majorBidi" w:cstheme="majorBidi"/>
          <w:bCs/>
          <w:sz w:val="24"/>
          <w:szCs w:val="24"/>
        </w:rPr>
        <w:tab/>
        <w:t xml:space="preserve">M. E. Hellberg, R. S. Burton, J. E. Neigel, S. R. Palumbi, Genetic Assessment Of Connectivity Among Marine Populations. </w:t>
      </w:r>
      <w:r w:rsidRPr="00195F45">
        <w:rPr>
          <w:rFonts w:asciiTheme="majorBidi" w:hAnsiTheme="majorBidi" w:cstheme="majorBidi"/>
          <w:bCs/>
          <w:i/>
          <w:iCs/>
          <w:sz w:val="24"/>
          <w:szCs w:val="24"/>
        </w:rPr>
        <w:t>Bull. Mar. Sci.</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70</w:t>
      </w:r>
      <w:r w:rsidRPr="00195F45">
        <w:rPr>
          <w:rFonts w:asciiTheme="majorBidi" w:hAnsiTheme="majorBidi" w:cstheme="majorBidi"/>
          <w:bCs/>
          <w:sz w:val="24"/>
          <w:szCs w:val="24"/>
        </w:rPr>
        <w:t>, 273–290 (2002).</w:t>
      </w:r>
    </w:p>
    <w:p w14:paraId="056986A1"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5. </w:t>
      </w:r>
      <w:r w:rsidRPr="00195F45">
        <w:rPr>
          <w:rFonts w:asciiTheme="majorBidi" w:hAnsiTheme="majorBidi" w:cstheme="majorBidi"/>
          <w:bCs/>
          <w:sz w:val="24"/>
          <w:szCs w:val="24"/>
        </w:rPr>
        <w:tab/>
        <w:t xml:space="preserve">S. R. Palumbi, What can molecular genetics contribute to marine biogeography ? An urchin ’ s tale. </w:t>
      </w:r>
      <w:r w:rsidRPr="00195F45">
        <w:rPr>
          <w:rFonts w:asciiTheme="majorBidi" w:hAnsiTheme="majorBidi" w:cstheme="majorBidi"/>
          <w:b/>
          <w:bCs/>
          <w:sz w:val="24"/>
          <w:szCs w:val="24"/>
        </w:rPr>
        <w:t>203</w:t>
      </w:r>
      <w:r w:rsidRPr="00195F45">
        <w:rPr>
          <w:rFonts w:asciiTheme="majorBidi" w:hAnsiTheme="majorBidi" w:cstheme="majorBidi"/>
          <w:bCs/>
          <w:sz w:val="24"/>
          <w:szCs w:val="24"/>
        </w:rPr>
        <w:t>, 75–92 (1996).</w:t>
      </w:r>
    </w:p>
    <w:p w14:paraId="3C5E7261"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6. </w:t>
      </w:r>
      <w:r w:rsidRPr="00195F45">
        <w:rPr>
          <w:rFonts w:asciiTheme="majorBidi" w:hAnsiTheme="majorBidi" w:cstheme="majorBidi"/>
          <w:bCs/>
          <w:sz w:val="24"/>
          <w:szCs w:val="24"/>
        </w:rPr>
        <w:tab/>
        <w:t xml:space="preserve">C. Riginos, B. C. Victor, Larval spatial distributions and other early life-history characteristics predict genetic differentiation in eastern Pacific blennioid fishes. </w:t>
      </w:r>
      <w:r w:rsidRPr="00195F45">
        <w:rPr>
          <w:rFonts w:asciiTheme="majorBidi" w:hAnsiTheme="majorBidi" w:cstheme="majorBidi"/>
          <w:bCs/>
          <w:i/>
          <w:iCs/>
          <w:sz w:val="24"/>
          <w:szCs w:val="24"/>
        </w:rPr>
        <w:t>Proc. R. Soc. B Biol. Sci.</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268</w:t>
      </w:r>
      <w:r w:rsidRPr="00195F45">
        <w:rPr>
          <w:rFonts w:asciiTheme="majorBidi" w:hAnsiTheme="majorBidi" w:cstheme="majorBidi"/>
          <w:bCs/>
          <w:sz w:val="24"/>
          <w:szCs w:val="24"/>
        </w:rPr>
        <w:t>, 1931–1936 (2001).</w:t>
      </w:r>
    </w:p>
    <w:p w14:paraId="0E56CD4E"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 </w:t>
      </w:r>
      <w:r w:rsidRPr="00195F45">
        <w:rPr>
          <w:rFonts w:asciiTheme="majorBidi" w:hAnsiTheme="majorBidi" w:cstheme="majorBidi"/>
          <w:bCs/>
          <w:sz w:val="24"/>
          <w:szCs w:val="24"/>
        </w:rPr>
        <w:tab/>
        <w:t>C. Riginos, K. E. Douglas, Y. Jin, D. F. Shanahan, E. A. Treml, Effects of geography and life history traits on genetic differentiation in benthic marine fishes (2011) https:/doi.org/10.1111/j.1600-0587.2010.06511.x.</w:t>
      </w:r>
    </w:p>
    <w:p w14:paraId="330EE98D"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8. </w:t>
      </w:r>
      <w:r w:rsidRPr="00195F45">
        <w:rPr>
          <w:rFonts w:asciiTheme="majorBidi" w:hAnsiTheme="majorBidi" w:cstheme="majorBidi"/>
          <w:bCs/>
          <w:sz w:val="24"/>
          <w:szCs w:val="24"/>
        </w:rPr>
        <w:tab/>
        <w:t xml:space="preserve">P. N. Palmerín-Serrano,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Comparative phylogeography and demographic histories of five widely distributed tropical eastern Pacific fishes. </w:t>
      </w:r>
      <w:r w:rsidRPr="00195F45">
        <w:rPr>
          <w:rFonts w:asciiTheme="majorBidi" w:hAnsiTheme="majorBidi" w:cstheme="majorBidi"/>
          <w:bCs/>
          <w:i/>
          <w:iCs/>
          <w:sz w:val="24"/>
          <w:szCs w:val="24"/>
        </w:rPr>
        <w:t>Mar. Biol.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170</w:t>
      </w:r>
      <w:r w:rsidRPr="00195F45">
        <w:rPr>
          <w:rFonts w:asciiTheme="majorBidi" w:hAnsiTheme="majorBidi" w:cstheme="majorBidi"/>
          <w:bCs/>
          <w:sz w:val="24"/>
          <w:szCs w:val="24"/>
        </w:rPr>
        <w:t xml:space="preserve"> (2023).</w:t>
      </w:r>
    </w:p>
    <w:p w14:paraId="5E22933F"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9. </w:t>
      </w:r>
      <w:r w:rsidRPr="00195F45">
        <w:rPr>
          <w:rFonts w:asciiTheme="majorBidi" w:hAnsiTheme="majorBidi" w:cstheme="majorBidi"/>
          <w:bCs/>
          <w:sz w:val="24"/>
          <w:szCs w:val="24"/>
        </w:rPr>
        <w:tab/>
        <w:t xml:space="preserve">V. Mendoza-Portillo,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Genetic diversity and structure of circumtropical almaco jack, Seriola rivoliana: tool for conservation and management. </w:t>
      </w:r>
      <w:r w:rsidRPr="00195F45">
        <w:rPr>
          <w:rFonts w:asciiTheme="majorBidi" w:hAnsiTheme="majorBidi" w:cstheme="majorBidi"/>
          <w:bCs/>
          <w:i/>
          <w:iCs/>
          <w:sz w:val="24"/>
          <w:szCs w:val="24"/>
        </w:rPr>
        <w:t>J. Fish Biol.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97</w:t>
      </w:r>
      <w:r w:rsidRPr="00195F45">
        <w:rPr>
          <w:rFonts w:asciiTheme="majorBidi" w:hAnsiTheme="majorBidi" w:cstheme="majorBidi"/>
          <w:bCs/>
          <w:sz w:val="24"/>
          <w:szCs w:val="24"/>
        </w:rPr>
        <w:t>, 882–894 (2020).</w:t>
      </w:r>
    </w:p>
    <w:p w14:paraId="6F77CD99"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10. </w:t>
      </w:r>
      <w:r w:rsidRPr="00195F45">
        <w:rPr>
          <w:rFonts w:asciiTheme="majorBidi" w:hAnsiTheme="majorBidi" w:cstheme="majorBidi"/>
          <w:bCs/>
          <w:sz w:val="24"/>
          <w:szCs w:val="24"/>
        </w:rPr>
        <w:tab/>
        <w:t xml:space="preserve">A. O’Dea,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Formation of the Isthmus of Panama. </w:t>
      </w:r>
      <w:r w:rsidRPr="00195F45">
        <w:rPr>
          <w:rFonts w:asciiTheme="majorBidi" w:hAnsiTheme="majorBidi" w:cstheme="majorBidi"/>
          <w:bCs/>
          <w:i/>
          <w:iCs/>
          <w:sz w:val="24"/>
          <w:szCs w:val="24"/>
        </w:rPr>
        <w:t>Sci. Adv.</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2</w:t>
      </w:r>
      <w:r w:rsidRPr="00195F45">
        <w:rPr>
          <w:rFonts w:asciiTheme="majorBidi" w:hAnsiTheme="majorBidi" w:cstheme="majorBidi"/>
          <w:bCs/>
          <w:sz w:val="24"/>
          <w:szCs w:val="24"/>
        </w:rPr>
        <w:t>, 1–12 (2016).</w:t>
      </w:r>
    </w:p>
    <w:p w14:paraId="62174E22"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11. </w:t>
      </w:r>
      <w:r w:rsidRPr="00195F45">
        <w:rPr>
          <w:rFonts w:asciiTheme="majorBidi" w:hAnsiTheme="majorBidi" w:cstheme="majorBidi"/>
          <w:bCs/>
          <w:sz w:val="24"/>
          <w:szCs w:val="24"/>
        </w:rPr>
        <w:tab/>
        <w:t xml:space="preserve">D. S. Jordan, The Law of Geminate Species. </w:t>
      </w:r>
      <w:r w:rsidRPr="00195F45">
        <w:rPr>
          <w:rFonts w:asciiTheme="majorBidi" w:hAnsiTheme="majorBidi" w:cstheme="majorBidi"/>
          <w:bCs/>
          <w:i/>
          <w:iCs/>
          <w:sz w:val="24"/>
          <w:szCs w:val="24"/>
        </w:rPr>
        <w:t>Am. Nat.</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42</w:t>
      </w:r>
      <w:r w:rsidRPr="00195F45">
        <w:rPr>
          <w:rFonts w:asciiTheme="majorBidi" w:hAnsiTheme="majorBidi" w:cstheme="majorBidi"/>
          <w:bCs/>
          <w:sz w:val="24"/>
          <w:szCs w:val="24"/>
        </w:rPr>
        <w:t>, 73–80 (1908).</w:t>
      </w:r>
    </w:p>
    <w:p w14:paraId="331D4964"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lastRenderedPageBreak/>
        <w:t xml:space="preserve">12. </w:t>
      </w:r>
      <w:r w:rsidRPr="00195F45">
        <w:rPr>
          <w:rFonts w:asciiTheme="majorBidi" w:hAnsiTheme="majorBidi" w:cstheme="majorBidi"/>
          <w:bCs/>
          <w:sz w:val="24"/>
          <w:szCs w:val="24"/>
        </w:rPr>
        <w:tab/>
        <w:t>V. G. Springer, “Systematics and Zoogeography of the Clinid Fishes of the Subtribe Labrisomini Hubbs,”  University of Texas. (1959).</w:t>
      </w:r>
    </w:p>
    <w:p w14:paraId="05954F68"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13. </w:t>
      </w:r>
      <w:r w:rsidRPr="00195F45">
        <w:rPr>
          <w:rFonts w:asciiTheme="majorBidi" w:hAnsiTheme="majorBidi" w:cstheme="majorBidi"/>
          <w:bCs/>
          <w:sz w:val="24"/>
          <w:szCs w:val="24"/>
        </w:rPr>
        <w:tab/>
        <w:t xml:space="preserve">P. A. Hastings, Biogeography of the Tropical Eastern Pacific : distribution and phylogeny of chaenopsid fishes. </w:t>
      </w:r>
      <w:r w:rsidRPr="00195F45">
        <w:rPr>
          <w:rFonts w:asciiTheme="majorBidi" w:hAnsiTheme="majorBidi" w:cstheme="majorBidi"/>
          <w:bCs/>
          <w:i/>
          <w:iCs/>
          <w:sz w:val="24"/>
          <w:szCs w:val="24"/>
        </w:rPr>
        <w:t>Zool. J. Linn. Soc.</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128</w:t>
      </w:r>
      <w:r w:rsidRPr="00195F45">
        <w:rPr>
          <w:rFonts w:asciiTheme="majorBidi" w:hAnsiTheme="majorBidi" w:cstheme="majorBidi"/>
          <w:bCs/>
          <w:sz w:val="24"/>
          <w:szCs w:val="24"/>
        </w:rPr>
        <w:t>, 319–335 (2000).</w:t>
      </w:r>
    </w:p>
    <w:p w14:paraId="4C140699"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14. </w:t>
      </w:r>
      <w:r w:rsidRPr="00195F45">
        <w:rPr>
          <w:rFonts w:asciiTheme="majorBidi" w:hAnsiTheme="majorBidi" w:cstheme="majorBidi"/>
          <w:bCs/>
          <w:sz w:val="24"/>
          <w:szCs w:val="24"/>
        </w:rPr>
        <w:tab/>
        <w:t xml:space="preserve">A. F. Mar-Silva,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Genomic assessment reveals signal of adaptive selection in populations of the Spotted rose snapper Lutjanus guttatus from the Tropical Eastern Pacific. </w:t>
      </w:r>
      <w:r w:rsidRPr="00195F45">
        <w:rPr>
          <w:rFonts w:asciiTheme="majorBidi" w:hAnsiTheme="majorBidi" w:cstheme="majorBidi"/>
          <w:bCs/>
          <w:i/>
          <w:iCs/>
          <w:sz w:val="24"/>
          <w:szCs w:val="24"/>
        </w:rPr>
        <w:t>PeerJ</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11</w:t>
      </w:r>
      <w:r w:rsidRPr="00195F45">
        <w:rPr>
          <w:rFonts w:asciiTheme="majorBidi" w:hAnsiTheme="majorBidi" w:cstheme="majorBidi"/>
          <w:bCs/>
          <w:sz w:val="24"/>
          <w:szCs w:val="24"/>
        </w:rPr>
        <w:t>, 1–30 (2023).</w:t>
      </w:r>
    </w:p>
    <w:p w14:paraId="374DEFCD"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15. </w:t>
      </w:r>
      <w:r w:rsidRPr="00195F45">
        <w:rPr>
          <w:rFonts w:asciiTheme="majorBidi" w:hAnsiTheme="majorBidi" w:cstheme="majorBidi"/>
          <w:bCs/>
          <w:sz w:val="24"/>
          <w:szCs w:val="24"/>
        </w:rPr>
        <w:tab/>
        <w:t xml:space="preserve">E. R. Sandoval-Huerta,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The evolutionary history of the goby Elacatinus puncticulatus in the tropical eastern pacific: Effects of habitat discontinuities and local environmental variability. </w:t>
      </w:r>
      <w:r w:rsidRPr="00195F45">
        <w:rPr>
          <w:rFonts w:asciiTheme="majorBidi" w:hAnsiTheme="majorBidi" w:cstheme="majorBidi"/>
          <w:bCs/>
          <w:i/>
          <w:iCs/>
          <w:sz w:val="24"/>
          <w:szCs w:val="24"/>
        </w:rPr>
        <w:t>Mol. Phylogenet.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130</w:t>
      </w:r>
      <w:r w:rsidRPr="00195F45">
        <w:rPr>
          <w:rFonts w:asciiTheme="majorBidi" w:hAnsiTheme="majorBidi" w:cstheme="majorBidi"/>
          <w:bCs/>
          <w:sz w:val="24"/>
          <w:szCs w:val="24"/>
        </w:rPr>
        <w:t>, 269–285 (2019).</w:t>
      </w:r>
    </w:p>
    <w:p w14:paraId="43F56B9B"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16. </w:t>
      </w:r>
      <w:r w:rsidRPr="00195F45">
        <w:rPr>
          <w:rFonts w:asciiTheme="majorBidi" w:hAnsiTheme="majorBidi" w:cstheme="majorBidi"/>
          <w:bCs/>
          <w:sz w:val="24"/>
          <w:szCs w:val="24"/>
        </w:rPr>
        <w:tab/>
        <w:t xml:space="preserve">L. A. Hurtado, M. Frey, P. Gaube, E. Pfeiler, T. A. Markow, Geographical subdivision, demographic history and gene flow in two sympatric species of intertidal snails, Nerita scabricosta and Nerita funiculata, from the tropical eastern Pacific. </w:t>
      </w:r>
      <w:r w:rsidRPr="00195F45">
        <w:rPr>
          <w:rFonts w:asciiTheme="majorBidi" w:hAnsiTheme="majorBidi" w:cstheme="majorBidi"/>
          <w:bCs/>
          <w:i/>
          <w:iCs/>
          <w:sz w:val="24"/>
          <w:szCs w:val="24"/>
        </w:rPr>
        <w:t>Mar. Biol.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151</w:t>
      </w:r>
      <w:r w:rsidRPr="00195F45">
        <w:rPr>
          <w:rFonts w:asciiTheme="majorBidi" w:hAnsiTheme="majorBidi" w:cstheme="majorBidi"/>
          <w:bCs/>
          <w:sz w:val="24"/>
          <w:szCs w:val="24"/>
        </w:rPr>
        <w:t>, 1863–1873 (2007).</w:t>
      </w:r>
    </w:p>
    <w:p w14:paraId="392DF4DF"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17. </w:t>
      </w:r>
      <w:r w:rsidRPr="00195F45">
        <w:rPr>
          <w:rFonts w:asciiTheme="majorBidi" w:hAnsiTheme="majorBidi" w:cstheme="majorBidi"/>
          <w:bCs/>
          <w:sz w:val="24"/>
          <w:szCs w:val="24"/>
        </w:rPr>
        <w:tab/>
        <w:t xml:space="preserve">D. R. Robertson, K. L. Cramer, Defining and Dividing the Greater Caribbean : Insights from the Biogeography of Shorefishes. </w:t>
      </w:r>
      <w:r w:rsidRPr="00195F45">
        <w:rPr>
          <w:rFonts w:asciiTheme="majorBidi" w:hAnsiTheme="majorBidi" w:cstheme="majorBidi"/>
          <w:bCs/>
          <w:i/>
          <w:iCs/>
          <w:sz w:val="24"/>
          <w:szCs w:val="24"/>
        </w:rPr>
        <w:t>PLoS One</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9</w:t>
      </w:r>
      <w:r w:rsidRPr="00195F45">
        <w:rPr>
          <w:rFonts w:asciiTheme="majorBidi" w:hAnsiTheme="majorBidi" w:cstheme="majorBidi"/>
          <w:bCs/>
          <w:sz w:val="24"/>
          <w:szCs w:val="24"/>
        </w:rPr>
        <w:t xml:space="preserve"> (2014).</w:t>
      </w:r>
    </w:p>
    <w:p w14:paraId="3317E781"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18. </w:t>
      </w:r>
      <w:r w:rsidRPr="00195F45">
        <w:rPr>
          <w:rFonts w:asciiTheme="majorBidi" w:hAnsiTheme="majorBidi" w:cstheme="majorBidi"/>
          <w:bCs/>
          <w:sz w:val="24"/>
          <w:szCs w:val="24"/>
        </w:rPr>
        <w:tab/>
        <w:t xml:space="preserve">P. April, O. Pen, D. R. Robertson, K. L. Cramer, Shore fishes and biogeographic subdivisions of the Tropical Eastern Pacific. </w:t>
      </w:r>
      <w:r w:rsidRPr="00195F45">
        <w:rPr>
          <w:rFonts w:asciiTheme="majorBidi" w:hAnsiTheme="majorBidi" w:cstheme="majorBidi"/>
          <w:b/>
          <w:bCs/>
          <w:sz w:val="24"/>
          <w:szCs w:val="24"/>
        </w:rPr>
        <w:t>380</w:t>
      </w:r>
      <w:r w:rsidRPr="00195F45">
        <w:rPr>
          <w:rFonts w:asciiTheme="majorBidi" w:hAnsiTheme="majorBidi" w:cstheme="majorBidi"/>
          <w:bCs/>
          <w:sz w:val="24"/>
          <w:szCs w:val="24"/>
        </w:rPr>
        <w:t>, 1–17 (2009).</w:t>
      </w:r>
    </w:p>
    <w:p w14:paraId="37190732"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19. </w:t>
      </w:r>
      <w:r w:rsidRPr="00195F45">
        <w:rPr>
          <w:rFonts w:asciiTheme="majorBidi" w:hAnsiTheme="majorBidi" w:cstheme="majorBidi"/>
          <w:bCs/>
          <w:sz w:val="24"/>
          <w:szCs w:val="24"/>
        </w:rPr>
        <w:tab/>
        <w:t xml:space="preserve">R. I. Eytan, M. E. Hellberg, Nuclear and mitochondrial sequence data reveal and conceal different demographic histories and population genetic processes in caribbean reef fishes. </w:t>
      </w:r>
      <w:r w:rsidRPr="00195F45">
        <w:rPr>
          <w:rFonts w:asciiTheme="majorBidi" w:hAnsiTheme="majorBidi" w:cstheme="majorBidi"/>
          <w:bCs/>
          <w:i/>
          <w:iCs/>
          <w:sz w:val="24"/>
          <w:szCs w:val="24"/>
        </w:rPr>
        <w:t>Evolution (N. Y).</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64</w:t>
      </w:r>
      <w:r w:rsidRPr="00195F45">
        <w:rPr>
          <w:rFonts w:asciiTheme="majorBidi" w:hAnsiTheme="majorBidi" w:cstheme="majorBidi"/>
          <w:bCs/>
          <w:sz w:val="24"/>
          <w:szCs w:val="24"/>
        </w:rPr>
        <w:t>, 3380–3397 (2010).</w:t>
      </w:r>
    </w:p>
    <w:p w14:paraId="5635E001"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20. </w:t>
      </w:r>
      <w:r w:rsidRPr="00195F45">
        <w:rPr>
          <w:rFonts w:asciiTheme="majorBidi" w:hAnsiTheme="majorBidi" w:cstheme="majorBidi"/>
          <w:bCs/>
          <w:sz w:val="24"/>
          <w:szCs w:val="24"/>
        </w:rPr>
        <w:tab/>
        <w:t xml:space="preserve">R. Betancur-r,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Reconstructing the lionfish invasion : insights into Greater Caribbean biogeography. </w:t>
      </w:r>
      <w:r w:rsidRPr="00195F45">
        <w:rPr>
          <w:rFonts w:asciiTheme="majorBidi" w:hAnsiTheme="majorBidi" w:cstheme="majorBidi"/>
          <w:bCs/>
          <w:i/>
          <w:iCs/>
          <w:sz w:val="24"/>
          <w:szCs w:val="24"/>
        </w:rPr>
        <w:t>J. Biogeogr.</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38</w:t>
      </w:r>
      <w:r w:rsidRPr="00195F45">
        <w:rPr>
          <w:rFonts w:asciiTheme="majorBidi" w:hAnsiTheme="majorBidi" w:cstheme="majorBidi"/>
          <w:bCs/>
          <w:sz w:val="24"/>
          <w:szCs w:val="24"/>
        </w:rPr>
        <w:t>, 1281–1293 (2011).</w:t>
      </w:r>
    </w:p>
    <w:p w14:paraId="6BDF7435"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21. </w:t>
      </w:r>
      <w:r w:rsidRPr="00195F45">
        <w:rPr>
          <w:rFonts w:asciiTheme="majorBidi" w:hAnsiTheme="majorBidi" w:cstheme="majorBidi"/>
          <w:bCs/>
          <w:sz w:val="24"/>
          <w:szCs w:val="24"/>
        </w:rPr>
        <w:tab/>
        <w:t xml:space="preserve">R. K. Cowen, S. Sponaugle, Larval Dispersal and Marine Population Connectivity. </w:t>
      </w:r>
      <w:r w:rsidRPr="00195F45">
        <w:rPr>
          <w:rFonts w:asciiTheme="majorBidi" w:hAnsiTheme="majorBidi" w:cstheme="majorBidi"/>
          <w:bCs/>
          <w:i/>
          <w:iCs/>
          <w:sz w:val="24"/>
          <w:szCs w:val="24"/>
        </w:rPr>
        <w:t>Ann. Rev. Mar. Sci.</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w:t>
      </w:r>
      <w:r w:rsidRPr="00195F45">
        <w:rPr>
          <w:rFonts w:asciiTheme="majorBidi" w:hAnsiTheme="majorBidi" w:cstheme="majorBidi"/>
          <w:bCs/>
          <w:sz w:val="24"/>
          <w:szCs w:val="24"/>
        </w:rPr>
        <w:t>, 443–466 (2009).</w:t>
      </w:r>
    </w:p>
    <w:p w14:paraId="7679FA08"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22. </w:t>
      </w:r>
      <w:r w:rsidRPr="00195F45">
        <w:rPr>
          <w:rFonts w:asciiTheme="majorBidi" w:hAnsiTheme="majorBidi" w:cstheme="majorBidi"/>
          <w:bCs/>
          <w:sz w:val="24"/>
          <w:szCs w:val="24"/>
        </w:rPr>
        <w:tab/>
        <w:t xml:space="preserve">R. K. Cowen, Scaling of Connectivity in Marine Populations. </w:t>
      </w:r>
      <w:r w:rsidRPr="00195F45">
        <w:rPr>
          <w:rFonts w:asciiTheme="majorBidi" w:hAnsiTheme="majorBidi" w:cstheme="majorBidi"/>
          <w:bCs/>
          <w:i/>
          <w:iCs/>
          <w:sz w:val="24"/>
          <w:szCs w:val="24"/>
        </w:rPr>
        <w:t>Science (80-. ).</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311</w:t>
      </w:r>
      <w:r w:rsidRPr="00195F45">
        <w:rPr>
          <w:rFonts w:asciiTheme="majorBidi" w:hAnsiTheme="majorBidi" w:cstheme="majorBidi"/>
          <w:bCs/>
          <w:sz w:val="24"/>
          <w:szCs w:val="24"/>
        </w:rPr>
        <w:t>, 522–527 (2006).</w:t>
      </w:r>
    </w:p>
    <w:p w14:paraId="4079EA96"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23. </w:t>
      </w:r>
      <w:r w:rsidRPr="00195F45">
        <w:rPr>
          <w:rFonts w:asciiTheme="majorBidi" w:hAnsiTheme="majorBidi" w:cstheme="majorBidi"/>
          <w:bCs/>
          <w:sz w:val="24"/>
          <w:szCs w:val="24"/>
        </w:rPr>
        <w:tab/>
        <w:t xml:space="preserve">G. Bernardi, Baja California disjunctions and phylogeographic patterns in sympatric California blennies. </w:t>
      </w:r>
      <w:r w:rsidRPr="00195F45">
        <w:rPr>
          <w:rFonts w:asciiTheme="majorBidi" w:hAnsiTheme="majorBidi" w:cstheme="majorBidi"/>
          <w:bCs/>
          <w:i/>
          <w:iCs/>
          <w:sz w:val="24"/>
          <w:szCs w:val="24"/>
        </w:rPr>
        <w:t>Front. Ecol.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2</w:t>
      </w:r>
      <w:r w:rsidRPr="00195F45">
        <w:rPr>
          <w:rFonts w:asciiTheme="majorBidi" w:hAnsiTheme="majorBidi" w:cstheme="majorBidi"/>
          <w:bCs/>
          <w:sz w:val="24"/>
          <w:szCs w:val="24"/>
        </w:rPr>
        <w:t>, 1–9 (2014).</w:t>
      </w:r>
    </w:p>
    <w:p w14:paraId="202942B4"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24. </w:t>
      </w:r>
      <w:r w:rsidRPr="00195F45">
        <w:rPr>
          <w:rFonts w:asciiTheme="majorBidi" w:hAnsiTheme="majorBidi" w:cstheme="majorBidi"/>
          <w:bCs/>
          <w:sz w:val="24"/>
          <w:szCs w:val="24"/>
        </w:rPr>
        <w:tab/>
        <w:t xml:space="preserve">E. Torres-Hernández,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Phylogeography and evolutionary history of the Panamic Clingfish Gobiesox adustus in the Tropical Eastern Pacific. </w:t>
      </w:r>
      <w:r w:rsidRPr="00195F45">
        <w:rPr>
          <w:rFonts w:asciiTheme="majorBidi" w:hAnsiTheme="majorBidi" w:cstheme="majorBidi"/>
          <w:bCs/>
          <w:i/>
          <w:iCs/>
          <w:sz w:val="24"/>
          <w:szCs w:val="24"/>
        </w:rPr>
        <w:t>Mol. Phylogenet.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173</w:t>
      </w:r>
      <w:r w:rsidRPr="00195F45">
        <w:rPr>
          <w:rFonts w:asciiTheme="majorBidi" w:hAnsiTheme="majorBidi" w:cstheme="majorBidi"/>
          <w:bCs/>
          <w:sz w:val="24"/>
          <w:szCs w:val="24"/>
        </w:rPr>
        <w:t xml:space="preserve"> (2022).</w:t>
      </w:r>
    </w:p>
    <w:p w14:paraId="69F0AE6F"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25. </w:t>
      </w:r>
      <w:r w:rsidRPr="00195F45">
        <w:rPr>
          <w:rFonts w:asciiTheme="majorBidi" w:hAnsiTheme="majorBidi" w:cstheme="majorBidi"/>
          <w:bCs/>
          <w:sz w:val="24"/>
          <w:szCs w:val="24"/>
        </w:rPr>
        <w:tab/>
        <w:t xml:space="preserve">E. Torres-Hernández,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A multi-locus approach to elucidating the evolutionary history of the clingfish Tomicodon petersii (Gobiesocidae) in the Tropical Eastern Pacific. </w:t>
      </w:r>
      <w:r w:rsidRPr="00195F45">
        <w:rPr>
          <w:rFonts w:asciiTheme="majorBidi" w:hAnsiTheme="majorBidi" w:cstheme="majorBidi"/>
          <w:bCs/>
          <w:i/>
          <w:iCs/>
          <w:sz w:val="24"/>
          <w:szCs w:val="24"/>
        </w:rPr>
        <w:t>Mol. Phylogenet.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166</w:t>
      </w:r>
      <w:r w:rsidRPr="00195F45">
        <w:rPr>
          <w:rFonts w:asciiTheme="majorBidi" w:hAnsiTheme="majorBidi" w:cstheme="majorBidi"/>
          <w:bCs/>
          <w:sz w:val="24"/>
          <w:szCs w:val="24"/>
        </w:rPr>
        <w:t xml:space="preserve"> (2022).</w:t>
      </w:r>
    </w:p>
    <w:p w14:paraId="5160B742"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lastRenderedPageBreak/>
        <w:t xml:space="preserve">26. </w:t>
      </w:r>
      <w:r w:rsidRPr="00195F45">
        <w:rPr>
          <w:rFonts w:asciiTheme="majorBidi" w:hAnsiTheme="majorBidi" w:cstheme="majorBidi"/>
          <w:bCs/>
          <w:sz w:val="24"/>
          <w:szCs w:val="24"/>
        </w:rPr>
        <w:tab/>
        <w:t xml:space="preserve">B. C. Victor, “How many coral reef fish species are there? Cryptic diversity and the new molecular taxonomy” in </w:t>
      </w:r>
      <w:r w:rsidRPr="00195F45">
        <w:rPr>
          <w:rFonts w:asciiTheme="majorBidi" w:hAnsiTheme="majorBidi" w:cstheme="majorBidi"/>
          <w:bCs/>
          <w:i/>
          <w:iCs/>
          <w:sz w:val="24"/>
          <w:szCs w:val="24"/>
        </w:rPr>
        <w:t>Ecology of Fishes on Coral Reefs: The Functioning of an Ecosystem in a Changing World. Cambridge University Press, Cambridge, United Kingdom</w:t>
      </w:r>
      <w:r w:rsidRPr="00195F45">
        <w:rPr>
          <w:rFonts w:asciiTheme="majorBidi" w:hAnsiTheme="majorBidi" w:cstheme="majorBidi"/>
          <w:bCs/>
          <w:sz w:val="24"/>
          <w:szCs w:val="24"/>
        </w:rPr>
        <w:t>, (2015), pp. 76–87.</w:t>
      </w:r>
    </w:p>
    <w:p w14:paraId="06633E24"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27. </w:t>
      </w:r>
      <w:r w:rsidRPr="00195F45">
        <w:rPr>
          <w:rFonts w:asciiTheme="majorBidi" w:hAnsiTheme="majorBidi" w:cstheme="majorBidi"/>
          <w:bCs/>
          <w:sz w:val="24"/>
          <w:szCs w:val="24"/>
        </w:rPr>
        <w:tab/>
        <w:t xml:space="preserve">P. R. Peres-Neto, P. Legendre, S. Dray, D. Borcard, Variation partitioning of species data matrices: Estimation and comparison of fractions. </w:t>
      </w:r>
      <w:r w:rsidRPr="00195F45">
        <w:rPr>
          <w:rFonts w:asciiTheme="majorBidi" w:hAnsiTheme="majorBidi" w:cstheme="majorBidi"/>
          <w:bCs/>
          <w:i/>
          <w:iCs/>
          <w:sz w:val="24"/>
          <w:szCs w:val="24"/>
        </w:rPr>
        <w:t>Ecology</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87</w:t>
      </w:r>
      <w:r w:rsidRPr="00195F45">
        <w:rPr>
          <w:rFonts w:asciiTheme="majorBidi" w:hAnsiTheme="majorBidi" w:cstheme="majorBidi"/>
          <w:bCs/>
          <w:sz w:val="24"/>
          <w:szCs w:val="24"/>
        </w:rPr>
        <w:t>, 2614–2625 (2006).</w:t>
      </w:r>
    </w:p>
    <w:p w14:paraId="2853926B"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28. </w:t>
      </w:r>
      <w:r w:rsidRPr="00195F45">
        <w:rPr>
          <w:rFonts w:asciiTheme="majorBidi" w:hAnsiTheme="majorBidi" w:cstheme="majorBidi"/>
          <w:bCs/>
          <w:sz w:val="24"/>
          <w:szCs w:val="24"/>
        </w:rPr>
        <w:tab/>
        <w:t>N. J. Matzke, nmatzke/BioGeoBEARS: BioGeoBEARS: BioGeography with Bayesian (and likelihood) Evolutionary Analysis with R Scripts (2018) https:/doi.org/10.5281/zenodo.1463216.</w:t>
      </w:r>
    </w:p>
    <w:p w14:paraId="2924D436"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29. </w:t>
      </w:r>
      <w:r w:rsidRPr="00195F45">
        <w:rPr>
          <w:rFonts w:asciiTheme="majorBidi" w:hAnsiTheme="majorBidi" w:cstheme="majorBidi"/>
          <w:bCs/>
          <w:sz w:val="24"/>
          <w:szCs w:val="24"/>
        </w:rPr>
        <w:tab/>
        <w:t xml:space="preserve">D. R. Robertson, K. L. Cramer, Defining and dividing the Greater Caribbean: Insights from the biogeography of shorefishes. </w:t>
      </w:r>
      <w:r w:rsidRPr="00195F45">
        <w:rPr>
          <w:rFonts w:asciiTheme="majorBidi" w:hAnsiTheme="majorBidi" w:cstheme="majorBidi"/>
          <w:bCs/>
          <w:i/>
          <w:iCs/>
          <w:sz w:val="24"/>
          <w:szCs w:val="24"/>
        </w:rPr>
        <w:t>PLoS One</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9</w:t>
      </w:r>
      <w:r w:rsidRPr="00195F45">
        <w:rPr>
          <w:rFonts w:asciiTheme="majorBidi" w:hAnsiTheme="majorBidi" w:cstheme="majorBidi"/>
          <w:bCs/>
          <w:sz w:val="24"/>
          <w:szCs w:val="24"/>
        </w:rPr>
        <w:t xml:space="preserve"> (2014).</w:t>
      </w:r>
    </w:p>
    <w:p w14:paraId="04EDDE15"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30. </w:t>
      </w:r>
      <w:r w:rsidRPr="00195F45">
        <w:rPr>
          <w:rFonts w:asciiTheme="majorBidi" w:hAnsiTheme="majorBidi" w:cstheme="majorBidi"/>
          <w:bCs/>
          <w:sz w:val="24"/>
          <w:szCs w:val="24"/>
        </w:rPr>
        <w:tab/>
        <w:t xml:space="preserve">M. D. Spalding,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Marine Ecoregions of the World : A Bioregionalization of Coastal and Shelf Areas. </w:t>
      </w:r>
      <w:r w:rsidRPr="00195F45">
        <w:rPr>
          <w:rFonts w:asciiTheme="majorBidi" w:hAnsiTheme="majorBidi" w:cstheme="majorBidi"/>
          <w:b/>
          <w:bCs/>
          <w:sz w:val="24"/>
          <w:szCs w:val="24"/>
        </w:rPr>
        <w:t>57</w:t>
      </w:r>
      <w:r w:rsidRPr="00195F45">
        <w:rPr>
          <w:rFonts w:asciiTheme="majorBidi" w:hAnsiTheme="majorBidi" w:cstheme="majorBidi"/>
          <w:bCs/>
          <w:sz w:val="24"/>
          <w:szCs w:val="24"/>
        </w:rPr>
        <w:t>, 573–583 (2007).</w:t>
      </w:r>
    </w:p>
    <w:p w14:paraId="346D8387"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31. </w:t>
      </w:r>
      <w:r w:rsidRPr="00195F45">
        <w:rPr>
          <w:rFonts w:asciiTheme="majorBidi" w:hAnsiTheme="majorBidi" w:cstheme="majorBidi"/>
          <w:bCs/>
          <w:sz w:val="24"/>
          <w:szCs w:val="24"/>
        </w:rPr>
        <w:tab/>
        <w:t xml:space="preserve">J. R. Oaks, Full Bayesian comparative phylogeography from genomic data. </w:t>
      </w:r>
      <w:r w:rsidRPr="00195F45">
        <w:rPr>
          <w:rFonts w:asciiTheme="majorBidi" w:hAnsiTheme="majorBidi" w:cstheme="majorBidi"/>
          <w:bCs/>
          <w:i/>
          <w:iCs/>
          <w:sz w:val="24"/>
          <w:szCs w:val="24"/>
        </w:rPr>
        <w:t>Syst. Biol.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68</w:t>
      </w:r>
      <w:r w:rsidRPr="00195F45">
        <w:rPr>
          <w:rFonts w:asciiTheme="majorBidi" w:hAnsiTheme="majorBidi" w:cstheme="majorBidi"/>
          <w:bCs/>
          <w:sz w:val="24"/>
          <w:szCs w:val="24"/>
        </w:rPr>
        <w:t>, 371–395 (2019).</w:t>
      </w:r>
    </w:p>
    <w:p w14:paraId="685B98D9"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32. </w:t>
      </w:r>
      <w:r w:rsidRPr="00195F45">
        <w:rPr>
          <w:rFonts w:asciiTheme="majorBidi" w:hAnsiTheme="majorBidi" w:cstheme="majorBidi"/>
          <w:bCs/>
          <w:sz w:val="24"/>
          <w:szCs w:val="24"/>
        </w:rPr>
        <w:tab/>
        <w:t xml:space="preserve">S. Arnaud, M. Monteforte, N. Galtier, F. Bonhomme, F. Blanc, Population structure and genetic variability of pearl oyster Pinctada mazatlanica along Pacific coasts from Mexico to Panama. </w:t>
      </w:r>
      <w:r w:rsidRPr="00195F45">
        <w:rPr>
          <w:rFonts w:asciiTheme="majorBidi" w:hAnsiTheme="majorBidi" w:cstheme="majorBidi"/>
          <w:bCs/>
          <w:i/>
          <w:iCs/>
          <w:sz w:val="24"/>
          <w:szCs w:val="24"/>
        </w:rPr>
        <w:t>Conserv. Genet.</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w:t>
      </w:r>
      <w:r w:rsidRPr="00195F45">
        <w:rPr>
          <w:rFonts w:asciiTheme="majorBidi" w:hAnsiTheme="majorBidi" w:cstheme="majorBidi"/>
          <w:bCs/>
          <w:sz w:val="24"/>
          <w:szCs w:val="24"/>
        </w:rPr>
        <w:t>, 299–308 (2000).</w:t>
      </w:r>
    </w:p>
    <w:p w14:paraId="1D03AFA0"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33. </w:t>
      </w:r>
      <w:r w:rsidRPr="00195F45">
        <w:rPr>
          <w:rFonts w:asciiTheme="majorBidi" w:hAnsiTheme="majorBidi" w:cstheme="majorBidi"/>
          <w:bCs/>
          <w:sz w:val="24"/>
          <w:szCs w:val="24"/>
        </w:rPr>
        <w:tab/>
        <w:t xml:space="preserve">C. Mora, D. R. Robertson, Factors shaping the range-size frequency distribution of the endemic fish fauna of the Tropical Eastern Pacific. </w:t>
      </w:r>
      <w:r w:rsidRPr="00195F45">
        <w:rPr>
          <w:rFonts w:asciiTheme="majorBidi" w:hAnsiTheme="majorBidi" w:cstheme="majorBidi"/>
          <w:bCs/>
          <w:i/>
          <w:iCs/>
          <w:sz w:val="24"/>
          <w:szCs w:val="24"/>
        </w:rPr>
        <w:t>J. Biogeogr.</w:t>
      </w:r>
      <w:r w:rsidRPr="00195F45">
        <w:rPr>
          <w:rFonts w:asciiTheme="majorBidi" w:hAnsiTheme="majorBidi" w:cstheme="majorBidi"/>
          <w:bCs/>
          <w:sz w:val="24"/>
          <w:szCs w:val="24"/>
        </w:rPr>
        <w:t>, 277–286 (2005).</w:t>
      </w:r>
    </w:p>
    <w:p w14:paraId="31754B18"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34. </w:t>
      </w:r>
      <w:r w:rsidRPr="00195F45">
        <w:rPr>
          <w:rFonts w:asciiTheme="majorBidi" w:hAnsiTheme="majorBidi" w:cstheme="majorBidi"/>
          <w:bCs/>
          <w:sz w:val="24"/>
          <w:szCs w:val="24"/>
        </w:rPr>
        <w:tab/>
        <w:t xml:space="preserve">H. Lin, G. R. Gallan, Molecular analysis of Acanthemblemaria macrospilus (Teleostei: Chaenopsidae) with description of a new species from the Gulf of California, Mexico. </w:t>
      </w:r>
      <w:r w:rsidRPr="00195F45">
        <w:rPr>
          <w:rFonts w:asciiTheme="majorBidi" w:hAnsiTheme="majorBidi" w:cstheme="majorBidi"/>
          <w:bCs/>
          <w:i/>
          <w:iCs/>
          <w:sz w:val="24"/>
          <w:szCs w:val="24"/>
        </w:rPr>
        <w:t>Zootaxa</w:t>
      </w:r>
      <w:r w:rsidRPr="00195F45">
        <w:rPr>
          <w:rFonts w:asciiTheme="majorBidi" w:hAnsiTheme="majorBidi" w:cstheme="majorBidi"/>
          <w:bCs/>
          <w:sz w:val="24"/>
          <w:szCs w:val="24"/>
        </w:rPr>
        <w:t>, 51–62 (2010).</w:t>
      </w:r>
    </w:p>
    <w:p w14:paraId="7BCE9382"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35. </w:t>
      </w:r>
      <w:r w:rsidRPr="00195F45">
        <w:rPr>
          <w:rFonts w:asciiTheme="majorBidi" w:hAnsiTheme="majorBidi" w:cstheme="majorBidi"/>
          <w:bCs/>
          <w:sz w:val="24"/>
          <w:szCs w:val="24"/>
        </w:rPr>
        <w:tab/>
        <w:t xml:space="preserve">F. B. Pitombo, R. Burton, Systematics and biogeography of Tropical Eastern Pacific Chthamalus with descriptions of two new species (Cirripedia, Thoracica). </w:t>
      </w:r>
      <w:r w:rsidRPr="00195F45">
        <w:rPr>
          <w:rFonts w:asciiTheme="majorBidi" w:hAnsiTheme="majorBidi" w:cstheme="majorBidi"/>
          <w:bCs/>
          <w:i/>
          <w:iCs/>
          <w:sz w:val="24"/>
          <w:szCs w:val="24"/>
        </w:rPr>
        <w:t>Zootaxa</w:t>
      </w:r>
      <w:r w:rsidRPr="00195F45">
        <w:rPr>
          <w:rFonts w:asciiTheme="majorBidi" w:hAnsiTheme="majorBidi" w:cstheme="majorBidi"/>
          <w:bCs/>
          <w:sz w:val="24"/>
          <w:szCs w:val="24"/>
        </w:rPr>
        <w:t>, 1–30 (2007).</w:t>
      </w:r>
    </w:p>
    <w:p w14:paraId="3EFDE07B"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36. </w:t>
      </w:r>
      <w:r w:rsidRPr="00195F45">
        <w:rPr>
          <w:rFonts w:asciiTheme="majorBidi" w:hAnsiTheme="majorBidi" w:cstheme="majorBidi"/>
          <w:bCs/>
          <w:sz w:val="24"/>
          <w:szCs w:val="24"/>
        </w:rPr>
        <w:tab/>
        <w:t xml:space="preserve">E. Rodríguez-Rubio, W. Schneider, R. A. del Río, On the seasonal circulation within the Panama Bight derived from satellite observations of wind, altimetry and sea surface temperature. </w:t>
      </w:r>
      <w:r w:rsidRPr="00195F45">
        <w:rPr>
          <w:rFonts w:asciiTheme="majorBidi" w:hAnsiTheme="majorBidi" w:cstheme="majorBidi"/>
          <w:bCs/>
          <w:i/>
          <w:iCs/>
          <w:sz w:val="24"/>
          <w:szCs w:val="24"/>
        </w:rPr>
        <w:t>Geophys. Res. Lett.</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30</w:t>
      </w:r>
      <w:r w:rsidRPr="00195F45">
        <w:rPr>
          <w:rFonts w:asciiTheme="majorBidi" w:hAnsiTheme="majorBidi" w:cstheme="majorBidi"/>
          <w:bCs/>
          <w:sz w:val="24"/>
          <w:szCs w:val="24"/>
        </w:rPr>
        <w:t xml:space="preserve"> (2003).</w:t>
      </w:r>
    </w:p>
    <w:p w14:paraId="2C99AB12"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37. </w:t>
      </w:r>
      <w:r w:rsidRPr="00195F45">
        <w:rPr>
          <w:rFonts w:asciiTheme="majorBidi" w:hAnsiTheme="majorBidi" w:cstheme="majorBidi"/>
          <w:bCs/>
          <w:sz w:val="24"/>
          <w:szCs w:val="24"/>
        </w:rPr>
        <w:tab/>
        <w:t xml:space="preserve">L. D’Croz, D. R. Robertson, Coastal oceanographic conditions affecting coral reefs on both sides of the isthmus of Panama in </w:t>
      </w:r>
      <w:r w:rsidRPr="00195F45">
        <w:rPr>
          <w:rFonts w:asciiTheme="majorBidi" w:hAnsiTheme="majorBidi" w:cstheme="majorBidi"/>
          <w:bCs/>
          <w:i/>
          <w:iCs/>
          <w:sz w:val="24"/>
          <w:szCs w:val="24"/>
        </w:rPr>
        <w:t>Proc. 8th Int. Coral Reef Symp.</w:t>
      </w:r>
      <w:r w:rsidRPr="00195F45">
        <w:rPr>
          <w:rFonts w:asciiTheme="majorBidi" w:hAnsiTheme="majorBidi" w:cstheme="majorBidi"/>
          <w:bCs/>
          <w:sz w:val="24"/>
          <w:szCs w:val="24"/>
        </w:rPr>
        <w:t>, (1997), pp. 2053–2058.</w:t>
      </w:r>
    </w:p>
    <w:p w14:paraId="1E44A9F5"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38. </w:t>
      </w:r>
      <w:r w:rsidRPr="00195F45">
        <w:rPr>
          <w:rFonts w:asciiTheme="majorBidi" w:hAnsiTheme="majorBidi" w:cstheme="majorBidi"/>
          <w:bCs/>
          <w:sz w:val="24"/>
          <w:szCs w:val="24"/>
        </w:rPr>
        <w:tab/>
        <w:t xml:space="preserve">E. A. Acevedo-Álvarez, G. Ruiz-Campos, O. Domínguez-Domínguez, Population-level morphological variation of Anisotremus interruptus (Gill, 1862) (Perciformes: Haemulidae) in the Tropical Eastern Pacific, with the description of two new species. </w:t>
      </w:r>
      <w:r w:rsidRPr="00195F45">
        <w:rPr>
          <w:rFonts w:asciiTheme="majorBidi" w:hAnsiTheme="majorBidi" w:cstheme="majorBidi"/>
          <w:bCs/>
          <w:i/>
          <w:iCs/>
          <w:sz w:val="24"/>
          <w:szCs w:val="24"/>
        </w:rPr>
        <w:t>Zootaxa</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4975</w:t>
      </w:r>
      <w:r w:rsidRPr="00195F45">
        <w:rPr>
          <w:rFonts w:asciiTheme="majorBidi" w:hAnsiTheme="majorBidi" w:cstheme="majorBidi"/>
          <w:bCs/>
          <w:sz w:val="24"/>
          <w:szCs w:val="24"/>
        </w:rPr>
        <w:t xml:space="preserve"> (2021).</w:t>
      </w:r>
    </w:p>
    <w:p w14:paraId="4B38DC5E"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lastRenderedPageBreak/>
        <w:t xml:space="preserve">39. </w:t>
      </w:r>
      <w:r w:rsidRPr="00195F45">
        <w:rPr>
          <w:rFonts w:asciiTheme="majorBidi" w:hAnsiTheme="majorBidi" w:cstheme="majorBidi"/>
          <w:bCs/>
          <w:sz w:val="24"/>
          <w:szCs w:val="24"/>
        </w:rPr>
        <w:tab/>
        <w:t>J. L. Carlin, D. R. Robertson, B. W. Bowen, Ancient divergences and recent connections in two tropical Atlantic reef fishes Epinephelus adscensionis and Rypticus saponaceous ( Percoidei : Serranidae ). 1057–1069 (2003).</w:t>
      </w:r>
    </w:p>
    <w:p w14:paraId="5F6ADD1C"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40. </w:t>
      </w:r>
      <w:r w:rsidRPr="00195F45">
        <w:rPr>
          <w:rFonts w:asciiTheme="majorBidi" w:hAnsiTheme="majorBidi" w:cstheme="majorBidi"/>
          <w:bCs/>
          <w:sz w:val="24"/>
          <w:szCs w:val="24"/>
        </w:rPr>
        <w:tab/>
        <w:t xml:space="preserve">D. W. Freshwater, R. M. Hamner, S. Parham, A. E. Wilbur, Molecular evidence that the lionfishes Pterois miles and Pterois volitans are distinct species. </w:t>
      </w:r>
      <w:r w:rsidRPr="00195F45">
        <w:rPr>
          <w:rFonts w:asciiTheme="majorBidi" w:hAnsiTheme="majorBidi" w:cstheme="majorBidi"/>
          <w:bCs/>
          <w:i/>
          <w:iCs/>
          <w:sz w:val="24"/>
          <w:szCs w:val="24"/>
        </w:rPr>
        <w:t>J. North Carolina Acad. Sci.</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125</w:t>
      </w:r>
      <w:r w:rsidRPr="00195F45">
        <w:rPr>
          <w:rFonts w:asciiTheme="majorBidi" w:hAnsiTheme="majorBidi" w:cstheme="majorBidi"/>
          <w:bCs/>
          <w:sz w:val="24"/>
          <w:szCs w:val="24"/>
        </w:rPr>
        <w:t>, 39–46 (2009).</w:t>
      </w:r>
    </w:p>
    <w:p w14:paraId="21B168A5"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41. </w:t>
      </w:r>
      <w:r w:rsidRPr="00195F45">
        <w:rPr>
          <w:rFonts w:asciiTheme="majorBidi" w:hAnsiTheme="majorBidi" w:cstheme="majorBidi"/>
          <w:bCs/>
          <w:sz w:val="24"/>
          <w:szCs w:val="24"/>
        </w:rPr>
        <w:tab/>
        <w:t xml:space="preserve">K. B. Mobley, C. M. Small, N. K. Jue, A. G. Jones, Population structure of the dusky pipefish (Syngnathus floridae) from the Atlantic and Gulf of Mexico, as revealed by mitochondrial DNA and microsatellite analyses. </w:t>
      </w:r>
      <w:r w:rsidRPr="00195F45">
        <w:rPr>
          <w:rFonts w:asciiTheme="majorBidi" w:hAnsiTheme="majorBidi" w:cstheme="majorBidi"/>
          <w:bCs/>
          <w:i/>
          <w:iCs/>
          <w:sz w:val="24"/>
          <w:szCs w:val="24"/>
        </w:rPr>
        <w:t>J. Biogeogr.</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37</w:t>
      </w:r>
      <w:r w:rsidRPr="00195F45">
        <w:rPr>
          <w:rFonts w:asciiTheme="majorBidi" w:hAnsiTheme="majorBidi" w:cstheme="majorBidi"/>
          <w:bCs/>
          <w:sz w:val="24"/>
          <w:szCs w:val="24"/>
        </w:rPr>
        <w:t>, 1363–1377 (2010).</w:t>
      </w:r>
    </w:p>
    <w:p w14:paraId="2E0843E1"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42. </w:t>
      </w:r>
      <w:r w:rsidRPr="00195F45">
        <w:rPr>
          <w:rFonts w:asciiTheme="majorBidi" w:hAnsiTheme="majorBidi" w:cstheme="majorBidi"/>
          <w:bCs/>
          <w:sz w:val="24"/>
          <w:szCs w:val="24"/>
        </w:rPr>
        <w:tab/>
        <w:t xml:space="preserve">A. M. Jackson,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Population structure and phylogeography in Nassau grouper (epinephelus striatus), a mass-aggregating marine fish. </w:t>
      </w:r>
      <w:r w:rsidRPr="00195F45">
        <w:rPr>
          <w:rFonts w:asciiTheme="majorBidi" w:hAnsiTheme="majorBidi" w:cstheme="majorBidi"/>
          <w:bCs/>
          <w:i/>
          <w:iCs/>
          <w:sz w:val="24"/>
          <w:szCs w:val="24"/>
        </w:rPr>
        <w:t>PLoS One</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9</w:t>
      </w:r>
      <w:r w:rsidRPr="00195F45">
        <w:rPr>
          <w:rFonts w:asciiTheme="majorBidi" w:hAnsiTheme="majorBidi" w:cstheme="majorBidi"/>
          <w:bCs/>
          <w:sz w:val="24"/>
          <w:szCs w:val="24"/>
        </w:rPr>
        <w:t xml:space="preserve"> (2014).</w:t>
      </w:r>
    </w:p>
    <w:p w14:paraId="0E20E296"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43. </w:t>
      </w:r>
      <w:r w:rsidRPr="00195F45">
        <w:rPr>
          <w:rFonts w:asciiTheme="majorBidi" w:hAnsiTheme="majorBidi" w:cstheme="majorBidi"/>
          <w:bCs/>
          <w:sz w:val="24"/>
          <w:szCs w:val="24"/>
        </w:rPr>
        <w:tab/>
        <w:t xml:space="preserve">M. J. Shulman, E. Bermingham, Early life histories, ocean currents, and the population genetics of Caribbean reef fishes. </w:t>
      </w:r>
      <w:r w:rsidRPr="00195F45">
        <w:rPr>
          <w:rFonts w:asciiTheme="majorBidi" w:hAnsiTheme="majorBidi" w:cstheme="majorBidi"/>
          <w:bCs/>
          <w:i/>
          <w:iCs/>
          <w:sz w:val="24"/>
          <w:szCs w:val="24"/>
        </w:rPr>
        <w:t>Evolution (N. Y).</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49</w:t>
      </w:r>
      <w:r w:rsidRPr="00195F45">
        <w:rPr>
          <w:rFonts w:asciiTheme="majorBidi" w:hAnsiTheme="majorBidi" w:cstheme="majorBidi"/>
          <w:bCs/>
          <w:sz w:val="24"/>
          <w:szCs w:val="24"/>
        </w:rPr>
        <w:t>, 897–910 (1995).</w:t>
      </w:r>
    </w:p>
    <w:p w14:paraId="1EA151C9"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44. </w:t>
      </w:r>
      <w:r w:rsidRPr="00195F45">
        <w:rPr>
          <w:rFonts w:asciiTheme="majorBidi" w:hAnsiTheme="majorBidi" w:cstheme="majorBidi"/>
          <w:bCs/>
          <w:sz w:val="24"/>
          <w:szCs w:val="24"/>
        </w:rPr>
        <w:tab/>
        <w:t xml:space="preserve">G. D. Dennis, D. A. Hensley, P. L. Colin, J. J. Kimmel, New Records of Marine Fishes from the Puerto Rican Plateau. </w:t>
      </w:r>
      <w:r w:rsidRPr="00195F45">
        <w:rPr>
          <w:rFonts w:asciiTheme="majorBidi" w:hAnsiTheme="majorBidi" w:cstheme="majorBidi"/>
          <w:bCs/>
          <w:i/>
          <w:iCs/>
          <w:sz w:val="24"/>
          <w:szCs w:val="24"/>
        </w:rPr>
        <w:t>Caribb. J. Sci.</w:t>
      </w:r>
      <w:r w:rsidRPr="00195F45">
        <w:rPr>
          <w:rFonts w:asciiTheme="majorBidi" w:hAnsiTheme="majorBidi" w:cstheme="majorBidi"/>
          <w:bCs/>
          <w:sz w:val="24"/>
          <w:szCs w:val="24"/>
        </w:rPr>
        <w:t>, 70–87 (2004).</w:t>
      </w:r>
    </w:p>
    <w:p w14:paraId="2DCB55D3"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45. </w:t>
      </w:r>
      <w:r w:rsidRPr="00195F45">
        <w:rPr>
          <w:rFonts w:asciiTheme="majorBidi" w:hAnsiTheme="majorBidi" w:cstheme="majorBidi"/>
          <w:bCs/>
          <w:sz w:val="24"/>
          <w:szCs w:val="24"/>
        </w:rPr>
        <w:tab/>
        <w:t xml:space="preserve">P. L. Colin, Larvae Retention: Genes or Oceanography? </w:t>
      </w:r>
      <w:r w:rsidRPr="00195F45">
        <w:rPr>
          <w:rFonts w:asciiTheme="majorBidi" w:hAnsiTheme="majorBidi" w:cstheme="majorBidi"/>
          <w:bCs/>
          <w:i/>
          <w:iCs/>
          <w:sz w:val="24"/>
          <w:szCs w:val="24"/>
        </w:rPr>
        <w:t>Science (80-. ).</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300</w:t>
      </w:r>
      <w:r w:rsidRPr="00195F45">
        <w:rPr>
          <w:rFonts w:asciiTheme="majorBidi" w:hAnsiTheme="majorBidi" w:cstheme="majorBidi"/>
          <w:bCs/>
          <w:sz w:val="24"/>
          <w:szCs w:val="24"/>
        </w:rPr>
        <w:t>, 1657–1659 (2003).</w:t>
      </w:r>
    </w:p>
    <w:p w14:paraId="6CA85644"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46. </w:t>
      </w:r>
      <w:r w:rsidRPr="00195F45">
        <w:rPr>
          <w:rFonts w:asciiTheme="majorBidi" w:hAnsiTheme="majorBidi" w:cstheme="majorBidi"/>
          <w:bCs/>
          <w:sz w:val="24"/>
          <w:szCs w:val="24"/>
        </w:rPr>
        <w:tab/>
        <w:t xml:space="preserve">R. Betancur-R, P. Arturo Acero, H. Duque-Caro, S. R. Santos, Phylogenetic and morphologic analyses of a coastal fish reveals a marine biogeographic break of terrestrial origin in the Southern Caribbean. </w:t>
      </w:r>
      <w:r w:rsidRPr="00195F45">
        <w:rPr>
          <w:rFonts w:asciiTheme="majorBidi" w:hAnsiTheme="majorBidi" w:cstheme="majorBidi"/>
          <w:bCs/>
          <w:i/>
          <w:iCs/>
          <w:sz w:val="24"/>
          <w:szCs w:val="24"/>
        </w:rPr>
        <w:t>PLoS One</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5</w:t>
      </w:r>
      <w:r w:rsidRPr="00195F45">
        <w:rPr>
          <w:rFonts w:asciiTheme="majorBidi" w:hAnsiTheme="majorBidi" w:cstheme="majorBidi"/>
          <w:bCs/>
          <w:sz w:val="24"/>
          <w:szCs w:val="24"/>
        </w:rPr>
        <w:t>, 1–10 (2010).</w:t>
      </w:r>
    </w:p>
    <w:p w14:paraId="11026E02"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47. </w:t>
      </w:r>
      <w:r w:rsidRPr="00195F45">
        <w:rPr>
          <w:rFonts w:asciiTheme="majorBidi" w:hAnsiTheme="majorBidi" w:cstheme="majorBidi"/>
          <w:bCs/>
          <w:sz w:val="24"/>
          <w:szCs w:val="24"/>
        </w:rPr>
        <w:tab/>
        <w:t xml:space="preserve">J. C. Narváez-Barandica,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A Comparative Phylogeography of Three Marine Species with Different PLD Modes Reveals Two Genetic Breaks across the Southern Caribbean Sea. </w:t>
      </w:r>
      <w:r w:rsidRPr="00195F45">
        <w:rPr>
          <w:rFonts w:asciiTheme="majorBidi" w:hAnsiTheme="majorBidi" w:cstheme="majorBidi"/>
          <w:bCs/>
          <w:i/>
          <w:iCs/>
          <w:sz w:val="24"/>
          <w:szCs w:val="24"/>
        </w:rPr>
        <w:t>Animals</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13</w:t>
      </w:r>
      <w:r w:rsidRPr="00195F45">
        <w:rPr>
          <w:rFonts w:asciiTheme="majorBidi" w:hAnsiTheme="majorBidi" w:cstheme="majorBidi"/>
          <w:bCs/>
          <w:sz w:val="24"/>
          <w:szCs w:val="24"/>
        </w:rPr>
        <w:t xml:space="preserve"> (2023).</w:t>
      </w:r>
    </w:p>
    <w:p w14:paraId="25430D95"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48. </w:t>
      </w:r>
      <w:r w:rsidRPr="00195F45">
        <w:rPr>
          <w:rFonts w:asciiTheme="majorBidi" w:hAnsiTheme="majorBidi" w:cstheme="majorBidi"/>
          <w:bCs/>
          <w:sz w:val="24"/>
          <w:szCs w:val="24"/>
        </w:rPr>
        <w:tab/>
        <w:t xml:space="preserve">P. A. Hastings, R. I. Eytan, A. P. Summers, Acanthemblemaria aceroi, a new species of tube blenny from the Caribbean coast of South America with notes on Acanthemblemaria johnsoni (Teleostei: Chaenopsidae). </w:t>
      </w:r>
      <w:r w:rsidRPr="00195F45">
        <w:rPr>
          <w:rFonts w:asciiTheme="majorBidi" w:hAnsiTheme="majorBidi" w:cstheme="majorBidi"/>
          <w:bCs/>
          <w:i/>
          <w:iCs/>
          <w:sz w:val="24"/>
          <w:szCs w:val="24"/>
        </w:rPr>
        <w:t>Zootaxa</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4816</w:t>
      </w:r>
      <w:r w:rsidRPr="00195F45">
        <w:rPr>
          <w:rFonts w:asciiTheme="majorBidi" w:hAnsiTheme="majorBidi" w:cstheme="majorBidi"/>
          <w:bCs/>
          <w:sz w:val="24"/>
          <w:szCs w:val="24"/>
        </w:rPr>
        <w:t>, 209–216 (2020).</w:t>
      </w:r>
    </w:p>
    <w:p w14:paraId="186CD237"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49. </w:t>
      </w:r>
      <w:r w:rsidRPr="00195F45">
        <w:rPr>
          <w:rFonts w:asciiTheme="majorBidi" w:hAnsiTheme="majorBidi" w:cstheme="majorBidi"/>
          <w:bCs/>
          <w:sz w:val="24"/>
          <w:szCs w:val="24"/>
        </w:rPr>
        <w:tab/>
        <w:t xml:space="preserve">E. Díaz-Ferguson, R. A. Haney, J. P. Wares, B. R. Silliman, Genetic structure and connectivity patterns of two Caribbean rocky-intertidal gastropods. </w:t>
      </w:r>
      <w:r w:rsidRPr="00195F45">
        <w:rPr>
          <w:rFonts w:asciiTheme="majorBidi" w:hAnsiTheme="majorBidi" w:cstheme="majorBidi"/>
          <w:bCs/>
          <w:i/>
          <w:iCs/>
          <w:sz w:val="24"/>
          <w:szCs w:val="24"/>
        </w:rPr>
        <w:t>J. Molluscan Stud.</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78</w:t>
      </w:r>
      <w:r w:rsidRPr="00195F45">
        <w:rPr>
          <w:rFonts w:asciiTheme="majorBidi" w:hAnsiTheme="majorBidi" w:cstheme="majorBidi"/>
          <w:bCs/>
          <w:sz w:val="24"/>
          <w:szCs w:val="24"/>
        </w:rPr>
        <w:t>, 112–118 (2012).</w:t>
      </w:r>
    </w:p>
    <w:p w14:paraId="21C94D97"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50. </w:t>
      </w:r>
      <w:r w:rsidRPr="00195F45">
        <w:rPr>
          <w:rFonts w:asciiTheme="majorBidi" w:hAnsiTheme="majorBidi" w:cstheme="majorBidi"/>
          <w:bCs/>
          <w:sz w:val="24"/>
          <w:szCs w:val="24"/>
        </w:rPr>
        <w:tab/>
        <w:t xml:space="preserve">N. K. Truelove,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Biophysical connectivity explains population genetic structure in a highly dispersive marine species. </w:t>
      </w:r>
      <w:r w:rsidRPr="00195F45">
        <w:rPr>
          <w:rFonts w:asciiTheme="majorBidi" w:hAnsiTheme="majorBidi" w:cstheme="majorBidi"/>
          <w:bCs/>
          <w:i/>
          <w:iCs/>
          <w:sz w:val="24"/>
          <w:szCs w:val="24"/>
        </w:rPr>
        <w:t>Coral Reefs</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36</w:t>
      </w:r>
      <w:r w:rsidRPr="00195F45">
        <w:rPr>
          <w:rFonts w:asciiTheme="majorBidi" w:hAnsiTheme="majorBidi" w:cstheme="majorBidi"/>
          <w:bCs/>
          <w:sz w:val="24"/>
          <w:szCs w:val="24"/>
        </w:rPr>
        <w:t>, 233–244 (2017).</w:t>
      </w:r>
    </w:p>
    <w:p w14:paraId="42B269E1"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51. </w:t>
      </w:r>
      <w:r w:rsidRPr="00195F45">
        <w:rPr>
          <w:rFonts w:asciiTheme="majorBidi" w:hAnsiTheme="majorBidi" w:cstheme="majorBidi"/>
          <w:bCs/>
          <w:sz w:val="24"/>
          <w:szCs w:val="24"/>
        </w:rPr>
        <w:tab/>
        <w:t xml:space="preserve">M. Merino, Upwelling on the Yucatan Shelf: Hydrographic evidence. </w:t>
      </w:r>
      <w:r w:rsidRPr="00195F45">
        <w:rPr>
          <w:rFonts w:asciiTheme="majorBidi" w:hAnsiTheme="majorBidi" w:cstheme="majorBidi"/>
          <w:bCs/>
          <w:i/>
          <w:iCs/>
          <w:sz w:val="24"/>
          <w:szCs w:val="24"/>
        </w:rPr>
        <w:t>J. Mar. Syst.</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13</w:t>
      </w:r>
      <w:r w:rsidRPr="00195F45">
        <w:rPr>
          <w:rFonts w:asciiTheme="majorBidi" w:hAnsiTheme="majorBidi" w:cstheme="majorBidi"/>
          <w:bCs/>
          <w:sz w:val="24"/>
          <w:szCs w:val="24"/>
        </w:rPr>
        <w:t>, 101–121 (1997).</w:t>
      </w:r>
    </w:p>
    <w:p w14:paraId="5194B647"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52. </w:t>
      </w:r>
      <w:r w:rsidRPr="00195F45">
        <w:rPr>
          <w:rFonts w:asciiTheme="majorBidi" w:hAnsiTheme="majorBidi" w:cstheme="majorBidi"/>
          <w:bCs/>
          <w:sz w:val="24"/>
          <w:szCs w:val="24"/>
        </w:rPr>
        <w:tab/>
        <w:t xml:space="preserve">S. J. Brandl, C. H. R. Goatley, D. R. Bellwood, L. Tornabene, The hidden half: Ecology and evolution of cryptobenthic fishes on coral reefs. </w:t>
      </w:r>
      <w:r w:rsidRPr="00195F45">
        <w:rPr>
          <w:rFonts w:asciiTheme="majorBidi" w:hAnsiTheme="majorBidi" w:cstheme="majorBidi"/>
          <w:bCs/>
          <w:i/>
          <w:iCs/>
          <w:sz w:val="24"/>
          <w:szCs w:val="24"/>
        </w:rPr>
        <w:t>Biol. Rev.</w:t>
      </w:r>
      <w:r w:rsidRPr="00195F45">
        <w:rPr>
          <w:rFonts w:asciiTheme="majorBidi" w:hAnsiTheme="majorBidi" w:cstheme="majorBidi"/>
          <w:bCs/>
          <w:sz w:val="24"/>
          <w:szCs w:val="24"/>
        </w:rPr>
        <w:t xml:space="preserve"> (2018) https:/doi.org/10.1111/brv.12423.</w:t>
      </w:r>
    </w:p>
    <w:p w14:paraId="51219DF4"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lastRenderedPageBreak/>
        <w:t xml:space="preserve">53. </w:t>
      </w:r>
      <w:r w:rsidRPr="00195F45">
        <w:rPr>
          <w:rFonts w:asciiTheme="majorBidi" w:hAnsiTheme="majorBidi" w:cstheme="majorBidi"/>
          <w:bCs/>
          <w:sz w:val="24"/>
          <w:szCs w:val="24"/>
        </w:rPr>
        <w:tab/>
        <w:t xml:space="preserve">V. G. Springer, M. F. Gomon, Variation in the Western Atlantic Clinid Fish Malacoctenus triangulatus with a Revised Key to the Atlantic Species of Malacoctenus. </w:t>
      </w:r>
      <w:r w:rsidRPr="00195F45">
        <w:rPr>
          <w:rFonts w:asciiTheme="majorBidi" w:hAnsiTheme="majorBidi" w:cstheme="majorBidi"/>
          <w:bCs/>
          <w:i/>
          <w:iCs/>
          <w:sz w:val="24"/>
          <w:szCs w:val="24"/>
        </w:rPr>
        <w:t>Smithson. Contrib. to Zool.</w:t>
      </w:r>
      <w:r w:rsidRPr="00195F45">
        <w:rPr>
          <w:rFonts w:asciiTheme="majorBidi" w:hAnsiTheme="majorBidi" w:cstheme="majorBidi"/>
          <w:bCs/>
          <w:sz w:val="24"/>
          <w:szCs w:val="24"/>
        </w:rPr>
        <w:t>, 1–11 (1975).</w:t>
      </w:r>
    </w:p>
    <w:p w14:paraId="11B58384"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54. </w:t>
      </w:r>
      <w:r w:rsidRPr="00195F45">
        <w:rPr>
          <w:rFonts w:asciiTheme="majorBidi" w:hAnsiTheme="majorBidi" w:cstheme="majorBidi"/>
          <w:bCs/>
          <w:sz w:val="24"/>
          <w:szCs w:val="24"/>
        </w:rPr>
        <w:tab/>
        <w:t xml:space="preserve">G. S. Araujo,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Phylogeny of the comb-tooth blenny genus Scartella (Blenniiformes: Blenniidae) reveals several cryptic lineages and a trans-Atlantic relationship. </w:t>
      </w:r>
      <w:r w:rsidRPr="00195F45">
        <w:rPr>
          <w:rFonts w:asciiTheme="majorBidi" w:hAnsiTheme="majorBidi" w:cstheme="majorBidi"/>
          <w:bCs/>
          <w:i/>
          <w:iCs/>
          <w:sz w:val="24"/>
          <w:szCs w:val="24"/>
        </w:rPr>
        <w:t>Zool. J. Linn. Soc.</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190</w:t>
      </w:r>
      <w:r w:rsidRPr="00195F45">
        <w:rPr>
          <w:rFonts w:asciiTheme="majorBidi" w:hAnsiTheme="majorBidi" w:cstheme="majorBidi"/>
          <w:bCs/>
          <w:sz w:val="24"/>
          <w:szCs w:val="24"/>
        </w:rPr>
        <w:t>, 54–64 (2020).</w:t>
      </w:r>
    </w:p>
    <w:p w14:paraId="7B832BAD"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55. </w:t>
      </w:r>
      <w:r w:rsidRPr="00195F45">
        <w:rPr>
          <w:rFonts w:asciiTheme="majorBidi" w:hAnsiTheme="majorBidi" w:cstheme="majorBidi"/>
          <w:bCs/>
          <w:sz w:val="24"/>
          <w:szCs w:val="24"/>
        </w:rPr>
        <w:tab/>
        <w:t xml:space="preserve">E. A. Hadly, P. A. Spaeth, C. Li, Niche conservatism above the species level. </w:t>
      </w:r>
      <w:r w:rsidRPr="00195F45">
        <w:rPr>
          <w:rFonts w:asciiTheme="majorBidi" w:hAnsiTheme="majorBidi" w:cstheme="majorBidi"/>
          <w:bCs/>
          <w:i/>
          <w:iCs/>
          <w:sz w:val="24"/>
          <w:szCs w:val="24"/>
        </w:rPr>
        <w:t>Proc. Natl. Acad. Sci. U. S. A.</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106</w:t>
      </w:r>
      <w:r w:rsidRPr="00195F45">
        <w:rPr>
          <w:rFonts w:asciiTheme="majorBidi" w:hAnsiTheme="majorBidi" w:cstheme="majorBidi"/>
          <w:bCs/>
          <w:sz w:val="24"/>
          <w:szCs w:val="24"/>
        </w:rPr>
        <w:t>, 19707–19714 (2009).</w:t>
      </w:r>
    </w:p>
    <w:p w14:paraId="722F8C0C"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56. </w:t>
      </w:r>
      <w:r w:rsidRPr="00195F45">
        <w:rPr>
          <w:rFonts w:asciiTheme="majorBidi" w:hAnsiTheme="majorBidi" w:cstheme="majorBidi"/>
          <w:bCs/>
          <w:sz w:val="24"/>
          <w:szCs w:val="24"/>
        </w:rPr>
        <w:tab/>
        <w:t xml:space="preserve">J. J. Wiens, C. H. Graham, Niche conservatism: Integrating evolution, ecology, and conservation biology. </w:t>
      </w:r>
      <w:r w:rsidRPr="00195F45">
        <w:rPr>
          <w:rFonts w:asciiTheme="majorBidi" w:hAnsiTheme="majorBidi" w:cstheme="majorBidi"/>
          <w:bCs/>
          <w:i/>
          <w:iCs/>
          <w:sz w:val="24"/>
          <w:szCs w:val="24"/>
        </w:rPr>
        <w:t>Annu. Rev. Ecol. Evol. Syst.</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36</w:t>
      </w:r>
      <w:r w:rsidRPr="00195F45">
        <w:rPr>
          <w:rFonts w:asciiTheme="majorBidi" w:hAnsiTheme="majorBidi" w:cstheme="majorBidi"/>
          <w:bCs/>
          <w:sz w:val="24"/>
          <w:szCs w:val="24"/>
        </w:rPr>
        <w:t>, 519–539 (2005).</w:t>
      </w:r>
    </w:p>
    <w:p w14:paraId="251CA079"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57. </w:t>
      </w:r>
      <w:r w:rsidRPr="00195F45">
        <w:rPr>
          <w:rFonts w:asciiTheme="majorBidi" w:hAnsiTheme="majorBidi" w:cstheme="majorBidi"/>
          <w:bCs/>
          <w:sz w:val="24"/>
          <w:szCs w:val="24"/>
        </w:rPr>
        <w:tab/>
        <w:t xml:space="preserve">A. R. Amaral,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Seascape genetics of a globally distributed, highly mobile marine mammal: The short-beaked common dolphin (genus delphinus). </w:t>
      </w:r>
      <w:r w:rsidRPr="00195F45">
        <w:rPr>
          <w:rFonts w:asciiTheme="majorBidi" w:hAnsiTheme="majorBidi" w:cstheme="majorBidi"/>
          <w:bCs/>
          <w:i/>
          <w:iCs/>
          <w:sz w:val="24"/>
          <w:szCs w:val="24"/>
        </w:rPr>
        <w:t>PLoS One</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7</w:t>
      </w:r>
      <w:r w:rsidRPr="00195F45">
        <w:rPr>
          <w:rFonts w:asciiTheme="majorBidi" w:hAnsiTheme="majorBidi" w:cstheme="majorBidi"/>
          <w:bCs/>
          <w:sz w:val="24"/>
          <w:szCs w:val="24"/>
        </w:rPr>
        <w:t xml:space="preserve"> (2012).</w:t>
      </w:r>
    </w:p>
    <w:p w14:paraId="5644FC07"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58. </w:t>
      </w:r>
      <w:r w:rsidRPr="00195F45">
        <w:rPr>
          <w:rFonts w:asciiTheme="majorBidi" w:hAnsiTheme="majorBidi" w:cstheme="majorBidi"/>
          <w:bCs/>
          <w:sz w:val="24"/>
          <w:szCs w:val="24"/>
        </w:rPr>
        <w:tab/>
        <w:t>R. M. Macieira, T. Simon, C. R. Pimentel, J. Joyeux, Isolation and speciation of tidepool fishes as a consequence of Quaternary sea-level fluctuations (2014) https:/doi.org/10.1007/s10641-014-0269-0.</w:t>
      </w:r>
    </w:p>
    <w:p w14:paraId="2F85699E"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59. </w:t>
      </w:r>
      <w:r w:rsidRPr="00195F45">
        <w:rPr>
          <w:rFonts w:asciiTheme="majorBidi" w:hAnsiTheme="majorBidi" w:cstheme="majorBidi"/>
          <w:bCs/>
          <w:sz w:val="24"/>
          <w:szCs w:val="24"/>
        </w:rPr>
        <w:tab/>
        <w:t xml:space="preserve">J. E. Carter, M. A. Sporre, R. I. Eytan, Phylogenetic review of the comb-tooth blenny genus Hypleurochilus in the northwest Atlantic and Gulf of Mexico. </w:t>
      </w:r>
      <w:r w:rsidRPr="00195F45">
        <w:rPr>
          <w:rFonts w:asciiTheme="majorBidi" w:hAnsiTheme="majorBidi" w:cstheme="majorBidi"/>
          <w:bCs/>
          <w:i/>
          <w:iCs/>
          <w:sz w:val="24"/>
          <w:szCs w:val="24"/>
        </w:rPr>
        <w:t>Mol. Phylogenet.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189</w:t>
      </w:r>
      <w:r w:rsidRPr="00195F45">
        <w:rPr>
          <w:rFonts w:asciiTheme="majorBidi" w:hAnsiTheme="majorBidi" w:cstheme="majorBidi"/>
          <w:bCs/>
          <w:sz w:val="24"/>
          <w:szCs w:val="24"/>
        </w:rPr>
        <w:t xml:space="preserve"> (2023).</w:t>
      </w:r>
    </w:p>
    <w:p w14:paraId="2C319A68"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60. </w:t>
      </w:r>
      <w:r w:rsidRPr="00195F45">
        <w:rPr>
          <w:rFonts w:asciiTheme="majorBidi" w:hAnsiTheme="majorBidi" w:cstheme="majorBidi"/>
          <w:bCs/>
          <w:sz w:val="24"/>
          <w:szCs w:val="24"/>
        </w:rPr>
        <w:tab/>
        <w:t xml:space="preserve">M. Summerer, R. Hanel, C. Sturmbauer, Mitochondrial phylogeny and biogeographic affinities of sea breams of the genus Diplodus (Sparidae). </w:t>
      </w:r>
      <w:r w:rsidRPr="00195F45">
        <w:rPr>
          <w:rFonts w:asciiTheme="majorBidi" w:hAnsiTheme="majorBidi" w:cstheme="majorBidi"/>
          <w:bCs/>
          <w:i/>
          <w:iCs/>
          <w:sz w:val="24"/>
          <w:szCs w:val="24"/>
        </w:rPr>
        <w:t>J. Fish Biol.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59</w:t>
      </w:r>
      <w:r w:rsidRPr="00195F45">
        <w:rPr>
          <w:rFonts w:asciiTheme="majorBidi" w:hAnsiTheme="majorBidi" w:cstheme="majorBidi"/>
          <w:bCs/>
          <w:sz w:val="24"/>
          <w:szCs w:val="24"/>
        </w:rPr>
        <w:t>, 1638–1652 (2001).</w:t>
      </w:r>
    </w:p>
    <w:p w14:paraId="05FD509E"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61. </w:t>
      </w:r>
      <w:r w:rsidRPr="00195F45">
        <w:rPr>
          <w:rFonts w:asciiTheme="majorBidi" w:hAnsiTheme="majorBidi" w:cstheme="majorBidi"/>
          <w:bCs/>
          <w:sz w:val="24"/>
          <w:szCs w:val="24"/>
        </w:rPr>
        <w:tab/>
        <w:t xml:space="preserve">H. A. Lessios, The Great American Schism : Divergence of Marine Organisms After the Rise of the Central American Isthmus. </w:t>
      </w:r>
      <w:r w:rsidRPr="00195F45">
        <w:rPr>
          <w:rFonts w:asciiTheme="majorBidi" w:hAnsiTheme="majorBidi" w:cstheme="majorBidi"/>
          <w:bCs/>
          <w:i/>
          <w:iCs/>
          <w:sz w:val="24"/>
          <w:szCs w:val="24"/>
        </w:rPr>
        <w:t>Annu. Rev. Ecol. Evol. Syst.</w:t>
      </w:r>
      <w:r w:rsidRPr="00195F45">
        <w:rPr>
          <w:rFonts w:asciiTheme="majorBidi" w:hAnsiTheme="majorBidi" w:cstheme="majorBidi"/>
          <w:bCs/>
          <w:sz w:val="24"/>
          <w:szCs w:val="24"/>
        </w:rPr>
        <w:t xml:space="preserve"> (2008) https:/doi.org/10.1146/annurev.ecolsys.38.091206.095815.</w:t>
      </w:r>
    </w:p>
    <w:p w14:paraId="620A5FCA"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62. </w:t>
      </w:r>
      <w:r w:rsidRPr="00195F45">
        <w:rPr>
          <w:rFonts w:asciiTheme="majorBidi" w:hAnsiTheme="majorBidi" w:cstheme="majorBidi"/>
          <w:bCs/>
          <w:sz w:val="24"/>
          <w:szCs w:val="24"/>
        </w:rPr>
        <w:tab/>
        <w:t xml:space="preserve">A. O’Dea,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Formation of the Isthmus of Panama. </w:t>
      </w:r>
      <w:r w:rsidRPr="00195F45">
        <w:rPr>
          <w:rFonts w:asciiTheme="majorBidi" w:hAnsiTheme="majorBidi" w:cstheme="majorBidi"/>
          <w:bCs/>
          <w:i/>
          <w:iCs/>
          <w:sz w:val="24"/>
          <w:szCs w:val="24"/>
        </w:rPr>
        <w:t>Sci. Adv.</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2</w:t>
      </w:r>
      <w:r w:rsidRPr="00195F45">
        <w:rPr>
          <w:rFonts w:asciiTheme="majorBidi" w:hAnsiTheme="majorBidi" w:cstheme="majorBidi"/>
          <w:bCs/>
          <w:sz w:val="24"/>
          <w:szCs w:val="24"/>
        </w:rPr>
        <w:t>, 1–11 (2016).</w:t>
      </w:r>
    </w:p>
    <w:p w14:paraId="4309B089"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63. </w:t>
      </w:r>
      <w:r w:rsidRPr="00195F45">
        <w:rPr>
          <w:rFonts w:asciiTheme="majorBidi" w:hAnsiTheme="majorBidi" w:cstheme="majorBidi"/>
          <w:bCs/>
          <w:sz w:val="24"/>
          <w:szCs w:val="24"/>
        </w:rPr>
        <w:tab/>
        <w:t xml:space="preserve">H. A. Lessios, Appearance of an early closure of the Isthmus of Panama is the product of biased inclusion of data in the metaanalysis. </w:t>
      </w:r>
      <w:r w:rsidRPr="00195F45">
        <w:rPr>
          <w:rFonts w:asciiTheme="majorBidi" w:hAnsiTheme="majorBidi" w:cstheme="majorBidi"/>
          <w:bCs/>
          <w:i/>
          <w:iCs/>
          <w:sz w:val="24"/>
          <w:szCs w:val="24"/>
        </w:rPr>
        <w:t>Proc. Natl. Acad. Sci. U. S. A.</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112</w:t>
      </w:r>
      <w:r w:rsidRPr="00195F45">
        <w:rPr>
          <w:rFonts w:asciiTheme="majorBidi" w:hAnsiTheme="majorBidi" w:cstheme="majorBidi"/>
          <w:bCs/>
          <w:sz w:val="24"/>
          <w:szCs w:val="24"/>
        </w:rPr>
        <w:t>, E5765 (2015).</w:t>
      </w:r>
    </w:p>
    <w:p w14:paraId="65C63DAD"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64. </w:t>
      </w:r>
      <w:r w:rsidRPr="00195F45">
        <w:rPr>
          <w:rFonts w:asciiTheme="majorBidi" w:hAnsiTheme="majorBidi" w:cstheme="majorBidi"/>
          <w:bCs/>
          <w:sz w:val="24"/>
          <w:szCs w:val="24"/>
        </w:rPr>
        <w:tab/>
        <w:t xml:space="preserve">D. Silvestro,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Biological evidence supports an early and complex emergence of the Isthmus of Panama. </w:t>
      </w:r>
      <w:r w:rsidRPr="00195F45">
        <w:rPr>
          <w:rFonts w:asciiTheme="majorBidi" w:hAnsiTheme="majorBidi" w:cstheme="majorBidi"/>
          <w:bCs/>
          <w:i/>
          <w:iCs/>
          <w:sz w:val="24"/>
          <w:szCs w:val="24"/>
        </w:rPr>
        <w:t>Proc. Natl. Acad. Sci.</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112</w:t>
      </w:r>
      <w:r w:rsidRPr="00195F45">
        <w:rPr>
          <w:rFonts w:asciiTheme="majorBidi" w:hAnsiTheme="majorBidi" w:cstheme="majorBidi"/>
          <w:bCs/>
          <w:sz w:val="24"/>
          <w:szCs w:val="24"/>
        </w:rPr>
        <w:t>, E3153–E3153 (2015).</w:t>
      </w:r>
    </w:p>
    <w:p w14:paraId="013901C0"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65. </w:t>
      </w:r>
      <w:r w:rsidRPr="00195F45">
        <w:rPr>
          <w:rFonts w:asciiTheme="majorBidi" w:hAnsiTheme="majorBidi" w:cstheme="majorBidi"/>
          <w:bCs/>
          <w:sz w:val="24"/>
          <w:szCs w:val="24"/>
        </w:rPr>
        <w:tab/>
        <w:t xml:space="preserve">O. Miura, M. E. Torchin, E. Bermingham, Molecular Phylogenetics and Evolution Molecular phylogenetics reveals differential divergence of coastal snails separated by the Isthmus of Panama. </w:t>
      </w:r>
      <w:r w:rsidRPr="00195F45">
        <w:rPr>
          <w:rFonts w:asciiTheme="majorBidi" w:hAnsiTheme="majorBidi" w:cstheme="majorBidi"/>
          <w:bCs/>
          <w:i/>
          <w:iCs/>
          <w:sz w:val="24"/>
          <w:szCs w:val="24"/>
        </w:rPr>
        <w:t>Mol. Phylogenet.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56</w:t>
      </w:r>
      <w:r w:rsidRPr="00195F45">
        <w:rPr>
          <w:rFonts w:asciiTheme="majorBidi" w:hAnsiTheme="majorBidi" w:cstheme="majorBidi"/>
          <w:bCs/>
          <w:sz w:val="24"/>
          <w:szCs w:val="24"/>
        </w:rPr>
        <w:t>, 40–48 (2010).</w:t>
      </w:r>
    </w:p>
    <w:p w14:paraId="0304C572"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66. </w:t>
      </w:r>
      <w:r w:rsidRPr="00195F45">
        <w:rPr>
          <w:rFonts w:asciiTheme="majorBidi" w:hAnsiTheme="majorBidi" w:cstheme="majorBidi"/>
          <w:bCs/>
          <w:sz w:val="24"/>
          <w:szCs w:val="24"/>
        </w:rPr>
        <w:tab/>
        <w:t xml:space="preserve">J. J. Wiens,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Niche conservatism as an emerging principle in ecology and conservation biology. </w:t>
      </w:r>
      <w:r w:rsidRPr="00195F45">
        <w:rPr>
          <w:rFonts w:asciiTheme="majorBidi" w:hAnsiTheme="majorBidi" w:cstheme="majorBidi"/>
          <w:bCs/>
          <w:i/>
          <w:iCs/>
          <w:sz w:val="24"/>
          <w:szCs w:val="24"/>
        </w:rPr>
        <w:t>Ecol. Lett.</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13</w:t>
      </w:r>
      <w:r w:rsidRPr="00195F45">
        <w:rPr>
          <w:rFonts w:asciiTheme="majorBidi" w:hAnsiTheme="majorBidi" w:cstheme="majorBidi"/>
          <w:bCs/>
          <w:sz w:val="24"/>
          <w:szCs w:val="24"/>
        </w:rPr>
        <w:t>, 1310–1324 (2010).</w:t>
      </w:r>
    </w:p>
    <w:p w14:paraId="69175DB6"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lastRenderedPageBreak/>
        <w:t xml:space="preserve">67. </w:t>
      </w:r>
      <w:r w:rsidRPr="00195F45">
        <w:rPr>
          <w:rFonts w:asciiTheme="majorBidi" w:hAnsiTheme="majorBidi" w:cstheme="majorBidi"/>
          <w:bCs/>
          <w:sz w:val="24"/>
          <w:szCs w:val="24"/>
        </w:rPr>
        <w:tab/>
        <w:t xml:space="preserve">S. Vaissi, S. Rezaei, Niche Divergence at Intraspecific Level in the Hyrcanian Wood Frog, Rana pseudodalmatina: A Phylogenetic, Climatic, and Environmental Survey. </w:t>
      </w:r>
      <w:r w:rsidRPr="00195F45">
        <w:rPr>
          <w:rFonts w:asciiTheme="majorBidi" w:hAnsiTheme="majorBidi" w:cstheme="majorBidi"/>
          <w:bCs/>
          <w:i/>
          <w:iCs/>
          <w:sz w:val="24"/>
          <w:szCs w:val="24"/>
        </w:rPr>
        <w:t>Front. Ecol.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10</w:t>
      </w:r>
      <w:r w:rsidRPr="00195F45">
        <w:rPr>
          <w:rFonts w:asciiTheme="majorBidi" w:hAnsiTheme="majorBidi" w:cstheme="majorBidi"/>
          <w:bCs/>
          <w:sz w:val="24"/>
          <w:szCs w:val="24"/>
        </w:rPr>
        <w:t>, 1–12 (2022).</w:t>
      </w:r>
    </w:p>
    <w:p w14:paraId="4072F667"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68. </w:t>
      </w:r>
      <w:r w:rsidRPr="00195F45">
        <w:rPr>
          <w:rFonts w:asciiTheme="majorBidi" w:hAnsiTheme="majorBidi" w:cstheme="majorBidi"/>
          <w:bCs/>
          <w:sz w:val="24"/>
          <w:szCs w:val="24"/>
        </w:rPr>
        <w:tab/>
        <w:t xml:space="preserve">R. J. Elshire,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A robust, simple genotyping-by-sequencing (GBS) approach for high diversity species. </w:t>
      </w:r>
      <w:r w:rsidRPr="00195F45">
        <w:rPr>
          <w:rFonts w:asciiTheme="majorBidi" w:hAnsiTheme="majorBidi" w:cstheme="majorBidi"/>
          <w:bCs/>
          <w:i/>
          <w:iCs/>
          <w:sz w:val="24"/>
          <w:szCs w:val="24"/>
        </w:rPr>
        <w:t>PLoS One</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6</w:t>
      </w:r>
      <w:r w:rsidRPr="00195F45">
        <w:rPr>
          <w:rFonts w:asciiTheme="majorBidi" w:hAnsiTheme="majorBidi" w:cstheme="majorBidi"/>
          <w:bCs/>
          <w:sz w:val="24"/>
          <w:szCs w:val="24"/>
        </w:rPr>
        <w:t>, 1–10 (2011).</w:t>
      </w:r>
    </w:p>
    <w:p w14:paraId="1563B280"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69. </w:t>
      </w:r>
      <w:r w:rsidRPr="00195F45">
        <w:rPr>
          <w:rFonts w:asciiTheme="majorBidi" w:hAnsiTheme="majorBidi" w:cstheme="majorBidi"/>
          <w:bCs/>
          <w:sz w:val="24"/>
          <w:szCs w:val="24"/>
        </w:rPr>
        <w:tab/>
        <w:t xml:space="preserve">L. Cornet, D. Baurain, Contamination detection in genomic data: more is not enough. </w:t>
      </w:r>
      <w:r w:rsidRPr="00195F45">
        <w:rPr>
          <w:rFonts w:asciiTheme="majorBidi" w:hAnsiTheme="majorBidi" w:cstheme="majorBidi"/>
          <w:bCs/>
          <w:i/>
          <w:iCs/>
          <w:sz w:val="24"/>
          <w:szCs w:val="24"/>
        </w:rPr>
        <w:t>Genome Biol.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23</w:t>
      </w:r>
      <w:r w:rsidRPr="00195F45">
        <w:rPr>
          <w:rFonts w:asciiTheme="majorBidi" w:hAnsiTheme="majorBidi" w:cstheme="majorBidi"/>
          <w:bCs/>
          <w:sz w:val="24"/>
          <w:szCs w:val="24"/>
        </w:rPr>
        <w:t>, 1–15 (2022).</w:t>
      </w:r>
    </w:p>
    <w:p w14:paraId="2CC38D40"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70. </w:t>
      </w:r>
      <w:r w:rsidRPr="00195F45">
        <w:rPr>
          <w:rFonts w:asciiTheme="majorBidi" w:hAnsiTheme="majorBidi" w:cstheme="majorBidi"/>
          <w:bCs/>
          <w:sz w:val="24"/>
          <w:szCs w:val="24"/>
        </w:rPr>
        <w:tab/>
        <w:t xml:space="preserve">N. C. Rochette, A. G. Rivera-Colón, J. M. Catchen, Stacks 2: Analytical methods for paired-end sequencing improve RADseq-based population genomics. </w:t>
      </w:r>
      <w:r w:rsidRPr="00195F45">
        <w:rPr>
          <w:rFonts w:asciiTheme="majorBidi" w:hAnsiTheme="majorBidi" w:cstheme="majorBidi"/>
          <w:bCs/>
          <w:i/>
          <w:iCs/>
          <w:sz w:val="24"/>
          <w:szCs w:val="24"/>
        </w:rPr>
        <w:t>Mol. Ecol.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28</w:t>
      </w:r>
      <w:r w:rsidRPr="00195F45">
        <w:rPr>
          <w:rFonts w:asciiTheme="majorBidi" w:hAnsiTheme="majorBidi" w:cstheme="majorBidi"/>
          <w:bCs/>
          <w:sz w:val="24"/>
          <w:szCs w:val="24"/>
        </w:rPr>
        <w:t>, 4737–4754 (2019).</w:t>
      </w:r>
    </w:p>
    <w:p w14:paraId="650EA54B"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71. </w:t>
      </w:r>
      <w:r w:rsidRPr="00195F45">
        <w:rPr>
          <w:rFonts w:asciiTheme="majorBidi" w:hAnsiTheme="majorBidi" w:cstheme="majorBidi"/>
          <w:bCs/>
          <w:sz w:val="24"/>
          <w:szCs w:val="24"/>
        </w:rPr>
        <w:tab/>
        <w:t xml:space="preserve">D. A. DeRaad, snpfiltr: An R package for interactive and reproducible SNP filtering. </w:t>
      </w:r>
      <w:r w:rsidRPr="00195F45">
        <w:rPr>
          <w:rFonts w:asciiTheme="majorBidi" w:hAnsiTheme="majorBidi" w:cstheme="majorBidi"/>
          <w:bCs/>
          <w:i/>
          <w:iCs/>
          <w:sz w:val="24"/>
          <w:szCs w:val="24"/>
        </w:rPr>
        <w:t>Mol. Ecol. Resour.</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00</w:t>
      </w:r>
      <w:r w:rsidRPr="00195F45">
        <w:rPr>
          <w:rFonts w:asciiTheme="majorBidi" w:hAnsiTheme="majorBidi" w:cstheme="majorBidi"/>
          <w:bCs/>
          <w:sz w:val="24"/>
          <w:szCs w:val="24"/>
        </w:rPr>
        <w:t>, 1–11 (2022).</w:t>
      </w:r>
    </w:p>
    <w:p w14:paraId="7DE80E4D"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72. </w:t>
      </w:r>
      <w:r w:rsidRPr="00195F45">
        <w:rPr>
          <w:rFonts w:asciiTheme="majorBidi" w:hAnsiTheme="majorBidi" w:cstheme="majorBidi"/>
          <w:bCs/>
          <w:sz w:val="24"/>
          <w:szCs w:val="24"/>
        </w:rPr>
        <w:tab/>
        <w:t xml:space="preserve">P. Danecek,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The variant call format and VCFtools. </w:t>
      </w:r>
      <w:r w:rsidRPr="00195F45">
        <w:rPr>
          <w:rFonts w:asciiTheme="majorBidi" w:hAnsiTheme="majorBidi" w:cstheme="majorBidi"/>
          <w:bCs/>
          <w:i/>
          <w:iCs/>
          <w:sz w:val="24"/>
          <w:szCs w:val="24"/>
        </w:rPr>
        <w:t>Bioinformatics</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27</w:t>
      </w:r>
      <w:r w:rsidRPr="00195F45">
        <w:rPr>
          <w:rFonts w:asciiTheme="majorBidi" w:hAnsiTheme="majorBidi" w:cstheme="majorBidi"/>
          <w:bCs/>
          <w:sz w:val="24"/>
          <w:szCs w:val="24"/>
        </w:rPr>
        <w:t>, 2156–2158 (2011).</w:t>
      </w:r>
    </w:p>
    <w:p w14:paraId="4A799AEE"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73. </w:t>
      </w:r>
      <w:r w:rsidRPr="00195F45">
        <w:rPr>
          <w:rFonts w:asciiTheme="majorBidi" w:hAnsiTheme="majorBidi" w:cstheme="majorBidi"/>
          <w:bCs/>
          <w:sz w:val="24"/>
          <w:szCs w:val="24"/>
        </w:rPr>
        <w:tab/>
        <w:t xml:space="preserve">D. H. Alexander, J. Novembre, K. Lange, Fast model-based estimation of ancestry in unrelated individuals. </w:t>
      </w:r>
      <w:r w:rsidRPr="00195F45">
        <w:rPr>
          <w:rFonts w:asciiTheme="majorBidi" w:hAnsiTheme="majorBidi" w:cstheme="majorBidi"/>
          <w:bCs/>
          <w:i/>
          <w:iCs/>
          <w:sz w:val="24"/>
          <w:szCs w:val="24"/>
        </w:rPr>
        <w:t>Genome Res.</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19</w:t>
      </w:r>
      <w:r w:rsidRPr="00195F45">
        <w:rPr>
          <w:rFonts w:asciiTheme="majorBidi" w:hAnsiTheme="majorBidi" w:cstheme="majorBidi"/>
          <w:bCs/>
          <w:sz w:val="24"/>
          <w:szCs w:val="24"/>
        </w:rPr>
        <w:t>, 1655–1664 (2009).</w:t>
      </w:r>
    </w:p>
    <w:p w14:paraId="36397926"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74. </w:t>
      </w:r>
      <w:r w:rsidRPr="00195F45">
        <w:rPr>
          <w:rFonts w:asciiTheme="majorBidi" w:hAnsiTheme="majorBidi" w:cstheme="majorBidi"/>
          <w:bCs/>
          <w:sz w:val="24"/>
          <w:szCs w:val="24"/>
        </w:rPr>
        <w:tab/>
        <w:t xml:space="preserve">D. H. Alexander, K. Lange, Enhancements to the ADMIXTURE algorithm for individual ancestry estimation. </w:t>
      </w:r>
      <w:r w:rsidRPr="00195F45">
        <w:rPr>
          <w:rFonts w:asciiTheme="majorBidi" w:hAnsiTheme="majorBidi" w:cstheme="majorBidi"/>
          <w:bCs/>
          <w:i/>
          <w:iCs/>
          <w:sz w:val="24"/>
          <w:szCs w:val="24"/>
        </w:rPr>
        <w:t>BMC Bioinformatics</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12</w:t>
      </w:r>
      <w:r w:rsidRPr="00195F45">
        <w:rPr>
          <w:rFonts w:asciiTheme="majorBidi" w:hAnsiTheme="majorBidi" w:cstheme="majorBidi"/>
          <w:bCs/>
          <w:sz w:val="24"/>
          <w:szCs w:val="24"/>
        </w:rPr>
        <w:t xml:space="preserve"> (2011).</w:t>
      </w:r>
    </w:p>
    <w:p w14:paraId="55E974BB"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75. </w:t>
      </w:r>
      <w:r w:rsidRPr="00195F45">
        <w:rPr>
          <w:rFonts w:asciiTheme="majorBidi" w:hAnsiTheme="majorBidi" w:cstheme="majorBidi"/>
          <w:bCs/>
          <w:sz w:val="24"/>
          <w:szCs w:val="24"/>
        </w:rPr>
        <w:tab/>
        <w:t xml:space="preserve">A. Raj, M. Stephens, J. K. Pritchard, FastSTRUCTURE: Variational inference of population structure in large SNP data sets. </w:t>
      </w:r>
      <w:r w:rsidRPr="00195F45">
        <w:rPr>
          <w:rFonts w:asciiTheme="majorBidi" w:hAnsiTheme="majorBidi" w:cstheme="majorBidi"/>
          <w:bCs/>
          <w:i/>
          <w:iCs/>
          <w:sz w:val="24"/>
          <w:szCs w:val="24"/>
        </w:rPr>
        <w:t>Genetics</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197</w:t>
      </w:r>
      <w:r w:rsidRPr="00195F45">
        <w:rPr>
          <w:rFonts w:asciiTheme="majorBidi" w:hAnsiTheme="majorBidi" w:cstheme="majorBidi"/>
          <w:bCs/>
          <w:sz w:val="24"/>
          <w:szCs w:val="24"/>
        </w:rPr>
        <w:t>, 573–589 (2014).</w:t>
      </w:r>
    </w:p>
    <w:p w14:paraId="7830002C"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76. </w:t>
      </w:r>
      <w:r w:rsidRPr="00195F45">
        <w:rPr>
          <w:rFonts w:asciiTheme="majorBidi" w:hAnsiTheme="majorBidi" w:cstheme="majorBidi"/>
          <w:bCs/>
          <w:sz w:val="24"/>
          <w:szCs w:val="24"/>
        </w:rPr>
        <w:tab/>
        <w:t xml:space="preserve">T. Jombart, Adegenet: A R package for the multivariate analysis of genetic markers. </w:t>
      </w:r>
      <w:r w:rsidRPr="00195F45">
        <w:rPr>
          <w:rFonts w:asciiTheme="majorBidi" w:hAnsiTheme="majorBidi" w:cstheme="majorBidi"/>
          <w:bCs/>
          <w:i/>
          <w:iCs/>
          <w:sz w:val="24"/>
          <w:szCs w:val="24"/>
        </w:rPr>
        <w:t>Bioinformatics</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24</w:t>
      </w:r>
      <w:r w:rsidRPr="00195F45">
        <w:rPr>
          <w:rFonts w:asciiTheme="majorBidi" w:hAnsiTheme="majorBidi" w:cstheme="majorBidi"/>
          <w:bCs/>
          <w:sz w:val="24"/>
          <w:szCs w:val="24"/>
        </w:rPr>
        <w:t>, 1403–1405 (2008).</w:t>
      </w:r>
    </w:p>
    <w:p w14:paraId="64839ACF"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77. </w:t>
      </w:r>
      <w:r w:rsidRPr="00195F45">
        <w:rPr>
          <w:rFonts w:asciiTheme="majorBidi" w:hAnsiTheme="majorBidi" w:cstheme="majorBidi"/>
          <w:bCs/>
          <w:sz w:val="24"/>
          <w:szCs w:val="24"/>
        </w:rPr>
        <w:tab/>
        <w:t xml:space="preserve">J. M. Miller, C. I. Cullingham, R. M. Peery, The influence of a priori grouping on inference of genetic clusters: simulation study and literature review of the DAPC method. </w:t>
      </w:r>
      <w:r w:rsidRPr="00195F45">
        <w:rPr>
          <w:rFonts w:asciiTheme="majorBidi" w:hAnsiTheme="majorBidi" w:cstheme="majorBidi"/>
          <w:bCs/>
          <w:i/>
          <w:iCs/>
          <w:sz w:val="24"/>
          <w:szCs w:val="24"/>
        </w:rPr>
        <w:t>Heredity (Edinb).</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125</w:t>
      </w:r>
      <w:r w:rsidRPr="00195F45">
        <w:rPr>
          <w:rFonts w:asciiTheme="majorBidi" w:hAnsiTheme="majorBidi" w:cstheme="majorBidi"/>
          <w:bCs/>
          <w:sz w:val="24"/>
          <w:szCs w:val="24"/>
        </w:rPr>
        <w:t>, 269–280 (2020).</w:t>
      </w:r>
    </w:p>
    <w:p w14:paraId="27D6D6BC"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78. </w:t>
      </w:r>
      <w:r w:rsidRPr="00195F45">
        <w:rPr>
          <w:rFonts w:asciiTheme="majorBidi" w:hAnsiTheme="majorBidi" w:cstheme="majorBidi"/>
          <w:bCs/>
          <w:sz w:val="24"/>
          <w:szCs w:val="24"/>
        </w:rPr>
        <w:tab/>
        <w:t xml:space="preserve">L. T. Nguyen, H. A. Schmidt, A. Von Haeseler, B. Q. Minh, IQ-TREE: A fast and effective stochastic algorithm for estimating maximum-likelihood phylogenies. </w:t>
      </w:r>
      <w:r w:rsidRPr="00195F45">
        <w:rPr>
          <w:rFonts w:asciiTheme="majorBidi" w:hAnsiTheme="majorBidi" w:cstheme="majorBidi"/>
          <w:bCs/>
          <w:i/>
          <w:iCs/>
          <w:sz w:val="24"/>
          <w:szCs w:val="24"/>
        </w:rPr>
        <w:t>Mol. Biol.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32</w:t>
      </w:r>
      <w:r w:rsidRPr="00195F45">
        <w:rPr>
          <w:rFonts w:asciiTheme="majorBidi" w:hAnsiTheme="majorBidi" w:cstheme="majorBidi"/>
          <w:bCs/>
          <w:sz w:val="24"/>
          <w:szCs w:val="24"/>
        </w:rPr>
        <w:t>, 268–274 (2015).</w:t>
      </w:r>
    </w:p>
    <w:p w14:paraId="77F8B479"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79. </w:t>
      </w:r>
      <w:r w:rsidRPr="00195F45">
        <w:rPr>
          <w:rFonts w:asciiTheme="majorBidi" w:hAnsiTheme="majorBidi" w:cstheme="majorBidi"/>
          <w:bCs/>
          <w:sz w:val="24"/>
          <w:szCs w:val="24"/>
        </w:rPr>
        <w:tab/>
        <w:t xml:space="preserve">Z. N. Kamvar, J. F. Tabima, N. J. Grünwald, Poppr: an R package for genetic analysis of populations with clonal, partially clonal, and/or sexual reproduction. </w:t>
      </w:r>
      <w:r w:rsidRPr="00195F45">
        <w:rPr>
          <w:rFonts w:asciiTheme="majorBidi" w:hAnsiTheme="majorBidi" w:cstheme="majorBidi"/>
          <w:bCs/>
          <w:i/>
          <w:iCs/>
          <w:sz w:val="24"/>
          <w:szCs w:val="24"/>
        </w:rPr>
        <w:t>PeerJ</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2</w:t>
      </w:r>
      <w:r w:rsidRPr="00195F45">
        <w:rPr>
          <w:rFonts w:asciiTheme="majorBidi" w:hAnsiTheme="majorBidi" w:cstheme="majorBidi"/>
          <w:bCs/>
          <w:sz w:val="24"/>
          <w:szCs w:val="24"/>
        </w:rPr>
        <w:t>, e281 (2014).</w:t>
      </w:r>
    </w:p>
    <w:p w14:paraId="1B307F6B"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80. </w:t>
      </w:r>
      <w:r w:rsidRPr="00195F45">
        <w:rPr>
          <w:rFonts w:asciiTheme="majorBidi" w:hAnsiTheme="majorBidi" w:cstheme="majorBidi"/>
          <w:bCs/>
          <w:sz w:val="24"/>
          <w:szCs w:val="24"/>
        </w:rPr>
        <w:tab/>
        <w:t xml:space="preserve">D. Petkova, J. Novembre, M. Stephens, Visualizing spatial population structure with estimated effective migration surfaces. </w:t>
      </w:r>
      <w:r w:rsidRPr="00195F45">
        <w:rPr>
          <w:rFonts w:asciiTheme="majorBidi" w:hAnsiTheme="majorBidi" w:cstheme="majorBidi"/>
          <w:bCs/>
          <w:i/>
          <w:iCs/>
          <w:sz w:val="24"/>
          <w:szCs w:val="24"/>
        </w:rPr>
        <w:t>Nat. Genet.</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48</w:t>
      </w:r>
      <w:r w:rsidRPr="00195F45">
        <w:rPr>
          <w:rFonts w:asciiTheme="majorBidi" w:hAnsiTheme="majorBidi" w:cstheme="majorBidi"/>
          <w:bCs/>
          <w:sz w:val="24"/>
          <w:szCs w:val="24"/>
        </w:rPr>
        <w:t>, 94–100 (2015).</w:t>
      </w:r>
    </w:p>
    <w:p w14:paraId="2E94F048"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81. </w:t>
      </w:r>
      <w:r w:rsidRPr="00195F45">
        <w:rPr>
          <w:rFonts w:asciiTheme="majorBidi" w:hAnsiTheme="majorBidi" w:cstheme="majorBidi"/>
          <w:bCs/>
          <w:sz w:val="24"/>
          <w:szCs w:val="24"/>
        </w:rPr>
        <w:tab/>
        <w:t xml:space="preserve">A. M. Olsen, M. W. Westneat, StereoMorph: An R package for the collection of 3D landmarks and curves using a stereo camera set-up. </w:t>
      </w:r>
      <w:r w:rsidRPr="00195F45">
        <w:rPr>
          <w:rFonts w:asciiTheme="majorBidi" w:hAnsiTheme="majorBidi" w:cstheme="majorBidi"/>
          <w:bCs/>
          <w:i/>
          <w:iCs/>
          <w:sz w:val="24"/>
          <w:szCs w:val="24"/>
        </w:rPr>
        <w:t>Methods Ecol.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6</w:t>
      </w:r>
      <w:r w:rsidRPr="00195F45">
        <w:rPr>
          <w:rFonts w:asciiTheme="majorBidi" w:hAnsiTheme="majorBidi" w:cstheme="majorBidi"/>
          <w:bCs/>
          <w:sz w:val="24"/>
          <w:szCs w:val="24"/>
        </w:rPr>
        <w:t>, 351–356 (2015).</w:t>
      </w:r>
    </w:p>
    <w:p w14:paraId="22D2CDC7"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lastRenderedPageBreak/>
        <w:t xml:space="preserve">82. </w:t>
      </w:r>
      <w:r w:rsidRPr="00195F45">
        <w:rPr>
          <w:rFonts w:asciiTheme="majorBidi" w:hAnsiTheme="majorBidi" w:cstheme="majorBidi"/>
          <w:bCs/>
          <w:sz w:val="24"/>
          <w:szCs w:val="24"/>
        </w:rPr>
        <w:tab/>
        <w:t xml:space="preserve">D. C. Adams, E. Otárola-Castillo, Geomorph: An r package for the collection and analysis of geometric morphometric shape data. </w:t>
      </w:r>
      <w:r w:rsidRPr="00195F45">
        <w:rPr>
          <w:rFonts w:asciiTheme="majorBidi" w:hAnsiTheme="majorBidi" w:cstheme="majorBidi"/>
          <w:bCs/>
          <w:i/>
          <w:iCs/>
          <w:sz w:val="24"/>
          <w:szCs w:val="24"/>
        </w:rPr>
        <w:t>Methods Ecol.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4</w:t>
      </w:r>
      <w:r w:rsidRPr="00195F45">
        <w:rPr>
          <w:rFonts w:asciiTheme="majorBidi" w:hAnsiTheme="majorBidi" w:cstheme="majorBidi"/>
          <w:bCs/>
          <w:sz w:val="24"/>
          <w:szCs w:val="24"/>
        </w:rPr>
        <w:t>, 393–399 (2013).</w:t>
      </w:r>
    </w:p>
    <w:p w14:paraId="0C2D1A0C"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83. </w:t>
      </w:r>
      <w:r w:rsidRPr="00195F45">
        <w:rPr>
          <w:rFonts w:asciiTheme="majorBidi" w:hAnsiTheme="majorBidi" w:cstheme="majorBidi"/>
          <w:bCs/>
          <w:sz w:val="24"/>
          <w:szCs w:val="24"/>
        </w:rPr>
        <w:tab/>
        <w:t xml:space="preserve">P. Legendre, M. J. Anderson, Distance-based redundancy analysis: Testing multispecies responses in multifactorial ecological experiments. </w:t>
      </w:r>
      <w:r w:rsidRPr="00195F45">
        <w:rPr>
          <w:rFonts w:asciiTheme="majorBidi" w:hAnsiTheme="majorBidi" w:cstheme="majorBidi"/>
          <w:bCs/>
          <w:i/>
          <w:iCs/>
          <w:sz w:val="24"/>
          <w:szCs w:val="24"/>
        </w:rPr>
        <w:t>Ecol. Monogr.</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69</w:t>
      </w:r>
      <w:r w:rsidRPr="00195F45">
        <w:rPr>
          <w:rFonts w:asciiTheme="majorBidi" w:hAnsiTheme="majorBidi" w:cstheme="majorBidi"/>
          <w:bCs/>
          <w:sz w:val="24"/>
          <w:szCs w:val="24"/>
        </w:rPr>
        <w:t>, 1–24 (1999).</w:t>
      </w:r>
    </w:p>
    <w:p w14:paraId="394CEE2A"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84. </w:t>
      </w:r>
      <w:r w:rsidRPr="00195F45">
        <w:rPr>
          <w:rFonts w:asciiTheme="majorBidi" w:hAnsiTheme="majorBidi" w:cstheme="majorBidi"/>
          <w:bCs/>
          <w:sz w:val="24"/>
          <w:szCs w:val="24"/>
        </w:rPr>
        <w:tab/>
        <w:t xml:space="preserve">D. Philip, VEGAN , a package of R functions for community ecology. </w:t>
      </w:r>
      <w:r w:rsidRPr="00195F45">
        <w:rPr>
          <w:rFonts w:asciiTheme="majorBidi" w:hAnsiTheme="majorBidi" w:cstheme="majorBidi"/>
          <w:bCs/>
          <w:i/>
          <w:iCs/>
          <w:sz w:val="24"/>
          <w:szCs w:val="24"/>
        </w:rPr>
        <w:t>J. Veg. Sci.</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14</w:t>
      </w:r>
      <w:r w:rsidRPr="00195F45">
        <w:rPr>
          <w:rFonts w:asciiTheme="majorBidi" w:hAnsiTheme="majorBidi" w:cstheme="majorBidi"/>
          <w:bCs/>
          <w:sz w:val="24"/>
          <w:szCs w:val="24"/>
        </w:rPr>
        <w:t>, 927–930 (2003).</w:t>
      </w:r>
    </w:p>
    <w:p w14:paraId="575996C0"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85. </w:t>
      </w:r>
      <w:r w:rsidRPr="00195F45">
        <w:rPr>
          <w:rFonts w:asciiTheme="majorBidi" w:hAnsiTheme="majorBidi" w:cstheme="majorBidi"/>
          <w:bCs/>
          <w:sz w:val="24"/>
          <w:szCs w:val="24"/>
        </w:rPr>
        <w:tab/>
        <w:t xml:space="preserve">E. Pante, B. Simon-Bouhet, marmap: A Package for Importing, Plotting and Analyzing Bathymetric and Topographic Data in R. </w:t>
      </w:r>
      <w:r w:rsidRPr="00195F45">
        <w:rPr>
          <w:rFonts w:asciiTheme="majorBidi" w:hAnsiTheme="majorBidi" w:cstheme="majorBidi"/>
          <w:bCs/>
          <w:i/>
          <w:iCs/>
          <w:sz w:val="24"/>
          <w:szCs w:val="24"/>
        </w:rPr>
        <w:t>PLoS One</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8</w:t>
      </w:r>
      <w:r w:rsidRPr="00195F45">
        <w:rPr>
          <w:rFonts w:asciiTheme="majorBidi" w:hAnsiTheme="majorBidi" w:cstheme="majorBidi"/>
          <w:bCs/>
          <w:sz w:val="24"/>
          <w:szCs w:val="24"/>
        </w:rPr>
        <w:t>, 6–9 (2013).</w:t>
      </w:r>
    </w:p>
    <w:p w14:paraId="22F92742"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86. </w:t>
      </w:r>
      <w:r w:rsidRPr="00195F45">
        <w:rPr>
          <w:rFonts w:asciiTheme="majorBidi" w:hAnsiTheme="majorBidi" w:cstheme="majorBidi"/>
          <w:bCs/>
          <w:sz w:val="24"/>
          <w:szCs w:val="24"/>
        </w:rPr>
        <w:tab/>
        <w:t xml:space="preserve">S. Dray,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adespatial: Multivariate Multiscale Spatial Analysis (2023).</w:t>
      </w:r>
    </w:p>
    <w:p w14:paraId="4B63CAD8"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87. </w:t>
      </w:r>
      <w:r w:rsidRPr="00195F45">
        <w:rPr>
          <w:rFonts w:asciiTheme="majorBidi" w:hAnsiTheme="majorBidi" w:cstheme="majorBidi"/>
          <w:bCs/>
          <w:sz w:val="24"/>
          <w:szCs w:val="24"/>
        </w:rPr>
        <w:tab/>
        <w:t>D. L. Swofford, D. L. Swofford, D. L. Swofford, PAUP*: Phylogenetic analysis using parsimony (*and other methods), Version 4.0b10 in (2002).</w:t>
      </w:r>
    </w:p>
    <w:p w14:paraId="4E699F54"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88. </w:t>
      </w:r>
      <w:r w:rsidRPr="00195F45">
        <w:rPr>
          <w:rFonts w:asciiTheme="majorBidi" w:hAnsiTheme="majorBidi" w:cstheme="majorBidi"/>
          <w:bCs/>
          <w:sz w:val="24"/>
          <w:szCs w:val="24"/>
        </w:rPr>
        <w:tab/>
        <w:t xml:space="preserve">D. Bryant, R. Bouckaert, J. Felsenstein, N. A. Rosenberg, A. Roychoudhury, Inferring species trees directly from biallelic genetic markers: Bypassing gene trees in a full coalescent analysis. </w:t>
      </w:r>
      <w:r w:rsidRPr="00195F45">
        <w:rPr>
          <w:rFonts w:asciiTheme="majorBidi" w:hAnsiTheme="majorBidi" w:cstheme="majorBidi"/>
          <w:bCs/>
          <w:i/>
          <w:iCs/>
          <w:sz w:val="24"/>
          <w:szCs w:val="24"/>
        </w:rPr>
        <w:t>Mol. Biol.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29</w:t>
      </w:r>
      <w:r w:rsidRPr="00195F45">
        <w:rPr>
          <w:rFonts w:asciiTheme="majorBidi" w:hAnsiTheme="majorBidi" w:cstheme="majorBidi"/>
          <w:bCs/>
          <w:sz w:val="24"/>
          <w:szCs w:val="24"/>
        </w:rPr>
        <w:t>, 1917–1932 (2012).</w:t>
      </w:r>
    </w:p>
    <w:p w14:paraId="451231B5"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89. </w:t>
      </w:r>
      <w:r w:rsidRPr="00195F45">
        <w:rPr>
          <w:rFonts w:asciiTheme="majorBidi" w:hAnsiTheme="majorBidi" w:cstheme="majorBidi"/>
          <w:bCs/>
          <w:sz w:val="24"/>
          <w:szCs w:val="24"/>
        </w:rPr>
        <w:tab/>
        <w:t xml:space="preserve">R. Bouckaert, </w:t>
      </w:r>
      <w:r w:rsidRPr="00195F45">
        <w:rPr>
          <w:rFonts w:asciiTheme="majorBidi" w:hAnsiTheme="majorBidi" w:cstheme="majorBidi"/>
          <w:bCs/>
          <w:i/>
          <w:iCs/>
          <w:sz w:val="24"/>
          <w:szCs w:val="24"/>
        </w:rPr>
        <w:t>et al.</w:t>
      </w:r>
      <w:r w:rsidRPr="00195F45">
        <w:rPr>
          <w:rFonts w:asciiTheme="majorBidi" w:hAnsiTheme="majorBidi" w:cstheme="majorBidi"/>
          <w:bCs/>
          <w:sz w:val="24"/>
          <w:szCs w:val="24"/>
        </w:rPr>
        <w:t xml:space="preserve">, BEAST 2: A Software Platform for Bayesian Evolutionary Analysis. </w:t>
      </w:r>
      <w:r w:rsidRPr="00195F45">
        <w:rPr>
          <w:rFonts w:asciiTheme="majorBidi" w:hAnsiTheme="majorBidi" w:cstheme="majorBidi"/>
          <w:bCs/>
          <w:i/>
          <w:iCs/>
          <w:sz w:val="24"/>
          <w:szCs w:val="24"/>
        </w:rPr>
        <w:t>PLoS Comput. Biol.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10</w:t>
      </w:r>
      <w:r w:rsidRPr="00195F45">
        <w:rPr>
          <w:rFonts w:asciiTheme="majorBidi" w:hAnsiTheme="majorBidi" w:cstheme="majorBidi"/>
          <w:bCs/>
          <w:sz w:val="24"/>
          <w:szCs w:val="24"/>
        </w:rPr>
        <w:t>, 1–6 (2014).</w:t>
      </w:r>
    </w:p>
    <w:p w14:paraId="6609BE93"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90. </w:t>
      </w:r>
      <w:r w:rsidRPr="00195F45">
        <w:rPr>
          <w:rFonts w:asciiTheme="majorBidi" w:hAnsiTheme="majorBidi" w:cstheme="majorBidi"/>
          <w:bCs/>
          <w:sz w:val="24"/>
          <w:szCs w:val="24"/>
        </w:rPr>
        <w:tab/>
        <w:t xml:space="preserve">K. Tamura, G. Stecher, D. Peterson, A. Filipski, S. Kumar, MEGA6: Molecular evolutionary genetics analysis version 6.0. </w:t>
      </w:r>
      <w:r w:rsidRPr="00195F45">
        <w:rPr>
          <w:rFonts w:asciiTheme="majorBidi" w:hAnsiTheme="majorBidi" w:cstheme="majorBidi"/>
          <w:bCs/>
          <w:i/>
          <w:iCs/>
          <w:sz w:val="24"/>
          <w:szCs w:val="24"/>
        </w:rPr>
        <w:t>Mol. Biol.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30</w:t>
      </w:r>
      <w:r w:rsidRPr="00195F45">
        <w:rPr>
          <w:rFonts w:asciiTheme="majorBidi" w:hAnsiTheme="majorBidi" w:cstheme="majorBidi"/>
          <w:bCs/>
          <w:sz w:val="24"/>
          <w:szCs w:val="24"/>
        </w:rPr>
        <w:t>, 2725–2729 (2013).</w:t>
      </w:r>
    </w:p>
    <w:p w14:paraId="1EE0F4BB"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91. </w:t>
      </w:r>
      <w:r w:rsidRPr="00195F45">
        <w:rPr>
          <w:rFonts w:asciiTheme="majorBidi" w:hAnsiTheme="majorBidi" w:cstheme="majorBidi"/>
          <w:bCs/>
          <w:sz w:val="24"/>
          <w:szCs w:val="24"/>
        </w:rPr>
        <w:tab/>
        <w:t xml:space="preserve">S. Kumar, G. Stecher, M. Li, C. Knyaz, K. Tamura, MEGA X: Molecular evolutionary genetics analysis across computing platforms. </w:t>
      </w:r>
      <w:r w:rsidRPr="00195F45">
        <w:rPr>
          <w:rFonts w:asciiTheme="majorBidi" w:hAnsiTheme="majorBidi" w:cstheme="majorBidi"/>
          <w:bCs/>
          <w:i/>
          <w:iCs/>
          <w:sz w:val="24"/>
          <w:szCs w:val="24"/>
        </w:rPr>
        <w:t>Mol. Biol. Evol.</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35</w:t>
      </w:r>
      <w:r w:rsidRPr="00195F45">
        <w:rPr>
          <w:rFonts w:asciiTheme="majorBidi" w:hAnsiTheme="majorBidi" w:cstheme="majorBidi"/>
          <w:bCs/>
          <w:sz w:val="24"/>
          <w:szCs w:val="24"/>
        </w:rPr>
        <w:t>, 1547–1549 (2018).</w:t>
      </w:r>
    </w:p>
    <w:p w14:paraId="37196FEB" w14:textId="77777777" w:rsidR="00195F45" w:rsidRPr="00195F45"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t xml:space="preserve">92. </w:t>
      </w:r>
      <w:r w:rsidRPr="00195F45">
        <w:rPr>
          <w:rFonts w:asciiTheme="majorBidi" w:hAnsiTheme="majorBidi" w:cstheme="majorBidi"/>
          <w:bCs/>
          <w:sz w:val="24"/>
          <w:szCs w:val="24"/>
        </w:rPr>
        <w:tab/>
        <w:t xml:space="preserve">E. Paradis, K. Schliep, Ape 5.0: An environment for modern phylogenetics and evolutionary analyses in R. </w:t>
      </w:r>
      <w:r w:rsidRPr="00195F45">
        <w:rPr>
          <w:rFonts w:asciiTheme="majorBidi" w:hAnsiTheme="majorBidi" w:cstheme="majorBidi"/>
          <w:bCs/>
          <w:i/>
          <w:iCs/>
          <w:sz w:val="24"/>
          <w:szCs w:val="24"/>
        </w:rPr>
        <w:t>Bioinformatics</w:t>
      </w:r>
      <w:r w:rsidRPr="00195F45">
        <w:rPr>
          <w:rFonts w:asciiTheme="majorBidi" w:hAnsiTheme="majorBidi" w:cstheme="majorBidi"/>
          <w:bCs/>
          <w:sz w:val="24"/>
          <w:szCs w:val="24"/>
        </w:rPr>
        <w:t xml:space="preserve"> </w:t>
      </w:r>
      <w:r w:rsidRPr="00195F45">
        <w:rPr>
          <w:rFonts w:asciiTheme="majorBidi" w:hAnsiTheme="majorBidi" w:cstheme="majorBidi"/>
          <w:b/>
          <w:bCs/>
          <w:sz w:val="24"/>
          <w:szCs w:val="24"/>
        </w:rPr>
        <w:t>35</w:t>
      </w:r>
      <w:r w:rsidRPr="00195F45">
        <w:rPr>
          <w:rFonts w:asciiTheme="majorBidi" w:hAnsiTheme="majorBidi" w:cstheme="majorBidi"/>
          <w:bCs/>
          <w:sz w:val="24"/>
          <w:szCs w:val="24"/>
        </w:rPr>
        <w:t>, 526–528 (2019).</w:t>
      </w:r>
    </w:p>
    <w:p w14:paraId="0A279A05" w14:textId="65E756DF" w:rsidR="000803F9" w:rsidRDefault="00195F45" w:rsidP="00195F45">
      <w:pPr>
        <w:ind w:left="720" w:hanging="720"/>
        <w:jc w:val="both"/>
        <w:rPr>
          <w:rFonts w:asciiTheme="majorBidi" w:hAnsiTheme="majorBidi" w:cstheme="majorBidi"/>
          <w:bCs/>
          <w:sz w:val="24"/>
          <w:szCs w:val="24"/>
        </w:rPr>
      </w:pPr>
      <w:r w:rsidRPr="00195F45">
        <w:rPr>
          <w:rFonts w:asciiTheme="majorBidi" w:hAnsiTheme="majorBidi" w:cstheme="majorBidi"/>
          <w:bCs/>
          <w:sz w:val="24"/>
          <w:szCs w:val="24"/>
        </w:rPr>
        <w:fldChar w:fldCharType="end"/>
      </w:r>
    </w:p>
    <w:p w14:paraId="7F253102" w14:textId="77777777" w:rsidR="00147219" w:rsidRDefault="00147219" w:rsidP="00195F45">
      <w:pPr>
        <w:ind w:left="720" w:hanging="720"/>
        <w:jc w:val="both"/>
        <w:rPr>
          <w:rFonts w:asciiTheme="majorBidi" w:hAnsiTheme="majorBidi" w:cstheme="majorBidi"/>
          <w:bCs/>
          <w:sz w:val="24"/>
          <w:szCs w:val="24"/>
        </w:rPr>
      </w:pPr>
    </w:p>
    <w:p w14:paraId="3E494CD4" w14:textId="77777777" w:rsidR="00147219" w:rsidRDefault="00147219" w:rsidP="00195F45">
      <w:pPr>
        <w:ind w:left="720" w:hanging="720"/>
        <w:jc w:val="both"/>
        <w:rPr>
          <w:rFonts w:asciiTheme="majorBidi" w:hAnsiTheme="majorBidi" w:cstheme="majorBidi"/>
          <w:bCs/>
          <w:sz w:val="24"/>
          <w:szCs w:val="24"/>
        </w:rPr>
      </w:pPr>
    </w:p>
    <w:p w14:paraId="53D5C5D7" w14:textId="77777777" w:rsidR="00147219" w:rsidRDefault="00147219" w:rsidP="00195F45">
      <w:pPr>
        <w:ind w:left="720" w:hanging="720"/>
        <w:jc w:val="both"/>
        <w:rPr>
          <w:rFonts w:asciiTheme="majorBidi" w:hAnsiTheme="majorBidi" w:cstheme="majorBidi"/>
          <w:bCs/>
          <w:sz w:val="24"/>
          <w:szCs w:val="24"/>
        </w:rPr>
      </w:pPr>
    </w:p>
    <w:p w14:paraId="4C8CC202" w14:textId="77777777" w:rsidR="00147219" w:rsidRDefault="00147219" w:rsidP="00195F45">
      <w:pPr>
        <w:ind w:left="720" w:hanging="720"/>
        <w:jc w:val="both"/>
        <w:rPr>
          <w:rFonts w:asciiTheme="majorBidi" w:hAnsiTheme="majorBidi" w:cstheme="majorBidi"/>
          <w:bCs/>
          <w:sz w:val="24"/>
          <w:szCs w:val="24"/>
        </w:rPr>
      </w:pPr>
    </w:p>
    <w:p w14:paraId="249F5F9F" w14:textId="77777777" w:rsidR="00147219" w:rsidRDefault="00147219" w:rsidP="00195F45">
      <w:pPr>
        <w:ind w:left="720" w:hanging="720"/>
        <w:jc w:val="both"/>
        <w:rPr>
          <w:rFonts w:asciiTheme="majorBidi" w:hAnsiTheme="majorBidi" w:cstheme="majorBidi"/>
          <w:bCs/>
          <w:sz w:val="24"/>
          <w:szCs w:val="24"/>
        </w:rPr>
      </w:pPr>
    </w:p>
    <w:p w14:paraId="2EA0F839" w14:textId="77777777" w:rsidR="00147219" w:rsidRDefault="00147219" w:rsidP="00195F45">
      <w:pPr>
        <w:ind w:left="720" w:hanging="720"/>
        <w:jc w:val="both"/>
        <w:rPr>
          <w:rFonts w:asciiTheme="majorBidi" w:hAnsiTheme="majorBidi" w:cstheme="majorBidi"/>
          <w:bCs/>
          <w:sz w:val="24"/>
          <w:szCs w:val="24"/>
        </w:rPr>
      </w:pPr>
    </w:p>
    <w:p w14:paraId="16432630" w14:textId="77777777" w:rsidR="00147219" w:rsidRDefault="00147219" w:rsidP="00195F45">
      <w:pPr>
        <w:ind w:left="720" w:hanging="720"/>
        <w:jc w:val="both"/>
        <w:rPr>
          <w:rFonts w:asciiTheme="majorBidi" w:hAnsiTheme="majorBidi" w:cstheme="majorBidi"/>
          <w:bCs/>
          <w:sz w:val="24"/>
          <w:szCs w:val="24"/>
        </w:rPr>
      </w:pPr>
    </w:p>
    <w:p w14:paraId="4C8452A1" w14:textId="77777777" w:rsidR="00147219" w:rsidRDefault="00147219" w:rsidP="00195F45">
      <w:pPr>
        <w:ind w:left="720" w:hanging="720"/>
        <w:jc w:val="both"/>
        <w:rPr>
          <w:rFonts w:asciiTheme="majorBidi" w:hAnsiTheme="majorBidi" w:cstheme="majorBidi"/>
          <w:bCs/>
          <w:sz w:val="24"/>
          <w:szCs w:val="24"/>
        </w:rPr>
      </w:pPr>
    </w:p>
    <w:p w14:paraId="66AB20D7" w14:textId="77777777" w:rsidR="00147219" w:rsidRDefault="00147219" w:rsidP="00195F45">
      <w:pPr>
        <w:ind w:left="720" w:hanging="720"/>
        <w:jc w:val="both"/>
        <w:rPr>
          <w:rFonts w:asciiTheme="majorBidi" w:hAnsiTheme="majorBidi" w:cstheme="majorBidi"/>
          <w:bCs/>
          <w:sz w:val="24"/>
          <w:szCs w:val="24"/>
        </w:rPr>
      </w:pPr>
    </w:p>
    <w:p w14:paraId="429DD0BB" w14:textId="291D33E0" w:rsidR="009B7B80" w:rsidRDefault="009B7B80" w:rsidP="009B7B80">
      <w:pPr>
        <w:rPr>
          <w:rFonts w:asciiTheme="majorBidi" w:hAnsiTheme="majorBidi" w:cstheme="majorBidi"/>
          <w:b/>
          <w:bCs/>
          <w:sz w:val="56"/>
          <w:szCs w:val="56"/>
        </w:rPr>
      </w:pPr>
      <w:r>
        <w:rPr>
          <w:rFonts w:asciiTheme="majorBidi" w:hAnsiTheme="majorBidi" w:cstheme="majorBidi"/>
          <w:b/>
          <w:bCs/>
          <w:sz w:val="56"/>
          <w:szCs w:val="56"/>
        </w:rPr>
        <w:lastRenderedPageBreak/>
        <w:t>Appendix A</w:t>
      </w:r>
    </w:p>
    <w:p w14:paraId="3D82B20A" w14:textId="77777777" w:rsidR="009B7B80" w:rsidRDefault="009B7B80" w:rsidP="009B7B80">
      <w:pPr>
        <w:rPr>
          <w:rFonts w:asciiTheme="majorBidi" w:hAnsiTheme="majorBidi" w:cstheme="majorBidi"/>
          <w:b/>
          <w:bCs/>
          <w:sz w:val="56"/>
          <w:szCs w:val="56"/>
        </w:rPr>
      </w:pPr>
    </w:p>
    <w:p w14:paraId="3B5D6642" w14:textId="71400A40" w:rsidR="009B7B80" w:rsidRDefault="00A82317" w:rsidP="009B7B80">
      <w:pPr>
        <w:rPr>
          <w:rFonts w:asciiTheme="majorBidi" w:hAnsiTheme="majorBidi" w:cstheme="majorBidi"/>
          <w:b/>
          <w:bCs/>
          <w:sz w:val="56"/>
          <w:szCs w:val="56"/>
        </w:rPr>
      </w:pPr>
      <w:r>
        <w:rPr>
          <w:rFonts w:asciiTheme="majorBidi" w:hAnsiTheme="majorBidi" w:cstheme="majorBidi"/>
          <w:b/>
          <w:bCs/>
          <w:sz w:val="56"/>
          <w:szCs w:val="56"/>
        </w:rPr>
        <w:t>Supplementary Material for</w:t>
      </w:r>
    </w:p>
    <w:p w14:paraId="0928C108" w14:textId="77777777" w:rsidR="009B7B80" w:rsidRDefault="009B7B80" w:rsidP="009B7B80">
      <w:pPr>
        <w:rPr>
          <w:rFonts w:asciiTheme="majorBidi" w:hAnsiTheme="majorBidi" w:cstheme="majorBidi"/>
          <w:b/>
          <w:bCs/>
          <w:sz w:val="56"/>
          <w:szCs w:val="56"/>
        </w:rPr>
      </w:pPr>
      <w:r w:rsidRPr="00AD2D8A">
        <w:rPr>
          <w:rFonts w:asciiTheme="majorBidi" w:hAnsiTheme="majorBidi" w:cstheme="majorBidi"/>
          <w:b/>
          <w:bCs/>
          <w:sz w:val="56"/>
          <w:szCs w:val="56"/>
        </w:rPr>
        <w:t>Genomics overrules mitochondrial DNA, siding with morphology on a controversial case of species delimitation</w:t>
      </w:r>
    </w:p>
    <w:p w14:paraId="49043CD0" w14:textId="77777777" w:rsidR="009B7B80" w:rsidRDefault="009B7B80" w:rsidP="00195F45">
      <w:pPr>
        <w:ind w:left="720" w:hanging="720"/>
        <w:jc w:val="both"/>
        <w:rPr>
          <w:rFonts w:asciiTheme="majorBidi" w:hAnsiTheme="majorBidi" w:cstheme="majorBidi"/>
          <w:bCs/>
          <w:sz w:val="24"/>
          <w:szCs w:val="24"/>
        </w:rPr>
      </w:pPr>
    </w:p>
    <w:p w14:paraId="54145C0A" w14:textId="77777777" w:rsidR="00B02B62" w:rsidRPr="00B02B62" w:rsidRDefault="00B02B62" w:rsidP="00195F45">
      <w:pPr>
        <w:ind w:left="720" w:hanging="720"/>
        <w:jc w:val="both"/>
        <w:rPr>
          <w:rFonts w:ascii="Times New Roman" w:hAnsi="Times New Roman" w:cs="Times New Roman"/>
          <w:bCs/>
          <w:sz w:val="24"/>
          <w:szCs w:val="24"/>
        </w:rPr>
      </w:pPr>
    </w:p>
    <w:p w14:paraId="193891FC" w14:textId="77777777" w:rsidR="00B02B62" w:rsidRPr="00B02B62" w:rsidRDefault="00B02B62" w:rsidP="00B02B62">
      <w:pPr>
        <w:spacing w:before="120" w:after="120"/>
        <w:rPr>
          <w:rFonts w:ascii="Times New Roman" w:hAnsi="Times New Roman" w:cs="Times New Roman"/>
          <w:b/>
          <w:sz w:val="28"/>
          <w:szCs w:val="28"/>
        </w:rPr>
      </w:pPr>
      <w:r w:rsidRPr="00B02B62">
        <w:rPr>
          <w:rFonts w:ascii="Times New Roman" w:hAnsi="Times New Roman" w:cs="Times New Roman"/>
          <w:b/>
          <w:sz w:val="28"/>
          <w:szCs w:val="28"/>
        </w:rPr>
        <w:t>Extended Materials and Methods</w:t>
      </w:r>
    </w:p>
    <w:p w14:paraId="2A4534CF" w14:textId="77777777" w:rsidR="00B02B62" w:rsidRPr="00B02B62" w:rsidRDefault="00B02B62" w:rsidP="00B02B62">
      <w:pPr>
        <w:spacing w:before="120" w:after="120"/>
        <w:rPr>
          <w:rFonts w:ascii="Times New Roman" w:hAnsi="Times New Roman" w:cs="Times New Roman"/>
          <w:sz w:val="28"/>
          <w:szCs w:val="28"/>
        </w:rPr>
      </w:pPr>
      <w:r w:rsidRPr="00B02B62">
        <w:rPr>
          <w:rFonts w:ascii="Times New Roman" w:hAnsi="Times New Roman" w:cs="Times New Roman"/>
          <w:b/>
          <w:sz w:val="28"/>
          <w:szCs w:val="28"/>
        </w:rPr>
        <w:t>Supplemental Figures and Tables</w:t>
      </w:r>
    </w:p>
    <w:p w14:paraId="3C07AEE2" w14:textId="77777777" w:rsidR="00B02B62" w:rsidRPr="00B02B62" w:rsidRDefault="00B02B62" w:rsidP="00B02B62">
      <w:pPr>
        <w:rPr>
          <w:rFonts w:ascii="Times New Roman" w:hAnsi="Times New Roman" w:cs="Times New Roman"/>
          <w:b/>
          <w:sz w:val="28"/>
          <w:szCs w:val="28"/>
        </w:rPr>
      </w:pPr>
      <w:r w:rsidRPr="00B02B62">
        <w:rPr>
          <w:rFonts w:ascii="Times New Roman" w:hAnsi="Times New Roman" w:cs="Times New Roman"/>
          <w:b/>
          <w:sz w:val="28"/>
          <w:szCs w:val="28"/>
        </w:rPr>
        <w:t>Supplementary References</w:t>
      </w:r>
    </w:p>
    <w:p w14:paraId="0DCCEB19" w14:textId="77777777" w:rsidR="00B02B62" w:rsidRPr="00B02B62" w:rsidRDefault="00B02B62" w:rsidP="00B02B62">
      <w:pPr>
        <w:outlineLvl w:val="0"/>
        <w:rPr>
          <w:rFonts w:ascii="Times New Roman" w:hAnsi="Times New Roman" w:cs="Times New Roman"/>
          <w:b/>
        </w:rPr>
      </w:pPr>
    </w:p>
    <w:p w14:paraId="0963CD24" w14:textId="77777777" w:rsidR="00B02B62" w:rsidRPr="00B02B62" w:rsidRDefault="00B02B62" w:rsidP="00B02B62">
      <w:pPr>
        <w:rPr>
          <w:rFonts w:ascii="Times New Roman" w:hAnsi="Times New Roman" w:cs="Times New Roman"/>
          <w:b/>
          <w:sz w:val="28"/>
          <w:szCs w:val="28"/>
        </w:rPr>
      </w:pPr>
      <w:r w:rsidRPr="00B02B62">
        <w:rPr>
          <w:rFonts w:ascii="Times New Roman" w:hAnsi="Times New Roman" w:cs="Times New Roman"/>
          <w:b/>
          <w:sz w:val="28"/>
          <w:szCs w:val="28"/>
        </w:rPr>
        <w:t>Data repository:</w:t>
      </w:r>
    </w:p>
    <w:p w14:paraId="54C19440" w14:textId="77777777" w:rsidR="00B02B62" w:rsidRPr="00B02B62" w:rsidRDefault="00B02B62" w:rsidP="00B02B62">
      <w:pPr>
        <w:rPr>
          <w:rFonts w:ascii="Times New Roman" w:hAnsi="Times New Roman" w:cs="Times New Roman"/>
          <w:b/>
          <w:sz w:val="20"/>
          <w:szCs w:val="20"/>
        </w:rPr>
      </w:pPr>
      <w:r w:rsidRPr="00B02B62">
        <w:rPr>
          <w:rFonts w:ascii="Times New Roman" w:hAnsi="Times New Roman" w:cs="Times New Roman"/>
          <w:lang w:val="en-GB"/>
        </w:rPr>
        <w:t>datasets</w:t>
      </w:r>
      <w:r w:rsidRPr="00B02B62">
        <w:rPr>
          <w:rFonts w:ascii="Times New Roman" w:hAnsi="Times New Roman" w:cs="Times New Roman"/>
        </w:rPr>
        <w:t xml:space="preserve"> are available from </w:t>
      </w:r>
      <w:r w:rsidRPr="00B02B62">
        <w:rPr>
          <w:rFonts w:ascii="Times New Roman" w:hAnsi="Times New Roman" w:cs="Times New Roman"/>
          <w:lang w:val="en-GB"/>
        </w:rPr>
        <w:t xml:space="preserve">Dryad digital repository: </w:t>
      </w:r>
      <w:r w:rsidRPr="00B02B62">
        <w:rPr>
          <w:rFonts w:ascii="Times New Roman" w:hAnsi="Times New Roman" w:cs="Times New Roman"/>
        </w:rPr>
        <w:t>https://doi.org/10.5061/dryad.sk61618</w:t>
      </w:r>
    </w:p>
    <w:p w14:paraId="2161419B" w14:textId="77777777" w:rsidR="00B02B62" w:rsidRPr="00B02B62" w:rsidRDefault="00B02B62" w:rsidP="00B02B62">
      <w:pPr>
        <w:outlineLvl w:val="0"/>
        <w:rPr>
          <w:rFonts w:ascii="Times New Roman" w:hAnsi="Times New Roman" w:cs="Times New Roman"/>
          <w:b/>
          <w:sz w:val="20"/>
          <w:szCs w:val="20"/>
        </w:rPr>
      </w:pPr>
    </w:p>
    <w:p w14:paraId="2B1E8F6E" w14:textId="77777777" w:rsidR="00B02B62" w:rsidRPr="00B02B62" w:rsidRDefault="00B02B62" w:rsidP="00B02B62">
      <w:pPr>
        <w:spacing w:before="120" w:after="120"/>
        <w:rPr>
          <w:rFonts w:ascii="Times New Roman" w:hAnsi="Times New Roman" w:cs="Times New Roman"/>
          <w:b/>
          <w:color w:val="000000" w:themeColor="text1"/>
          <w:sz w:val="28"/>
          <w:szCs w:val="28"/>
        </w:rPr>
      </w:pPr>
      <w:r w:rsidRPr="00B02B62">
        <w:rPr>
          <w:rFonts w:ascii="Times New Roman" w:hAnsi="Times New Roman" w:cs="Times New Roman"/>
          <w:b/>
          <w:sz w:val="28"/>
          <w:szCs w:val="28"/>
        </w:rPr>
        <w:t xml:space="preserve">Extended Materials and Methods: molecular protocols, mitochondrial data, SNP genotyping, </w:t>
      </w:r>
      <w:r w:rsidRPr="00B02B62">
        <w:rPr>
          <w:rFonts w:ascii="Times New Roman" w:hAnsi="Times New Roman" w:cs="Times New Roman"/>
          <w:b/>
          <w:color w:val="000000" w:themeColor="text1"/>
          <w:sz w:val="28"/>
          <w:szCs w:val="28"/>
        </w:rPr>
        <w:t>and Bayes factor delimitation analyses.</w:t>
      </w:r>
    </w:p>
    <w:p w14:paraId="2A61C410" w14:textId="77777777" w:rsidR="000F7ED6" w:rsidRDefault="00B02B62" w:rsidP="000F7ED6">
      <w:pPr>
        <w:jc w:val="both"/>
        <w:rPr>
          <w:rFonts w:ascii="Times New Roman" w:hAnsi="Times New Roman" w:cs="Times New Roman"/>
          <w:sz w:val="28"/>
          <w:szCs w:val="28"/>
        </w:rPr>
      </w:pPr>
      <w:r w:rsidRPr="000F7ED6">
        <w:rPr>
          <w:rFonts w:ascii="Times New Roman" w:hAnsi="Times New Roman" w:cs="Times New Roman"/>
          <w:sz w:val="24"/>
          <w:szCs w:val="24"/>
        </w:rPr>
        <w:t xml:space="preserve">DNA extractions were performed from fin-clip tissues using Qiagen DNeasy Blood and Tissue kit (Qiagen, Inc.), following the manufacturer’s protocol. Library preparation was carried out at the Sequencing and Genotyping Facility (SGF) at the University of Puerto Rico – Río Piedras (UPR-RP). We applied the double-digest RADseq (ddRADseq) protocol using initially described by </w:t>
      </w:r>
      <w:r w:rsidRPr="000F7ED6">
        <w:rPr>
          <w:rFonts w:ascii="Times New Roman" w:hAnsi="Times New Roman" w:cs="Times New Roman"/>
          <w:sz w:val="24"/>
          <w:szCs w:val="24"/>
        </w:rPr>
        <w:fldChar w:fldCharType="begin" w:fldLock="1"/>
      </w:r>
      <w:r w:rsidRPr="000F7ED6">
        <w:rPr>
          <w:rFonts w:ascii="Times New Roman" w:hAnsi="Times New Roman" w:cs="Times New Roman"/>
          <w:sz w:val="24"/>
          <w:szCs w:val="24"/>
        </w:rPr>
        <w:instrText>ADDIN CSL_CITATION {"citationItems":[{"id":"ITEM-1","itemData":{"DOI":"10.1371/journal.pone.0037135","ISBN":"10.1371/journal.pone.0037135","ISSN":"19326203","PMID":"22675423","abstract":"The ability to efficiently and accurately determine genotypes is a keystone technology in modern genetics, crucial to studies ranging from clinical diagnostics, to genotype-phenotype association, to reconstruction of ancestry and the detection of selection. To date, high capacity, low cost genotyping has been largely achieved via \"SNP chip\" microarray-based platforms which require substantial prior knowledge of both genome sequence and variability, and once designed are suitable only for those targeted variable nucleotide sites. This method introduces substantial ascertainment bias and inherently precludes detection of rare or population-specific variants, a major source of information for both population history and genotype-phenotype association. Recent developments in reduced-representation genome sequencing experiments on massively parallel sequencers (commonly referred to as RAD-tag or RADseq) have brought direct sequencing to the problem of population genotyping, but increased cost and procedural and analytical complexity have limited their widespread adoption. Here, we describe a complete laboratory protocol, including a custom combinatorial indexing method, and accompanying software tools to facilitate genotyping across large numbers (hundreds or more) of individuals for a range of markers (hundreds to hundreds of thousands). Our method requires no prior genomic knowledge and achieves per-site and per-individual costs below that of current SNP chip technology, while requiring similar hands-on time investment, comparable amounts of input DNA, and downstream analysis times on the order of hours. Finally, we provide empirical results from the application of this method to both genotyping in a laboratory cross and in wild populations. Because of its flexibility, this modified RADseq approach promises to be applicable to a diversity of biological questions in a wide range of organisms.","author":[{"dropping-particle":"","family":"Peterson","given":"Brant K.","non-dropping-particle":"","parse-names":false,"suffix":""},{"dropping-particle":"","family":"Weber","given":"Jesse N.","non-dropping-particle":"","parse-names":false,"suffix":""},{"dropping-particle":"","family":"Kay","given":"Emily H.","non-dropping-particle":"","parse-names":false,"suffix":""},{"dropping-particle":"","family":"Fisher","given":"Heidi S.","non-dropping-particle":"","parse-names":false,"suffix":""},{"dropping-particle":"","family":"Hoekstra","given":"Hopi E.","non-dropping-particle":"","parse-names":false,"suffix":""}],"container-title":"PLoS ONE","id":"ITEM-1","issue":"5","issued":{"date-parts":[["2012"]]},"title":"Double digest RADseq: An inexpensive method for de novo SNP discovery and genotyping in model and non-model species","type":"article-journal","volume":"7"},"uris":["http://www.mendeley.com/documents/?uuid=308140b9-40af-47c8-b039-3e9a06813643"]}],"mendeley":{"formattedCitation":"[1]","manualFormatting":"Peterson et al. (2012)","plainTextFormattedCitation":"[1]","previouslyFormattedCitation":"[1]"},"properties":{"noteIndex":0},"schema":"https://github.com/citation-style-language/schema/raw/master/csl-citation.json"}</w:instrText>
      </w:r>
      <w:r w:rsidRPr="000F7ED6">
        <w:rPr>
          <w:rFonts w:ascii="Times New Roman" w:hAnsi="Times New Roman" w:cs="Times New Roman"/>
          <w:sz w:val="24"/>
          <w:szCs w:val="24"/>
        </w:rPr>
        <w:fldChar w:fldCharType="separate"/>
      </w:r>
      <w:r w:rsidRPr="000F7ED6">
        <w:rPr>
          <w:rFonts w:ascii="Times New Roman" w:hAnsi="Times New Roman" w:cs="Times New Roman"/>
          <w:noProof/>
          <w:sz w:val="24"/>
          <w:szCs w:val="24"/>
        </w:rPr>
        <w:t xml:space="preserve">Peterson </w:t>
      </w:r>
      <w:r w:rsidRPr="000F7ED6">
        <w:rPr>
          <w:rFonts w:ascii="Times New Roman" w:hAnsi="Times New Roman" w:cs="Times New Roman"/>
          <w:i/>
          <w:noProof/>
          <w:sz w:val="24"/>
          <w:szCs w:val="24"/>
        </w:rPr>
        <w:t>et al.</w:t>
      </w:r>
      <w:r w:rsidRPr="000F7ED6">
        <w:rPr>
          <w:rFonts w:ascii="Times New Roman" w:hAnsi="Times New Roman" w:cs="Times New Roman"/>
          <w:noProof/>
          <w:sz w:val="24"/>
          <w:szCs w:val="24"/>
        </w:rPr>
        <w:t xml:space="preserve"> (2012)</w:t>
      </w:r>
      <w:r w:rsidRPr="000F7ED6">
        <w:rPr>
          <w:rFonts w:ascii="Times New Roman" w:hAnsi="Times New Roman" w:cs="Times New Roman"/>
          <w:sz w:val="24"/>
          <w:szCs w:val="24"/>
        </w:rPr>
        <w:fldChar w:fldCharType="end"/>
      </w:r>
      <w:r w:rsidRPr="000F7ED6">
        <w:rPr>
          <w:rFonts w:ascii="Times New Roman" w:hAnsi="Times New Roman" w:cs="Times New Roman"/>
          <w:sz w:val="24"/>
          <w:szCs w:val="24"/>
        </w:rPr>
        <w:t xml:space="preserve">. This protocol provides the advantage of reducing genome-wide sequences to size-selected digested fragments </w:t>
      </w:r>
      <w:r w:rsidRPr="000F7ED6">
        <w:rPr>
          <w:rFonts w:ascii="Times New Roman" w:hAnsi="Times New Roman" w:cs="Times New Roman"/>
          <w:sz w:val="24"/>
          <w:szCs w:val="24"/>
        </w:rPr>
        <w:fldChar w:fldCharType="begin" w:fldLock="1"/>
      </w:r>
      <w:r w:rsidRPr="000F7ED6">
        <w:rPr>
          <w:rFonts w:ascii="Times New Roman" w:hAnsi="Times New Roman" w:cs="Times New Roman"/>
          <w:sz w:val="24"/>
          <w:szCs w:val="24"/>
        </w:rPr>
        <w:instrText>ADDIN CSL_CITATION {"citationItems":[{"id":"ITEM-1","itemData":{"DOI":"10.1371/journal.pone.0037135","ISBN":"10.1371/journal.pone.0037135","ISSN":"19326203","PMID":"22675423","abstract":"The ability to efficiently and accurately determine genotypes is a keystone technology in modern genetics, crucial to studies ranging from clinical diagnostics, to genotype-phenotype association, to reconstruction of ancestry and the detection of selection. To date, high capacity, low cost genotyping has been largely achieved via \"SNP chip\" microarray-based platforms which require substantial prior knowledge of both genome sequence and variability, and once designed are suitable only for those targeted variable nucleotide sites. This method introduces substantial ascertainment bias and inherently precludes detection of rare or population-specific variants, a major source of information for both population history and genotype-phenotype association. Recent developments in reduced-representation genome sequencing experiments on massively parallel sequencers (commonly referred to as RAD-tag or RADseq) have brought direct sequencing to the problem of population genotyping, but increased cost and procedural and analytical complexity have limited their widespread adoption. Here, we describe a complete laboratory protocol, including a custom combinatorial indexing method, and accompanying software tools to facilitate genotyping across large numbers (hundreds or more) of individuals for a range of markers (hundreds to hundreds of thousands). Our method requires no prior genomic knowledge and achieves per-site and per-individual costs below that of current SNP chip technology, while requiring similar hands-on time investment, comparable amounts of input DNA, and downstream analysis times on the order of hours. Finally, we provide empirical results from the application of this method to both genotyping in a laboratory cross and in wild populations. Because of its flexibility, this modified RADseq approach promises to be applicable to a diversity of biological questions in a wide range of organisms.","author":[{"dropping-particle":"","family":"Peterson","given":"Brant K.","non-dropping-particle":"","parse-names":false,"suffix":""},{"dropping-particle":"","family":"Weber","given":"Jesse N.","non-dropping-particle":"","parse-names":false,"suffix":""},{"dropping-particle":"","family":"Kay","given":"Emily H.","non-dropping-particle":"","parse-names":false,"suffix":""},{"dropping-particle":"","family":"Fisher","given":"Heidi S.","non-dropping-particle":"","parse-names":false,"suffix":""},{"dropping-particle":"","family":"Hoekstra","given":"Hopi E.","non-dropping-particle":"","parse-names":false,"suffix":""}],"container-title":"PLoS ONE","id":"ITEM-1","issue":"5","issued":{"date-parts":[["2012"]]},"title":"Double digest RADseq: An inexpensive method for de novo SNP discovery and genotyping in model and non-model species","type":"article-journal","volume":"7"},"uris":["http://www.mendeley.com/documents/?uuid=308140b9-40af-47c8-b039-3e9a06813643"]}],"mendeley":{"formattedCitation":"[1]","plainTextFormattedCitation":"[1]","previouslyFormattedCitation":"[1]"},"properties":{"noteIndex":0},"schema":"https://github.com/citation-style-language/schema/raw/master/csl-citation.json"}</w:instrText>
      </w:r>
      <w:r w:rsidRPr="000F7ED6">
        <w:rPr>
          <w:rFonts w:ascii="Times New Roman" w:hAnsi="Times New Roman" w:cs="Times New Roman"/>
          <w:sz w:val="24"/>
          <w:szCs w:val="24"/>
        </w:rPr>
        <w:fldChar w:fldCharType="separate"/>
      </w:r>
      <w:r w:rsidRPr="000F7ED6">
        <w:rPr>
          <w:rFonts w:ascii="Times New Roman" w:hAnsi="Times New Roman" w:cs="Times New Roman"/>
          <w:noProof/>
          <w:sz w:val="24"/>
          <w:szCs w:val="24"/>
        </w:rPr>
        <w:t>[1]</w:t>
      </w:r>
      <w:r w:rsidRPr="000F7ED6">
        <w:rPr>
          <w:rFonts w:ascii="Times New Roman" w:hAnsi="Times New Roman" w:cs="Times New Roman"/>
          <w:sz w:val="24"/>
          <w:szCs w:val="24"/>
        </w:rPr>
        <w:fldChar w:fldCharType="end"/>
      </w:r>
      <w:r w:rsidRPr="000F7ED6">
        <w:rPr>
          <w:rFonts w:ascii="Times New Roman" w:hAnsi="Times New Roman" w:cs="Times New Roman"/>
          <w:sz w:val="24"/>
          <w:szCs w:val="24"/>
        </w:rPr>
        <w:t xml:space="preserve">. Restriction enzymes used were PstI and MseI, with a size selection window of 300-600 bp. Each library contained up to 20 individuals indexed by a set of six base-pairs barcodes in combinatorial schemes, and further sequenced in two Illumina HiSeq </w:t>
      </w:r>
      <w:r w:rsidRPr="000F7ED6">
        <w:rPr>
          <w:rFonts w:ascii="Times New Roman" w:hAnsi="Times New Roman" w:cs="Times New Roman"/>
          <w:sz w:val="24"/>
          <w:szCs w:val="24"/>
        </w:rPr>
        <w:lastRenderedPageBreak/>
        <w:t xml:space="preserve">4000 lanes using 100 base pair-ended sequencing at the Knapp Center of Biomedical Discovery (KCBD) Genomics Facility at the University of Chicago. For </w:t>
      </w:r>
      <w:r w:rsidRPr="000F7ED6">
        <w:rPr>
          <w:rFonts w:ascii="Times New Roman" w:hAnsi="Times New Roman" w:cs="Times New Roman"/>
          <w:i/>
          <w:sz w:val="24"/>
          <w:szCs w:val="24"/>
        </w:rPr>
        <w:t>COI</w:t>
      </w:r>
      <w:r w:rsidRPr="000F7ED6">
        <w:rPr>
          <w:rFonts w:ascii="Times New Roman" w:hAnsi="Times New Roman" w:cs="Times New Roman"/>
          <w:sz w:val="24"/>
          <w:szCs w:val="24"/>
        </w:rPr>
        <w:t xml:space="preserve"> barcoding, PCR products were checked by electrophoresis on 1.8% agarose gels and sequenced in both directions at the SGF at the UPR-RP. Accession numbers and additional information are available from Table S2.</w:t>
      </w:r>
    </w:p>
    <w:p w14:paraId="0E575A1B" w14:textId="2EDB33DF" w:rsidR="002F55C6" w:rsidRPr="000F7ED6" w:rsidRDefault="002F55C6" w:rsidP="000F7ED6">
      <w:pPr>
        <w:ind w:firstLine="720"/>
        <w:jc w:val="both"/>
        <w:rPr>
          <w:rFonts w:ascii="Times New Roman" w:hAnsi="Times New Roman" w:cs="Times New Roman"/>
          <w:sz w:val="28"/>
          <w:szCs w:val="28"/>
        </w:rPr>
      </w:pPr>
      <w:r w:rsidRPr="000F7ED6">
        <w:rPr>
          <w:rFonts w:ascii="Times New Roman" w:hAnsi="Times New Roman" w:cs="Times New Roman"/>
          <w:sz w:val="24"/>
          <w:szCs w:val="24"/>
        </w:rPr>
        <w:t xml:space="preserve">Sequenced libraries were demultiplexed using the process_radtags.pl script as implemented in Stacks v1.49 </w:t>
      </w:r>
      <w:r w:rsidRPr="000F7ED6">
        <w:rPr>
          <w:rFonts w:ascii="Times New Roman" w:hAnsi="Times New Roman" w:cs="Times New Roman"/>
          <w:sz w:val="24"/>
          <w:szCs w:val="24"/>
        </w:rPr>
        <w:fldChar w:fldCharType="begin" w:fldLock="1"/>
      </w:r>
      <w:r w:rsidRPr="000F7ED6">
        <w:rPr>
          <w:rFonts w:ascii="Times New Roman" w:hAnsi="Times New Roman" w:cs="Times New Roman"/>
          <w:sz w:val="24"/>
          <w:szCs w:val="24"/>
        </w:rPr>
        <w:instrText>ADDIN CSL_CITATION {"citationItems":[{"id":"ITEM-1","itemData":{"DOI":"10.1111/mec.12354.Stacks","author":[{"dropping-particle":"","family":"Catchen","given":"Julian M.","non-dropping-particle":"","parse-names":false,"suffix":""},{"dropping-particle":"","family":"Hohenlohe","given":"Paul A.","non-dropping-particle":"","parse-names":false,"suffix":""},{"dropping-particle":"","family":"Bassham","given":"Susan","non-dropping-particle":"","parse-names":false,"suffix":""},{"dropping-particle":"","family":"Amores","given":"Angel","non-dropping-particle":"","parse-names":false,"suffix":""},{"dropping-particle":"","family":"Cresko","given":"William A.","non-dropping-particle":"","parse-names":false,"suffix":""}],"container-title":"Molecular Ecology","id":"ITEM-1","issue":"11","issued":{"date-parts":[["2013"]]},"page":"3124-3140","title":"Stacks: an analysis tool set for population genomics","type":"article-journal","volume":"22"},"uris":["http://www.mendeley.com/documents/?uuid=508cf26b-45a4-4e03-91b5-8e4b0d1d311f"]}],"mendeley":{"formattedCitation":"[2]","plainTextFormattedCitation":"[2]","previouslyFormattedCitation":"[2]"},"properties":{"noteIndex":0},"schema":"https://github.com/citation-style-language/schema/raw/master/csl-citation.json"}</w:instrText>
      </w:r>
      <w:r w:rsidRPr="000F7ED6">
        <w:rPr>
          <w:rFonts w:ascii="Times New Roman" w:hAnsi="Times New Roman" w:cs="Times New Roman"/>
          <w:sz w:val="24"/>
          <w:szCs w:val="24"/>
        </w:rPr>
        <w:fldChar w:fldCharType="separate"/>
      </w:r>
      <w:r w:rsidRPr="000F7ED6">
        <w:rPr>
          <w:rFonts w:ascii="Times New Roman" w:hAnsi="Times New Roman" w:cs="Times New Roman"/>
          <w:noProof/>
          <w:sz w:val="24"/>
          <w:szCs w:val="24"/>
        </w:rPr>
        <w:t>[2]</w:t>
      </w:r>
      <w:r w:rsidRPr="000F7ED6">
        <w:rPr>
          <w:rFonts w:ascii="Times New Roman" w:hAnsi="Times New Roman" w:cs="Times New Roman"/>
          <w:sz w:val="24"/>
          <w:szCs w:val="24"/>
        </w:rPr>
        <w:fldChar w:fldCharType="end"/>
      </w:r>
      <w:r w:rsidRPr="000F7ED6">
        <w:rPr>
          <w:rFonts w:ascii="Times New Roman" w:hAnsi="Times New Roman" w:cs="Times New Roman"/>
          <w:sz w:val="24"/>
          <w:szCs w:val="24"/>
        </w:rPr>
        <w:t>. Raw reads were trimmed to 86 bp after removing restriction sites. The quality of raw reads was further verified using FastQC v0.11.5 (www.bioinformatics.babraham.ac.uk/projects/fastqc/) and selected a Phred score threshold of 33 for filtering sequencing reads. The total number of raw reads was 1.68 X 10</w:t>
      </w:r>
      <w:r w:rsidRPr="000F7ED6">
        <w:rPr>
          <w:rFonts w:ascii="Times New Roman" w:hAnsi="Times New Roman" w:cs="Times New Roman"/>
          <w:sz w:val="24"/>
          <w:szCs w:val="24"/>
          <w:vertAlign w:val="superscript"/>
        </w:rPr>
        <w:t>9</w:t>
      </w:r>
      <w:r w:rsidRPr="000F7ED6">
        <w:rPr>
          <w:rFonts w:ascii="Times New Roman" w:hAnsi="Times New Roman" w:cs="Times New Roman"/>
          <w:sz w:val="24"/>
          <w:szCs w:val="24"/>
        </w:rPr>
        <w:t>, of which 1.184 X 10</w:t>
      </w:r>
      <w:r w:rsidRPr="000F7ED6">
        <w:rPr>
          <w:rFonts w:ascii="Times New Roman" w:hAnsi="Times New Roman" w:cs="Times New Roman"/>
          <w:sz w:val="24"/>
          <w:szCs w:val="24"/>
          <w:vertAlign w:val="superscript"/>
        </w:rPr>
        <w:t>9</w:t>
      </w:r>
      <w:r w:rsidRPr="000F7ED6">
        <w:rPr>
          <w:rFonts w:ascii="Times New Roman" w:hAnsi="Times New Roman" w:cs="Times New Roman"/>
          <w:sz w:val="24"/>
          <w:szCs w:val="24"/>
        </w:rPr>
        <w:t xml:space="preserve"> (~70%) passed quality filters. </w:t>
      </w:r>
      <w:r w:rsidRPr="000F7ED6">
        <w:rPr>
          <w:rFonts w:ascii="Times New Roman" w:hAnsi="Times New Roman" w:cs="Times New Roman"/>
          <w:i/>
          <w:sz w:val="24"/>
          <w:szCs w:val="24"/>
        </w:rPr>
        <w:t>De novo</w:t>
      </w:r>
      <w:r w:rsidRPr="000F7ED6">
        <w:rPr>
          <w:rFonts w:ascii="Times New Roman" w:hAnsi="Times New Roman" w:cs="Times New Roman"/>
          <w:sz w:val="24"/>
          <w:szCs w:val="24"/>
        </w:rPr>
        <w:t xml:space="preserve"> assembling of putative loci and calling of single nucleotide polymorphisms (SNP) was carried out in Stacks using the denovo_map.pl </w:t>
      </w:r>
      <w:r w:rsidRPr="000F7ED6">
        <w:rPr>
          <w:rFonts w:ascii="Times New Roman" w:hAnsi="Times New Roman" w:cs="Times New Roman"/>
          <w:color w:val="000000" w:themeColor="text1"/>
          <w:sz w:val="24"/>
          <w:szCs w:val="24"/>
        </w:rPr>
        <w:t>pipeline</w:t>
      </w:r>
      <w:r w:rsidRPr="000F7ED6">
        <w:rPr>
          <w:rFonts w:ascii="Times New Roman" w:hAnsi="Times New Roman" w:cs="Times New Roman"/>
          <w:sz w:val="24"/>
          <w:szCs w:val="24"/>
        </w:rPr>
        <w:t xml:space="preserve">. Selection of assembly parameters that adjusted best to our data was performed based on alternative strategies </w:t>
      </w:r>
      <w:r w:rsidRPr="000F7ED6">
        <w:rPr>
          <w:rFonts w:ascii="Times New Roman" w:hAnsi="Times New Roman" w:cs="Times New Roman"/>
          <w:sz w:val="24"/>
          <w:szCs w:val="24"/>
        </w:rPr>
        <w:fldChar w:fldCharType="begin" w:fldLock="1"/>
      </w:r>
      <w:r w:rsidRPr="000F7ED6">
        <w:rPr>
          <w:rFonts w:ascii="Times New Roman" w:hAnsi="Times New Roman" w:cs="Times New Roman"/>
          <w:sz w:val="24"/>
          <w:szCs w:val="24"/>
        </w:rPr>
        <w:instrText>ADDIN CSL_CITATION {"citationItems":[{"id":"ITEM-1","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Ecology","id":"ITEM-1","issue":"15","issued":{"date-parts":[["2015"]]},"page":"28-41","title":"Restriction site-associated DNA sequencing, genotyping error estimation and de novo assembly optimization for population genetic inference","type":"article-journal"},"uris":["http://www.mendeley.com/documents/?uuid=7b2dfb57-5591-41a3-ad23-e056fe0822f1"]}],"mendeley":{"formattedCitation":"[3]","plainTextFormattedCitation":"[3]","previouslyFormattedCitation":"[3]"},"properties":{"noteIndex":0},"schema":"https://github.com/citation-style-language/schema/raw/master/csl-citation.json"}</w:instrText>
      </w:r>
      <w:r w:rsidRPr="000F7ED6">
        <w:rPr>
          <w:rFonts w:ascii="Times New Roman" w:hAnsi="Times New Roman" w:cs="Times New Roman"/>
          <w:sz w:val="24"/>
          <w:szCs w:val="24"/>
        </w:rPr>
        <w:fldChar w:fldCharType="separate"/>
      </w:r>
      <w:r w:rsidRPr="000F7ED6">
        <w:rPr>
          <w:rFonts w:ascii="Times New Roman" w:hAnsi="Times New Roman" w:cs="Times New Roman"/>
          <w:noProof/>
          <w:sz w:val="24"/>
          <w:szCs w:val="24"/>
        </w:rPr>
        <w:t>[3]</w:t>
      </w:r>
      <w:r w:rsidRPr="000F7ED6">
        <w:rPr>
          <w:rFonts w:ascii="Times New Roman" w:hAnsi="Times New Roman" w:cs="Times New Roman"/>
          <w:sz w:val="24"/>
          <w:szCs w:val="24"/>
        </w:rPr>
        <w:fldChar w:fldCharType="end"/>
      </w:r>
      <w:r w:rsidRPr="000F7ED6">
        <w:rPr>
          <w:rFonts w:ascii="Times New Roman" w:hAnsi="Times New Roman" w:cs="Times New Roman"/>
          <w:sz w:val="24"/>
          <w:szCs w:val="24"/>
        </w:rPr>
        <w:t xml:space="preserve"> (see below). RAD loci were assembled by applying default settings on all samples for a pilot run, which resulted in 4,326,243 putative loci. Different combinations of assembly parameters were tested on a subset of 30 samples that were selected on the basis of sequence coverage (&gt;40% of all loci represented after a pilot test using the default settings). Combinations of parameters were tested as in Mastretta-Yanes </w:t>
      </w:r>
      <w:r w:rsidRPr="000F7ED6">
        <w:rPr>
          <w:rFonts w:ascii="Times New Roman" w:hAnsi="Times New Roman" w:cs="Times New Roman"/>
          <w:sz w:val="24"/>
          <w:szCs w:val="24"/>
        </w:rPr>
        <w:fldChar w:fldCharType="begin" w:fldLock="1"/>
      </w:r>
      <w:r w:rsidRPr="000F7ED6">
        <w:rPr>
          <w:rFonts w:ascii="Times New Roman" w:hAnsi="Times New Roman" w:cs="Times New Roman"/>
          <w:sz w:val="24"/>
          <w:szCs w:val="24"/>
        </w:rPr>
        <w:instrText>ADDIN CSL_CITATION {"citationItems":[{"id":"ITEM-1","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Ecology","id":"ITEM-1","issue":"15","issued":{"date-parts":[["2015"]]},"page":"28-41","title":"Restriction site-associated DNA sequencing, genotyping error estimation and de novo assembly optimization for population genetic inference","type":"article-journal"},"uris":["http://www.mendeley.com/documents/?uuid=7b2dfb57-5591-41a3-ad23-e056fe0822f1"]}],"mendeley":{"formattedCitation":"[3]","plainTextFormattedCitation":"[3]","previouslyFormattedCitation":"[3]"},"properties":{"noteIndex":0},"schema":"https://github.com/citation-style-language/schema/raw/master/csl-citation.json"}</w:instrText>
      </w:r>
      <w:r w:rsidRPr="000F7ED6">
        <w:rPr>
          <w:rFonts w:ascii="Times New Roman" w:hAnsi="Times New Roman" w:cs="Times New Roman"/>
          <w:sz w:val="24"/>
          <w:szCs w:val="24"/>
        </w:rPr>
        <w:fldChar w:fldCharType="separate"/>
      </w:r>
      <w:r w:rsidRPr="000F7ED6">
        <w:rPr>
          <w:rFonts w:ascii="Times New Roman" w:hAnsi="Times New Roman" w:cs="Times New Roman"/>
          <w:noProof/>
          <w:sz w:val="24"/>
          <w:szCs w:val="24"/>
        </w:rPr>
        <w:t>[3]</w:t>
      </w:r>
      <w:r w:rsidRPr="000F7ED6">
        <w:rPr>
          <w:rFonts w:ascii="Times New Roman" w:hAnsi="Times New Roman" w:cs="Times New Roman"/>
          <w:sz w:val="24"/>
          <w:szCs w:val="24"/>
        </w:rPr>
        <w:fldChar w:fldCharType="end"/>
      </w:r>
      <w:r w:rsidRPr="000F7ED6">
        <w:rPr>
          <w:rFonts w:ascii="Times New Roman" w:hAnsi="Times New Roman" w:cs="Times New Roman"/>
          <w:sz w:val="24"/>
          <w:szCs w:val="24"/>
        </w:rPr>
        <w:t>, including minimum number of raw reads required to form a stack (</w:t>
      </w:r>
      <w:r w:rsidRPr="000F7ED6">
        <w:rPr>
          <w:rFonts w:ascii="Times New Roman" w:hAnsi="Times New Roman" w:cs="Times New Roman"/>
          <w:i/>
          <w:sz w:val="24"/>
          <w:szCs w:val="24"/>
        </w:rPr>
        <w:t>m</w:t>
      </w:r>
      <w:r w:rsidRPr="000F7ED6">
        <w:rPr>
          <w:rFonts w:ascii="Times New Roman" w:hAnsi="Times New Roman" w:cs="Times New Roman"/>
          <w:sz w:val="24"/>
          <w:szCs w:val="24"/>
        </w:rPr>
        <w:t xml:space="preserve"> = 2-15), number of mismatches allowed between stacks (</w:t>
      </w:r>
      <w:r w:rsidRPr="000F7ED6">
        <w:rPr>
          <w:rFonts w:ascii="Times New Roman" w:hAnsi="Times New Roman" w:cs="Times New Roman"/>
          <w:i/>
          <w:sz w:val="24"/>
          <w:szCs w:val="24"/>
        </w:rPr>
        <w:t>M</w:t>
      </w:r>
      <w:r w:rsidRPr="000F7ED6">
        <w:rPr>
          <w:rFonts w:ascii="Times New Roman" w:hAnsi="Times New Roman" w:cs="Times New Roman"/>
          <w:sz w:val="24"/>
          <w:szCs w:val="24"/>
        </w:rPr>
        <w:t xml:space="preserve"> = 2-10), number of mismatches allowed between loci upon catalogue building (</w:t>
      </w:r>
      <w:r w:rsidRPr="000F7ED6">
        <w:rPr>
          <w:rFonts w:ascii="Times New Roman" w:hAnsi="Times New Roman" w:cs="Times New Roman"/>
          <w:i/>
          <w:sz w:val="24"/>
          <w:szCs w:val="24"/>
        </w:rPr>
        <w:t>n</w:t>
      </w:r>
      <w:r w:rsidRPr="000F7ED6">
        <w:rPr>
          <w:rFonts w:ascii="Times New Roman" w:hAnsi="Times New Roman" w:cs="Times New Roman"/>
          <w:sz w:val="24"/>
          <w:szCs w:val="24"/>
        </w:rPr>
        <w:t xml:space="preserve"> = 0-5), and maximum number of stacks allowed per single locus (--</w:t>
      </w:r>
      <w:proofErr w:type="spellStart"/>
      <w:r w:rsidRPr="000F7ED6">
        <w:rPr>
          <w:rFonts w:ascii="Times New Roman" w:hAnsi="Times New Roman" w:cs="Times New Roman"/>
          <w:i/>
          <w:sz w:val="24"/>
          <w:szCs w:val="24"/>
        </w:rPr>
        <w:t>max_locus_stacks</w:t>
      </w:r>
      <w:proofErr w:type="spellEnd"/>
      <w:r w:rsidRPr="000F7ED6">
        <w:rPr>
          <w:rFonts w:ascii="Times New Roman" w:hAnsi="Times New Roman" w:cs="Times New Roman"/>
          <w:sz w:val="24"/>
          <w:szCs w:val="24"/>
        </w:rPr>
        <w:t xml:space="preserve"> = 2-6). In all tests, only one parameter was changed at a time, while keeping others at their default value (</w:t>
      </w:r>
      <w:r w:rsidRPr="000F7ED6">
        <w:rPr>
          <w:rFonts w:ascii="Times New Roman" w:hAnsi="Times New Roman" w:cs="Times New Roman"/>
          <w:i/>
          <w:sz w:val="24"/>
          <w:szCs w:val="24"/>
        </w:rPr>
        <w:t>m</w:t>
      </w:r>
      <w:r w:rsidRPr="000F7ED6">
        <w:rPr>
          <w:rFonts w:ascii="Times New Roman" w:hAnsi="Times New Roman" w:cs="Times New Roman"/>
          <w:sz w:val="24"/>
          <w:szCs w:val="24"/>
        </w:rPr>
        <w:t xml:space="preserve">=3, </w:t>
      </w:r>
      <w:r w:rsidRPr="000F7ED6">
        <w:rPr>
          <w:rFonts w:ascii="Times New Roman" w:hAnsi="Times New Roman" w:cs="Times New Roman"/>
          <w:i/>
          <w:sz w:val="24"/>
          <w:szCs w:val="24"/>
        </w:rPr>
        <w:t>M</w:t>
      </w:r>
      <w:r w:rsidRPr="000F7ED6">
        <w:rPr>
          <w:rFonts w:ascii="Times New Roman" w:hAnsi="Times New Roman" w:cs="Times New Roman"/>
          <w:sz w:val="24"/>
          <w:szCs w:val="24"/>
        </w:rPr>
        <w:t xml:space="preserve">=2, </w:t>
      </w:r>
      <w:r w:rsidRPr="000F7ED6">
        <w:rPr>
          <w:rFonts w:ascii="Times New Roman" w:hAnsi="Times New Roman" w:cs="Times New Roman"/>
          <w:i/>
          <w:sz w:val="24"/>
          <w:szCs w:val="24"/>
        </w:rPr>
        <w:t>n</w:t>
      </w:r>
      <w:r w:rsidRPr="000F7ED6">
        <w:rPr>
          <w:rFonts w:ascii="Times New Roman" w:hAnsi="Times New Roman" w:cs="Times New Roman"/>
          <w:sz w:val="24"/>
          <w:szCs w:val="24"/>
        </w:rPr>
        <w:t xml:space="preserve">=1, and </w:t>
      </w:r>
      <w:proofErr w:type="spellStart"/>
      <w:r w:rsidRPr="000F7ED6">
        <w:rPr>
          <w:rFonts w:ascii="Times New Roman" w:hAnsi="Times New Roman" w:cs="Times New Roman"/>
          <w:i/>
          <w:sz w:val="24"/>
          <w:szCs w:val="24"/>
        </w:rPr>
        <w:t>max_locus_stacks</w:t>
      </w:r>
      <w:proofErr w:type="spellEnd"/>
      <w:r w:rsidRPr="000F7ED6">
        <w:rPr>
          <w:rFonts w:ascii="Times New Roman" w:hAnsi="Times New Roman" w:cs="Times New Roman"/>
          <w:sz w:val="24"/>
          <w:szCs w:val="24"/>
        </w:rPr>
        <w:t xml:space="preserve"> = 0; Fig. S2). Results of </w:t>
      </w:r>
      <w:r w:rsidRPr="000F7ED6">
        <w:rPr>
          <w:rFonts w:ascii="Times New Roman" w:hAnsi="Times New Roman" w:cs="Times New Roman"/>
          <w:i/>
          <w:sz w:val="24"/>
          <w:szCs w:val="24"/>
        </w:rPr>
        <w:t>de novo</w:t>
      </w:r>
      <w:r w:rsidRPr="000F7ED6">
        <w:rPr>
          <w:rFonts w:ascii="Times New Roman" w:hAnsi="Times New Roman" w:cs="Times New Roman"/>
          <w:sz w:val="24"/>
          <w:szCs w:val="24"/>
        </w:rPr>
        <w:t xml:space="preserve"> assembly tests varied from 1 to </w:t>
      </w:r>
      <w:r w:rsidRPr="000F7ED6">
        <w:rPr>
          <w:rFonts w:ascii="Times New Roman" w:hAnsi="Times New Roman" w:cs="Times New Roman"/>
          <w:sz w:val="24"/>
          <w:szCs w:val="24"/>
        </w:rPr>
        <w:sym w:font="Symbol" w:char="F07E"/>
      </w:r>
      <w:r w:rsidRPr="000F7ED6">
        <w:rPr>
          <w:rFonts w:ascii="Times New Roman" w:hAnsi="Times New Roman" w:cs="Times New Roman"/>
          <w:sz w:val="24"/>
          <w:szCs w:val="24"/>
        </w:rPr>
        <w:t xml:space="preserve">8 million putative loci for 30 individuals (Fig. S2). The number of putative RAD loci stop dropping strongly after </w:t>
      </w:r>
      <w:r w:rsidRPr="000F7ED6">
        <w:rPr>
          <w:rFonts w:ascii="Times New Roman" w:hAnsi="Times New Roman" w:cs="Times New Roman"/>
          <w:i/>
          <w:sz w:val="24"/>
          <w:szCs w:val="24"/>
        </w:rPr>
        <w:t>m</w:t>
      </w:r>
      <w:r w:rsidRPr="000F7ED6">
        <w:rPr>
          <w:rFonts w:ascii="Times New Roman" w:hAnsi="Times New Roman" w:cs="Times New Roman"/>
          <w:sz w:val="24"/>
          <w:szCs w:val="24"/>
        </w:rPr>
        <w:t xml:space="preserve"> = 5, suggesting that many low coverage loci are discarded (Fig. S2a). The same pattern is observed at </w:t>
      </w:r>
      <w:r w:rsidRPr="000F7ED6">
        <w:rPr>
          <w:rFonts w:ascii="Times New Roman" w:hAnsi="Times New Roman" w:cs="Times New Roman"/>
          <w:i/>
          <w:sz w:val="24"/>
          <w:szCs w:val="24"/>
        </w:rPr>
        <w:t>M</w:t>
      </w:r>
      <w:r w:rsidRPr="000F7ED6">
        <w:rPr>
          <w:rFonts w:ascii="Times New Roman" w:hAnsi="Times New Roman" w:cs="Times New Roman"/>
          <w:sz w:val="24"/>
          <w:szCs w:val="24"/>
        </w:rPr>
        <w:t xml:space="preserve"> = 2 and </w:t>
      </w:r>
      <w:r w:rsidRPr="000F7ED6">
        <w:rPr>
          <w:rFonts w:ascii="Times New Roman" w:hAnsi="Times New Roman" w:cs="Times New Roman"/>
          <w:i/>
          <w:sz w:val="24"/>
          <w:szCs w:val="24"/>
        </w:rPr>
        <w:t>n</w:t>
      </w:r>
      <w:r w:rsidRPr="000F7ED6">
        <w:rPr>
          <w:rFonts w:ascii="Times New Roman" w:hAnsi="Times New Roman" w:cs="Times New Roman"/>
          <w:sz w:val="24"/>
          <w:szCs w:val="24"/>
        </w:rPr>
        <w:t xml:space="preserve"> = 3 where values also stop, roughly showing large changes. When only polymorphic loci are present in a minimum of 6 populations (80%) and in at least 75% of individuals within populations included, values start to stabilize at </w:t>
      </w:r>
      <w:r w:rsidRPr="000F7ED6">
        <w:rPr>
          <w:rFonts w:ascii="Times New Roman" w:hAnsi="Times New Roman" w:cs="Times New Roman"/>
          <w:i/>
          <w:sz w:val="24"/>
          <w:szCs w:val="24"/>
        </w:rPr>
        <w:t>M</w:t>
      </w:r>
      <w:r w:rsidRPr="000F7ED6">
        <w:rPr>
          <w:rFonts w:ascii="Times New Roman" w:hAnsi="Times New Roman" w:cs="Times New Roman"/>
          <w:sz w:val="24"/>
          <w:szCs w:val="24"/>
        </w:rPr>
        <w:t xml:space="preserve"> = 2 and </w:t>
      </w:r>
      <w:proofErr w:type="spellStart"/>
      <w:r w:rsidRPr="000F7ED6">
        <w:rPr>
          <w:rFonts w:ascii="Times New Roman" w:hAnsi="Times New Roman" w:cs="Times New Roman"/>
          <w:i/>
          <w:sz w:val="24"/>
          <w:szCs w:val="24"/>
        </w:rPr>
        <w:t>max_loc_stacks</w:t>
      </w:r>
      <w:proofErr w:type="spellEnd"/>
      <w:r w:rsidRPr="000F7ED6">
        <w:rPr>
          <w:rFonts w:ascii="Times New Roman" w:hAnsi="Times New Roman" w:cs="Times New Roman"/>
          <w:sz w:val="24"/>
          <w:szCs w:val="24"/>
        </w:rPr>
        <w:t xml:space="preserve"> = 3 (Fig. S2b). Exponential increases are observed from 12,000 to 60,000 SNPs for </w:t>
      </w:r>
      <w:r w:rsidRPr="000F7ED6">
        <w:rPr>
          <w:rFonts w:ascii="Times New Roman" w:hAnsi="Times New Roman" w:cs="Times New Roman"/>
          <w:i/>
          <w:sz w:val="24"/>
          <w:szCs w:val="24"/>
        </w:rPr>
        <w:t>n</w:t>
      </w:r>
      <w:r w:rsidRPr="000F7ED6">
        <w:rPr>
          <w:rFonts w:ascii="Times New Roman" w:hAnsi="Times New Roman" w:cs="Times New Roman"/>
          <w:sz w:val="24"/>
          <w:szCs w:val="24"/>
        </w:rPr>
        <w:t xml:space="preserve"> = 0. In this case, higher values of </w:t>
      </w:r>
      <w:r w:rsidRPr="000F7ED6">
        <w:rPr>
          <w:rFonts w:ascii="Times New Roman" w:hAnsi="Times New Roman" w:cs="Times New Roman"/>
          <w:i/>
          <w:sz w:val="24"/>
          <w:szCs w:val="24"/>
        </w:rPr>
        <w:t>n</w:t>
      </w:r>
      <w:r w:rsidRPr="000F7ED6">
        <w:rPr>
          <w:rFonts w:ascii="Times New Roman" w:hAnsi="Times New Roman" w:cs="Times New Roman"/>
          <w:sz w:val="24"/>
          <w:szCs w:val="24"/>
        </w:rPr>
        <w:t xml:space="preserve"> reflect an increase in RAD loci as this parameter allows more stacks and loci to be collapsed. Final selected parameters were </w:t>
      </w:r>
      <w:r w:rsidRPr="000F7ED6">
        <w:rPr>
          <w:rFonts w:ascii="Times New Roman" w:hAnsi="Times New Roman" w:cs="Times New Roman"/>
          <w:i/>
          <w:sz w:val="24"/>
          <w:szCs w:val="24"/>
        </w:rPr>
        <w:t>m</w:t>
      </w:r>
      <w:r w:rsidRPr="000F7ED6">
        <w:rPr>
          <w:rFonts w:ascii="Times New Roman" w:hAnsi="Times New Roman" w:cs="Times New Roman"/>
          <w:sz w:val="24"/>
          <w:szCs w:val="24"/>
        </w:rPr>
        <w:t xml:space="preserve">=5, </w:t>
      </w:r>
      <w:r w:rsidRPr="000F7ED6">
        <w:rPr>
          <w:rFonts w:ascii="Times New Roman" w:hAnsi="Times New Roman" w:cs="Times New Roman"/>
          <w:i/>
          <w:sz w:val="24"/>
          <w:szCs w:val="24"/>
        </w:rPr>
        <w:t>M</w:t>
      </w:r>
      <w:r w:rsidRPr="000F7ED6">
        <w:rPr>
          <w:rFonts w:ascii="Times New Roman" w:hAnsi="Times New Roman" w:cs="Times New Roman"/>
          <w:sz w:val="24"/>
          <w:szCs w:val="24"/>
        </w:rPr>
        <w:t xml:space="preserve">=2, </w:t>
      </w:r>
      <w:r w:rsidRPr="000F7ED6">
        <w:rPr>
          <w:rFonts w:ascii="Times New Roman" w:hAnsi="Times New Roman" w:cs="Times New Roman"/>
          <w:i/>
          <w:sz w:val="24"/>
          <w:szCs w:val="24"/>
        </w:rPr>
        <w:t>n</w:t>
      </w:r>
      <w:r w:rsidRPr="000F7ED6">
        <w:rPr>
          <w:rFonts w:ascii="Times New Roman" w:hAnsi="Times New Roman" w:cs="Times New Roman"/>
          <w:sz w:val="24"/>
          <w:szCs w:val="24"/>
        </w:rPr>
        <w:t>=3.</w:t>
      </w:r>
    </w:p>
    <w:p w14:paraId="48287029" w14:textId="77777777" w:rsidR="002F55C6" w:rsidRPr="000F7ED6" w:rsidRDefault="002F55C6" w:rsidP="000F7ED6">
      <w:pPr>
        <w:ind w:firstLine="720"/>
        <w:jc w:val="both"/>
        <w:rPr>
          <w:rFonts w:ascii="Times New Roman" w:hAnsi="Times New Roman" w:cs="Times New Roman"/>
          <w:sz w:val="24"/>
          <w:szCs w:val="24"/>
        </w:rPr>
      </w:pPr>
      <w:r w:rsidRPr="000F7ED6">
        <w:rPr>
          <w:rFonts w:ascii="Times New Roman" w:hAnsi="Times New Roman" w:cs="Times New Roman"/>
          <w:sz w:val="24"/>
          <w:szCs w:val="24"/>
        </w:rPr>
        <w:t>Biallelic loci were filtered in the populations pipeline component of Stacks, varying population coverage constraints (</w:t>
      </w:r>
      <w:r w:rsidRPr="000F7ED6">
        <w:rPr>
          <w:rFonts w:ascii="Times New Roman" w:hAnsi="Times New Roman" w:cs="Times New Roman"/>
          <w:i/>
          <w:sz w:val="24"/>
          <w:szCs w:val="24"/>
        </w:rPr>
        <w:t>p</w:t>
      </w:r>
      <w:r w:rsidRPr="000F7ED6">
        <w:rPr>
          <w:rFonts w:ascii="Times New Roman" w:hAnsi="Times New Roman" w:cs="Times New Roman"/>
          <w:sz w:val="24"/>
          <w:szCs w:val="24"/>
        </w:rPr>
        <w:t xml:space="preserve"> = 15-8 and </w:t>
      </w:r>
      <w:r w:rsidRPr="000F7ED6">
        <w:rPr>
          <w:rFonts w:ascii="Times New Roman" w:hAnsi="Times New Roman" w:cs="Times New Roman"/>
          <w:i/>
          <w:sz w:val="24"/>
          <w:szCs w:val="24"/>
        </w:rPr>
        <w:t>r</w:t>
      </w:r>
      <w:r w:rsidRPr="000F7ED6">
        <w:rPr>
          <w:rFonts w:ascii="Times New Roman" w:hAnsi="Times New Roman" w:cs="Times New Roman"/>
          <w:sz w:val="24"/>
          <w:szCs w:val="24"/>
        </w:rPr>
        <w:t xml:space="preserve"> = 1.0-0.50) and selecting only one SNP per tag to avoid linkage between loci. To remove low frequency and paralogous loci, SNPs were further filtered using a minimum allele frequency of 0.05 and a maximum observed heterozygosity of 0.70. Finally, we were interested in evaluating the sensitivity of results to number of individuals and missing data. Therefore, four of the previous datasets that contained between 21,431 and 55,795 loci were selected (p11r50, p12r50, p9r60 and p8r60), and applied a second filter removing individuals based on the amount of missing sites (minimum proportion of sites present of 0.75, 0.50, 0.25 and 0.05) using the program Tassel v5.2.43 </w:t>
      </w:r>
      <w:r w:rsidRPr="000F7ED6">
        <w:rPr>
          <w:rFonts w:ascii="Times New Roman" w:hAnsi="Times New Roman" w:cs="Times New Roman"/>
          <w:sz w:val="24"/>
          <w:szCs w:val="24"/>
        </w:rPr>
        <w:fldChar w:fldCharType="begin" w:fldLock="1"/>
      </w:r>
      <w:r w:rsidRPr="000F7ED6">
        <w:rPr>
          <w:rFonts w:ascii="Times New Roman" w:hAnsi="Times New Roman" w:cs="Times New Roman"/>
          <w:sz w:val="24"/>
          <w:szCs w:val="24"/>
        </w:rPr>
        <w:instrText>ADDIN CSL_CITATION {"citationItems":[{"id":"ITEM-1","itemData":{"DOI":"10.1093/bioinformatics/btm308","ISBN":"13674803 (ISSN)","ISSN":"13674803","PMID":"17586829","abstract":"Association analyses that exploit the natural diversity of a genome to map at very high resolutions are becoming increasingly important. In most studies, however, researchers must contend with the confounding effects of both population and family structure. TASSEL (Trait Analysis by aSSociation, Evolution and Linkage) implements general linear model and mixed linear model approaches for controlling population and family structure. For result interpretation, the program allows for linkage disequilibrium statistics to be calculated and visualized graphically. Database browsing and data importation is facilitated by integrated middleware. Other features include analyzing insertions/deletions, calculating diversity statistics, integration of phenotypic and genotypic data, imputing missing data and calculating principal components.","author":[{"dropping-particle":"","family":"Bradbury","given":"Peter J.","non-dropping-particle":"","parse-names":false,"suffix":""},{"dropping-particle":"","family":"Zhang","given":"Zhiwu","non-dropping-particle":"","parse-names":false,"suffix":""},{"dropping-particle":"","family":"Kroon","given":"Dallas E.","non-dropping-particle":"","parse-names":false,"suffix":""},{"dropping-particle":"","family":"Casstevens","given":"Terry M.","non-dropping-particle":"","parse-names":false,"suffix":""},{"dropping-particle":"","family":"Ramdoss","given":"Yogesh","non-dropping-particle":"","parse-names":false,"suffix":""},{"dropping-particle":"","family":"Buckler","given":"Edward S.","non-dropping-particle":"","parse-names":false,"suffix":""}],"container-title":"Bioinformatics","id":"ITEM-1","issue":"19","issued":{"date-parts":[["2007"]]},"page":"2633-2635","title":"TASSEL: Software for association mapping of complex traits in diverse samples","type":"article-journal","volume":"23"},"uris":["http://www.mendeley.com/documents/?uuid=920ace6f-66d6-4b64-b11d-0d7f3b1a7b0c"]}],"mendeley":{"formattedCitation":"[4]","plainTextFormattedCitation":"[4]","previouslyFormattedCitation":"[4]"},"properties":{"noteIndex":0},"schema":"https://github.com/citation-style-language/schema/raw/master/csl-citation.json"}</w:instrText>
      </w:r>
      <w:r w:rsidRPr="000F7ED6">
        <w:rPr>
          <w:rFonts w:ascii="Times New Roman" w:hAnsi="Times New Roman" w:cs="Times New Roman"/>
          <w:sz w:val="24"/>
          <w:szCs w:val="24"/>
        </w:rPr>
        <w:fldChar w:fldCharType="separate"/>
      </w:r>
      <w:r w:rsidRPr="000F7ED6">
        <w:rPr>
          <w:rFonts w:ascii="Times New Roman" w:hAnsi="Times New Roman" w:cs="Times New Roman"/>
          <w:noProof/>
          <w:sz w:val="24"/>
          <w:szCs w:val="24"/>
        </w:rPr>
        <w:t>[4]</w:t>
      </w:r>
      <w:r w:rsidRPr="000F7ED6">
        <w:rPr>
          <w:rFonts w:ascii="Times New Roman" w:hAnsi="Times New Roman" w:cs="Times New Roman"/>
          <w:sz w:val="24"/>
          <w:szCs w:val="24"/>
        </w:rPr>
        <w:fldChar w:fldCharType="end"/>
      </w:r>
      <w:r w:rsidRPr="000F7ED6">
        <w:rPr>
          <w:rFonts w:ascii="Times New Roman" w:hAnsi="Times New Roman" w:cs="Times New Roman"/>
          <w:sz w:val="24"/>
          <w:szCs w:val="24"/>
        </w:rPr>
        <w:t xml:space="preserve">. We refer to this threshold as “min. sites.” Missing data was measured in the output datasets using VCFtools v0.1.15 </w:t>
      </w:r>
      <w:r w:rsidRPr="000F7ED6">
        <w:rPr>
          <w:rFonts w:ascii="Times New Roman" w:hAnsi="Times New Roman" w:cs="Times New Roman"/>
          <w:sz w:val="24"/>
          <w:szCs w:val="24"/>
        </w:rPr>
        <w:fldChar w:fldCharType="begin" w:fldLock="1"/>
      </w:r>
      <w:r w:rsidRPr="000F7ED6">
        <w:rPr>
          <w:rFonts w:ascii="Times New Roman" w:hAnsi="Times New Roman" w:cs="Times New Roman"/>
          <w:sz w:val="24"/>
          <w:szCs w:val="24"/>
        </w:rPr>
        <w:instrText>ADDIN CSL_CITATION {"citationItems":[{"id":"ITEM-1","itemData":{"DOI":"10.1093/bioinformatics/btr330","ISBN":"1367-4811 (Electronic)\\n1367-4803 (Linking)","ISSN":"13674803","PMID":"21653522","abstract":"SUMMARY: The variant call format (VCF) is a generic format for storing DNA polymorphism data such as SNPs, insertions, deletions and structural variants, together with rich annotations. VCF is usually stored in a compressed manner and can be indexed for fast data retrieval of variants from a range of positions on the reference genome. The format was developed for the 1000 Genomes Project, and has also been adopted by other projects such as UK10K, dbSNP and the NHLBI Exome Project. VCFtools is a software suite that implements various utilities for processing VCF files, including validation, merging, comparing and also provides a general Perl API.\\n\\nAVAILABILITY: http://vcftools.sourceforge.net","author":[{"dropping-particle":"","family":"Danecek","given":"Petr","non-dropping-particle":"","parse-names":false,"suffix":""},{"dropping-particle":"","family":"Auton","given":"Adam","non-dropping-particle":"","parse-names":false,"suffix":""},{"dropping-particle":"","family":"Abecasis","given":"Goncalo","non-dropping-particle":"","parse-names":false,"suffix":""},{"dropping-particle":"","family":"Albers","given":"Cornelis A.","non-dropping-particle":"","parse-names":false,"suffix":""},{"dropping-particle":"","family":"Banks","given":"Eric","non-dropping-particle":"","parse-names":false,"suffix":""},{"dropping-particle":"","family":"DePristo","given":"Mark A.","non-dropping-particle":"","parse-names":false,"suffix":""},{"dropping-particle":"","family":"Handsaker","given":"Robert E.","non-dropping-particle":"","parse-names":false,"suffix":""},{"dropping-particle":"","family":"Lunter","given":"Gerton","non-dropping-particle":"","parse-names":false,"suffix":""},{"dropping-particle":"","family":"Marth","given":"Gabor T.","non-dropping-particle":"","parse-names":false,"suffix":""},{"dropping-particle":"","family":"Sherry","given":"Stephen T.","non-dropping-particle":"","parse-names":false,"suffix":""},{"dropping-particle":"","family":"McVean","given":"Gilean","non-dropping-particle":"","parse-names":false,"suffix":""},{"dropping-particle":"","family":"Durbin","given":"Richard","non-dropping-particle":"","parse-names":false,"suffix":""}],"container-title":"Bioinformatics","id":"ITEM-1","issue":"15","issued":{"date-parts":[["2011"]]},"page":"2156-2158","title":"The variant call format and VCFtools","type":"article-journal","volume":"27"},"uris":["http://www.mendeley.com/documents/?uuid=7b524a8d-338c-45af-b10b-2cc39ba9cdbc"]}],"mendeley":{"formattedCitation":"[5]","plainTextFormattedCitation":"[5]","previouslyFormattedCitation":"[5]"},"properties":{"noteIndex":0},"schema":"https://github.com/citation-style-language/schema/raw/master/csl-citation.json"}</w:instrText>
      </w:r>
      <w:r w:rsidRPr="000F7ED6">
        <w:rPr>
          <w:rFonts w:ascii="Times New Roman" w:hAnsi="Times New Roman" w:cs="Times New Roman"/>
          <w:sz w:val="24"/>
          <w:szCs w:val="24"/>
        </w:rPr>
        <w:fldChar w:fldCharType="separate"/>
      </w:r>
      <w:r w:rsidRPr="000F7ED6">
        <w:rPr>
          <w:rFonts w:ascii="Times New Roman" w:hAnsi="Times New Roman" w:cs="Times New Roman"/>
          <w:noProof/>
          <w:sz w:val="24"/>
          <w:szCs w:val="24"/>
        </w:rPr>
        <w:t>[5]</w:t>
      </w:r>
      <w:r w:rsidRPr="000F7ED6">
        <w:rPr>
          <w:rFonts w:ascii="Times New Roman" w:hAnsi="Times New Roman" w:cs="Times New Roman"/>
          <w:sz w:val="24"/>
          <w:szCs w:val="24"/>
        </w:rPr>
        <w:fldChar w:fldCharType="end"/>
      </w:r>
      <w:r w:rsidRPr="000F7ED6">
        <w:rPr>
          <w:rFonts w:ascii="Times New Roman" w:hAnsi="Times New Roman" w:cs="Times New Roman"/>
          <w:sz w:val="24"/>
          <w:szCs w:val="24"/>
        </w:rPr>
        <w:t xml:space="preserve">. These tests resulted in 20 datasets (Table S4), of which six were selected based on the amount of missing data </w:t>
      </w:r>
      <w:r w:rsidRPr="000F7ED6">
        <w:rPr>
          <w:rFonts w:ascii="Times New Roman" w:hAnsi="Times New Roman" w:cs="Times New Roman"/>
          <w:sz w:val="24"/>
          <w:szCs w:val="24"/>
        </w:rPr>
        <w:lastRenderedPageBreak/>
        <w:t xml:space="preserve">(9–46%), number of individuals present (44–155), number of SNPs (15,112–42,406), and number of populations (8–15). </w:t>
      </w:r>
    </w:p>
    <w:p w14:paraId="5263B121" w14:textId="77777777" w:rsidR="002F55C6" w:rsidRPr="000F7ED6" w:rsidRDefault="002F55C6" w:rsidP="000F7ED6">
      <w:pPr>
        <w:jc w:val="both"/>
        <w:rPr>
          <w:rFonts w:ascii="Times New Roman" w:hAnsi="Times New Roman" w:cs="Times New Roman"/>
          <w:color w:val="000000" w:themeColor="text1"/>
          <w:sz w:val="24"/>
          <w:szCs w:val="24"/>
        </w:rPr>
      </w:pPr>
      <w:r w:rsidRPr="000F7ED6">
        <w:rPr>
          <w:rFonts w:ascii="Times New Roman" w:hAnsi="Times New Roman" w:cs="Times New Roman"/>
          <w:color w:val="000000" w:themeColor="text1"/>
          <w:sz w:val="24"/>
          <w:szCs w:val="24"/>
        </w:rPr>
        <w:t xml:space="preserve">For the Bayes factor delimitation (BFD*) analyses, additional filters were applied to the p12r50 dataset (with 15,112 SNPs from 12 populations) by retaining both loci and individuals from each population with the lowest proportions of missing data (e.g., using Tassel v5.2.43 </w:t>
      </w:r>
      <w:r w:rsidRPr="000F7ED6">
        <w:rPr>
          <w:rFonts w:ascii="Times New Roman" w:hAnsi="Times New Roman" w:cs="Times New Roman"/>
          <w:color w:val="000000" w:themeColor="text1"/>
          <w:sz w:val="24"/>
          <w:szCs w:val="24"/>
        </w:rPr>
        <w:fldChar w:fldCharType="begin" w:fldLock="1"/>
      </w:r>
      <w:r w:rsidRPr="000F7ED6">
        <w:rPr>
          <w:rFonts w:ascii="Times New Roman" w:hAnsi="Times New Roman" w:cs="Times New Roman"/>
          <w:color w:val="000000" w:themeColor="text1"/>
          <w:sz w:val="24"/>
          <w:szCs w:val="24"/>
        </w:rPr>
        <w:instrText>ADDIN CSL_CITATION {"citationItems":[{"id":"ITEM-1","itemData":{"DOI":"10.1093/bioinformatics/btm308","ISBN":"13674803 (ISSN)","ISSN":"13674803","PMID":"17586829","abstract":"Association analyses that exploit the natural diversity of a genome to map at very high resolutions are becoming increasingly important. In most studies, however, researchers must contend with the confounding effects of both population and family structure. TASSEL (Trait Analysis by aSSociation, Evolution and Linkage) implements general linear model and mixed linear model approaches for controlling population and family structure. For result interpretation, the program allows for linkage disequilibrium statistics to be calculated and visualized graphically. Database browsing and data importation is facilitated by integrated middleware. Other features include analyzing insertions/deletions, calculating diversity statistics, integration of phenotypic and genotypic data, imputing missing data and calculating principal components.","author":[{"dropping-particle":"","family":"Bradbury","given":"Peter J.","non-dropping-particle":"","parse-names":false,"suffix":""},{"dropping-particle":"","family":"Zhang","given":"Zhiwu","non-dropping-particle":"","parse-names":false,"suffix":""},{"dropping-particle":"","family":"Kroon","given":"Dallas E.","non-dropping-particle":"","parse-names":false,"suffix":""},{"dropping-particle":"","family":"Casstevens","given":"Terry M.","non-dropping-particle":"","parse-names":false,"suffix":""},{"dropping-particle":"","family":"Ramdoss","given":"Yogesh","non-dropping-particle":"","parse-names":false,"suffix":""},{"dropping-particle":"","family":"Buckler","given":"Edward S.","non-dropping-particle":"","parse-names":false,"suffix":""}],"container-title":"Bioinformatics","id":"ITEM-1","issue":"19","issued":{"date-parts":[["2007"]]},"page":"2633-2635","title":"TASSEL: Software for association mapping of complex traits in diverse samples","type":"article-journal","volume":"23"},"uris":["http://www.mendeley.com/documents/?uuid=920ace6f-66d6-4b64-b11d-0d7f3b1a7b0c"]}],"mendeley":{"formattedCitation":"[4]","plainTextFormattedCitation":"[4]","previouslyFormattedCitation":"[4]"},"properties":{"noteIndex":0},"schema":"https://github.com/citation-style-language/schema/raw/master/csl-citation.json"}</w:instrText>
      </w:r>
      <w:r w:rsidRPr="000F7ED6">
        <w:rPr>
          <w:rFonts w:ascii="Times New Roman" w:hAnsi="Times New Roman" w:cs="Times New Roman"/>
          <w:color w:val="000000" w:themeColor="text1"/>
          <w:sz w:val="24"/>
          <w:szCs w:val="24"/>
        </w:rPr>
        <w:fldChar w:fldCharType="separate"/>
      </w:r>
      <w:r w:rsidRPr="000F7ED6">
        <w:rPr>
          <w:rFonts w:ascii="Times New Roman" w:hAnsi="Times New Roman" w:cs="Times New Roman"/>
          <w:noProof/>
          <w:color w:val="000000" w:themeColor="text1"/>
          <w:sz w:val="24"/>
          <w:szCs w:val="24"/>
        </w:rPr>
        <w:t>[4]</w:t>
      </w:r>
      <w:r w:rsidRPr="000F7ED6">
        <w:rPr>
          <w:rFonts w:ascii="Times New Roman" w:hAnsi="Times New Roman" w:cs="Times New Roman"/>
          <w:color w:val="000000" w:themeColor="text1"/>
          <w:sz w:val="24"/>
          <w:szCs w:val="24"/>
        </w:rPr>
        <w:fldChar w:fldCharType="end"/>
      </w:r>
      <w:r w:rsidRPr="000F7ED6">
        <w:rPr>
          <w:rFonts w:ascii="Times New Roman" w:hAnsi="Times New Roman" w:cs="Times New Roman"/>
          <w:color w:val="000000" w:themeColor="text1"/>
          <w:sz w:val="24"/>
          <w:szCs w:val="24"/>
        </w:rPr>
        <w:t>). The subsets were assembled: subset 1: 58 individuals and 149 loci (each locus is present in at least 55 individuals); subset 2: 58 individuals and 938 loci (each locus is present in at least 51 individuals); subset 3: 108 individuals and 957 loci (each locus is present in at least 85 individuals). The XML files for the BFD analyses performed are available from Dryad.</w:t>
      </w:r>
    </w:p>
    <w:p w14:paraId="3F00B550" w14:textId="77777777" w:rsidR="00B02B62" w:rsidRDefault="00B02B62" w:rsidP="000F7ED6">
      <w:pPr>
        <w:jc w:val="both"/>
        <w:rPr>
          <w:rFonts w:ascii="Times New Roman" w:hAnsi="Times New Roman" w:cs="Times New Roman"/>
          <w:bCs/>
          <w:sz w:val="24"/>
          <w:szCs w:val="24"/>
        </w:rPr>
      </w:pPr>
    </w:p>
    <w:p w14:paraId="5E84C461" w14:textId="77777777" w:rsidR="000C6D7C" w:rsidRPr="000C6D7C" w:rsidRDefault="000C6D7C" w:rsidP="000C6D7C">
      <w:pPr>
        <w:outlineLvl w:val="0"/>
        <w:rPr>
          <w:rFonts w:ascii="Times New Roman" w:hAnsi="Times New Roman" w:cs="Times New Roman"/>
          <w:b/>
          <w:sz w:val="28"/>
          <w:szCs w:val="28"/>
        </w:rPr>
      </w:pPr>
      <w:r w:rsidRPr="000C6D7C">
        <w:rPr>
          <w:rFonts w:ascii="Times New Roman" w:hAnsi="Times New Roman" w:cs="Times New Roman"/>
          <w:b/>
          <w:sz w:val="28"/>
          <w:szCs w:val="28"/>
        </w:rPr>
        <w:t>Supplementary Figures and Tables</w:t>
      </w:r>
    </w:p>
    <w:p w14:paraId="266E98F4" w14:textId="44B15716" w:rsidR="000C6D7C" w:rsidRPr="00B15688" w:rsidRDefault="000C6D7C" w:rsidP="000C6D7C">
      <w:pPr>
        <w:outlineLvl w:val="0"/>
        <w:rPr>
          <w:b/>
          <w:sz w:val="20"/>
          <w:szCs w:val="20"/>
        </w:rPr>
      </w:pPr>
      <w:r w:rsidRPr="00B15688">
        <w:rPr>
          <w:b/>
          <w:noProof/>
          <w:sz w:val="20"/>
          <w:szCs w:val="20"/>
        </w:rPr>
        <w:drawing>
          <wp:anchor distT="0" distB="0" distL="114300" distR="114300" simplePos="0" relativeHeight="251693056" behindDoc="0" locked="0" layoutInCell="1" allowOverlap="1" wp14:anchorId="290C28FE" wp14:editId="7981B78F">
            <wp:simplePos x="0" y="0"/>
            <wp:positionH relativeFrom="column">
              <wp:posOffset>26035</wp:posOffset>
            </wp:positionH>
            <wp:positionV relativeFrom="paragraph">
              <wp:posOffset>222348</wp:posOffset>
            </wp:positionV>
            <wp:extent cx="5635625" cy="4221480"/>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Lutjanus/Projects_proposals/Manuscript/Analyses/map_records/RecordsSnapper_"/>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635625" cy="4221480"/>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p>
    <w:p w14:paraId="7BEE88B3" w14:textId="1B486E04" w:rsidR="000C6D7C" w:rsidRPr="00B15688" w:rsidRDefault="000C6D7C" w:rsidP="000C6D7C">
      <w:pPr>
        <w:outlineLvl w:val="0"/>
        <w:rPr>
          <w:b/>
          <w:sz w:val="20"/>
          <w:szCs w:val="20"/>
        </w:rPr>
      </w:pPr>
    </w:p>
    <w:p w14:paraId="08FF46D9" w14:textId="5966A6DE" w:rsidR="000C6D7C" w:rsidRPr="00B15688" w:rsidRDefault="000C6D7C" w:rsidP="000C6D7C">
      <w:pPr>
        <w:outlineLvl w:val="0"/>
        <w:rPr>
          <w:b/>
          <w:sz w:val="20"/>
          <w:szCs w:val="20"/>
        </w:rPr>
      </w:pPr>
    </w:p>
    <w:p w14:paraId="444DA436" w14:textId="2A6EF217" w:rsidR="000C6D7C" w:rsidRPr="00B15688" w:rsidRDefault="000C6D7C" w:rsidP="000C6D7C">
      <w:pPr>
        <w:outlineLvl w:val="0"/>
        <w:rPr>
          <w:b/>
          <w:sz w:val="20"/>
          <w:szCs w:val="20"/>
        </w:rPr>
      </w:pPr>
    </w:p>
    <w:p w14:paraId="71A179FD" w14:textId="5565C05E" w:rsidR="000C6D7C" w:rsidRPr="00B15688" w:rsidRDefault="000C6D7C" w:rsidP="000C6D7C">
      <w:pPr>
        <w:outlineLvl w:val="0"/>
        <w:rPr>
          <w:b/>
          <w:sz w:val="20"/>
          <w:szCs w:val="20"/>
        </w:rPr>
      </w:pPr>
    </w:p>
    <w:p w14:paraId="5AD1DEF6" w14:textId="0C926D72" w:rsidR="000C6D7C" w:rsidRPr="00B15688" w:rsidRDefault="000C6D7C" w:rsidP="000C6D7C">
      <w:pPr>
        <w:rPr>
          <w:b/>
          <w:sz w:val="20"/>
          <w:szCs w:val="20"/>
        </w:rPr>
      </w:pPr>
    </w:p>
    <w:p w14:paraId="40636D8A" w14:textId="77777777" w:rsidR="000C6D7C" w:rsidRPr="00B15688" w:rsidRDefault="000C6D7C" w:rsidP="000C6D7C">
      <w:pPr>
        <w:rPr>
          <w:b/>
          <w:sz w:val="20"/>
          <w:szCs w:val="20"/>
        </w:rPr>
      </w:pPr>
    </w:p>
    <w:p w14:paraId="416E2FBC" w14:textId="77777777" w:rsidR="000C6D7C" w:rsidRPr="00B15688" w:rsidRDefault="000C6D7C" w:rsidP="000C6D7C">
      <w:pPr>
        <w:rPr>
          <w:b/>
          <w:sz w:val="20"/>
          <w:szCs w:val="20"/>
        </w:rPr>
      </w:pPr>
    </w:p>
    <w:p w14:paraId="3B2A08A7" w14:textId="77777777" w:rsidR="000C6D7C" w:rsidRPr="00B15688" w:rsidRDefault="000C6D7C" w:rsidP="000C6D7C">
      <w:pPr>
        <w:rPr>
          <w:b/>
          <w:sz w:val="20"/>
          <w:szCs w:val="20"/>
        </w:rPr>
      </w:pPr>
    </w:p>
    <w:p w14:paraId="569AC1D6" w14:textId="77777777" w:rsidR="000C6D7C" w:rsidRPr="00B15688" w:rsidRDefault="000C6D7C" w:rsidP="000C6D7C">
      <w:pPr>
        <w:rPr>
          <w:b/>
          <w:sz w:val="20"/>
          <w:szCs w:val="20"/>
        </w:rPr>
      </w:pPr>
    </w:p>
    <w:p w14:paraId="0A0B2069" w14:textId="77777777" w:rsidR="000C6D7C" w:rsidRPr="00B15688" w:rsidRDefault="000C6D7C" w:rsidP="000C6D7C">
      <w:pPr>
        <w:rPr>
          <w:b/>
          <w:sz w:val="20"/>
          <w:szCs w:val="20"/>
        </w:rPr>
      </w:pPr>
    </w:p>
    <w:p w14:paraId="67E724AC" w14:textId="77777777" w:rsidR="000C6D7C" w:rsidRPr="00B15688" w:rsidRDefault="000C6D7C" w:rsidP="000C6D7C">
      <w:pPr>
        <w:rPr>
          <w:b/>
          <w:sz w:val="20"/>
          <w:szCs w:val="20"/>
        </w:rPr>
      </w:pPr>
    </w:p>
    <w:p w14:paraId="2976D418" w14:textId="77777777" w:rsidR="000C6D7C" w:rsidRPr="00B15688" w:rsidRDefault="000C6D7C" w:rsidP="000C6D7C">
      <w:pPr>
        <w:rPr>
          <w:b/>
          <w:sz w:val="20"/>
          <w:szCs w:val="20"/>
        </w:rPr>
      </w:pPr>
    </w:p>
    <w:p w14:paraId="4EB36EFD" w14:textId="77777777" w:rsidR="000C6D7C" w:rsidRPr="00B15688" w:rsidRDefault="000C6D7C" w:rsidP="000C6D7C">
      <w:pPr>
        <w:rPr>
          <w:b/>
          <w:sz w:val="20"/>
          <w:szCs w:val="20"/>
        </w:rPr>
      </w:pPr>
    </w:p>
    <w:p w14:paraId="54B5CAAF" w14:textId="77777777" w:rsidR="000C6D7C" w:rsidRPr="00B15688" w:rsidRDefault="000C6D7C" w:rsidP="000C6D7C">
      <w:pPr>
        <w:rPr>
          <w:b/>
          <w:sz w:val="20"/>
          <w:szCs w:val="20"/>
        </w:rPr>
      </w:pPr>
    </w:p>
    <w:p w14:paraId="5D2D6F31" w14:textId="77777777" w:rsidR="000C6D7C" w:rsidRPr="00B15688" w:rsidRDefault="000C6D7C" w:rsidP="000C6D7C">
      <w:pPr>
        <w:rPr>
          <w:b/>
          <w:sz w:val="20"/>
          <w:szCs w:val="20"/>
        </w:rPr>
      </w:pPr>
    </w:p>
    <w:p w14:paraId="586B55D7" w14:textId="77777777" w:rsidR="000C6D7C" w:rsidRPr="00B15688" w:rsidRDefault="000C6D7C" w:rsidP="000C6D7C">
      <w:pPr>
        <w:rPr>
          <w:b/>
          <w:sz w:val="20"/>
          <w:szCs w:val="20"/>
        </w:rPr>
      </w:pPr>
    </w:p>
    <w:p w14:paraId="43F1A9CE" w14:textId="77777777" w:rsidR="000C6D7C" w:rsidRPr="000C6D7C" w:rsidRDefault="000C6D7C" w:rsidP="000C6D7C">
      <w:pPr>
        <w:jc w:val="both"/>
        <w:rPr>
          <w:rFonts w:ascii="Times New Roman" w:hAnsi="Times New Roman" w:cs="Times New Roman"/>
          <w:color w:val="000000" w:themeColor="text1"/>
          <w:sz w:val="20"/>
          <w:szCs w:val="20"/>
        </w:rPr>
      </w:pPr>
      <w:r w:rsidRPr="000C6D7C">
        <w:rPr>
          <w:rFonts w:ascii="Times New Roman" w:hAnsi="Times New Roman" w:cs="Times New Roman"/>
          <w:b/>
          <w:sz w:val="20"/>
          <w:szCs w:val="20"/>
        </w:rPr>
        <w:t xml:space="preserve">Figure S1. a) map illustrating reports of </w:t>
      </w:r>
      <w:r w:rsidRPr="000C6D7C">
        <w:rPr>
          <w:rFonts w:ascii="Times New Roman" w:hAnsi="Times New Roman" w:cs="Times New Roman"/>
          <w:b/>
          <w:i/>
          <w:sz w:val="20"/>
          <w:szCs w:val="20"/>
        </w:rPr>
        <w:t>Lutjanus campechanus</w:t>
      </w:r>
      <w:r w:rsidRPr="000C6D7C">
        <w:rPr>
          <w:rFonts w:ascii="Times New Roman" w:hAnsi="Times New Roman" w:cs="Times New Roman"/>
          <w:b/>
          <w:sz w:val="20"/>
          <w:szCs w:val="20"/>
        </w:rPr>
        <w:t xml:space="preserve"> and </w:t>
      </w:r>
      <w:r w:rsidRPr="000C6D7C">
        <w:rPr>
          <w:rFonts w:ascii="Times New Roman" w:hAnsi="Times New Roman" w:cs="Times New Roman"/>
          <w:b/>
          <w:i/>
          <w:sz w:val="20"/>
          <w:szCs w:val="20"/>
        </w:rPr>
        <w:t>Lutjanus purpureus</w:t>
      </w:r>
      <w:r w:rsidRPr="000C6D7C">
        <w:rPr>
          <w:rFonts w:ascii="Times New Roman" w:hAnsi="Times New Roman" w:cs="Times New Roman"/>
          <w:b/>
          <w:sz w:val="20"/>
          <w:szCs w:val="20"/>
        </w:rPr>
        <w:t xml:space="preserve"> throughout their range and over time; b) heatmap of records of both species. </w:t>
      </w:r>
      <w:r w:rsidRPr="000C6D7C">
        <w:rPr>
          <w:rFonts w:ascii="Times New Roman" w:hAnsi="Times New Roman" w:cs="Times New Roman"/>
          <w:sz w:val="20"/>
          <w:szCs w:val="20"/>
        </w:rPr>
        <w:t xml:space="preserve">Red stars in (a) indicate localities that were exhaustively but unsuccessfully surveyed for samples: 1) San Andrés, Colombia; 2) Puerto Rico. </w:t>
      </w:r>
    </w:p>
    <w:p w14:paraId="607AB529" w14:textId="77777777" w:rsidR="000C6D7C" w:rsidRDefault="000C6D7C" w:rsidP="000F7ED6">
      <w:pPr>
        <w:jc w:val="both"/>
        <w:rPr>
          <w:rFonts w:ascii="Times New Roman" w:hAnsi="Times New Roman" w:cs="Times New Roman"/>
          <w:bCs/>
          <w:sz w:val="24"/>
          <w:szCs w:val="24"/>
        </w:rPr>
      </w:pPr>
    </w:p>
    <w:p w14:paraId="45697FAC" w14:textId="77777777" w:rsidR="000C6D7C" w:rsidRDefault="000C6D7C" w:rsidP="000F7ED6">
      <w:pPr>
        <w:jc w:val="both"/>
        <w:rPr>
          <w:rFonts w:ascii="Times New Roman" w:hAnsi="Times New Roman" w:cs="Times New Roman"/>
          <w:bCs/>
          <w:sz w:val="24"/>
          <w:szCs w:val="24"/>
        </w:rPr>
      </w:pPr>
    </w:p>
    <w:p w14:paraId="58261A57" w14:textId="0E4776AF" w:rsidR="00AE525E" w:rsidRPr="00B15688" w:rsidRDefault="00AE525E" w:rsidP="00AE525E">
      <w:pPr>
        <w:rPr>
          <w:b/>
          <w:sz w:val="20"/>
          <w:szCs w:val="20"/>
        </w:rPr>
      </w:pPr>
      <w:r w:rsidRPr="00B15688">
        <w:rPr>
          <w:noProof/>
          <w:sz w:val="20"/>
          <w:szCs w:val="20"/>
        </w:rPr>
        <w:lastRenderedPageBreak/>
        <w:drawing>
          <wp:inline distT="0" distB="0" distL="0" distR="0" wp14:anchorId="025CFE5C" wp14:editId="28EC755D">
            <wp:extent cx="5671038" cy="2126412"/>
            <wp:effectExtent l="0" t="0" r="0" b="0"/>
            <wp:docPr id="8" name="Picture 8" descr="../../../../../Desktop/Screen%20Shot%202018-06-15%20at%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20Shot%202018-06-15%20at%201"/>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687608" cy="2132625"/>
                    </a:xfrm>
                    <a:prstGeom prst="rect">
                      <a:avLst/>
                    </a:prstGeom>
                    <a:noFill/>
                    <a:ln>
                      <a:noFill/>
                    </a:ln>
                  </pic:spPr>
                </pic:pic>
              </a:graphicData>
            </a:graphic>
          </wp:inline>
        </w:drawing>
      </w:r>
    </w:p>
    <w:p w14:paraId="48CD5332" w14:textId="77777777" w:rsidR="00AE525E" w:rsidRPr="00AE525E" w:rsidRDefault="00AE525E" w:rsidP="00AE525E">
      <w:pPr>
        <w:rPr>
          <w:rFonts w:ascii="Times New Roman" w:hAnsi="Times New Roman" w:cs="Times New Roman"/>
          <w:sz w:val="20"/>
          <w:szCs w:val="20"/>
        </w:rPr>
      </w:pPr>
      <w:r w:rsidRPr="00AE525E">
        <w:rPr>
          <w:rFonts w:ascii="Times New Roman" w:hAnsi="Times New Roman" w:cs="Times New Roman"/>
          <w:b/>
          <w:sz w:val="20"/>
          <w:szCs w:val="20"/>
        </w:rPr>
        <w:t xml:space="preserve">Figure S2. </w:t>
      </w:r>
      <w:r w:rsidRPr="00AE525E">
        <w:rPr>
          <w:rFonts w:ascii="Times New Roman" w:hAnsi="Times New Roman" w:cs="Times New Roman"/>
          <w:bCs/>
          <w:sz w:val="20"/>
          <w:szCs w:val="20"/>
        </w:rPr>
        <w:t xml:space="preserve">Tests of parameter combinations (following </w:t>
      </w:r>
      <w:r w:rsidRPr="00AE525E">
        <w:rPr>
          <w:rFonts w:ascii="Times New Roman" w:hAnsi="Times New Roman" w:cs="Times New Roman"/>
          <w:bCs/>
          <w:sz w:val="20"/>
          <w:szCs w:val="20"/>
        </w:rPr>
        <w:fldChar w:fldCharType="begin" w:fldLock="1"/>
      </w:r>
      <w:r w:rsidRPr="00AE525E">
        <w:rPr>
          <w:rFonts w:ascii="Times New Roman" w:hAnsi="Times New Roman" w:cs="Times New Roman"/>
          <w:bCs/>
          <w:sz w:val="20"/>
          <w:szCs w:val="20"/>
        </w:rPr>
        <w:instrText>ADDIN CSL_CITATION {"citationItems":[{"id":"ITEM-1","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Ecology","id":"ITEM-1","issue":"15","issued":{"date-parts":[["2015"]]},"page":"28-41","title":"Restriction site-associated DNA sequencing, genotyping error estimation and de novo assembly optimization for population genetic inference","type":"article-journal"},"uris":["http://www.mendeley.com/documents/?uuid=7b2dfb57-5591-41a3-ad23-e056fe0822f1","http://www.mendeley.com/documents/?uuid=31dd208a-ef91-44f5-903e-6ad742f919ea"]}],"mendeley":{"formattedCitation":"[3]","manualFormatting":"Mastretta-Yanes et al. ","plainTextFormattedCitation":"[3]","previouslyFormattedCitation":"[3]"},"properties":{"noteIndex":0},"schema":"https://github.com/citation-style-language/schema/raw/master/csl-citation.json"}</w:instrText>
      </w:r>
      <w:r w:rsidRPr="00AE525E">
        <w:rPr>
          <w:rFonts w:ascii="Times New Roman" w:hAnsi="Times New Roman" w:cs="Times New Roman"/>
          <w:bCs/>
          <w:sz w:val="20"/>
          <w:szCs w:val="20"/>
        </w:rPr>
        <w:fldChar w:fldCharType="separate"/>
      </w:r>
      <w:r w:rsidRPr="00AE525E">
        <w:rPr>
          <w:rFonts w:ascii="Times New Roman" w:hAnsi="Times New Roman" w:cs="Times New Roman"/>
          <w:bCs/>
          <w:noProof/>
          <w:sz w:val="20"/>
          <w:szCs w:val="20"/>
        </w:rPr>
        <w:t>Mastretta-Yanes et al.</w:t>
      </w:r>
      <w:r w:rsidRPr="00AE525E" w:rsidDel="00F11E95">
        <w:rPr>
          <w:rFonts w:ascii="Times New Roman" w:hAnsi="Times New Roman" w:cs="Times New Roman"/>
          <w:bCs/>
          <w:noProof/>
          <w:sz w:val="20"/>
          <w:szCs w:val="20"/>
        </w:rPr>
        <w:t xml:space="preserve"> </w:t>
      </w:r>
      <w:r w:rsidRPr="00AE525E">
        <w:rPr>
          <w:rFonts w:ascii="Times New Roman" w:hAnsi="Times New Roman" w:cs="Times New Roman"/>
          <w:bCs/>
          <w:sz w:val="20"/>
          <w:szCs w:val="20"/>
        </w:rPr>
        <w:fldChar w:fldCharType="end"/>
      </w:r>
      <w:r w:rsidRPr="00AE525E">
        <w:rPr>
          <w:rFonts w:ascii="Times New Roman" w:hAnsi="Times New Roman" w:cs="Times New Roman"/>
          <w:bCs/>
          <w:sz w:val="20"/>
          <w:szCs w:val="20"/>
        </w:rPr>
        <w:t xml:space="preserve"> </w:t>
      </w:r>
      <w:r w:rsidRPr="00AE525E">
        <w:rPr>
          <w:rFonts w:ascii="Times New Roman" w:hAnsi="Times New Roman" w:cs="Times New Roman"/>
          <w:bCs/>
          <w:sz w:val="20"/>
          <w:szCs w:val="20"/>
        </w:rPr>
        <w:fldChar w:fldCharType="begin" w:fldLock="1"/>
      </w:r>
      <w:r w:rsidRPr="00AE525E">
        <w:rPr>
          <w:rFonts w:ascii="Times New Roman" w:hAnsi="Times New Roman" w:cs="Times New Roman"/>
          <w:bCs/>
          <w:sz w:val="20"/>
          <w:szCs w:val="20"/>
        </w:rPr>
        <w:instrText>ADDIN CSL_CITATION {"citationItems":[{"id":"ITEM-1","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Ecology","id":"ITEM-1","issue":"15","issued":{"date-parts":[["2015"]]},"page":"28-41","title":"Restriction site-associated DNA sequencing, genotyping error estimation and de novo assembly optimization for population genetic inference","type":"article-journal"},"uris":["http://www.mendeley.com/documents/?uuid=7b2dfb57-5591-41a3-ad23-e056fe0822f1"]}],"mendeley":{"formattedCitation":"[3]","plainTextFormattedCitation":"[3]","previouslyFormattedCitation":"[3]"},"properties":{"noteIndex":0},"schema":"https://github.com/citation-style-language/schema/raw/master/csl-citation.json"}</w:instrText>
      </w:r>
      <w:r w:rsidRPr="00AE525E">
        <w:rPr>
          <w:rFonts w:ascii="Times New Roman" w:hAnsi="Times New Roman" w:cs="Times New Roman"/>
          <w:bCs/>
          <w:sz w:val="20"/>
          <w:szCs w:val="20"/>
        </w:rPr>
        <w:fldChar w:fldCharType="separate"/>
      </w:r>
      <w:r w:rsidRPr="00AE525E">
        <w:rPr>
          <w:rFonts w:ascii="Times New Roman" w:hAnsi="Times New Roman" w:cs="Times New Roman"/>
          <w:bCs/>
          <w:noProof/>
          <w:sz w:val="20"/>
          <w:szCs w:val="20"/>
        </w:rPr>
        <w:t>[3]</w:t>
      </w:r>
      <w:r w:rsidRPr="00AE525E">
        <w:rPr>
          <w:rFonts w:ascii="Times New Roman" w:hAnsi="Times New Roman" w:cs="Times New Roman"/>
          <w:bCs/>
          <w:sz w:val="20"/>
          <w:szCs w:val="20"/>
        </w:rPr>
        <w:fldChar w:fldCharType="end"/>
      </w:r>
      <w:r w:rsidRPr="00AE525E">
        <w:rPr>
          <w:rFonts w:ascii="Times New Roman" w:hAnsi="Times New Roman" w:cs="Times New Roman"/>
          <w:bCs/>
          <w:sz w:val="20"/>
          <w:szCs w:val="20"/>
        </w:rPr>
        <w:t xml:space="preserve">). </w:t>
      </w:r>
    </w:p>
    <w:p w14:paraId="625B14E4" w14:textId="77777777" w:rsidR="00AE525E" w:rsidRDefault="00AE525E" w:rsidP="00AE525E">
      <w:pPr>
        <w:rPr>
          <w:b/>
          <w:sz w:val="20"/>
          <w:szCs w:val="20"/>
        </w:rPr>
      </w:pPr>
    </w:p>
    <w:p w14:paraId="27CC5535" w14:textId="0A772896" w:rsidR="00BB6185" w:rsidRDefault="00C108F6" w:rsidP="00AE525E">
      <w:pPr>
        <w:rPr>
          <w:b/>
          <w:sz w:val="20"/>
          <w:szCs w:val="20"/>
        </w:rPr>
      </w:pPr>
      <w:r w:rsidRPr="00B15688">
        <w:rPr>
          <w:b/>
          <w:noProof/>
          <w:sz w:val="20"/>
          <w:szCs w:val="20"/>
        </w:rPr>
        <w:drawing>
          <wp:anchor distT="0" distB="0" distL="114300" distR="114300" simplePos="0" relativeHeight="251698176" behindDoc="0" locked="0" layoutInCell="1" allowOverlap="1" wp14:anchorId="185CC1E2" wp14:editId="3986C834">
            <wp:simplePos x="0" y="0"/>
            <wp:positionH relativeFrom="column">
              <wp:posOffset>0</wp:posOffset>
            </wp:positionH>
            <wp:positionV relativeFrom="paragraph">
              <wp:posOffset>-635</wp:posOffset>
            </wp:positionV>
            <wp:extent cx="5679440" cy="41586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8-06-15%20at%20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370" r="1945"/>
                    <a:stretch/>
                  </pic:blipFill>
                  <pic:spPr bwMode="auto">
                    <a:xfrm>
                      <a:off x="0" y="0"/>
                      <a:ext cx="5679440" cy="4158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EFE665" w14:textId="77777777" w:rsidR="00BB6185" w:rsidRDefault="00BB6185" w:rsidP="00AE525E">
      <w:pPr>
        <w:rPr>
          <w:b/>
          <w:sz w:val="20"/>
          <w:szCs w:val="20"/>
        </w:rPr>
      </w:pPr>
    </w:p>
    <w:p w14:paraId="750C5811" w14:textId="77777777" w:rsidR="00BB6185" w:rsidRDefault="00BB6185" w:rsidP="00AE525E">
      <w:pPr>
        <w:rPr>
          <w:b/>
          <w:sz w:val="20"/>
          <w:szCs w:val="20"/>
        </w:rPr>
      </w:pPr>
    </w:p>
    <w:p w14:paraId="6815E74C" w14:textId="77777777" w:rsidR="00BB6185" w:rsidRDefault="00BB6185" w:rsidP="00AE525E">
      <w:pPr>
        <w:rPr>
          <w:b/>
          <w:sz w:val="20"/>
          <w:szCs w:val="20"/>
        </w:rPr>
      </w:pPr>
    </w:p>
    <w:p w14:paraId="11B7C02B" w14:textId="77777777" w:rsidR="00C108F6" w:rsidRDefault="00C108F6" w:rsidP="00AE525E">
      <w:pPr>
        <w:rPr>
          <w:b/>
          <w:sz w:val="20"/>
          <w:szCs w:val="20"/>
        </w:rPr>
      </w:pPr>
    </w:p>
    <w:p w14:paraId="193870E3" w14:textId="77777777" w:rsidR="00C108F6" w:rsidRDefault="00C108F6" w:rsidP="00AE525E">
      <w:pPr>
        <w:rPr>
          <w:b/>
          <w:sz w:val="20"/>
          <w:szCs w:val="20"/>
        </w:rPr>
      </w:pPr>
    </w:p>
    <w:p w14:paraId="7586955D" w14:textId="77777777" w:rsidR="00C108F6" w:rsidRDefault="00C108F6" w:rsidP="00AE525E">
      <w:pPr>
        <w:rPr>
          <w:b/>
          <w:sz w:val="20"/>
          <w:szCs w:val="20"/>
        </w:rPr>
      </w:pPr>
    </w:p>
    <w:p w14:paraId="3D86D53F" w14:textId="77777777" w:rsidR="00C108F6" w:rsidRDefault="00C108F6" w:rsidP="00AE525E">
      <w:pPr>
        <w:rPr>
          <w:b/>
          <w:sz w:val="20"/>
          <w:szCs w:val="20"/>
        </w:rPr>
      </w:pPr>
    </w:p>
    <w:p w14:paraId="05677B3D" w14:textId="77777777" w:rsidR="00C108F6" w:rsidRDefault="00C108F6" w:rsidP="00AE525E">
      <w:pPr>
        <w:rPr>
          <w:b/>
          <w:sz w:val="20"/>
          <w:szCs w:val="20"/>
        </w:rPr>
      </w:pPr>
    </w:p>
    <w:p w14:paraId="19BF24DF" w14:textId="77777777" w:rsidR="00C108F6" w:rsidRDefault="00C108F6" w:rsidP="00AE525E">
      <w:pPr>
        <w:rPr>
          <w:b/>
          <w:sz w:val="20"/>
          <w:szCs w:val="20"/>
        </w:rPr>
      </w:pPr>
    </w:p>
    <w:p w14:paraId="05DEA15C" w14:textId="77777777" w:rsidR="00C108F6" w:rsidRDefault="00C108F6" w:rsidP="00AE525E">
      <w:pPr>
        <w:rPr>
          <w:b/>
          <w:sz w:val="20"/>
          <w:szCs w:val="20"/>
        </w:rPr>
      </w:pPr>
    </w:p>
    <w:p w14:paraId="7989821A" w14:textId="77777777" w:rsidR="00C108F6" w:rsidRDefault="00C108F6" w:rsidP="00AE525E">
      <w:pPr>
        <w:rPr>
          <w:b/>
          <w:sz w:val="20"/>
          <w:szCs w:val="20"/>
        </w:rPr>
      </w:pPr>
    </w:p>
    <w:p w14:paraId="636E6715" w14:textId="77777777" w:rsidR="00C108F6" w:rsidRDefault="00C108F6" w:rsidP="00AE525E">
      <w:pPr>
        <w:rPr>
          <w:b/>
          <w:sz w:val="20"/>
          <w:szCs w:val="20"/>
        </w:rPr>
      </w:pPr>
    </w:p>
    <w:p w14:paraId="3FC6C9A2" w14:textId="77777777" w:rsidR="00C108F6" w:rsidRDefault="00C108F6" w:rsidP="00AE525E">
      <w:pPr>
        <w:rPr>
          <w:b/>
          <w:sz w:val="20"/>
          <w:szCs w:val="20"/>
        </w:rPr>
      </w:pPr>
    </w:p>
    <w:p w14:paraId="454D3AF3" w14:textId="77777777" w:rsidR="00C108F6" w:rsidRDefault="00C108F6" w:rsidP="00AE525E">
      <w:pPr>
        <w:rPr>
          <w:b/>
          <w:sz w:val="20"/>
          <w:szCs w:val="20"/>
        </w:rPr>
      </w:pPr>
    </w:p>
    <w:p w14:paraId="7F0DB3DE" w14:textId="77777777" w:rsidR="00C108F6" w:rsidRDefault="00C108F6" w:rsidP="00AE525E">
      <w:pPr>
        <w:rPr>
          <w:b/>
          <w:sz w:val="20"/>
          <w:szCs w:val="20"/>
        </w:rPr>
      </w:pPr>
    </w:p>
    <w:p w14:paraId="4961A664" w14:textId="77777777" w:rsidR="00C108F6" w:rsidRDefault="00C108F6" w:rsidP="00C108F6">
      <w:pPr>
        <w:outlineLvl w:val="0"/>
        <w:rPr>
          <w:rFonts w:ascii="Times New Roman" w:hAnsi="Times New Roman" w:cs="Times New Roman"/>
          <w:sz w:val="20"/>
          <w:szCs w:val="20"/>
        </w:rPr>
      </w:pPr>
      <w:r w:rsidRPr="00AE525E">
        <w:rPr>
          <w:rFonts w:ascii="Times New Roman" w:hAnsi="Times New Roman" w:cs="Times New Roman"/>
          <w:b/>
          <w:sz w:val="20"/>
          <w:szCs w:val="20"/>
        </w:rPr>
        <w:t xml:space="preserve">Figure S3. </w:t>
      </w:r>
      <w:r w:rsidRPr="00AE525E">
        <w:rPr>
          <w:rFonts w:ascii="Times New Roman" w:hAnsi="Times New Roman" w:cs="Times New Roman"/>
          <w:bCs/>
          <w:sz w:val="20"/>
          <w:szCs w:val="20"/>
        </w:rPr>
        <w:t>Principal component analyses of allele frequency data from a matrix based on (a-c) 15,112 SNPs and (d-f) 42,406 SNPs.</w:t>
      </w:r>
    </w:p>
    <w:p w14:paraId="473E81DF" w14:textId="77777777" w:rsidR="00C108F6" w:rsidRDefault="00C108F6" w:rsidP="00AE525E">
      <w:pPr>
        <w:rPr>
          <w:b/>
          <w:sz w:val="20"/>
          <w:szCs w:val="20"/>
        </w:rPr>
      </w:pPr>
    </w:p>
    <w:p w14:paraId="25A331FE" w14:textId="77777777" w:rsidR="00C108F6" w:rsidRDefault="00C108F6" w:rsidP="00AE525E">
      <w:pPr>
        <w:rPr>
          <w:b/>
          <w:sz w:val="20"/>
          <w:szCs w:val="20"/>
        </w:rPr>
      </w:pPr>
    </w:p>
    <w:p w14:paraId="203660C1" w14:textId="77777777" w:rsidR="00C108F6" w:rsidRDefault="00C108F6" w:rsidP="00AE525E">
      <w:pPr>
        <w:rPr>
          <w:b/>
          <w:sz w:val="20"/>
          <w:szCs w:val="20"/>
        </w:rPr>
      </w:pPr>
    </w:p>
    <w:p w14:paraId="3B6CC77B" w14:textId="4B3A4231" w:rsidR="00C108F6" w:rsidRDefault="00C108F6" w:rsidP="00AE525E">
      <w:pPr>
        <w:rPr>
          <w:b/>
          <w:sz w:val="20"/>
          <w:szCs w:val="20"/>
        </w:rPr>
      </w:pPr>
      <w:r w:rsidRPr="00B15688">
        <w:rPr>
          <w:b/>
          <w:noProof/>
          <w:sz w:val="20"/>
          <w:szCs w:val="20"/>
        </w:rPr>
        <w:lastRenderedPageBreak/>
        <w:drawing>
          <wp:anchor distT="0" distB="0" distL="114300" distR="114300" simplePos="0" relativeHeight="251700224" behindDoc="0" locked="0" layoutInCell="1" allowOverlap="1" wp14:anchorId="150A1C6F" wp14:editId="5E743C0B">
            <wp:simplePos x="0" y="0"/>
            <wp:positionH relativeFrom="column">
              <wp:posOffset>372012</wp:posOffset>
            </wp:positionH>
            <wp:positionV relativeFrom="paragraph">
              <wp:posOffset>0</wp:posOffset>
            </wp:positionV>
            <wp:extent cx="5092065" cy="5306060"/>
            <wp:effectExtent l="0" t="0" r="635" b="2540"/>
            <wp:wrapNone/>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092065" cy="5306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0609F0" w14:textId="77777777" w:rsidR="00C108F6" w:rsidRDefault="00C108F6" w:rsidP="00AE525E">
      <w:pPr>
        <w:rPr>
          <w:b/>
          <w:sz w:val="20"/>
          <w:szCs w:val="20"/>
        </w:rPr>
      </w:pPr>
    </w:p>
    <w:p w14:paraId="2BE29068" w14:textId="77777777" w:rsidR="00C108F6" w:rsidRDefault="00C108F6" w:rsidP="00AE525E">
      <w:pPr>
        <w:rPr>
          <w:b/>
          <w:sz w:val="20"/>
          <w:szCs w:val="20"/>
        </w:rPr>
      </w:pPr>
    </w:p>
    <w:p w14:paraId="55B02DBC" w14:textId="77777777" w:rsidR="00C108F6" w:rsidRDefault="00C108F6" w:rsidP="00AE525E">
      <w:pPr>
        <w:rPr>
          <w:b/>
          <w:sz w:val="20"/>
          <w:szCs w:val="20"/>
        </w:rPr>
      </w:pPr>
    </w:p>
    <w:p w14:paraId="7DAB5964" w14:textId="77777777" w:rsidR="00C108F6" w:rsidRDefault="00C108F6" w:rsidP="00AE525E">
      <w:pPr>
        <w:rPr>
          <w:b/>
          <w:sz w:val="20"/>
          <w:szCs w:val="20"/>
        </w:rPr>
      </w:pPr>
    </w:p>
    <w:p w14:paraId="2FABFF9E" w14:textId="77777777" w:rsidR="00C108F6" w:rsidRDefault="00C108F6" w:rsidP="00AE525E">
      <w:pPr>
        <w:rPr>
          <w:b/>
          <w:sz w:val="20"/>
          <w:szCs w:val="20"/>
        </w:rPr>
      </w:pPr>
    </w:p>
    <w:p w14:paraId="08FECE06" w14:textId="77777777" w:rsidR="00C108F6" w:rsidRDefault="00C108F6" w:rsidP="00AE525E">
      <w:pPr>
        <w:rPr>
          <w:b/>
          <w:sz w:val="20"/>
          <w:szCs w:val="20"/>
        </w:rPr>
      </w:pPr>
    </w:p>
    <w:p w14:paraId="53F251B4" w14:textId="77777777" w:rsidR="00C108F6" w:rsidRDefault="00C108F6" w:rsidP="00AE525E">
      <w:pPr>
        <w:rPr>
          <w:b/>
          <w:sz w:val="20"/>
          <w:szCs w:val="20"/>
        </w:rPr>
      </w:pPr>
    </w:p>
    <w:p w14:paraId="1FDCA9E2" w14:textId="77777777" w:rsidR="00C108F6" w:rsidRDefault="00C108F6" w:rsidP="00AE525E">
      <w:pPr>
        <w:rPr>
          <w:b/>
          <w:sz w:val="20"/>
          <w:szCs w:val="20"/>
        </w:rPr>
      </w:pPr>
    </w:p>
    <w:p w14:paraId="6C3CB389" w14:textId="77777777" w:rsidR="00C108F6" w:rsidRDefault="00C108F6" w:rsidP="00AE525E">
      <w:pPr>
        <w:rPr>
          <w:b/>
          <w:sz w:val="20"/>
          <w:szCs w:val="20"/>
        </w:rPr>
      </w:pPr>
    </w:p>
    <w:p w14:paraId="448DEE01" w14:textId="77777777" w:rsidR="00C108F6" w:rsidRDefault="00C108F6" w:rsidP="00AE525E">
      <w:pPr>
        <w:rPr>
          <w:b/>
          <w:sz w:val="20"/>
          <w:szCs w:val="20"/>
        </w:rPr>
      </w:pPr>
    </w:p>
    <w:p w14:paraId="4BD3FD23" w14:textId="77777777" w:rsidR="00BB6185" w:rsidRDefault="00BB6185" w:rsidP="00AE525E">
      <w:pPr>
        <w:rPr>
          <w:b/>
          <w:sz w:val="20"/>
          <w:szCs w:val="20"/>
        </w:rPr>
      </w:pPr>
    </w:p>
    <w:p w14:paraId="6D4EC3F7" w14:textId="77777777" w:rsidR="00BB6185" w:rsidRDefault="00BB6185" w:rsidP="00AE525E">
      <w:pPr>
        <w:rPr>
          <w:b/>
          <w:sz w:val="20"/>
          <w:szCs w:val="20"/>
        </w:rPr>
      </w:pPr>
    </w:p>
    <w:p w14:paraId="5B03FDF4" w14:textId="77777777" w:rsidR="00BB6185" w:rsidRDefault="00BB6185" w:rsidP="00AE525E">
      <w:pPr>
        <w:rPr>
          <w:b/>
          <w:sz w:val="20"/>
          <w:szCs w:val="20"/>
        </w:rPr>
      </w:pPr>
    </w:p>
    <w:p w14:paraId="7FDB7A46" w14:textId="77777777" w:rsidR="00BB6185" w:rsidRDefault="00BB6185" w:rsidP="00AE525E">
      <w:pPr>
        <w:rPr>
          <w:b/>
          <w:sz w:val="20"/>
          <w:szCs w:val="20"/>
        </w:rPr>
      </w:pPr>
    </w:p>
    <w:p w14:paraId="605E5A15" w14:textId="77777777" w:rsidR="00BB6185" w:rsidRDefault="00BB6185" w:rsidP="00AE525E">
      <w:pPr>
        <w:rPr>
          <w:b/>
          <w:sz w:val="20"/>
          <w:szCs w:val="20"/>
        </w:rPr>
      </w:pPr>
    </w:p>
    <w:p w14:paraId="49772CF2" w14:textId="77777777" w:rsidR="00BB6185" w:rsidRDefault="00BB6185" w:rsidP="00AE525E">
      <w:pPr>
        <w:rPr>
          <w:b/>
          <w:sz w:val="20"/>
          <w:szCs w:val="20"/>
        </w:rPr>
      </w:pPr>
    </w:p>
    <w:p w14:paraId="3C209CA4" w14:textId="77777777" w:rsidR="00C108F6" w:rsidRDefault="00C108F6" w:rsidP="00AE525E">
      <w:pPr>
        <w:rPr>
          <w:b/>
          <w:sz w:val="20"/>
          <w:szCs w:val="20"/>
        </w:rPr>
      </w:pPr>
    </w:p>
    <w:p w14:paraId="749C5D9A" w14:textId="77777777" w:rsidR="00C108F6" w:rsidRDefault="00C108F6" w:rsidP="00AE525E">
      <w:pPr>
        <w:rPr>
          <w:b/>
          <w:sz w:val="20"/>
          <w:szCs w:val="20"/>
        </w:rPr>
      </w:pPr>
    </w:p>
    <w:p w14:paraId="78A36CE8" w14:textId="77777777" w:rsidR="00C108F6" w:rsidRDefault="00C108F6" w:rsidP="00AE525E">
      <w:pPr>
        <w:rPr>
          <w:b/>
          <w:sz w:val="20"/>
          <w:szCs w:val="20"/>
        </w:rPr>
      </w:pPr>
    </w:p>
    <w:p w14:paraId="29A87907" w14:textId="77777777" w:rsidR="00C108F6" w:rsidRPr="00AE525E" w:rsidRDefault="00C108F6" w:rsidP="00C108F6">
      <w:pPr>
        <w:jc w:val="both"/>
        <w:outlineLvl w:val="0"/>
        <w:rPr>
          <w:rFonts w:ascii="Times New Roman" w:hAnsi="Times New Roman" w:cs="Times New Roman"/>
          <w:color w:val="000000" w:themeColor="text1"/>
          <w:sz w:val="20"/>
          <w:szCs w:val="20"/>
        </w:rPr>
      </w:pPr>
      <w:r w:rsidRPr="00AE525E">
        <w:rPr>
          <w:rFonts w:ascii="Times New Roman" w:hAnsi="Times New Roman" w:cs="Times New Roman"/>
          <w:b/>
          <w:sz w:val="20"/>
          <w:szCs w:val="20"/>
        </w:rPr>
        <w:t xml:space="preserve">Figure S4. Weir and Cockerham estimates of genetic differentiation among populations of </w:t>
      </w:r>
      <w:r w:rsidRPr="00AE525E">
        <w:rPr>
          <w:rFonts w:ascii="Times New Roman" w:hAnsi="Times New Roman" w:cs="Times New Roman"/>
          <w:b/>
          <w:i/>
          <w:sz w:val="20"/>
          <w:szCs w:val="20"/>
        </w:rPr>
        <w:t xml:space="preserve">L. campechanus </w:t>
      </w:r>
      <w:r w:rsidRPr="00AE525E">
        <w:rPr>
          <w:rFonts w:ascii="Times New Roman" w:hAnsi="Times New Roman" w:cs="Times New Roman"/>
          <w:b/>
          <w:color w:val="000000" w:themeColor="text1"/>
          <w:sz w:val="20"/>
          <w:szCs w:val="20"/>
        </w:rPr>
        <w:t xml:space="preserve">and </w:t>
      </w:r>
      <w:r w:rsidRPr="00AE525E">
        <w:rPr>
          <w:rFonts w:ascii="Times New Roman" w:hAnsi="Times New Roman" w:cs="Times New Roman"/>
          <w:b/>
          <w:i/>
          <w:color w:val="000000" w:themeColor="text1"/>
          <w:sz w:val="20"/>
          <w:szCs w:val="20"/>
        </w:rPr>
        <w:t>L. purpureus</w:t>
      </w:r>
      <w:r w:rsidRPr="00AE525E">
        <w:rPr>
          <w:rFonts w:ascii="Times New Roman" w:hAnsi="Times New Roman" w:cs="Times New Roman"/>
          <w:b/>
          <w:color w:val="000000" w:themeColor="text1"/>
          <w:sz w:val="20"/>
          <w:szCs w:val="20"/>
        </w:rPr>
        <w:t>,</w:t>
      </w:r>
      <w:r w:rsidRPr="00AE525E">
        <w:rPr>
          <w:rFonts w:ascii="Times New Roman" w:hAnsi="Times New Roman" w:cs="Times New Roman"/>
          <w:b/>
          <w:i/>
          <w:color w:val="000000" w:themeColor="text1"/>
          <w:sz w:val="20"/>
          <w:szCs w:val="20"/>
        </w:rPr>
        <w:t xml:space="preserve"> </w:t>
      </w:r>
      <w:r w:rsidRPr="00AE525E">
        <w:rPr>
          <w:rFonts w:ascii="Times New Roman" w:hAnsi="Times New Roman" w:cs="Times New Roman"/>
          <w:b/>
          <w:color w:val="000000" w:themeColor="text1"/>
          <w:sz w:val="20"/>
          <w:szCs w:val="20"/>
        </w:rPr>
        <w:t>including a) 12 populations (with minimal amount of missing data), and b) 15 populations.</w:t>
      </w:r>
      <w:r w:rsidRPr="00AE525E">
        <w:rPr>
          <w:rFonts w:ascii="Times New Roman" w:hAnsi="Times New Roman" w:cs="Times New Roman"/>
          <w:color w:val="000000" w:themeColor="text1"/>
          <w:sz w:val="20"/>
          <w:szCs w:val="20"/>
        </w:rPr>
        <w:t xml:space="preserve"> Populations removed form final analyses in a) are denoted with an asterisk in b). Some calculations in b) appear underestimated despite their great geographic isolation, possibly as result of missing data: e.g., Yucatán vs.</w:t>
      </w:r>
      <w:r w:rsidRPr="00AE525E">
        <w:rPr>
          <w:rFonts w:ascii="Times New Roman" w:eastAsia="Times New Roman" w:hAnsi="Times New Roman" w:cs="Times New Roman"/>
          <w:color w:val="000000" w:themeColor="text1"/>
          <w:sz w:val="20"/>
          <w:szCs w:val="20"/>
          <w:shd w:val="clear" w:color="auto" w:fill="FFFFFF"/>
        </w:rPr>
        <w:t xml:space="preserve"> Salvador</w:t>
      </w:r>
      <w:r w:rsidRPr="00AE525E">
        <w:rPr>
          <w:rFonts w:ascii="Times New Roman" w:hAnsi="Times New Roman" w:cs="Times New Roman"/>
          <w:color w:val="000000" w:themeColor="text1"/>
          <w:sz w:val="20"/>
          <w:szCs w:val="20"/>
        </w:rPr>
        <w:t xml:space="preserve">, </w:t>
      </w:r>
      <w:r w:rsidRPr="00AE525E">
        <w:rPr>
          <w:rFonts w:ascii="Times New Roman" w:hAnsi="Times New Roman" w:cs="Times New Roman"/>
          <w:i/>
          <w:color w:val="000000" w:themeColor="text1"/>
          <w:sz w:val="20"/>
          <w:szCs w:val="20"/>
        </w:rPr>
        <w:t>F</w:t>
      </w:r>
      <w:r w:rsidRPr="00AE525E">
        <w:rPr>
          <w:rFonts w:ascii="Times New Roman" w:hAnsi="Times New Roman" w:cs="Times New Roman"/>
          <w:i/>
          <w:color w:val="000000" w:themeColor="text1"/>
          <w:sz w:val="20"/>
          <w:szCs w:val="20"/>
          <w:vertAlign w:val="subscript"/>
        </w:rPr>
        <w:t>ST</w:t>
      </w:r>
      <w:r w:rsidRPr="00AE525E">
        <w:rPr>
          <w:rFonts w:ascii="Times New Roman" w:hAnsi="Times New Roman" w:cs="Times New Roman"/>
          <w:color w:val="000000" w:themeColor="text1"/>
          <w:sz w:val="20"/>
          <w:szCs w:val="20"/>
        </w:rPr>
        <w:t xml:space="preserve">=0.0499 (1646 loci); Salvador-Campeche </w:t>
      </w:r>
      <w:r w:rsidRPr="00AE525E">
        <w:rPr>
          <w:rFonts w:ascii="Times New Roman" w:hAnsi="Times New Roman" w:cs="Times New Roman"/>
          <w:i/>
          <w:color w:val="000000" w:themeColor="text1"/>
          <w:sz w:val="20"/>
          <w:szCs w:val="20"/>
        </w:rPr>
        <w:t>F</w:t>
      </w:r>
      <w:r w:rsidRPr="00AE525E">
        <w:rPr>
          <w:rFonts w:ascii="Times New Roman" w:hAnsi="Times New Roman" w:cs="Times New Roman"/>
          <w:i/>
          <w:color w:val="000000" w:themeColor="text1"/>
          <w:sz w:val="20"/>
          <w:szCs w:val="20"/>
          <w:vertAlign w:val="subscript"/>
        </w:rPr>
        <w:t>ST</w:t>
      </w:r>
      <w:r w:rsidRPr="00AE525E">
        <w:rPr>
          <w:rFonts w:ascii="Times New Roman" w:hAnsi="Times New Roman" w:cs="Times New Roman"/>
          <w:color w:val="000000" w:themeColor="text1"/>
          <w:sz w:val="20"/>
          <w:szCs w:val="20"/>
        </w:rPr>
        <w:t xml:space="preserve">=0.3165 (4282 loci); Salvador-Florida </w:t>
      </w:r>
      <w:r w:rsidRPr="00AE525E">
        <w:rPr>
          <w:rFonts w:ascii="Times New Roman" w:hAnsi="Times New Roman" w:cs="Times New Roman"/>
          <w:i/>
          <w:color w:val="000000" w:themeColor="text1"/>
          <w:sz w:val="20"/>
          <w:szCs w:val="20"/>
        </w:rPr>
        <w:t>F</w:t>
      </w:r>
      <w:r w:rsidRPr="00AE525E">
        <w:rPr>
          <w:rFonts w:ascii="Times New Roman" w:hAnsi="Times New Roman" w:cs="Times New Roman"/>
          <w:i/>
          <w:color w:val="000000" w:themeColor="text1"/>
          <w:sz w:val="20"/>
          <w:szCs w:val="20"/>
          <w:vertAlign w:val="subscript"/>
        </w:rPr>
        <w:t>ST</w:t>
      </w:r>
      <w:r w:rsidRPr="00AE525E">
        <w:rPr>
          <w:rFonts w:ascii="Times New Roman" w:hAnsi="Times New Roman" w:cs="Times New Roman"/>
          <w:color w:val="000000" w:themeColor="text1"/>
          <w:sz w:val="20"/>
          <w:szCs w:val="20"/>
        </w:rPr>
        <w:t>=0.3187 (14102 loci).</w:t>
      </w:r>
    </w:p>
    <w:p w14:paraId="0607C1F0" w14:textId="77777777" w:rsidR="00C108F6" w:rsidRDefault="00C108F6" w:rsidP="00AE525E">
      <w:pPr>
        <w:rPr>
          <w:b/>
          <w:sz w:val="20"/>
          <w:szCs w:val="20"/>
        </w:rPr>
      </w:pPr>
    </w:p>
    <w:p w14:paraId="29B7B587" w14:textId="77777777" w:rsidR="00C108F6" w:rsidRDefault="00C108F6" w:rsidP="00AE525E">
      <w:pPr>
        <w:rPr>
          <w:b/>
          <w:sz w:val="20"/>
          <w:szCs w:val="20"/>
        </w:rPr>
      </w:pPr>
    </w:p>
    <w:p w14:paraId="47A80336" w14:textId="77777777" w:rsidR="00C108F6" w:rsidRDefault="00C108F6" w:rsidP="00AE525E">
      <w:pPr>
        <w:rPr>
          <w:b/>
          <w:sz w:val="20"/>
          <w:szCs w:val="20"/>
        </w:rPr>
      </w:pPr>
    </w:p>
    <w:p w14:paraId="16F4C9F0" w14:textId="77777777" w:rsidR="00C108F6" w:rsidRDefault="00C108F6" w:rsidP="00AE525E">
      <w:pPr>
        <w:rPr>
          <w:b/>
          <w:sz w:val="20"/>
          <w:szCs w:val="20"/>
        </w:rPr>
      </w:pPr>
    </w:p>
    <w:p w14:paraId="6D2501B8" w14:textId="77777777" w:rsidR="00C108F6" w:rsidRDefault="00C108F6" w:rsidP="00AE525E">
      <w:pPr>
        <w:rPr>
          <w:b/>
          <w:sz w:val="20"/>
          <w:szCs w:val="20"/>
        </w:rPr>
      </w:pPr>
    </w:p>
    <w:p w14:paraId="2B9C9C30" w14:textId="77777777" w:rsidR="00C108F6" w:rsidRDefault="00C108F6" w:rsidP="00AE525E">
      <w:pPr>
        <w:rPr>
          <w:b/>
          <w:sz w:val="20"/>
          <w:szCs w:val="20"/>
        </w:rPr>
      </w:pPr>
    </w:p>
    <w:p w14:paraId="308A6682" w14:textId="77777777" w:rsidR="00C108F6" w:rsidRDefault="00C108F6" w:rsidP="00AE525E">
      <w:pPr>
        <w:rPr>
          <w:b/>
          <w:sz w:val="20"/>
          <w:szCs w:val="20"/>
        </w:rPr>
      </w:pPr>
    </w:p>
    <w:p w14:paraId="55F06E4A" w14:textId="691307F2" w:rsidR="006B2888" w:rsidRDefault="006B2888" w:rsidP="00AE525E">
      <w:pPr>
        <w:rPr>
          <w:b/>
          <w:sz w:val="20"/>
          <w:szCs w:val="20"/>
        </w:rPr>
      </w:pPr>
      <w:r>
        <w:rPr>
          <w:b/>
          <w:noProof/>
          <w:sz w:val="20"/>
          <w:szCs w:val="20"/>
        </w:rPr>
        <w:lastRenderedPageBreak/>
        <w:drawing>
          <wp:anchor distT="0" distB="0" distL="114300" distR="114300" simplePos="0" relativeHeight="251701248" behindDoc="0" locked="0" layoutInCell="1" allowOverlap="1" wp14:anchorId="401EE1FD" wp14:editId="22201626">
            <wp:simplePos x="0" y="0"/>
            <wp:positionH relativeFrom="column">
              <wp:posOffset>922850</wp:posOffset>
            </wp:positionH>
            <wp:positionV relativeFrom="paragraph">
              <wp:posOffset>-8500</wp:posOffset>
            </wp:positionV>
            <wp:extent cx="4273062" cy="386493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tel_REDScp_155andCorr_AD.pd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73062" cy="3864931"/>
                    </a:xfrm>
                    <a:prstGeom prst="rect">
                      <a:avLst/>
                    </a:prstGeom>
                  </pic:spPr>
                </pic:pic>
              </a:graphicData>
            </a:graphic>
            <wp14:sizeRelH relativeFrom="page">
              <wp14:pctWidth>0</wp14:pctWidth>
            </wp14:sizeRelH>
            <wp14:sizeRelV relativeFrom="page">
              <wp14:pctHeight>0</wp14:pctHeight>
            </wp14:sizeRelV>
          </wp:anchor>
        </w:drawing>
      </w:r>
    </w:p>
    <w:p w14:paraId="102619F9" w14:textId="1D789B92" w:rsidR="006B2888" w:rsidRDefault="006B2888" w:rsidP="00AE525E">
      <w:pPr>
        <w:rPr>
          <w:b/>
          <w:sz w:val="20"/>
          <w:szCs w:val="20"/>
        </w:rPr>
      </w:pPr>
    </w:p>
    <w:p w14:paraId="5FFB25AC" w14:textId="77777777" w:rsidR="006B2888" w:rsidRDefault="006B2888" w:rsidP="00AE525E">
      <w:pPr>
        <w:rPr>
          <w:b/>
          <w:sz w:val="20"/>
          <w:szCs w:val="20"/>
        </w:rPr>
      </w:pPr>
    </w:p>
    <w:p w14:paraId="195EE0EB" w14:textId="77777777" w:rsidR="006B2888" w:rsidRDefault="006B2888" w:rsidP="00AE525E">
      <w:pPr>
        <w:rPr>
          <w:b/>
          <w:sz w:val="20"/>
          <w:szCs w:val="20"/>
        </w:rPr>
      </w:pPr>
    </w:p>
    <w:p w14:paraId="2E57A234" w14:textId="537A1616" w:rsidR="006B2888" w:rsidRDefault="006B2888" w:rsidP="00AE525E">
      <w:pPr>
        <w:rPr>
          <w:b/>
          <w:sz w:val="20"/>
          <w:szCs w:val="20"/>
        </w:rPr>
      </w:pPr>
    </w:p>
    <w:p w14:paraId="75AABAA1" w14:textId="77777777" w:rsidR="006B2888" w:rsidRDefault="006B2888" w:rsidP="00AE525E">
      <w:pPr>
        <w:rPr>
          <w:b/>
          <w:sz w:val="20"/>
          <w:szCs w:val="20"/>
        </w:rPr>
      </w:pPr>
    </w:p>
    <w:p w14:paraId="2BFEE1DD" w14:textId="77777777" w:rsidR="006B2888" w:rsidRDefault="006B2888" w:rsidP="00AE525E">
      <w:pPr>
        <w:rPr>
          <w:b/>
          <w:sz w:val="20"/>
          <w:szCs w:val="20"/>
        </w:rPr>
      </w:pPr>
    </w:p>
    <w:p w14:paraId="617D5911" w14:textId="1668D067" w:rsidR="006B2888" w:rsidRDefault="006B2888" w:rsidP="00AE525E">
      <w:pPr>
        <w:rPr>
          <w:b/>
          <w:sz w:val="20"/>
          <w:szCs w:val="20"/>
        </w:rPr>
      </w:pPr>
    </w:p>
    <w:p w14:paraId="3736CB20" w14:textId="77777777" w:rsidR="006B2888" w:rsidRDefault="006B2888" w:rsidP="00AE525E">
      <w:pPr>
        <w:rPr>
          <w:b/>
          <w:sz w:val="20"/>
          <w:szCs w:val="20"/>
        </w:rPr>
      </w:pPr>
    </w:p>
    <w:p w14:paraId="4F325A33" w14:textId="77777777" w:rsidR="006B2888" w:rsidRDefault="006B2888" w:rsidP="00AE525E">
      <w:pPr>
        <w:rPr>
          <w:b/>
          <w:sz w:val="20"/>
          <w:szCs w:val="20"/>
        </w:rPr>
      </w:pPr>
    </w:p>
    <w:p w14:paraId="4A3D5F98" w14:textId="77777777" w:rsidR="006B2888" w:rsidRDefault="006B2888" w:rsidP="00AE525E">
      <w:pPr>
        <w:rPr>
          <w:b/>
          <w:sz w:val="20"/>
          <w:szCs w:val="20"/>
        </w:rPr>
      </w:pPr>
    </w:p>
    <w:p w14:paraId="7D2458DA" w14:textId="4C725BF0" w:rsidR="006B2888" w:rsidRDefault="006B2888" w:rsidP="00AE525E">
      <w:pPr>
        <w:rPr>
          <w:b/>
          <w:sz w:val="20"/>
          <w:szCs w:val="20"/>
        </w:rPr>
      </w:pPr>
    </w:p>
    <w:p w14:paraId="7FB61BE3" w14:textId="703F4209" w:rsidR="006B2888" w:rsidRDefault="006B2888" w:rsidP="00AE525E">
      <w:pPr>
        <w:rPr>
          <w:b/>
          <w:sz w:val="20"/>
          <w:szCs w:val="20"/>
        </w:rPr>
      </w:pPr>
    </w:p>
    <w:p w14:paraId="4A26EE11" w14:textId="3F66E2AE" w:rsidR="00C108F6" w:rsidRDefault="00C108F6" w:rsidP="00AE525E">
      <w:pPr>
        <w:rPr>
          <w:b/>
          <w:sz w:val="20"/>
          <w:szCs w:val="20"/>
        </w:rPr>
      </w:pPr>
    </w:p>
    <w:p w14:paraId="43ECB7D4" w14:textId="2F893418" w:rsidR="00BB6185" w:rsidRPr="006B2888" w:rsidRDefault="006B2888" w:rsidP="006B2888">
      <w:pPr>
        <w:jc w:val="both"/>
        <w:outlineLvl w:val="0"/>
        <w:rPr>
          <w:rFonts w:ascii="Times New Roman" w:hAnsi="Times New Roman" w:cs="Times New Roman"/>
          <w:b/>
          <w:sz w:val="20"/>
          <w:szCs w:val="20"/>
        </w:rPr>
      </w:pPr>
      <w:r w:rsidRPr="00AE525E">
        <w:rPr>
          <w:rFonts w:ascii="Times New Roman" w:hAnsi="Times New Roman" w:cs="Times New Roman"/>
          <w:b/>
          <w:sz w:val="20"/>
          <w:szCs w:val="20"/>
        </w:rPr>
        <w:t>Figure S5. Mantel test simulations (</w:t>
      </w:r>
      <w:proofErr w:type="spellStart"/>
      <w:r w:rsidRPr="00AE525E">
        <w:rPr>
          <w:rFonts w:ascii="Times New Roman" w:hAnsi="Times New Roman" w:cs="Times New Roman"/>
          <w:b/>
          <w:sz w:val="20"/>
          <w:szCs w:val="20"/>
        </w:rPr>
        <w:t>a,b</w:t>
      </w:r>
      <w:proofErr w:type="spellEnd"/>
      <w:r w:rsidRPr="00AE525E">
        <w:rPr>
          <w:rFonts w:ascii="Times New Roman" w:hAnsi="Times New Roman" w:cs="Times New Roman"/>
          <w:b/>
          <w:sz w:val="20"/>
          <w:szCs w:val="20"/>
        </w:rPr>
        <w:t>) and correlograms (</w:t>
      </w:r>
      <w:proofErr w:type="spellStart"/>
      <w:r w:rsidRPr="00AE525E">
        <w:rPr>
          <w:rFonts w:ascii="Times New Roman" w:hAnsi="Times New Roman" w:cs="Times New Roman"/>
          <w:b/>
          <w:sz w:val="20"/>
          <w:szCs w:val="20"/>
        </w:rPr>
        <w:t>c,d</w:t>
      </w:r>
      <w:proofErr w:type="spellEnd"/>
      <w:r w:rsidRPr="00AE525E">
        <w:rPr>
          <w:rFonts w:ascii="Times New Roman" w:hAnsi="Times New Roman" w:cs="Times New Roman"/>
          <w:b/>
          <w:sz w:val="20"/>
          <w:szCs w:val="20"/>
        </w:rPr>
        <w:t xml:space="preserve">) for </w:t>
      </w:r>
      <w:r w:rsidRPr="00AE525E">
        <w:rPr>
          <w:rFonts w:ascii="Times New Roman" w:hAnsi="Times New Roman" w:cs="Times New Roman"/>
          <w:b/>
          <w:i/>
          <w:color w:val="000000" w:themeColor="text1"/>
          <w:sz w:val="20"/>
          <w:szCs w:val="20"/>
        </w:rPr>
        <w:t>L. campechanus</w:t>
      </w:r>
      <w:r w:rsidRPr="00AE525E">
        <w:rPr>
          <w:rFonts w:ascii="Times New Roman" w:hAnsi="Times New Roman" w:cs="Times New Roman"/>
          <w:b/>
          <w:color w:val="000000" w:themeColor="text1"/>
          <w:sz w:val="20"/>
          <w:szCs w:val="20"/>
        </w:rPr>
        <w:t xml:space="preserve"> (red) and </w:t>
      </w:r>
      <w:r w:rsidRPr="00AE525E">
        <w:rPr>
          <w:rFonts w:ascii="Times New Roman" w:hAnsi="Times New Roman" w:cs="Times New Roman"/>
          <w:b/>
          <w:i/>
          <w:color w:val="000000" w:themeColor="text1"/>
          <w:sz w:val="20"/>
          <w:szCs w:val="20"/>
        </w:rPr>
        <w:t xml:space="preserve">L. purpureus </w:t>
      </w:r>
      <w:r w:rsidRPr="00AE525E">
        <w:rPr>
          <w:rFonts w:ascii="Times New Roman" w:hAnsi="Times New Roman" w:cs="Times New Roman"/>
          <w:b/>
          <w:color w:val="000000" w:themeColor="text1"/>
          <w:sz w:val="20"/>
          <w:szCs w:val="20"/>
        </w:rPr>
        <w:t xml:space="preserve">(green), respectively. </w:t>
      </w:r>
      <w:r w:rsidRPr="00AE525E">
        <w:rPr>
          <w:rFonts w:ascii="Times New Roman" w:hAnsi="Times New Roman" w:cs="Times New Roman"/>
          <w:color w:val="000000" w:themeColor="text1"/>
          <w:sz w:val="20"/>
          <w:szCs w:val="20"/>
        </w:rPr>
        <w:t xml:space="preserve">Geographic distances reflect </w:t>
      </w:r>
      <w:r w:rsidRPr="00AE525E">
        <w:rPr>
          <w:rFonts w:ascii="Times New Roman" w:hAnsi="Times New Roman" w:cs="Times New Roman"/>
          <w:sz w:val="20"/>
          <w:szCs w:val="20"/>
        </w:rPr>
        <w:t>Least Cost Paths (LCPs); similar results were obtained using Euclidean distances (not shown).</w:t>
      </w:r>
    </w:p>
    <w:p w14:paraId="3BD62C55" w14:textId="2A3F5AC6" w:rsidR="00BB6185" w:rsidRDefault="006B2888" w:rsidP="00AE525E">
      <w:pPr>
        <w:rPr>
          <w:b/>
          <w:sz w:val="20"/>
          <w:szCs w:val="20"/>
        </w:rPr>
      </w:pPr>
      <w:r w:rsidRPr="00B15688">
        <w:rPr>
          <w:b/>
          <w:noProof/>
          <w:sz w:val="20"/>
          <w:szCs w:val="20"/>
        </w:rPr>
        <w:drawing>
          <wp:anchor distT="0" distB="0" distL="114300" distR="114300" simplePos="0" relativeHeight="251702272" behindDoc="0" locked="0" layoutInCell="1" allowOverlap="1" wp14:anchorId="2CDD5398" wp14:editId="392E3119">
            <wp:simplePos x="0" y="0"/>
            <wp:positionH relativeFrom="column">
              <wp:posOffset>0</wp:posOffset>
            </wp:positionH>
            <wp:positionV relativeFrom="paragraph">
              <wp:posOffset>135988</wp:posOffset>
            </wp:positionV>
            <wp:extent cx="5939155" cy="270573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gghybrid/Rplot02.pdf"/>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939155" cy="2705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4D1EE6" w14:textId="77777777" w:rsidR="00BB6185" w:rsidRDefault="00BB6185" w:rsidP="00AE525E">
      <w:pPr>
        <w:rPr>
          <w:b/>
          <w:sz w:val="20"/>
          <w:szCs w:val="20"/>
        </w:rPr>
      </w:pPr>
    </w:p>
    <w:p w14:paraId="7E2FE0F9" w14:textId="77777777" w:rsidR="006B2888" w:rsidRPr="006B2888" w:rsidRDefault="006B2888" w:rsidP="006B2888">
      <w:pPr>
        <w:rPr>
          <w:sz w:val="20"/>
          <w:szCs w:val="20"/>
        </w:rPr>
      </w:pPr>
    </w:p>
    <w:p w14:paraId="01ED8201" w14:textId="77777777" w:rsidR="006B2888" w:rsidRPr="006B2888" w:rsidRDefault="006B2888" w:rsidP="006B2888">
      <w:pPr>
        <w:rPr>
          <w:sz w:val="20"/>
          <w:szCs w:val="20"/>
        </w:rPr>
      </w:pPr>
    </w:p>
    <w:p w14:paraId="33127ECE" w14:textId="77777777" w:rsidR="006B2888" w:rsidRPr="006B2888" w:rsidRDefault="006B2888" w:rsidP="006B2888">
      <w:pPr>
        <w:rPr>
          <w:sz w:val="20"/>
          <w:szCs w:val="20"/>
        </w:rPr>
      </w:pPr>
    </w:p>
    <w:p w14:paraId="37E99B48" w14:textId="77777777" w:rsidR="006B2888" w:rsidRPr="006B2888" w:rsidRDefault="006B2888" w:rsidP="006B2888">
      <w:pPr>
        <w:rPr>
          <w:sz w:val="20"/>
          <w:szCs w:val="20"/>
        </w:rPr>
      </w:pPr>
    </w:p>
    <w:p w14:paraId="7739B94A" w14:textId="77777777" w:rsidR="006B2888" w:rsidRPr="006B2888" w:rsidRDefault="006B2888" w:rsidP="006B2888">
      <w:pPr>
        <w:rPr>
          <w:sz w:val="20"/>
          <w:szCs w:val="20"/>
        </w:rPr>
      </w:pPr>
    </w:p>
    <w:p w14:paraId="45EB47B5" w14:textId="77777777" w:rsidR="006B2888" w:rsidRPr="006B2888" w:rsidRDefault="006B2888" w:rsidP="006B2888">
      <w:pPr>
        <w:rPr>
          <w:sz w:val="20"/>
          <w:szCs w:val="20"/>
        </w:rPr>
      </w:pPr>
    </w:p>
    <w:p w14:paraId="78775BE4" w14:textId="77777777" w:rsidR="006B2888" w:rsidRPr="006B2888" w:rsidRDefault="006B2888" w:rsidP="006B2888">
      <w:pPr>
        <w:rPr>
          <w:sz w:val="20"/>
          <w:szCs w:val="20"/>
        </w:rPr>
      </w:pPr>
    </w:p>
    <w:p w14:paraId="212C4EE0" w14:textId="77777777" w:rsidR="006B2888" w:rsidRPr="006B2888" w:rsidRDefault="006B2888" w:rsidP="006B2888">
      <w:pPr>
        <w:rPr>
          <w:sz w:val="20"/>
          <w:szCs w:val="20"/>
        </w:rPr>
      </w:pPr>
    </w:p>
    <w:p w14:paraId="0340DC53" w14:textId="77777777" w:rsidR="006B2888" w:rsidRDefault="006B2888" w:rsidP="006B2888">
      <w:pPr>
        <w:jc w:val="both"/>
        <w:rPr>
          <w:rFonts w:ascii="Times New Roman" w:hAnsi="Times New Roman" w:cs="Times New Roman"/>
          <w:color w:val="000000" w:themeColor="text1"/>
          <w:sz w:val="20"/>
          <w:szCs w:val="20"/>
        </w:rPr>
      </w:pPr>
      <w:r w:rsidRPr="00AE525E">
        <w:rPr>
          <w:rFonts w:ascii="Times New Roman" w:hAnsi="Times New Roman" w:cs="Times New Roman"/>
          <w:b/>
          <w:sz w:val="20"/>
          <w:szCs w:val="20"/>
        </w:rPr>
        <w:t xml:space="preserve">Figure S6. Bayesian estimates of the Hybrid index (HI) estimated with gghybrid for each individual in all studied populations of </w:t>
      </w:r>
      <w:r w:rsidRPr="00AE525E">
        <w:rPr>
          <w:rFonts w:ascii="Times New Roman" w:hAnsi="Times New Roman" w:cs="Times New Roman"/>
          <w:b/>
          <w:i/>
          <w:sz w:val="20"/>
          <w:szCs w:val="20"/>
        </w:rPr>
        <w:t xml:space="preserve">L. </w:t>
      </w:r>
      <w:r w:rsidRPr="00AE525E">
        <w:rPr>
          <w:rFonts w:ascii="Times New Roman" w:hAnsi="Times New Roman" w:cs="Times New Roman"/>
          <w:b/>
          <w:i/>
          <w:color w:val="000000" w:themeColor="text1"/>
          <w:sz w:val="20"/>
          <w:szCs w:val="20"/>
        </w:rPr>
        <w:t>campechanus</w:t>
      </w:r>
      <w:r w:rsidRPr="00AE525E">
        <w:rPr>
          <w:rFonts w:ascii="Times New Roman" w:hAnsi="Times New Roman" w:cs="Times New Roman"/>
          <w:b/>
          <w:color w:val="000000" w:themeColor="text1"/>
          <w:sz w:val="20"/>
          <w:szCs w:val="20"/>
        </w:rPr>
        <w:t xml:space="preserve">, and </w:t>
      </w:r>
      <w:r w:rsidRPr="00AE525E">
        <w:rPr>
          <w:rFonts w:ascii="Times New Roman" w:hAnsi="Times New Roman" w:cs="Times New Roman"/>
          <w:b/>
          <w:i/>
          <w:color w:val="000000" w:themeColor="text1"/>
          <w:sz w:val="20"/>
          <w:szCs w:val="20"/>
        </w:rPr>
        <w:t>L. purpureus</w:t>
      </w:r>
      <w:r w:rsidRPr="00AE525E">
        <w:rPr>
          <w:rFonts w:ascii="Times New Roman" w:hAnsi="Times New Roman" w:cs="Times New Roman"/>
          <w:color w:val="000000" w:themeColor="text1"/>
          <w:sz w:val="20"/>
          <w:szCs w:val="20"/>
        </w:rPr>
        <w:t xml:space="preserve">. Red and blue points represent the parental reference sets of </w:t>
      </w:r>
      <w:r w:rsidRPr="00AE525E">
        <w:rPr>
          <w:rFonts w:ascii="Times New Roman" w:hAnsi="Times New Roman" w:cs="Times New Roman"/>
          <w:i/>
          <w:color w:val="000000" w:themeColor="text1"/>
          <w:sz w:val="20"/>
          <w:szCs w:val="20"/>
        </w:rPr>
        <w:t>L. campechanus</w:t>
      </w:r>
      <w:r w:rsidRPr="00AE525E">
        <w:rPr>
          <w:rFonts w:ascii="Times New Roman" w:hAnsi="Times New Roman" w:cs="Times New Roman"/>
          <w:color w:val="000000" w:themeColor="text1"/>
          <w:sz w:val="20"/>
          <w:szCs w:val="20"/>
        </w:rPr>
        <w:t xml:space="preserve"> (Florida-Apalachicola) and </w:t>
      </w:r>
      <w:r w:rsidRPr="00AE525E">
        <w:rPr>
          <w:rFonts w:ascii="Times New Roman" w:hAnsi="Times New Roman" w:cs="Times New Roman"/>
          <w:i/>
          <w:color w:val="000000" w:themeColor="text1"/>
          <w:sz w:val="20"/>
          <w:szCs w:val="20"/>
        </w:rPr>
        <w:t xml:space="preserve">L. purpureus </w:t>
      </w:r>
      <w:r w:rsidRPr="00AE525E">
        <w:rPr>
          <w:rFonts w:ascii="Times New Roman" w:hAnsi="Times New Roman" w:cs="Times New Roman"/>
          <w:color w:val="000000" w:themeColor="text1"/>
          <w:sz w:val="20"/>
          <w:szCs w:val="20"/>
        </w:rPr>
        <w:t xml:space="preserve">(Fortaleza-Salvador), respectively. Individuals are color-coded according to their corresponding population. Population codes on the upper left corner correspond to abbreviations given in Table S1. Points indicate HI estimated values, where 0.0 denotes pure </w:t>
      </w:r>
      <w:r w:rsidRPr="00AE525E">
        <w:rPr>
          <w:rFonts w:ascii="Times New Roman" w:hAnsi="Times New Roman" w:cs="Times New Roman"/>
          <w:i/>
          <w:color w:val="000000" w:themeColor="text1"/>
          <w:sz w:val="20"/>
          <w:szCs w:val="20"/>
        </w:rPr>
        <w:t xml:space="preserve">L. campechanus </w:t>
      </w:r>
      <w:r w:rsidRPr="00AE525E">
        <w:rPr>
          <w:rFonts w:ascii="Times New Roman" w:hAnsi="Times New Roman" w:cs="Times New Roman"/>
          <w:color w:val="000000" w:themeColor="text1"/>
          <w:sz w:val="20"/>
          <w:szCs w:val="20"/>
        </w:rPr>
        <w:t xml:space="preserve">individuals and 1.0 denotes pure </w:t>
      </w:r>
      <w:r w:rsidRPr="00AE525E">
        <w:rPr>
          <w:rFonts w:ascii="Times New Roman" w:hAnsi="Times New Roman" w:cs="Times New Roman"/>
          <w:i/>
          <w:color w:val="000000" w:themeColor="text1"/>
          <w:sz w:val="20"/>
          <w:szCs w:val="20"/>
        </w:rPr>
        <w:t>L. purpureus</w:t>
      </w:r>
      <w:r w:rsidRPr="00AE525E">
        <w:rPr>
          <w:rFonts w:ascii="Times New Roman" w:hAnsi="Times New Roman" w:cs="Times New Roman"/>
          <w:color w:val="000000" w:themeColor="text1"/>
          <w:sz w:val="20"/>
          <w:szCs w:val="20"/>
        </w:rPr>
        <w:t xml:space="preserve"> individuals; lines represent 95% credibility interval</w:t>
      </w:r>
      <w:r>
        <w:rPr>
          <w:rFonts w:ascii="Times New Roman" w:hAnsi="Times New Roman" w:cs="Times New Roman"/>
          <w:color w:val="000000" w:themeColor="text1"/>
          <w:sz w:val="20"/>
          <w:szCs w:val="20"/>
        </w:rPr>
        <w:t>.</w:t>
      </w:r>
    </w:p>
    <w:p w14:paraId="436C9E2E" w14:textId="77777777" w:rsidR="006B2888" w:rsidRDefault="006B2888" w:rsidP="006B2888">
      <w:pPr>
        <w:jc w:val="both"/>
        <w:rPr>
          <w:rFonts w:ascii="Times New Roman" w:hAnsi="Times New Roman" w:cs="Times New Roman"/>
          <w:color w:val="000000" w:themeColor="text1"/>
          <w:sz w:val="20"/>
          <w:szCs w:val="20"/>
        </w:rPr>
      </w:pPr>
    </w:p>
    <w:p w14:paraId="3B5EC5DA" w14:textId="77777777" w:rsidR="006B2888" w:rsidRDefault="006B2888" w:rsidP="006B2888">
      <w:pPr>
        <w:jc w:val="both"/>
        <w:rPr>
          <w:rFonts w:ascii="Times New Roman" w:hAnsi="Times New Roman" w:cs="Times New Roman"/>
          <w:color w:val="000000" w:themeColor="text1"/>
          <w:sz w:val="20"/>
          <w:szCs w:val="20"/>
        </w:rPr>
      </w:pPr>
    </w:p>
    <w:p w14:paraId="52E5B21A" w14:textId="465F6FD5" w:rsidR="006B2888" w:rsidRPr="006B2888" w:rsidRDefault="006B2888" w:rsidP="006B2888">
      <w:pPr>
        <w:rPr>
          <w:rFonts w:ascii="Times New Roman" w:hAnsi="Times New Roman" w:cs="Times New Roman"/>
          <w:b/>
          <w:sz w:val="24"/>
          <w:szCs w:val="24"/>
        </w:rPr>
      </w:pPr>
      <w:r w:rsidRPr="006B2888">
        <w:rPr>
          <w:rFonts w:ascii="Times New Roman" w:hAnsi="Times New Roman" w:cs="Times New Roman"/>
          <w:b/>
          <w:sz w:val="24"/>
          <w:szCs w:val="24"/>
        </w:rPr>
        <w:t>Table S1. Sampling localities</w:t>
      </w:r>
    </w:p>
    <w:tbl>
      <w:tblPr>
        <w:tblW w:w="9360" w:type="dxa"/>
        <w:tblLayout w:type="fixed"/>
        <w:tblLook w:val="04A0" w:firstRow="1" w:lastRow="0" w:firstColumn="1" w:lastColumn="0" w:noHBand="0" w:noVBand="1"/>
      </w:tblPr>
      <w:tblGrid>
        <w:gridCol w:w="1710"/>
        <w:gridCol w:w="2610"/>
        <w:gridCol w:w="1170"/>
        <w:gridCol w:w="2340"/>
        <w:gridCol w:w="1530"/>
      </w:tblGrid>
      <w:tr w:rsidR="006B2888" w:rsidRPr="00AE525E" w14:paraId="790CB096" w14:textId="77777777" w:rsidTr="006B2888">
        <w:trPr>
          <w:trHeight w:val="340"/>
        </w:trPr>
        <w:tc>
          <w:tcPr>
            <w:tcW w:w="1710" w:type="dxa"/>
            <w:tcBorders>
              <w:top w:val="nil"/>
              <w:left w:val="nil"/>
              <w:bottom w:val="single" w:sz="8" w:space="0" w:color="auto"/>
              <w:right w:val="nil"/>
            </w:tcBorders>
            <w:shd w:val="clear" w:color="auto" w:fill="auto"/>
            <w:noWrap/>
            <w:vAlign w:val="bottom"/>
            <w:hideMark/>
          </w:tcPr>
          <w:p w14:paraId="269D6122" w14:textId="77777777" w:rsidR="006B2888" w:rsidRPr="00AE525E" w:rsidRDefault="006B2888" w:rsidP="00031031">
            <w:pPr>
              <w:rPr>
                <w:rFonts w:ascii="Times New Roman" w:eastAsia="Times New Roman" w:hAnsi="Times New Roman" w:cs="Times New Roman"/>
                <w:color w:val="000000"/>
              </w:rPr>
            </w:pPr>
          </w:p>
        </w:tc>
        <w:tc>
          <w:tcPr>
            <w:tcW w:w="2610" w:type="dxa"/>
            <w:tcBorders>
              <w:top w:val="nil"/>
              <w:left w:val="nil"/>
              <w:bottom w:val="single" w:sz="8" w:space="0" w:color="auto"/>
              <w:right w:val="nil"/>
            </w:tcBorders>
            <w:shd w:val="clear" w:color="auto" w:fill="auto"/>
            <w:noWrap/>
            <w:vAlign w:val="bottom"/>
            <w:hideMark/>
          </w:tcPr>
          <w:p w14:paraId="7EA4163C"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1170" w:type="dxa"/>
            <w:tcBorders>
              <w:top w:val="nil"/>
              <w:left w:val="nil"/>
              <w:bottom w:val="single" w:sz="8" w:space="0" w:color="auto"/>
              <w:right w:val="nil"/>
            </w:tcBorders>
            <w:shd w:val="clear" w:color="auto" w:fill="auto"/>
            <w:noWrap/>
            <w:vAlign w:val="bottom"/>
            <w:hideMark/>
          </w:tcPr>
          <w:p w14:paraId="77F60789"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2340" w:type="dxa"/>
            <w:tcBorders>
              <w:top w:val="nil"/>
              <w:left w:val="nil"/>
              <w:bottom w:val="single" w:sz="8" w:space="0" w:color="auto"/>
              <w:right w:val="nil"/>
            </w:tcBorders>
            <w:shd w:val="clear" w:color="auto" w:fill="auto"/>
            <w:noWrap/>
            <w:vAlign w:val="bottom"/>
            <w:hideMark/>
          </w:tcPr>
          <w:p w14:paraId="348C09D5"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1530" w:type="dxa"/>
            <w:tcBorders>
              <w:top w:val="nil"/>
              <w:left w:val="nil"/>
              <w:bottom w:val="single" w:sz="8" w:space="0" w:color="auto"/>
              <w:right w:val="nil"/>
            </w:tcBorders>
            <w:shd w:val="clear" w:color="auto" w:fill="auto"/>
            <w:noWrap/>
            <w:vAlign w:val="bottom"/>
            <w:hideMark/>
          </w:tcPr>
          <w:p w14:paraId="7B61FBFA"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r>
      <w:tr w:rsidR="006B2888" w:rsidRPr="00AE525E" w14:paraId="10B3863A" w14:textId="77777777" w:rsidTr="006B2888">
        <w:trPr>
          <w:trHeight w:val="580"/>
        </w:trPr>
        <w:tc>
          <w:tcPr>
            <w:tcW w:w="1710" w:type="dxa"/>
            <w:tcBorders>
              <w:top w:val="nil"/>
              <w:left w:val="nil"/>
              <w:bottom w:val="nil"/>
              <w:right w:val="nil"/>
            </w:tcBorders>
            <w:shd w:val="clear" w:color="auto" w:fill="auto"/>
            <w:vAlign w:val="center"/>
            <w:hideMark/>
          </w:tcPr>
          <w:p w14:paraId="76DF539D" w14:textId="77777777" w:rsidR="006B2888" w:rsidRPr="00AE525E" w:rsidRDefault="006B2888" w:rsidP="00031031">
            <w:pPr>
              <w:rPr>
                <w:rFonts w:ascii="Times New Roman" w:eastAsia="Times New Roman" w:hAnsi="Times New Roman" w:cs="Times New Roman"/>
                <w:b/>
                <w:bCs/>
                <w:color w:val="000000"/>
                <w:sz w:val="20"/>
                <w:szCs w:val="20"/>
              </w:rPr>
            </w:pPr>
            <w:r w:rsidRPr="00AE525E">
              <w:rPr>
                <w:rFonts w:ascii="Times New Roman" w:eastAsia="Times New Roman" w:hAnsi="Times New Roman" w:cs="Times New Roman"/>
                <w:b/>
                <w:bCs/>
                <w:color w:val="000000"/>
                <w:sz w:val="20"/>
                <w:szCs w:val="20"/>
              </w:rPr>
              <w:t>Population abbreviation</w:t>
            </w:r>
          </w:p>
        </w:tc>
        <w:tc>
          <w:tcPr>
            <w:tcW w:w="2610" w:type="dxa"/>
            <w:tcBorders>
              <w:top w:val="nil"/>
              <w:left w:val="nil"/>
              <w:bottom w:val="nil"/>
              <w:right w:val="nil"/>
            </w:tcBorders>
            <w:shd w:val="clear" w:color="auto" w:fill="auto"/>
            <w:vAlign w:val="center"/>
            <w:hideMark/>
          </w:tcPr>
          <w:p w14:paraId="7097A83E" w14:textId="77777777" w:rsidR="006B2888" w:rsidRPr="00AE525E" w:rsidRDefault="006B2888" w:rsidP="00031031">
            <w:pPr>
              <w:rPr>
                <w:rFonts w:ascii="Times New Roman" w:eastAsia="Times New Roman" w:hAnsi="Times New Roman" w:cs="Times New Roman"/>
                <w:b/>
                <w:bCs/>
                <w:color w:val="000000"/>
                <w:sz w:val="20"/>
                <w:szCs w:val="20"/>
              </w:rPr>
            </w:pPr>
            <w:r w:rsidRPr="00AE525E">
              <w:rPr>
                <w:rFonts w:ascii="Times New Roman" w:eastAsia="Times New Roman" w:hAnsi="Times New Roman" w:cs="Times New Roman"/>
                <w:b/>
                <w:bCs/>
                <w:color w:val="000000"/>
                <w:sz w:val="20"/>
                <w:szCs w:val="20"/>
              </w:rPr>
              <w:t>Locality</w:t>
            </w:r>
          </w:p>
        </w:tc>
        <w:tc>
          <w:tcPr>
            <w:tcW w:w="1170" w:type="dxa"/>
            <w:tcBorders>
              <w:top w:val="nil"/>
              <w:left w:val="nil"/>
              <w:bottom w:val="nil"/>
              <w:right w:val="nil"/>
            </w:tcBorders>
            <w:shd w:val="clear" w:color="auto" w:fill="auto"/>
            <w:vAlign w:val="center"/>
            <w:hideMark/>
          </w:tcPr>
          <w:p w14:paraId="051E3642" w14:textId="77777777" w:rsidR="006B2888" w:rsidRPr="00AE525E" w:rsidRDefault="006B2888" w:rsidP="00031031">
            <w:pPr>
              <w:rPr>
                <w:rFonts w:ascii="Times New Roman" w:eastAsia="Times New Roman" w:hAnsi="Times New Roman" w:cs="Times New Roman"/>
                <w:b/>
                <w:bCs/>
                <w:color w:val="000000"/>
                <w:sz w:val="20"/>
                <w:szCs w:val="20"/>
              </w:rPr>
            </w:pPr>
            <w:r w:rsidRPr="00AE525E">
              <w:rPr>
                <w:rFonts w:ascii="Times New Roman" w:eastAsia="Times New Roman" w:hAnsi="Times New Roman" w:cs="Times New Roman"/>
                <w:b/>
                <w:bCs/>
                <w:color w:val="000000"/>
                <w:sz w:val="20"/>
                <w:szCs w:val="20"/>
              </w:rPr>
              <w:t>Country</w:t>
            </w:r>
          </w:p>
        </w:tc>
        <w:tc>
          <w:tcPr>
            <w:tcW w:w="2340" w:type="dxa"/>
            <w:tcBorders>
              <w:top w:val="nil"/>
              <w:left w:val="nil"/>
              <w:bottom w:val="nil"/>
              <w:right w:val="nil"/>
            </w:tcBorders>
            <w:shd w:val="clear" w:color="auto" w:fill="auto"/>
            <w:vAlign w:val="center"/>
            <w:hideMark/>
          </w:tcPr>
          <w:p w14:paraId="73142C75" w14:textId="77777777" w:rsidR="006B2888" w:rsidRPr="00AE525E" w:rsidRDefault="006B2888" w:rsidP="00031031">
            <w:pPr>
              <w:rPr>
                <w:rFonts w:ascii="Times New Roman" w:eastAsia="Times New Roman" w:hAnsi="Times New Roman" w:cs="Times New Roman"/>
                <w:b/>
                <w:bCs/>
                <w:color w:val="000000"/>
                <w:sz w:val="20"/>
                <w:szCs w:val="20"/>
              </w:rPr>
            </w:pPr>
            <w:r w:rsidRPr="00AE525E">
              <w:rPr>
                <w:rFonts w:ascii="Times New Roman" w:eastAsia="Times New Roman" w:hAnsi="Times New Roman" w:cs="Times New Roman"/>
                <w:b/>
                <w:bCs/>
                <w:color w:val="000000"/>
                <w:sz w:val="20"/>
                <w:szCs w:val="20"/>
              </w:rPr>
              <w:t>Geographic coordinates</w:t>
            </w:r>
          </w:p>
        </w:tc>
        <w:tc>
          <w:tcPr>
            <w:tcW w:w="1530" w:type="dxa"/>
            <w:tcBorders>
              <w:top w:val="nil"/>
              <w:left w:val="nil"/>
              <w:bottom w:val="nil"/>
              <w:right w:val="nil"/>
            </w:tcBorders>
            <w:shd w:val="clear" w:color="auto" w:fill="auto"/>
            <w:vAlign w:val="center"/>
            <w:hideMark/>
          </w:tcPr>
          <w:p w14:paraId="67FA8454" w14:textId="77777777" w:rsidR="006B2888" w:rsidRPr="00AE525E" w:rsidRDefault="006B2888" w:rsidP="00031031">
            <w:pPr>
              <w:rPr>
                <w:rFonts w:ascii="Times New Roman" w:eastAsia="Times New Roman" w:hAnsi="Times New Roman" w:cs="Times New Roman"/>
                <w:b/>
                <w:bCs/>
                <w:color w:val="000000"/>
                <w:sz w:val="20"/>
                <w:szCs w:val="20"/>
              </w:rPr>
            </w:pPr>
            <w:r w:rsidRPr="00AE525E">
              <w:rPr>
                <w:rFonts w:ascii="Times New Roman" w:eastAsia="Times New Roman" w:hAnsi="Times New Roman" w:cs="Times New Roman"/>
                <w:b/>
                <w:bCs/>
                <w:color w:val="000000"/>
                <w:sz w:val="20"/>
                <w:szCs w:val="20"/>
              </w:rPr>
              <w:t>Number of individuals</w:t>
            </w:r>
          </w:p>
        </w:tc>
      </w:tr>
      <w:tr w:rsidR="006B2888" w:rsidRPr="00AE525E" w14:paraId="3EFD7DE7" w14:textId="77777777" w:rsidTr="006B2888">
        <w:trPr>
          <w:trHeight w:val="340"/>
        </w:trPr>
        <w:tc>
          <w:tcPr>
            <w:tcW w:w="9360" w:type="dxa"/>
            <w:gridSpan w:val="5"/>
            <w:tcBorders>
              <w:top w:val="single" w:sz="8" w:space="0" w:color="auto"/>
              <w:left w:val="nil"/>
              <w:bottom w:val="single" w:sz="8" w:space="0" w:color="auto"/>
              <w:right w:val="nil"/>
            </w:tcBorders>
            <w:shd w:val="clear" w:color="auto" w:fill="auto"/>
            <w:vAlign w:val="center"/>
            <w:hideMark/>
          </w:tcPr>
          <w:p w14:paraId="52310E46" w14:textId="77777777" w:rsidR="006B2888" w:rsidRPr="00AE525E" w:rsidRDefault="006B2888" w:rsidP="00031031">
            <w:pPr>
              <w:rPr>
                <w:rFonts w:ascii="Times New Roman" w:eastAsia="Times New Roman" w:hAnsi="Times New Roman" w:cs="Times New Roman"/>
                <w:b/>
                <w:bCs/>
                <w:i/>
                <w:iCs/>
                <w:color w:val="000000"/>
                <w:sz w:val="20"/>
                <w:szCs w:val="20"/>
              </w:rPr>
            </w:pPr>
            <w:r w:rsidRPr="00AE525E">
              <w:rPr>
                <w:rFonts w:ascii="Times New Roman" w:eastAsia="Times New Roman" w:hAnsi="Times New Roman" w:cs="Times New Roman"/>
                <w:b/>
                <w:bCs/>
                <w:i/>
                <w:iCs/>
                <w:color w:val="000000"/>
                <w:sz w:val="20"/>
                <w:szCs w:val="20"/>
              </w:rPr>
              <w:t>Lutjanus campechanus</w:t>
            </w:r>
          </w:p>
        </w:tc>
      </w:tr>
      <w:tr w:rsidR="006B2888" w:rsidRPr="00AE525E" w14:paraId="38326646" w14:textId="77777777" w:rsidTr="006B2888">
        <w:trPr>
          <w:trHeight w:val="320"/>
        </w:trPr>
        <w:tc>
          <w:tcPr>
            <w:tcW w:w="1710" w:type="dxa"/>
            <w:tcBorders>
              <w:top w:val="nil"/>
              <w:left w:val="nil"/>
              <w:bottom w:val="nil"/>
              <w:right w:val="nil"/>
            </w:tcBorders>
            <w:shd w:val="clear" w:color="auto" w:fill="auto"/>
            <w:vAlign w:val="center"/>
            <w:hideMark/>
          </w:tcPr>
          <w:p w14:paraId="1DD3E508"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FLO</w:t>
            </w:r>
          </w:p>
        </w:tc>
        <w:tc>
          <w:tcPr>
            <w:tcW w:w="2610" w:type="dxa"/>
            <w:tcBorders>
              <w:top w:val="nil"/>
              <w:left w:val="nil"/>
              <w:bottom w:val="nil"/>
              <w:right w:val="nil"/>
            </w:tcBorders>
            <w:shd w:val="clear" w:color="auto" w:fill="auto"/>
            <w:vAlign w:val="center"/>
            <w:hideMark/>
          </w:tcPr>
          <w:p w14:paraId="65061CC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West of Florida, Florida</w:t>
            </w:r>
          </w:p>
        </w:tc>
        <w:tc>
          <w:tcPr>
            <w:tcW w:w="1170" w:type="dxa"/>
            <w:tcBorders>
              <w:top w:val="nil"/>
              <w:left w:val="nil"/>
              <w:bottom w:val="nil"/>
              <w:right w:val="nil"/>
            </w:tcBorders>
            <w:shd w:val="clear" w:color="auto" w:fill="auto"/>
            <w:vAlign w:val="center"/>
            <w:hideMark/>
          </w:tcPr>
          <w:p w14:paraId="368AD2F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USA</w:t>
            </w:r>
          </w:p>
        </w:tc>
        <w:tc>
          <w:tcPr>
            <w:tcW w:w="2340" w:type="dxa"/>
            <w:tcBorders>
              <w:top w:val="nil"/>
              <w:left w:val="nil"/>
              <w:bottom w:val="nil"/>
              <w:right w:val="nil"/>
            </w:tcBorders>
            <w:shd w:val="clear" w:color="auto" w:fill="auto"/>
            <w:vAlign w:val="center"/>
            <w:hideMark/>
          </w:tcPr>
          <w:p w14:paraId="06CC0AF3"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27.1666°N -83.3833°W</w:t>
            </w:r>
          </w:p>
        </w:tc>
        <w:tc>
          <w:tcPr>
            <w:tcW w:w="1530" w:type="dxa"/>
            <w:tcBorders>
              <w:top w:val="nil"/>
              <w:left w:val="nil"/>
              <w:bottom w:val="nil"/>
              <w:right w:val="nil"/>
            </w:tcBorders>
            <w:shd w:val="clear" w:color="auto" w:fill="auto"/>
            <w:vAlign w:val="center"/>
            <w:hideMark/>
          </w:tcPr>
          <w:p w14:paraId="5CCCCF1D"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18</w:t>
            </w:r>
          </w:p>
        </w:tc>
      </w:tr>
      <w:tr w:rsidR="006B2888" w:rsidRPr="00AE525E" w14:paraId="730B39D1" w14:textId="77777777" w:rsidTr="006B2888">
        <w:trPr>
          <w:trHeight w:val="320"/>
        </w:trPr>
        <w:tc>
          <w:tcPr>
            <w:tcW w:w="1710" w:type="dxa"/>
            <w:tcBorders>
              <w:top w:val="nil"/>
              <w:left w:val="nil"/>
              <w:bottom w:val="nil"/>
              <w:right w:val="nil"/>
            </w:tcBorders>
            <w:shd w:val="clear" w:color="auto" w:fill="auto"/>
            <w:vAlign w:val="center"/>
            <w:hideMark/>
          </w:tcPr>
          <w:p w14:paraId="008A6400"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APA</w:t>
            </w:r>
          </w:p>
        </w:tc>
        <w:tc>
          <w:tcPr>
            <w:tcW w:w="2610" w:type="dxa"/>
            <w:tcBorders>
              <w:top w:val="nil"/>
              <w:left w:val="nil"/>
              <w:bottom w:val="nil"/>
              <w:right w:val="nil"/>
            </w:tcBorders>
            <w:shd w:val="clear" w:color="auto" w:fill="auto"/>
            <w:vAlign w:val="center"/>
            <w:hideMark/>
          </w:tcPr>
          <w:p w14:paraId="582AFBF0"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Apalachicola, Florida</w:t>
            </w:r>
          </w:p>
        </w:tc>
        <w:tc>
          <w:tcPr>
            <w:tcW w:w="1170" w:type="dxa"/>
            <w:tcBorders>
              <w:top w:val="nil"/>
              <w:left w:val="nil"/>
              <w:bottom w:val="nil"/>
              <w:right w:val="nil"/>
            </w:tcBorders>
            <w:shd w:val="clear" w:color="auto" w:fill="auto"/>
            <w:vAlign w:val="center"/>
            <w:hideMark/>
          </w:tcPr>
          <w:p w14:paraId="040FF8EA"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USA</w:t>
            </w:r>
          </w:p>
        </w:tc>
        <w:tc>
          <w:tcPr>
            <w:tcW w:w="2340" w:type="dxa"/>
            <w:tcBorders>
              <w:top w:val="nil"/>
              <w:left w:val="nil"/>
              <w:bottom w:val="nil"/>
              <w:right w:val="nil"/>
            </w:tcBorders>
            <w:shd w:val="clear" w:color="auto" w:fill="auto"/>
            <w:vAlign w:val="center"/>
            <w:hideMark/>
          </w:tcPr>
          <w:p w14:paraId="73CCD5F6"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28.7900°N -85.1635°W</w:t>
            </w:r>
          </w:p>
        </w:tc>
        <w:tc>
          <w:tcPr>
            <w:tcW w:w="1530" w:type="dxa"/>
            <w:tcBorders>
              <w:top w:val="nil"/>
              <w:left w:val="nil"/>
              <w:bottom w:val="nil"/>
              <w:right w:val="nil"/>
            </w:tcBorders>
            <w:shd w:val="clear" w:color="auto" w:fill="auto"/>
            <w:vAlign w:val="center"/>
            <w:hideMark/>
          </w:tcPr>
          <w:p w14:paraId="14393DF9"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18</w:t>
            </w:r>
          </w:p>
        </w:tc>
      </w:tr>
      <w:tr w:rsidR="006B2888" w:rsidRPr="00AE525E" w14:paraId="07CA64E5" w14:textId="77777777" w:rsidTr="006B2888">
        <w:trPr>
          <w:trHeight w:val="320"/>
        </w:trPr>
        <w:tc>
          <w:tcPr>
            <w:tcW w:w="1710" w:type="dxa"/>
            <w:tcBorders>
              <w:top w:val="nil"/>
              <w:left w:val="nil"/>
              <w:bottom w:val="nil"/>
              <w:right w:val="nil"/>
            </w:tcBorders>
            <w:shd w:val="clear" w:color="auto" w:fill="auto"/>
            <w:vAlign w:val="center"/>
            <w:hideMark/>
          </w:tcPr>
          <w:p w14:paraId="10B60841"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ALA</w:t>
            </w:r>
          </w:p>
        </w:tc>
        <w:tc>
          <w:tcPr>
            <w:tcW w:w="2610" w:type="dxa"/>
            <w:tcBorders>
              <w:top w:val="nil"/>
              <w:left w:val="nil"/>
              <w:bottom w:val="nil"/>
              <w:right w:val="nil"/>
            </w:tcBorders>
            <w:shd w:val="clear" w:color="auto" w:fill="auto"/>
            <w:vAlign w:val="center"/>
            <w:hideMark/>
          </w:tcPr>
          <w:p w14:paraId="32676CD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Dauphin Island, Alabama</w:t>
            </w:r>
          </w:p>
        </w:tc>
        <w:tc>
          <w:tcPr>
            <w:tcW w:w="1170" w:type="dxa"/>
            <w:tcBorders>
              <w:top w:val="nil"/>
              <w:left w:val="nil"/>
              <w:bottom w:val="nil"/>
              <w:right w:val="nil"/>
            </w:tcBorders>
            <w:shd w:val="clear" w:color="auto" w:fill="auto"/>
            <w:vAlign w:val="center"/>
            <w:hideMark/>
          </w:tcPr>
          <w:p w14:paraId="44C876E3"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USA</w:t>
            </w:r>
          </w:p>
        </w:tc>
        <w:tc>
          <w:tcPr>
            <w:tcW w:w="2340" w:type="dxa"/>
            <w:tcBorders>
              <w:top w:val="nil"/>
              <w:left w:val="nil"/>
              <w:bottom w:val="nil"/>
              <w:right w:val="nil"/>
            </w:tcBorders>
            <w:shd w:val="clear" w:color="auto" w:fill="auto"/>
            <w:vAlign w:val="center"/>
            <w:hideMark/>
          </w:tcPr>
          <w:p w14:paraId="5985AE11"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29.7836°N -88.0732°W</w:t>
            </w:r>
          </w:p>
        </w:tc>
        <w:tc>
          <w:tcPr>
            <w:tcW w:w="1530" w:type="dxa"/>
            <w:tcBorders>
              <w:top w:val="nil"/>
              <w:left w:val="nil"/>
              <w:bottom w:val="nil"/>
              <w:right w:val="nil"/>
            </w:tcBorders>
            <w:shd w:val="clear" w:color="auto" w:fill="auto"/>
            <w:vAlign w:val="center"/>
            <w:hideMark/>
          </w:tcPr>
          <w:p w14:paraId="7873A694"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18</w:t>
            </w:r>
          </w:p>
        </w:tc>
      </w:tr>
      <w:tr w:rsidR="006B2888" w:rsidRPr="00AE525E" w14:paraId="353816F2" w14:textId="77777777" w:rsidTr="006B2888">
        <w:trPr>
          <w:trHeight w:val="320"/>
        </w:trPr>
        <w:tc>
          <w:tcPr>
            <w:tcW w:w="1710" w:type="dxa"/>
            <w:tcBorders>
              <w:top w:val="nil"/>
              <w:left w:val="nil"/>
              <w:bottom w:val="nil"/>
              <w:right w:val="nil"/>
            </w:tcBorders>
            <w:shd w:val="clear" w:color="auto" w:fill="auto"/>
            <w:vAlign w:val="center"/>
            <w:hideMark/>
          </w:tcPr>
          <w:p w14:paraId="7A8D52AB"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LOU</w:t>
            </w:r>
          </w:p>
        </w:tc>
        <w:tc>
          <w:tcPr>
            <w:tcW w:w="2610" w:type="dxa"/>
            <w:tcBorders>
              <w:top w:val="nil"/>
              <w:left w:val="nil"/>
              <w:bottom w:val="nil"/>
              <w:right w:val="nil"/>
            </w:tcBorders>
            <w:shd w:val="clear" w:color="auto" w:fill="auto"/>
            <w:vAlign w:val="center"/>
            <w:hideMark/>
          </w:tcPr>
          <w:p w14:paraId="1AA97424"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Louisiana</w:t>
            </w:r>
          </w:p>
        </w:tc>
        <w:tc>
          <w:tcPr>
            <w:tcW w:w="1170" w:type="dxa"/>
            <w:tcBorders>
              <w:top w:val="nil"/>
              <w:left w:val="nil"/>
              <w:bottom w:val="nil"/>
              <w:right w:val="nil"/>
            </w:tcBorders>
            <w:shd w:val="clear" w:color="auto" w:fill="auto"/>
            <w:vAlign w:val="center"/>
            <w:hideMark/>
          </w:tcPr>
          <w:p w14:paraId="71D95308"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USA</w:t>
            </w:r>
          </w:p>
        </w:tc>
        <w:tc>
          <w:tcPr>
            <w:tcW w:w="2340" w:type="dxa"/>
            <w:tcBorders>
              <w:top w:val="nil"/>
              <w:left w:val="nil"/>
              <w:bottom w:val="nil"/>
              <w:right w:val="nil"/>
            </w:tcBorders>
            <w:shd w:val="clear" w:color="auto" w:fill="auto"/>
            <w:vAlign w:val="center"/>
            <w:hideMark/>
          </w:tcPr>
          <w:p w14:paraId="39533E76"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28.2443°N -91.4573°W</w:t>
            </w:r>
          </w:p>
        </w:tc>
        <w:tc>
          <w:tcPr>
            <w:tcW w:w="1530" w:type="dxa"/>
            <w:tcBorders>
              <w:top w:val="nil"/>
              <w:left w:val="nil"/>
              <w:bottom w:val="nil"/>
              <w:right w:val="nil"/>
            </w:tcBorders>
            <w:shd w:val="clear" w:color="auto" w:fill="auto"/>
            <w:vAlign w:val="center"/>
            <w:hideMark/>
          </w:tcPr>
          <w:p w14:paraId="499005B7"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17</w:t>
            </w:r>
          </w:p>
        </w:tc>
      </w:tr>
      <w:tr w:rsidR="006B2888" w:rsidRPr="00AE525E" w14:paraId="7F722E7A" w14:textId="77777777" w:rsidTr="006B2888">
        <w:trPr>
          <w:trHeight w:val="560"/>
        </w:trPr>
        <w:tc>
          <w:tcPr>
            <w:tcW w:w="1710" w:type="dxa"/>
            <w:tcBorders>
              <w:top w:val="nil"/>
              <w:left w:val="nil"/>
              <w:bottom w:val="nil"/>
              <w:right w:val="nil"/>
            </w:tcBorders>
            <w:shd w:val="clear" w:color="auto" w:fill="auto"/>
            <w:vAlign w:val="center"/>
            <w:hideMark/>
          </w:tcPr>
          <w:p w14:paraId="43D5171C"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TUX</w:t>
            </w:r>
          </w:p>
        </w:tc>
        <w:tc>
          <w:tcPr>
            <w:tcW w:w="2610" w:type="dxa"/>
            <w:tcBorders>
              <w:top w:val="nil"/>
              <w:left w:val="nil"/>
              <w:bottom w:val="nil"/>
              <w:right w:val="nil"/>
            </w:tcBorders>
            <w:shd w:val="clear" w:color="auto" w:fill="auto"/>
            <w:vAlign w:val="center"/>
            <w:hideMark/>
          </w:tcPr>
          <w:p w14:paraId="60E454CD"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Puerto de Tuxpan, Veracruz</w:t>
            </w:r>
          </w:p>
        </w:tc>
        <w:tc>
          <w:tcPr>
            <w:tcW w:w="1170" w:type="dxa"/>
            <w:tcBorders>
              <w:top w:val="nil"/>
              <w:left w:val="nil"/>
              <w:bottom w:val="nil"/>
              <w:right w:val="nil"/>
            </w:tcBorders>
            <w:shd w:val="clear" w:color="auto" w:fill="auto"/>
            <w:vAlign w:val="center"/>
            <w:hideMark/>
          </w:tcPr>
          <w:p w14:paraId="32962F30"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Mexico</w:t>
            </w:r>
          </w:p>
        </w:tc>
        <w:tc>
          <w:tcPr>
            <w:tcW w:w="2340" w:type="dxa"/>
            <w:tcBorders>
              <w:top w:val="nil"/>
              <w:left w:val="nil"/>
              <w:bottom w:val="nil"/>
              <w:right w:val="nil"/>
            </w:tcBorders>
            <w:shd w:val="clear" w:color="auto" w:fill="auto"/>
            <w:vAlign w:val="center"/>
            <w:hideMark/>
          </w:tcPr>
          <w:p w14:paraId="469D21CC"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21.0544°N -97.1926°W</w:t>
            </w:r>
          </w:p>
        </w:tc>
        <w:tc>
          <w:tcPr>
            <w:tcW w:w="1530" w:type="dxa"/>
            <w:tcBorders>
              <w:top w:val="nil"/>
              <w:left w:val="nil"/>
              <w:bottom w:val="nil"/>
              <w:right w:val="nil"/>
            </w:tcBorders>
            <w:shd w:val="clear" w:color="auto" w:fill="auto"/>
            <w:vAlign w:val="center"/>
            <w:hideMark/>
          </w:tcPr>
          <w:p w14:paraId="15267564"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3</w:t>
            </w:r>
          </w:p>
        </w:tc>
      </w:tr>
      <w:tr w:rsidR="006B2888" w:rsidRPr="00AE525E" w14:paraId="07C4BEF3" w14:textId="77777777" w:rsidTr="006B2888">
        <w:trPr>
          <w:trHeight w:val="560"/>
        </w:trPr>
        <w:tc>
          <w:tcPr>
            <w:tcW w:w="1710" w:type="dxa"/>
            <w:tcBorders>
              <w:top w:val="nil"/>
              <w:left w:val="nil"/>
              <w:bottom w:val="nil"/>
              <w:right w:val="nil"/>
            </w:tcBorders>
            <w:shd w:val="clear" w:color="auto" w:fill="auto"/>
            <w:vAlign w:val="center"/>
            <w:hideMark/>
          </w:tcPr>
          <w:p w14:paraId="5A6E0484"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VER</w:t>
            </w:r>
          </w:p>
        </w:tc>
        <w:tc>
          <w:tcPr>
            <w:tcW w:w="2610" w:type="dxa"/>
            <w:tcBorders>
              <w:top w:val="nil"/>
              <w:left w:val="nil"/>
              <w:bottom w:val="nil"/>
              <w:right w:val="nil"/>
            </w:tcBorders>
            <w:shd w:val="clear" w:color="auto" w:fill="auto"/>
            <w:vAlign w:val="center"/>
            <w:hideMark/>
          </w:tcPr>
          <w:p w14:paraId="49B02215"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Puerto de Veracruz, Veracruz</w:t>
            </w:r>
          </w:p>
        </w:tc>
        <w:tc>
          <w:tcPr>
            <w:tcW w:w="1170" w:type="dxa"/>
            <w:tcBorders>
              <w:top w:val="nil"/>
              <w:left w:val="nil"/>
              <w:bottom w:val="nil"/>
              <w:right w:val="nil"/>
            </w:tcBorders>
            <w:shd w:val="clear" w:color="auto" w:fill="auto"/>
            <w:vAlign w:val="center"/>
            <w:hideMark/>
          </w:tcPr>
          <w:p w14:paraId="0518493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Mexico</w:t>
            </w:r>
          </w:p>
        </w:tc>
        <w:tc>
          <w:tcPr>
            <w:tcW w:w="2340" w:type="dxa"/>
            <w:tcBorders>
              <w:top w:val="nil"/>
              <w:left w:val="nil"/>
              <w:bottom w:val="nil"/>
              <w:right w:val="nil"/>
            </w:tcBorders>
            <w:shd w:val="clear" w:color="auto" w:fill="auto"/>
            <w:vAlign w:val="center"/>
            <w:hideMark/>
          </w:tcPr>
          <w:p w14:paraId="0FBD5E55"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19.2802°N -96.0216°W</w:t>
            </w:r>
          </w:p>
        </w:tc>
        <w:tc>
          <w:tcPr>
            <w:tcW w:w="1530" w:type="dxa"/>
            <w:tcBorders>
              <w:top w:val="nil"/>
              <w:left w:val="nil"/>
              <w:bottom w:val="nil"/>
              <w:right w:val="nil"/>
            </w:tcBorders>
            <w:shd w:val="clear" w:color="auto" w:fill="auto"/>
            <w:vAlign w:val="center"/>
            <w:hideMark/>
          </w:tcPr>
          <w:p w14:paraId="6ED8A1D1"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3</w:t>
            </w:r>
          </w:p>
        </w:tc>
      </w:tr>
      <w:tr w:rsidR="006B2888" w:rsidRPr="00AE525E" w14:paraId="2D5F3403" w14:textId="77777777" w:rsidTr="006B2888">
        <w:trPr>
          <w:trHeight w:val="320"/>
        </w:trPr>
        <w:tc>
          <w:tcPr>
            <w:tcW w:w="1710" w:type="dxa"/>
            <w:tcBorders>
              <w:top w:val="nil"/>
              <w:left w:val="nil"/>
              <w:bottom w:val="nil"/>
              <w:right w:val="nil"/>
            </w:tcBorders>
            <w:shd w:val="clear" w:color="auto" w:fill="auto"/>
            <w:vAlign w:val="center"/>
            <w:hideMark/>
          </w:tcPr>
          <w:p w14:paraId="21DE12AC"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TAB</w:t>
            </w:r>
          </w:p>
        </w:tc>
        <w:tc>
          <w:tcPr>
            <w:tcW w:w="2610" w:type="dxa"/>
            <w:tcBorders>
              <w:top w:val="nil"/>
              <w:left w:val="nil"/>
              <w:bottom w:val="nil"/>
              <w:right w:val="nil"/>
            </w:tcBorders>
            <w:shd w:val="clear" w:color="auto" w:fill="auto"/>
            <w:vAlign w:val="center"/>
            <w:hideMark/>
          </w:tcPr>
          <w:p w14:paraId="5F7F1245"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San Pedro, Tabasco</w:t>
            </w:r>
          </w:p>
        </w:tc>
        <w:tc>
          <w:tcPr>
            <w:tcW w:w="1170" w:type="dxa"/>
            <w:tcBorders>
              <w:top w:val="nil"/>
              <w:left w:val="nil"/>
              <w:bottom w:val="nil"/>
              <w:right w:val="nil"/>
            </w:tcBorders>
            <w:shd w:val="clear" w:color="auto" w:fill="auto"/>
            <w:vAlign w:val="center"/>
            <w:hideMark/>
          </w:tcPr>
          <w:p w14:paraId="28ECCD57"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Mexico</w:t>
            </w:r>
          </w:p>
        </w:tc>
        <w:tc>
          <w:tcPr>
            <w:tcW w:w="2340" w:type="dxa"/>
            <w:tcBorders>
              <w:top w:val="nil"/>
              <w:left w:val="nil"/>
              <w:bottom w:val="nil"/>
              <w:right w:val="nil"/>
            </w:tcBorders>
            <w:shd w:val="clear" w:color="auto" w:fill="auto"/>
            <w:vAlign w:val="center"/>
            <w:hideMark/>
          </w:tcPr>
          <w:p w14:paraId="1F8E4824"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18.7480°N -93.1829°W</w:t>
            </w:r>
          </w:p>
        </w:tc>
        <w:tc>
          <w:tcPr>
            <w:tcW w:w="1530" w:type="dxa"/>
            <w:tcBorders>
              <w:top w:val="nil"/>
              <w:left w:val="nil"/>
              <w:bottom w:val="nil"/>
              <w:right w:val="nil"/>
            </w:tcBorders>
            <w:shd w:val="clear" w:color="auto" w:fill="auto"/>
            <w:vAlign w:val="center"/>
            <w:hideMark/>
          </w:tcPr>
          <w:p w14:paraId="30725622"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7</w:t>
            </w:r>
          </w:p>
        </w:tc>
      </w:tr>
      <w:tr w:rsidR="006B2888" w:rsidRPr="00AE525E" w14:paraId="0BDDD4EA" w14:textId="77777777" w:rsidTr="006B2888">
        <w:trPr>
          <w:trHeight w:val="320"/>
        </w:trPr>
        <w:tc>
          <w:tcPr>
            <w:tcW w:w="1710" w:type="dxa"/>
            <w:tcBorders>
              <w:top w:val="nil"/>
              <w:left w:val="nil"/>
              <w:bottom w:val="nil"/>
              <w:right w:val="nil"/>
            </w:tcBorders>
            <w:shd w:val="clear" w:color="auto" w:fill="auto"/>
            <w:vAlign w:val="center"/>
            <w:hideMark/>
          </w:tcPr>
          <w:p w14:paraId="385B32E1"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CAM</w:t>
            </w:r>
          </w:p>
        </w:tc>
        <w:tc>
          <w:tcPr>
            <w:tcW w:w="2610" w:type="dxa"/>
            <w:tcBorders>
              <w:top w:val="nil"/>
              <w:left w:val="nil"/>
              <w:bottom w:val="nil"/>
              <w:right w:val="nil"/>
            </w:tcBorders>
            <w:shd w:val="clear" w:color="auto" w:fill="auto"/>
            <w:vAlign w:val="center"/>
            <w:hideMark/>
          </w:tcPr>
          <w:p w14:paraId="1DBBA8C6" w14:textId="77777777" w:rsidR="006B2888" w:rsidRPr="00AE525E" w:rsidRDefault="006B2888" w:rsidP="00031031">
            <w:pPr>
              <w:rPr>
                <w:rFonts w:ascii="Times New Roman" w:eastAsia="Times New Roman" w:hAnsi="Times New Roman" w:cs="Times New Roman"/>
                <w:color w:val="000000"/>
                <w:sz w:val="20"/>
                <w:szCs w:val="20"/>
              </w:rPr>
            </w:pPr>
            <w:proofErr w:type="spellStart"/>
            <w:r w:rsidRPr="00AE525E">
              <w:rPr>
                <w:rFonts w:ascii="Times New Roman" w:eastAsia="Times New Roman" w:hAnsi="Times New Roman" w:cs="Times New Roman"/>
                <w:color w:val="000000"/>
                <w:sz w:val="20"/>
                <w:szCs w:val="20"/>
              </w:rPr>
              <w:t>Champotón</w:t>
            </w:r>
            <w:proofErr w:type="spellEnd"/>
            <w:r w:rsidRPr="00AE525E">
              <w:rPr>
                <w:rFonts w:ascii="Times New Roman" w:eastAsia="Times New Roman" w:hAnsi="Times New Roman" w:cs="Times New Roman"/>
                <w:color w:val="000000"/>
                <w:sz w:val="20"/>
                <w:szCs w:val="20"/>
              </w:rPr>
              <w:t>, Campeche</w:t>
            </w:r>
          </w:p>
        </w:tc>
        <w:tc>
          <w:tcPr>
            <w:tcW w:w="1170" w:type="dxa"/>
            <w:tcBorders>
              <w:top w:val="nil"/>
              <w:left w:val="nil"/>
              <w:bottom w:val="nil"/>
              <w:right w:val="nil"/>
            </w:tcBorders>
            <w:shd w:val="clear" w:color="auto" w:fill="auto"/>
            <w:vAlign w:val="center"/>
            <w:hideMark/>
          </w:tcPr>
          <w:p w14:paraId="43466EE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Mexico</w:t>
            </w:r>
          </w:p>
        </w:tc>
        <w:tc>
          <w:tcPr>
            <w:tcW w:w="2340" w:type="dxa"/>
            <w:tcBorders>
              <w:top w:val="nil"/>
              <w:left w:val="nil"/>
              <w:bottom w:val="nil"/>
              <w:right w:val="nil"/>
            </w:tcBorders>
            <w:shd w:val="clear" w:color="auto" w:fill="auto"/>
            <w:vAlign w:val="center"/>
            <w:hideMark/>
          </w:tcPr>
          <w:p w14:paraId="00194586"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19.4576°N -91.1248°W</w:t>
            </w:r>
          </w:p>
        </w:tc>
        <w:tc>
          <w:tcPr>
            <w:tcW w:w="1530" w:type="dxa"/>
            <w:tcBorders>
              <w:top w:val="nil"/>
              <w:left w:val="nil"/>
              <w:bottom w:val="nil"/>
              <w:right w:val="nil"/>
            </w:tcBorders>
            <w:shd w:val="clear" w:color="auto" w:fill="auto"/>
            <w:vAlign w:val="center"/>
            <w:hideMark/>
          </w:tcPr>
          <w:p w14:paraId="648CE298"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9</w:t>
            </w:r>
          </w:p>
        </w:tc>
      </w:tr>
      <w:tr w:rsidR="006B2888" w:rsidRPr="00AE525E" w14:paraId="76EC02F8" w14:textId="77777777" w:rsidTr="006B2888">
        <w:trPr>
          <w:trHeight w:val="340"/>
        </w:trPr>
        <w:tc>
          <w:tcPr>
            <w:tcW w:w="1710" w:type="dxa"/>
            <w:tcBorders>
              <w:top w:val="nil"/>
              <w:left w:val="nil"/>
              <w:bottom w:val="single" w:sz="8" w:space="0" w:color="auto"/>
              <w:right w:val="nil"/>
            </w:tcBorders>
            <w:shd w:val="clear" w:color="auto" w:fill="auto"/>
            <w:vAlign w:val="center"/>
            <w:hideMark/>
          </w:tcPr>
          <w:p w14:paraId="583DC124"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YUC</w:t>
            </w:r>
          </w:p>
        </w:tc>
        <w:tc>
          <w:tcPr>
            <w:tcW w:w="2610" w:type="dxa"/>
            <w:tcBorders>
              <w:top w:val="nil"/>
              <w:left w:val="nil"/>
              <w:bottom w:val="single" w:sz="8" w:space="0" w:color="auto"/>
              <w:right w:val="nil"/>
            </w:tcBorders>
            <w:shd w:val="clear" w:color="auto" w:fill="auto"/>
            <w:vAlign w:val="center"/>
            <w:hideMark/>
          </w:tcPr>
          <w:p w14:paraId="54275B64"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 xml:space="preserve">Puerto </w:t>
            </w:r>
            <w:proofErr w:type="spellStart"/>
            <w:r w:rsidRPr="00AE525E">
              <w:rPr>
                <w:rFonts w:ascii="Times New Roman" w:eastAsia="Times New Roman" w:hAnsi="Times New Roman" w:cs="Times New Roman"/>
                <w:color w:val="000000"/>
                <w:sz w:val="20"/>
                <w:szCs w:val="20"/>
              </w:rPr>
              <w:t>Progreso</w:t>
            </w:r>
            <w:proofErr w:type="spellEnd"/>
            <w:r w:rsidRPr="00AE525E">
              <w:rPr>
                <w:rFonts w:ascii="Times New Roman" w:eastAsia="Times New Roman" w:hAnsi="Times New Roman" w:cs="Times New Roman"/>
                <w:color w:val="000000"/>
                <w:sz w:val="20"/>
                <w:szCs w:val="20"/>
              </w:rPr>
              <w:t>, Yucatán</w:t>
            </w:r>
          </w:p>
        </w:tc>
        <w:tc>
          <w:tcPr>
            <w:tcW w:w="1170" w:type="dxa"/>
            <w:tcBorders>
              <w:top w:val="nil"/>
              <w:left w:val="nil"/>
              <w:bottom w:val="single" w:sz="8" w:space="0" w:color="auto"/>
              <w:right w:val="nil"/>
            </w:tcBorders>
            <w:shd w:val="clear" w:color="auto" w:fill="auto"/>
            <w:vAlign w:val="center"/>
            <w:hideMark/>
          </w:tcPr>
          <w:p w14:paraId="04E9F8F4"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Mexico</w:t>
            </w:r>
          </w:p>
        </w:tc>
        <w:tc>
          <w:tcPr>
            <w:tcW w:w="2340" w:type="dxa"/>
            <w:tcBorders>
              <w:top w:val="nil"/>
              <w:left w:val="nil"/>
              <w:bottom w:val="single" w:sz="8" w:space="0" w:color="auto"/>
              <w:right w:val="nil"/>
            </w:tcBorders>
            <w:shd w:val="clear" w:color="auto" w:fill="auto"/>
            <w:vAlign w:val="center"/>
            <w:hideMark/>
          </w:tcPr>
          <w:p w14:paraId="1F005227"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21.6932°N -89.6345°W</w:t>
            </w:r>
          </w:p>
        </w:tc>
        <w:tc>
          <w:tcPr>
            <w:tcW w:w="1530" w:type="dxa"/>
            <w:tcBorders>
              <w:top w:val="nil"/>
              <w:left w:val="nil"/>
              <w:bottom w:val="single" w:sz="8" w:space="0" w:color="auto"/>
              <w:right w:val="nil"/>
            </w:tcBorders>
            <w:shd w:val="clear" w:color="auto" w:fill="auto"/>
            <w:vAlign w:val="center"/>
            <w:hideMark/>
          </w:tcPr>
          <w:p w14:paraId="6A5C6DC5"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12</w:t>
            </w:r>
          </w:p>
        </w:tc>
      </w:tr>
      <w:tr w:rsidR="006B2888" w:rsidRPr="00AE525E" w14:paraId="05DFB131" w14:textId="77777777" w:rsidTr="006B2888">
        <w:trPr>
          <w:trHeight w:val="340"/>
        </w:trPr>
        <w:tc>
          <w:tcPr>
            <w:tcW w:w="9360" w:type="dxa"/>
            <w:gridSpan w:val="5"/>
            <w:tcBorders>
              <w:top w:val="single" w:sz="8" w:space="0" w:color="auto"/>
              <w:left w:val="nil"/>
              <w:bottom w:val="single" w:sz="8" w:space="0" w:color="auto"/>
              <w:right w:val="nil"/>
            </w:tcBorders>
            <w:shd w:val="clear" w:color="auto" w:fill="auto"/>
            <w:vAlign w:val="center"/>
            <w:hideMark/>
          </w:tcPr>
          <w:p w14:paraId="573ACD38" w14:textId="77777777" w:rsidR="006B2888" w:rsidRPr="00AE525E" w:rsidRDefault="006B2888" w:rsidP="00031031">
            <w:pPr>
              <w:rPr>
                <w:rFonts w:ascii="Times New Roman" w:eastAsia="Times New Roman" w:hAnsi="Times New Roman" w:cs="Times New Roman"/>
                <w:b/>
                <w:bCs/>
                <w:i/>
                <w:iCs/>
                <w:color w:val="000000"/>
                <w:sz w:val="20"/>
                <w:szCs w:val="20"/>
              </w:rPr>
            </w:pPr>
            <w:r w:rsidRPr="00AE525E">
              <w:rPr>
                <w:rFonts w:ascii="Times New Roman" w:eastAsia="Times New Roman" w:hAnsi="Times New Roman" w:cs="Times New Roman"/>
                <w:b/>
                <w:bCs/>
                <w:i/>
                <w:iCs/>
                <w:color w:val="000000"/>
                <w:sz w:val="20"/>
                <w:szCs w:val="20"/>
              </w:rPr>
              <w:t>Lutjanus purpureus</w:t>
            </w:r>
          </w:p>
        </w:tc>
      </w:tr>
      <w:tr w:rsidR="006B2888" w:rsidRPr="00AE525E" w14:paraId="2FBD5FAF" w14:textId="77777777" w:rsidTr="006B2888">
        <w:trPr>
          <w:trHeight w:val="320"/>
        </w:trPr>
        <w:tc>
          <w:tcPr>
            <w:tcW w:w="1710" w:type="dxa"/>
            <w:tcBorders>
              <w:top w:val="nil"/>
              <w:left w:val="nil"/>
              <w:bottom w:val="nil"/>
              <w:right w:val="nil"/>
            </w:tcBorders>
            <w:shd w:val="clear" w:color="auto" w:fill="auto"/>
            <w:vAlign w:val="center"/>
            <w:hideMark/>
          </w:tcPr>
          <w:p w14:paraId="719D6217"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GUA</w:t>
            </w:r>
          </w:p>
        </w:tc>
        <w:tc>
          <w:tcPr>
            <w:tcW w:w="2610" w:type="dxa"/>
            <w:tcBorders>
              <w:top w:val="nil"/>
              <w:left w:val="nil"/>
              <w:bottom w:val="nil"/>
              <w:right w:val="nil"/>
            </w:tcBorders>
            <w:shd w:val="clear" w:color="auto" w:fill="auto"/>
            <w:vAlign w:val="center"/>
            <w:hideMark/>
          </w:tcPr>
          <w:p w14:paraId="3DC8FC8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Camarones, Guajira</w:t>
            </w:r>
          </w:p>
        </w:tc>
        <w:tc>
          <w:tcPr>
            <w:tcW w:w="1170" w:type="dxa"/>
            <w:tcBorders>
              <w:top w:val="nil"/>
              <w:left w:val="nil"/>
              <w:bottom w:val="nil"/>
              <w:right w:val="nil"/>
            </w:tcBorders>
            <w:shd w:val="clear" w:color="auto" w:fill="auto"/>
            <w:vAlign w:val="center"/>
            <w:hideMark/>
          </w:tcPr>
          <w:p w14:paraId="628C775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Colombia</w:t>
            </w:r>
          </w:p>
        </w:tc>
        <w:tc>
          <w:tcPr>
            <w:tcW w:w="2340" w:type="dxa"/>
            <w:tcBorders>
              <w:top w:val="nil"/>
              <w:left w:val="nil"/>
              <w:bottom w:val="nil"/>
              <w:right w:val="nil"/>
            </w:tcBorders>
            <w:shd w:val="clear" w:color="auto" w:fill="auto"/>
            <w:vAlign w:val="center"/>
            <w:hideMark/>
          </w:tcPr>
          <w:p w14:paraId="41CC576C"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11.8624°N -72.8027°W</w:t>
            </w:r>
          </w:p>
        </w:tc>
        <w:tc>
          <w:tcPr>
            <w:tcW w:w="1530" w:type="dxa"/>
            <w:tcBorders>
              <w:top w:val="nil"/>
              <w:left w:val="nil"/>
              <w:bottom w:val="nil"/>
              <w:right w:val="nil"/>
            </w:tcBorders>
            <w:shd w:val="clear" w:color="auto" w:fill="auto"/>
            <w:vAlign w:val="center"/>
            <w:hideMark/>
          </w:tcPr>
          <w:p w14:paraId="574290E4"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16</w:t>
            </w:r>
          </w:p>
        </w:tc>
      </w:tr>
      <w:tr w:rsidR="006B2888" w:rsidRPr="00AE525E" w14:paraId="0622FD8B" w14:textId="77777777" w:rsidTr="006B2888">
        <w:trPr>
          <w:trHeight w:val="320"/>
        </w:trPr>
        <w:tc>
          <w:tcPr>
            <w:tcW w:w="1710" w:type="dxa"/>
            <w:tcBorders>
              <w:top w:val="nil"/>
              <w:left w:val="nil"/>
              <w:bottom w:val="nil"/>
              <w:right w:val="nil"/>
            </w:tcBorders>
            <w:shd w:val="clear" w:color="auto" w:fill="auto"/>
            <w:vAlign w:val="center"/>
            <w:hideMark/>
          </w:tcPr>
          <w:p w14:paraId="0F0C82C9"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NUE</w:t>
            </w:r>
          </w:p>
        </w:tc>
        <w:tc>
          <w:tcPr>
            <w:tcW w:w="2610" w:type="dxa"/>
            <w:tcBorders>
              <w:top w:val="nil"/>
              <w:left w:val="nil"/>
              <w:bottom w:val="nil"/>
              <w:right w:val="nil"/>
            </w:tcBorders>
            <w:shd w:val="clear" w:color="auto" w:fill="auto"/>
            <w:vAlign w:val="center"/>
            <w:hideMark/>
          </w:tcPr>
          <w:p w14:paraId="6E02140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Nueva Esparta</w:t>
            </w:r>
          </w:p>
        </w:tc>
        <w:tc>
          <w:tcPr>
            <w:tcW w:w="1170" w:type="dxa"/>
            <w:tcBorders>
              <w:top w:val="nil"/>
              <w:left w:val="nil"/>
              <w:bottom w:val="nil"/>
              <w:right w:val="nil"/>
            </w:tcBorders>
            <w:shd w:val="clear" w:color="auto" w:fill="auto"/>
            <w:vAlign w:val="center"/>
            <w:hideMark/>
          </w:tcPr>
          <w:p w14:paraId="60C888B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Venezuela</w:t>
            </w:r>
          </w:p>
        </w:tc>
        <w:tc>
          <w:tcPr>
            <w:tcW w:w="2340" w:type="dxa"/>
            <w:tcBorders>
              <w:top w:val="nil"/>
              <w:left w:val="nil"/>
              <w:bottom w:val="nil"/>
              <w:right w:val="nil"/>
            </w:tcBorders>
            <w:shd w:val="clear" w:color="auto" w:fill="auto"/>
            <w:vAlign w:val="center"/>
            <w:hideMark/>
          </w:tcPr>
          <w:p w14:paraId="0832E6A0"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11.3417°N -63.8558°W</w:t>
            </w:r>
          </w:p>
        </w:tc>
        <w:tc>
          <w:tcPr>
            <w:tcW w:w="1530" w:type="dxa"/>
            <w:tcBorders>
              <w:top w:val="nil"/>
              <w:left w:val="nil"/>
              <w:bottom w:val="nil"/>
              <w:right w:val="nil"/>
            </w:tcBorders>
            <w:shd w:val="clear" w:color="auto" w:fill="auto"/>
            <w:vAlign w:val="center"/>
            <w:hideMark/>
          </w:tcPr>
          <w:p w14:paraId="23C6366F"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7</w:t>
            </w:r>
          </w:p>
        </w:tc>
      </w:tr>
      <w:tr w:rsidR="006B2888" w:rsidRPr="00AE525E" w14:paraId="3160DB37" w14:textId="77777777" w:rsidTr="006B2888">
        <w:trPr>
          <w:trHeight w:val="320"/>
        </w:trPr>
        <w:tc>
          <w:tcPr>
            <w:tcW w:w="1710" w:type="dxa"/>
            <w:tcBorders>
              <w:top w:val="nil"/>
              <w:left w:val="nil"/>
              <w:bottom w:val="nil"/>
              <w:right w:val="nil"/>
            </w:tcBorders>
            <w:shd w:val="clear" w:color="auto" w:fill="auto"/>
            <w:vAlign w:val="center"/>
            <w:hideMark/>
          </w:tcPr>
          <w:p w14:paraId="07658056"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AMA</w:t>
            </w:r>
          </w:p>
        </w:tc>
        <w:tc>
          <w:tcPr>
            <w:tcW w:w="2610" w:type="dxa"/>
            <w:tcBorders>
              <w:top w:val="nil"/>
              <w:left w:val="nil"/>
              <w:bottom w:val="nil"/>
              <w:right w:val="nil"/>
            </w:tcBorders>
            <w:shd w:val="clear" w:color="auto" w:fill="auto"/>
            <w:vAlign w:val="center"/>
            <w:hideMark/>
          </w:tcPr>
          <w:p w14:paraId="5BF9179E"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Amapá</w:t>
            </w:r>
          </w:p>
        </w:tc>
        <w:tc>
          <w:tcPr>
            <w:tcW w:w="1170" w:type="dxa"/>
            <w:tcBorders>
              <w:top w:val="nil"/>
              <w:left w:val="nil"/>
              <w:bottom w:val="nil"/>
              <w:right w:val="nil"/>
            </w:tcBorders>
            <w:shd w:val="clear" w:color="auto" w:fill="auto"/>
            <w:vAlign w:val="center"/>
            <w:hideMark/>
          </w:tcPr>
          <w:p w14:paraId="7E0BE0F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Brazil</w:t>
            </w:r>
          </w:p>
        </w:tc>
        <w:tc>
          <w:tcPr>
            <w:tcW w:w="2340" w:type="dxa"/>
            <w:tcBorders>
              <w:top w:val="nil"/>
              <w:left w:val="nil"/>
              <w:bottom w:val="nil"/>
              <w:right w:val="nil"/>
            </w:tcBorders>
            <w:shd w:val="clear" w:color="auto" w:fill="auto"/>
            <w:vAlign w:val="center"/>
            <w:hideMark/>
          </w:tcPr>
          <w:p w14:paraId="28C23208"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4.33564°N -50.5537°W</w:t>
            </w:r>
          </w:p>
        </w:tc>
        <w:tc>
          <w:tcPr>
            <w:tcW w:w="1530" w:type="dxa"/>
            <w:tcBorders>
              <w:top w:val="nil"/>
              <w:left w:val="nil"/>
              <w:bottom w:val="nil"/>
              <w:right w:val="nil"/>
            </w:tcBorders>
            <w:shd w:val="clear" w:color="auto" w:fill="auto"/>
            <w:vAlign w:val="center"/>
            <w:hideMark/>
          </w:tcPr>
          <w:p w14:paraId="3D062FB4"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w:t>
            </w:r>
          </w:p>
        </w:tc>
      </w:tr>
      <w:tr w:rsidR="006B2888" w:rsidRPr="00AE525E" w14:paraId="33AEBDB5" w14:textId="77777777" w:rsidTr="006B2888">
        <w:trPr>
          <w:trHeight w:val="320"/>
        </w:trPr>
        <w:tc>
          <w:tcPr>
            <w:tcW w:w="1710" w:type="dxa"/>
            <w:tcBorders>
              <w:top w:val="nil"/>
              <w:left w:val="nil"/>
              <w:bottom w:val="nil"/>
              <w:right w:val="nil"/>
            </w:tcBorders>
            <w:shd w:val="clear" w:color="auto" w:fill="auto"/>
            <w:vAlign w:val="center"/>
            <w:hideMark/>
          </w:tcPr>
          <w:p w14:paraId="6BC6AA1D"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SAO</w:t>
            </w:r>
          </w:p>
        </w:tc>
        <w:tc>
          <w:tcPr>
            <w:tcW w:w="2610" w:type="dxa"/>
            <w:tcBorders>
              <w:top w:val="nil"/>
              <w:left w:val="nil"/>
              <w:bottom w:val="nil"/>
              <w:right w:val="nil"/>
            </w:tcBorders>
            <w:shd w:val="clear" w:color="auto" w:fill="auto"/>
            <w:vAlign w:val="center"/>
            <w:hideMark/>
          </w:tcPr>
          <w:p w14:paraId="3F791245" w14:textId="77777777" w:rsidR="006B2888" w:rsidRPr="00AE525E" w:rsidRDefault="006B2888" w:rsidP="00031031">
            <w:pPr>
              <w:rPr>
                <w:rFonts w:ascii="Times New Roman" w:eastAsia="Times New Roman" w:hAnsi="Times New Roman" w:cs="Times New Roman"/>
                <w:color w:val="000000"/>
                <w:sz w:val="20"/>
                <w:szCs w:val="20"/>
              </w:rPr>
            </w:pPr>
            <w:proofErr w:type="spellStart"/>
            <w:r w:rsidRPr="00AE525E">
              <w:rPr>
                <w:rFonts w:ascii="Times New Roman" w:eastAsia="Times New Roman" w:hAnsi="Times New Roman" w:cs="Times New Roman"/>
                <w:color w:val="000000"/>
                <w:sz w:val="20"/>
                <w:szCs w:val="20"/>
              </w:rPr>
              <w:t>Maranhão</w:t>
            </w:r>
            <w:proofErr w:type="spellEnd"/>
            <w:r w:rsidRPr="00AE525E">
              <w:rPr>
                <w:rFonts w:ascii="Times New Roman" w:eastAsia="Times New Roman" w:hAnsi="Times New Roman" w:cs="Times New Roman"/>
                <w:color w:val="000000"/>
                <w:sz w:val="20"/>
                <w:szCs w:val="20"/>
              </w:rPr>
              <w:t xml:space="preserve">, </w:t>
            </w:r>
            <w:r w:rsidRPr="00AE525E">
              <w:rPr>
                <w:rFonts w:ascii="Times New Roman" w:eastAsia="Times New Roman" w:hAnsi="Times New Roman" w:cs="Times New Roman"/>
                <w:color w:val="373737"/>
                <w:sz w:val="20"/>
                <w:szCs w:val="20"/>
              </w:rPr>
              <w:t>São Luís</w:t>
            </w:r>
          </w:p>
        </w:tc>
        <w:tc>
          <w:tcPr>
            <w:tcW w:w="1170" w:type="dxa"/>
            <w:tcBorders>
              <w:top w:val="nil"/>
              <w:left w:val="nil"/>
              <w:bottom w:val="nil"/>
              <w:right w:val="nil"/>
            </w:tcBorders>
            <w:shd w:val="clear" w:color="auto" w:fill="auto"/>
            <w:vAlign w:val="center"/>
            <w:hideMark/>
          </w:tcPr>
          <w:p w14:paraId="22BEC519"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Brazil</w:t>
            </w:r>
          </w:p>
        </w:tc>
        <w:tc>
          <w:tcPr>
            <w:tcW w:w="2340" w:type="dxa"/>
            <w:tcBorders>
              <w:top w:val="nil"/>
              <w:left w:val="nil"/>
              <w:bottom w:val="nil"/>
              <w:right w:val="nil"/>
            </w:tcBorders>
            <w:shd w:val="clear" w:color="auto" w:fill="auto"/>
            <w:vAlign w:val="center"/>
            <w:hideMark/>
          </w:tcPr>
          <w:p w14:paraId="0B9C165E"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0.2172°N -46.246°W</w:t>
            </w:r>
          </w:p>
        </w:tc>
        <w:tc>
          <w:tcPr>
            <w:tcW w:w="1530" w:type="dxa"/>
            <w:tcBorders>
              <w:top w:val="nil"/>
              <w:left w:val="nil"/>
              <w:bottom w:val="nil"/>
              <w:right w:val="nil"/>
            </w:tcBorders>
            <w:shd w:val="clear" w:color="auto" w:fill="auto"/>
            <w:vAlign w:val="center"/>
            <w:hideMark/>
          </w:tcPr>
          <w:p w14:paraId="7E12D628"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w:t>
            </w:r>
          </w:p>
        </w:tc>
      </w:tr>
      <w:tr w:rsidR="006B2888" w:rsidRPr="00AE525E" w14:paraId="50ADC4D3" w14:textId="77777777" w:rsidTr="006B2888">
        <w:trPr>
          <w:trHeight w:val="320"/>
        </w:trPr>
        <w:tc>
          <w:tcPr>
            <w:tcW w:w="1710" w:type="dxa"/>
            <w:tcBorders>
              <w:top w:val="nil"/>
              <w:left w:val="nil"/>
              <w:bottom w:val="nil"/>
              <w:right w:val="nil"/>
            </w:tcBorders>
            <w:shd w:val="clear" w:color="auto" w:fill="auto"/>
            <w:vAlign w:val="center"/>
            <w:hideMark/>
          </w:tcPr>
          <w:p w14:paraId="51B0A849"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FOR</w:t>
            </w:r>
          </w:p>
        </w:tc>
        <w:tc>
          <w:tcPr>
            <w:tcW w:w="2610" w:type="dxa"/>
            <w:tcBorders>
              <w:top w:val="nil"/>
              <w:left w:val="nil"/>
              <w:bottom w:val="nil"/>
              <w:right w:val="nil"/>
            </w:tcBorders>
            <w:shd w:val="clear" w:color="auto" w:fill="auto"/>
            <w:vAlign w:val="center"/>
            <w:hideMark/>
          </w:tcPr>
          <w:p w14:paraId="0134E911" w14:textId="77777777" w:rsidR="006B2888" w:rsidRPr="00AE525E" w:rsidRDefault="006B2888" w:rsidP="00031031">
            <w:pPr>
              <w:rPr>
                <w:rFonts w:ascii="Times New Roman" w:eastAsia="Times New Roman" w:hAnsi="Times New Roman" w:cs="Times New Roman"/>
                <w:color w:val="000000"/>
                <w:sz w:val="20"/>
                <w:szCs w:val="20"/>
              </w:rPr>
            </w:pPr>
            <w:proofErr w:type="spellStart"/>
            <w:r w:rsidRPr="00AE525E">
              <w:rPr>
                <w:rFonts w:ascii="Times New Roman" w:eastAsia="Times New Roman" w:hAnsi="Times New Roman" w:cs="Times New Roman"/>
                <w:color w:val="000000"/>
                <w:sz w:val="20"/>
                <w:szCs w:val="20"/>
              </w:rPr>
              <w:t>Ceará</w:t>
            </w:r>
            <w:proofErr w:type="spellEnd"/>
            <w:r w:rsidRPr="00AE525E">
              <w:rPr>
                <w:rFonts w:ascii="Times New Roman" w:eastAsia="Times New Roman" w:hAnsi="Times New Roman" w:cs="Times New Roman"/>
                <w:color w:val="000000"/>
                <w:sz w:val="20"/>
                <w:szCs w:val="20"/>
              </w:rPr>
              <w:t>, Fortaleza</w:t>
            </w:r>
          </w:p>
        </w:tc>
        <w:tc>
          <w:tcPr>
            <w:tcW w:w="1170" w:type="dxa"/>
            <w:tcBorders>
              <w:top w:val="nil"/>
              <w:left w:val="nil"/>
              <w:bottom w:val="nil"/>
              <w:right w:val="nil"/>
            </w:tcBorders>
            <w:shd w:val="clear" w:color="auto" w:fill="auto"/>
            <w:vAlign w:val="center"/>
            <w:hideMark/>
          </w:tcPr>
          <w:p w14:paraId="65DDDDE8"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Brazil</w:t>
            </w:r>
          </w:p>
        </w:tc>
        <w:tc>
          <w:tcPr>
            <w:tcW w:w="2340" w:type="dxa"/>
            <w:tcBorders>
              <w:top w:val="nil"/>
              <w:left w:val="nil"/>
              <w:bottom w:val="nil"/>
              <w:right w:val="nil"/>
            </w:tcBorders>
            <w:shd w:val="clear" w:color="auto" w:fill="auto"/>
            <w:vAlign w:val="center"/>
            <w:hideMark/>
          </w:tcPr>
          <w:p w14:paraId="0B96F7FC"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2.9071°S -39.1452°W</w:t>
            </w:r>
          </w:p>
        </w:tc>
        <w:tc>
          <w:tcPr>
            <w:tcW w:w="1530" w:type="dxa"/>
            <w:tcBorders>
              <w:top w:val="nil"/>
              <w:left w:val="nil"/>
              <w:bottom w:val="nil"/>
              <w:right w:val="nil"/>
            </w:tcBorders>
            <w:shd w:val="clear" w:color="auto" w:fill="auto"/>
            <w:vAlign w:val="center"/>
            <w:hideMark/>
          </w:tcPr>
          <w:p w14:paraId="39B4304D"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w:t>
            </w:r>
          </w:p>
        </w:tc>
      </w:tr>
      <w:tr w:rsidR="006B2888" w:rsidRPr="00AE525E" w14:paraId="6BC27889" w14:textId="77777777" w:rsidTr="006B2888">
        <w:trPr>
          <w:trHeight w:val="580"/>
        </w:trPr>
        <w:tc>
          <w:tcPr>
            <w:tcW w:w="1710" w:type="dxa"/>
            <w:tcBorders>
              <w:top w:val="nil"/>
              <w:left w:val="nil"/>
              <w:bottom w:val="single" w:sz="8" w:space="0" w:color="auto"/>
              <w:right w:val="nil"/>
            </w:tcBorders>
            <w:shd w:val="clear" w:color="auto" w:fill="auto"/>
            <w:vAlign w:val="center"/>
            <w:hideMark/>
          </w:tcPr>
          <w:p w14:paraId="3564BE1A"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SAL</w:t>
            </w:r>
          </w:p>
        </w:tc>
        <w:tc>
          <w:tcPr>
            <w:tcW w:w="2610" w:type="dxa"/>
            <w:tcBorders>
              <w:top w:val="nil"/>
              <w:left w:val="nil"/>
              <w:bottom w:val="single" w:sz="8" w:space="0" w:color="auto"/>
              <w:right w:val="nil"/>
            </w:tcBorders>
            <w:shd w:val="clear" w:color="auto" w:fill="auto"/>
            <w:vAlign w:val="center"/>
            <w:hideMark/>
          </w:tcPr>
          <w:p w14:paraId="74DDB10D" w14:textId="77777777" w:rsidR="006B2888" w:rsidRPr="00AE525E" w:rsidRDefault="006B2888" w:rsidP="00031031">
            <w:pPr>
              <w:rPr>
                <w:rFonts w:ascii="Times New Roman" w:eastAsia="Times New Roman" w:hAnsi="Times New Roman" w:cs="Times New Roman"/>
                <w:color w:val="373737"/>
                <w:sz w:val="20"/>
                <w:szCs w:val="20"/>
                <w:lang w:val="es-ES"/>
              </w:rPr>
            </w:pPr>
            <w:r w:rsidRPr="00AE525E">
              <w:rPr>
                <w:rFonts w:ascii="Times New Roman" w:eastAsia="Times New Roman" w:hAnsi="Times New Roman" w:cs="Times New Roman"/>
                <w:color w:val="373737"/>
                <w:sz w:val="20"/>
                <w:szCs w:val="20"/>
                <w:lang w:val="es-ES"/>
              </w:rPr>
              <w:t>São</w:t>
            </w:r>
            <w:r w:rsidRPr="00AE525E">
              <w:rPr>
                <w:rFonts w:ascii="Times New Roman" w:eastAsia="Times New Roman" w:hAnsi="Times New Roman" w:cs="Times New Roman"/>
                <w:color w:val="000000"/>
                <w:sz w:val="20"/>
                <w:szCs w:val="20"/>
                <w:lang w:val="es-ES"/>
              </w:rPr>
              <w:t xml:space="preserve"> Salvador da </w:t>
            </w:r>
            <w:proofErr w:type="spellStart"/>
            <w:r w:rsidRPr="00AE525E">
              <w:rPr>
                <w:rFonts w:ascii="Times New Roman" w:eastAsia="Times New Roman" w:hAnsi="Times New Roman" w:cs="Times New Roman"/>
                <w:color w:val="000000"/>
                <w:sz w:val="20"/>
                <w:szCs w:val="20"/>
                <w:lang w:val="es-ES"/>
              </w:rPr>
              <w:t>Bahia</w:t>
            </w:r>
            <w:proofErr w:type="spellEnd"/>
            <w:r w:rsidRPr="00AE525E">
              <w:rPr>
                <w:rFonts w:ascii="Times New Roman" w:eastAsia="Times New Roman" w:hAnsi="Times New Roman" w:cs="Times New Roman"/>
                <w:color w:val="000000"/>
                <w:sz w:val="20"/>
                <w:szCs w:val="20"/>
                <w:lang w:val="es-ES"/>
              </w:rPr>
              <w:t>, Salvador</w:t>
            </w:r>
          </w:p>
        </w:tc>
        <w:tc>
          <w:tcPr>
            <w:tcW w:w="1170" w:type="dxa"/>
            <w:tcBorders>
              <w:top w:val="nil"/>
              <w:left w:val="nil"/>
              <w:bottom w:val="single" w:sz="8" w:space="0" w:color="auto"/>
              <w:right w:val="nil"/>
            </w:tcBorders>
            <w:shd w:val="clear" w:color="auto" w:fill="auto"/>
            <w:vAlign w:val="center"/>
            <w:hideMark/>
          </w:tcPr>
          <w:p w14:paraId="77DE361B"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Brazil</w:t>
            </w:r>
          </w:p>
        </w:tc>
        <w:tc>
          <w:tcPr>
            <w:tcW w:w="2340" w:type="dxa"/>
            <w:tcBorders>
              <w:top w:val="nil"/>
              <w:left w:val="nil"/>
              <w:bottom w:val="single" w:sz="8" w:space="0" w:color="auto"/>
              <w:right w:val="nil"/>
            </w:tcBorders>
            <w:shd w:val="clear" w:color="auto" w:fill="auto"/>
            <w:vAlign w:val="center"/>
            <w:hideMark/>
          </w:tcPr>
          <w:p w14:paraId="22CEA9B7"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13.226°S -38.6245°W</w:t>
            </w:r>
          </w:p>
        </w:tc>
        <w:tc>
          <w:tcPr>
            <w:tcW w:w="1530" w:type="dxa"/>
            <w:tcBorders>
              <w:top w:val="nil"/>
              <w:left w:val="nil"/>
              <w:bottom w:val="single" w:sz="8" w:space="0" w:color="auto"/>
              <w:right w:val="nil"/>
            </w:tcBorders>
            <w:shd w:val="clear" w:color="auto" w:fill="auto"/>
            <w:vAlign w:val="center"/>
            <w:hideMark/>
          </w:tcPr>
          <w:p w14:paraId="6D51875A" w14:textId="77777777" w:rsidR="006B2888" w:rsidRPr="00AE525E" w:rsidRDefault="006B2888" w:rsidP="00031031">
            <w:pPr>
              <w:jc w:val="cente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12</w:t>
            </w:r>
          </w:p>
        </w:tc>
      </w:tr>
    </w:tbl>
    <w:p w14:paraId="0EF590BF" w14:textId="6A492269" w:rsidR="006B2888" w:rsidRPr="006B2888" w:rsidRDefault="006B2888" w:rsidP="006B2888">
      <w:pPr>
        <w:jc w:val="both"/>
        <w:rPr>
          <w:rFonts w:ascii="Times New Roman" w:hAnsi="Times New Roman" w:cs="Times New Roman"/>
          <w:sz w:val="20"/>
          <w:szCs w:val="20"/>
        </w:rPr>
        <w:sectPr w:rsidR="006B2888" w:rsidRPr="006B2888" w:rsidSect="00BB6185">
          <w:footerReference w:type="even" r:id="rId28"/>
          <w:footerReference w:type="default" r:id="rId29"/>
          <w:pgSz w:w="12240" w:h="15840"/>
          <w:pgMar w:top="1440" w:right="1440" w:bottom="1440" w:left="1440" w:header="708" w:footer="708" w:gutter="0"/>
          <w:pgNumType w:start="1"/>
          <w:cols w:space="708"/>
          <w:docGrid w:linePitch="360"/>
        </w:sectPr>
      </w:pPr>
    </w:p>
    <w:p w14:paraId="40CEE87D" w14:textId="77777777" w:rsidR="006B2888" w:rsidRPr="006B2888" w:rsidRDefault="006B2888" w:rsidP="00AE525E">
      <w:pPr>
        <w:outlineLvl w:val="0"/>
        <w:rPr>
          <w:rFonts w:ascii="Times New Roman" w:hAnsi="Times New Roman" w:cs="Times New Roman"/>
          <w:sz w:val="24"/>
          <w:szCs w:val="24"/>
        </w:rPr>
      </w:pPr>
      <w:r w:rsidRPr="006B2888">
        <w:rPr>
          <w:rFonts w:ascii="Times New Roman" w:hAnsi="Times New Roman" w:cs="Times New Roman"/>
          <w:b/>
          <w:sz w:val="24"/>
          <w:szCs w:val="24"/>
        </w:rPr>
        <w:lastRenderedPageBreak/>
        <w:t>Table S2. GenBank (NCBI) accession numbers for raw data (</w:t>
      </w:r>
      <w:proofErr w:type="spellStart"/>
      <w:r w:rsidRPr="006B2888">
        <w:rPr>
          <w:rFonts w:ascii="Times New Roman" w:hAnsi="Times New Roman" w:cs="Times New Roman"/>
          <w:b/>
          <w:sz w:val="24"/>
          <w:szCs w:val="24"/>
        </w:rPr>
        <w:t>Bioproject</w:t>
      </w:r>
      <w:proofErr w:type="spellEnd"/>
      <w:r w:rsidRPr="006B2888">
        <w:rPr>
          <w:rFonts w:ascii="Times New Roman" w:hAnsi="Times New Roman" w:cs="Times New Roman"/>
          <w:b/>
          <w:sz w:val="24"/>
          <w:szCs w:val="24"/>
        </w:rPr>
        <w:t xml:space="preserve"> </w:t>
      </w:r>
      <w:r w:rsidRPr="006B2888">
        <w:rPr>
          <w:rFonts w:ascii="Times New Roman" w:eastAsia="Times New Roman" w:hAnsi="Times New Roman" w:cs="Times New Roman"/>
          <w:b/>
          <w:color w:val="222222"/>
          <w:sz w:val="24"/>
          <w:szCs w:val="24"/>
          <w:shd w:val="clear" w:color="auto" w:fill="FFFFFF"/>
        </w:rPr>
        <w:t>PRJNA524905</w:t>
      </w:r>
      <w:r w:rsidRPr="006B2888">
        <w:rPr>
          <w:rFonts w:ascii="Times New Roman" w:hAnsi="Times New Roman" w:cs="Times New Roman"/>
          <w:b/>
          <w:sz w:val="24"/>
          <w:szCs w:val="24"/>
        </w:rPr>
        <w:t>) and mitochondrial sequences generated.</w:t>
      </w:r>
      <w:r w:rsidRPr="006B2888">
        <w:rPr>
          <w:rFonts w:ascii="Times New Roman" w:hAnsi="Times New Roman" w:cs="Times New Roman"/>
          <w:sz w:val="24"/>
          <w:szCs w:val="24"/>
        </w:rPr>
        <w:t xml:space="preserve"> See Table S1 for population abbreviations.</w:t>
      </w:r>
    </w:p>
    <w:p w14:paraId="5EB7D0F5" w14:textId="77777777" w:rsidR="006B2888" w:rsidRDefault="006B2888" w:rsidP="00AE525E">
      <w:pPr>
        <w:outlineLvl w:val="0"/>
        <w:rPr>
          <w:rFonts w:ascii="Times New Roman" w:hAnsi="Times New Roman" w:cs="Times New Roman"/>
        </w:rPr>
      </w:pPr>
    </w:p>
    <w:tbl>
      <w:tblPr>
        <w:tblW w:w="8730" w:type="dxa"/>
        <w:tblLayout w:type="fixed"/>
        <w:tblLook w:val="04A0" w:firstRow="1" w:lastRow="0" w:firstColumn="1" w:lastColumn="0" w:noHBand="0" w:noVBand="1"/>
      </w:tblPr>
      <w:tblGrid>
        <w:gridCol w:w="2355"/>
        <w:gridCol w:w="1533"/>
        <w:gridCol w:w="1300"/>
        <w:gridCol w:w="1300"/>
        <w:gridCol w:w="2242"/>
      </w:tblGrid>
      <w:tr w:rsidR="006B2888" w:rsidRPr="00AE525E" w14:paraId="0D802FD8" w14:textId="77777777" w:rsidTr="006B2888">
        <w:trPr>
          <w:trHeight w:val="340"/>
        </w:trPr>
        <w:tc>
          <w:tcPr>
            <w:tcW w:w="2355" w:type="dxa"/>
            <w:tcBorders>
              <w:top w:val="nil"/>
              <w:left w:val="nil"/>
              <w:bottom w:val="single" w:sz="8" w:space="0" w:color="auto"/>
              <w:right w:val="nil"/>
            </w:tcBorders>
            <w:shd w:val="clear" w:color="auto" w:fill="auto"/>
            <w:noWrap/>
            <w:vAlign w:val="center"/>
            <w:hideMark/>
          </w:tcPr>
          <w:p w14:paraId="007757D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w:t>
            </w:r>
          </w:p>
        </w:tc>
        <w:tc>
          <w:tcPr>
            <w:tcW w:w="1533" w:type="dxa"/>
            <w:tcBorders>
              <w:top w:val="nil"/>
              <w:left w:val="nil"/>
              <w:bottom w:val="single" w:sz="8" w:space="0" w:color="auto"/>
              <w:right w:val="nil"/>
            </w:tcBorders>
            <w:shd w:val="clear" w:color="auto" w:fill="auto"/>
            <w:noWrap/>
            <w:vAlign w:val="center"/>
            <w:hideMark/>
          </w:tcPr>
          <w:p w14:paraId="7D7294E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w:t>
            </w:r>
          </w:p>
        </w:tc>
        <w:tc>
          <w:tcPr>
            <w:tcW w:w="1300" w:type="dxa"/>
            <w:tcBorders>
              <w:top w:val="nil"/>
              <w:left w:val="nil"/>
              <w:bottom w:val="single" w:sz="8" w:space="0" w:color="auto"/>
              <w:right w:val="nil"/>
            </w:tcBorders>
            <w:shd w:val="clear" w:color="auto" w:fill="auto"/>
            <w:noWrap/>
            <w:vAlign w:val="center"/>
            <w:hideMark/>
          </w:tcPr>
          <w:p w14:paraId="2FC8013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w:t>
            </w:r>
          </w:p>
        </w:tc>
        <w:tc>
          <w:tcPr>
            <w:tcW w:w="1300" w:type="dxa"/>
            <w:tcBorders>
              <w:top w:val="nil"/>
              <w:left w:val="nil"/>
              <w:bottom w:val="single" w:sz="8" w:space="0" w:color="auto"/>
              <w:right w:val="nil"/>
            </w:tcBorders>
            <w:shd w:val="clear" w:color="auto" w:fill="auto"/>
            <w:noWrap/>
            <w:vAlign w:val="center"/>
            <w:hideMark/>
          </w:tcPr>
          <w:p w14:paraId="26E2A9E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w:t>
            </w:r>
          </w:p>
        </w:tc>
        <w:tc>
          <w:tcPr>
            <w:tcW w:w="2242" w:type="dxa"/>
            <w:tcBorders>
              <w:top w:val="nil"/>
              <w:left w:val="nil"/>
              <w:bottom w:val="single" w:sz="8" w:space="0" w:color="auto"/>
              <w:right w:val="nil"/>
            </w:tcBorders>
            <w:shd w:val="clear" w:color="auto" w:fill="auto"/>
            <w:noWrap/>
            <w:vAlign w:val="center"/>
            <w:hideMark/>
          </w:tcPr>
          <w:p w14:paraId="609D4C2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w:t>
            </w:r>
          </w:p>
        </w:tc>
      </w:tr>
      <w:tr w:rsidR="006B2888" w:rsidRPr="00AE525E" w14:paraId="7E886BC1" w14:textId="77777777" w:rsidTr="006B2888">
        <w:trPr>
          <w:trHeight w:val="320"/>
        </w:trPr>
        <w:tc>
          <w:tcPr>
            <w:tcW w:w="2355" w:type="dxa"/>
            <w:vMerge w:val="restart"/>
            <w:tcBorders>
              <w:top w:val="nil"/>
              <w:left w:val="nil"/>
              <w:bottom w:val="single" w:sz="8" w:space="0" w:color="000000"/>
              <w:right w:val="nil"/>
            </w:tcBorders>
            <w:shd w:val="clear" w:color="auto" w:fill="auto"/>
            <w:noWrap/>
            <w:vAlign w:val="center"/>
            <w:hideMark/>
          </w:tcPr>
          <w:p w14:paraId="09B82E9D" w14:textId="77777777" w:rsidR="006B2888" w:rsidRPr="00AE525E" w:rsidRDefault="006B2888" w:rsidP="00031031">
            <w:pPr>
              <w:rPr>
                <w:rFonts w:ascii="Times New Roman" w:eastAsia="Times New Roman" w:hAnsi="Times New Roman" w:cs="Times New Roman"/>
                <w:b/>
                <w:bCs/>
                <w:color w:val="000000"/>
                <w:sz w:val="16"/>
                <w:szCs w:val="16"/>
              </w:rPr>
            </w:pPr>
            <w:r w:rsidRPr="00AE525E">
              <w:rPr>
                <w:rFonts w:ascii="Times New Roman" w:eastAsia="Times New Roman" w:hAnsi="Times New Roman" w:cs="Times New Roman"/>
                <w:b/>
                <w:bCs/>
                <w:color w:val="000000"/>
                <w:sz w:val="16"/>
                <w:szCs w:val="16"/>
              </w:rPr>
              <w:t>Species</w:t>
            </w:r>
          </w:p>
        </w:tc>
        <w:tc>
          <w:tcPr>
            <w:tcW w:w="1533" w:type="dxa"/>
            <w:vMerge w:val="restart"/>
            <w:tcBorders>
              <w:top w:val="nil"/>
              <w:left w:val="nil"/>
              <w:bottom w:val="single" w:sz="8" w:space="0" w:color="000000"/>
              <w:right w:val="nil"/>
            </w:tcBorders>
            <w:shd w:val="clear" w:color="auto" w:fill="auto"/>
            <w:noWrap/>
            <w:vAlign w:val="center"/>
            <w:hideMark/>
          </w:tcPr>
          <w:p w14:paraId="79E0F8E6" w14:textId="77777777" w:rsidR="006B2888" w:rsidRPr="00AE525E" w:rsidRDefault="006B2888" w:rsidP="00031031">
            <w:pPr>
              <w:rPr>
                <w:rFonts w:ascii="Times New Roman" w:eastAsia="Times New Roman" w:hAnsi="Times New Roman" w:cs="Times New Roman"/>
                <w:b/>
                <w:bCs/>
                <w:color w:val="000000"/>
                <w:sz w:val="16"/>
                <w:szCs w:val="16"/>
              </w:rPr>
            </w:pPr>
            <w:r w:rsidRPr="00AE525E">
              <w:rPr>
                <w:rFonts w:ascii="Times New Roman" w:eastAsia="Times New Roman" w:hAnsi="Times New Roman" w:cs="Times New Roman"/>
                <w:b/>
                <w:bCs/>
                <w:color w:val="000000"/>
                <w:sz w:val="16"/>
                <w:szCs w:val="16"/>
              </w:rPr>
              <w:t>Sample code</w:t>
            </w:r>
          </w:p>
        </w:tc>
        <w:tc>
          <w:tcPr>
            <w:tcW w:w="1300" w:type="dxa"/>
            <w:vMerge w:val="restart"/>
            <w:tcBorders>
              <w:top w:val="nil"/>
              <w:left w:val="nil"/>
              <w:bottom w:val="single" w:sz="8" w:space="0" w:color="000000"/>
              <w:right w:val="nil"/>
            </w:tcBorders>
            <w:shd w:val="clear" w:color="auto" w:fill="auto"/>
            <w:noWrap/>
            <w:vAlign w:val="center"/>
            <w:hideMark/>
          </w:tcPr>
          <w:p w14:paraId="46B994C7" w14:textId="77777777" w:rsidR="006B2888" w:rsidRPr="00AE525E" w:rsidRDefault="006B2888" w:rsidP="00031031">
            <w:pPr>
              <w:rPr>
                <w:rFonts w:ascii="Times New Roman" w:eastAsia="Times New Roman" w:hAnsi="Times New Roman" w:cs="Times New Roman"/>
                <w:b/>
                <w:bCs/>
                <w:color w:val="000000"/>
                <w:sz w:val="16"/>
                <w:szCs w:val="16"/>
              </w:rPr>
            </w:pPr>
            <w:r w:rsidRPr="00AE525E">
              <w:rPr>
                <w:rFonts w:ascii="Times New Roman" w:eastAsia="Times New Roman" w:hAnsi="Times New Roman" w:cs="Times New Roman"/>
                <w:b/>
                <w:bCs/>
                <w:color w:val="000000"/>
                <w:sz w:val="16"/>
                <w:szCs w:val="16"/>
              </w:rPr>
              <w:t>Population</w:t>
            </w:r>
          </w:p>
        </w:tc>
        <w:tc>
          <w:tcPr>
            <w:tcW w:w="1300" w:type="dxa"/>
            <w:tcBorders>
              <w:top w:val="nil"/>
              <w:left w:val="nil"/>
              <w:bottom w:val="nil"/>
              <w:right w:val="nil"/>
            </w:tcBorders>
            <w:shd w:val="clear" w:color="auto" w:fill="auto"/>
            <w:noWrap/>
            <w:vAlign w:val="center"/>
            <w:hideMark/>
          </w:tcPr>
          <w:p w14:paraId="588D6EA2" w14:textId="77777777" w:rsidR="006B2888" w:rsidRPr="00AE525E" w:rsidRDefault="006B2888" w:rsidP="00031031">
            <w:pPr>
              <w:rPr>
                <w:rFonts w:ascii="Times New Roman" w:eastAsia="Times New Roman" w:hAnsi="Times New Roman" w:cs="Times New Roman"/>
                <w:b/>
                <w:bCs/>
                <w:color w:val="000000"/>
                <w:sz w:val="16"/>
                <w:szCs w:val="16"/>
              </w:rPr>
            </w:pPr>
            <w:r w:rsidRPr="00AE525E">
              <w:rPr>
                <w:rFonts w:ascii="Times New Roman" w:eastAsia="Times New Roman" w:hAnsi="Times New Roman" w:cs="Times New Roman"/>
                <w:b/>
                <w:bCs/>
                <w:color w:val="000000"/>
                <w:sz w:val="16"/>
                <w:szCs w:val="16"/>
              </w:rPr>
              <w:t xml:space="preserve">COI </w:t>
            </w:r>
          </w:p>
        </w:tc>
        <w:tc>
          <w:tcPr>
            <w:tcW w:w="2242" w:type="dxa"/>
            <w:tcBorders>
              <w:top w:val="nil"/>
              <w:left w:val="nil"/>
              <w:bottom w:val="nil"/>
              <w:right w:val="nil"/>
            </w:tcBorders>
            <w:shd w:val="clear" w:color="auto" w:fill="auto"/>
            <w:noWrap/>
            <w:vAlign w:val="center"/>
            <w:hideMark/>
          </w:tcPr>
          <w:p w14:paraId="44DA1C9C" w14:textId="77777777" w:rsidR="006B2888" w:rsidRPr="00AE525E" w:rsidRDefault="006B2888" w:rsidP="00031031">
            <w:pPr>
              <w:jc w:val="both"/>
              <w:rPr>
                <w:rFonts w:ascii="Times New Roman" w:eastAsia="Times New Roman" w:hAnsi="Times New Roman" w:cs="Times New Roman"/>
                <w:b/>
                <w:bCs/>
                <w:color w:val="000000"/>
                <w:sz w:val="16"/>
                <w:szCs w:val="16"/>
              </w:rPr>
            </w:pPr>
            <w:r w:rsidRPr="00AE525E">
              <w:rPr>
                <w:rFonts w:ascii="Times New Roman" w:eastAsia="Times New Roman" w:hAnsi="Times New Roman" w:cs="Times New Roman"/>
                <w:b/>
                <w:bCs/>
                <w:color w:val="000000"/>
                <w:sz w:val="16"/>
                <w:szCs w:val="16"/>
              </w:rPr>
              <w:t xml:space="preserve">Raw data (ddRAD) </w:t>
            </w:r>
          </w:p>
        </w:tc>
      </w:tr>
      <w:tr w:rsidR="006B2888" w:rsidRPr="00AE525E" w14:paraId="282B05DA" w14:textId="77777777" w:rsidTr="006B2888">
        <w:trPr>
          <w:trHeight w:val="340"/>
        </w:trPr>
        <w:tc>
          <w:tcPr>
            <w:tcW w:w="2355" w:type="dxa"/>
            <w:vMerge/>
            <w:tcBorders>
              <w:top w:val="nil"/>
              <w:left w:val="nil"/>
              <w:bottom w:val="single" w:sz="8" w:space="0" w:color="000000"/>
              <w:right w:val="nil"/>
            </w:tcBorders>
            <w:vAlign w:val="center"/>
            <w:hideMark/>
          </w:tcPr>
          <w:p w14:paraId="529AB835" w14:textId="77777777" w:rsidR="006B2888" w:rsidRPr="00AE525E" w:rsidRDefault="006B2888" w:rsidP="00031031">
            <w:pPr>
              <w:rPr>
                <w:rFonts w:ascii="Times New Roman" w:eastAsia="Times New Roman" w:hAnsi="Times New Roman" w:cs="Times New Roman"/>
                <w:b/>
                <w:bCs/>
                <w:color w:val="000000"/>
                <w:sz w:val="16"/>
                <w:szCs w:val="16"/>
              </w:rPr>
            </w:pPr>
          </w:p>
        </w:tc>
        <w:tc>
          <w:tcPr>
            <w:tcW w:w="1533" w:type="dxa"/>
            <w:vMerge/>
            <w:tcBorders>
              <w:top w:val="nil"/>
              <w:left w:val="nil"/>
              <w:bottom w:val="single" w:sz="8" w:space="0" w:color="000000"/>
              <w:right w:val="nil"/>
            </w:tcBorders>
            <w:vAlign w:val="center"/>
            <w:hideMark/>
          </w:tcPr>
          <w:p w14:paraId="1499B514" w14:textId="77777777" w:rsidR="006B2888" w:rsidRPr="00AE525E" w:rsidRDefault="006B2888" w:rsidP="00031031">
            <w:pPr>
              <w:rPr>
                <w:rFonts w:ascii="Times New Roman" w:eastAsia="Times New Roman" w:hAnsi="Times New Roman" w:cs="Times New Roman"/>
                <w:b/>
                <w:bCs/>
                <w:color w:val="000000"/>
                <w:sz w:val="16"/>
                <w:szCs w:val="16"/>
              </w:rPr>
            </w:pPr>
          </w:p>
        </w:tc>
        <w:tc>
          <w:tcPr>
            <w:tcW w:w="1300" w:type="dxa"/>
            <w:vMerge/>
            <w:tcBorders>
              <w:top w:val="nil"/>
              <w:left w:val="nil"/>
              <w:bottom w:val="single" w:sz="8" w:space="0" w:color="000000"/>
              <w:right w:val="nil"/>
            </w:tcBorders>
            <w:vAlign w:val="center"/>
            <w:hideMark/>
          </w:tcPr>
          <w:p w14:paraId="67C4825A" w14:textId="77777777" w:rsidR="006B2888" w:rsidRPr="00AE525E" w:rsidRDefault="006B2888" w:rsidP="00031031">
            <w:pPr>
              <w:rPr>
                <w:rFonts w:ascii="Times New Roman" w:eastAsia="Times New Roman" w:hAnsi="Times New Roman" w:cs="Times New Roman"/>
                <w:b/>
                <w:bCs/>
                <w:color w:val="000000"/>
                <w:sz w:val="16"/>
                <w:szCs w:val="16"/>
              </w:rPr>
            </w:pPr>
          </w:p>
        </w:tc>
        <w:tc>
          <w:tcPr>
            <w:tcW w:w="1300" w:type="dxa"/>
            <w:tcBorders>
              <w:top w:val="nil"/>
              <w:left w:val="nil"/>
              <w:bottom w:val="single" w:sz="8" w:space="0" w:color="auto"/>
              <w:right w:val="nil"/>
            </w:tcBorders>
            <w:shd w:val="clear" w:color="auto" w:fill="auto"/>
            <w:noWrap/>
            <w:vAlign w:val="center"/>
            <w:hideMark/>
          </w:tcPr>
          <w:p w14:paraId="78C99879" w14:textId="77777777" w:rsidR="006B2888" w:rsidRPr="00AE525E" w:rsidRDefault="006B2888" w:rsidP="00031031">
            <w:pPr>
              <w:rPr>
                <w:rFonts w:ascii="Times New Roman" w:eastAsia="Times New Roman" w:hAnsi="Times New Roman" w:cs="Times New Roman"/>
                <w:b/>
                <w:bCs/>
                <w:color w:val="000000"/>
                <w:sz w:val="16"/>
                <w:szCs w:val="16"/>
              </w:rPr>
            </w:pPr>
            <w:r w:rsidRPr="00AE525E">
              <w:rPr>
                <w:rFonts w:ascii="Times New Roman" w:eastAsia="Times New Roman" w:hAnsi="Times New Roman" w:cs="Times New Roman"/>
                <w:b/>
                <w:bCs/>
                <w:color w:val="000000"/>
                <w:sz w:val="16"/>
                <w:szCs w:val="16"/>
              </w:rPr>
              <w:t>Accession no.</w:t>
            </w:r>
          </w:p>
        </w:tc>
        <w:tc>
          <w:tcPr>
            <w:tcW w:w="2242" w:type="dxa"/>
            <w:tcBorders>
              <w:top w:val="nil"/>
              <w:left w:val="nil"/>
              <w:bottom w:val="single" w:sz="8" w:space="0" w:color="auto"/>
              <w:right w:val="nil"/>
            </w:tcBorders>
            <w:shd w:val="clear" w:color="auto" w:fill="auto"/>
            <w:noWrap/>
            <w:vAlign w:val="center"/>
            <w:hideMark/>
          </w:tcPr>
          <w:p w14:paraId="68EB5BBB" w14:textId="77777777" w:rsidR="006B2888" w:rsidRPr="00AE525E" w:rsidRDefault="006B2888" w:rsidP="00031031">
            <w:pPr>
              <w:jc w:val="both"/>
              <w:rPr>
                <w:rFonts w:ascii="Times New Roman" w:eastAsia="Times New Roman" w:hAnsi="Times New Roman" w:cs="Times New Roman"/>
                <w:b/>
                <w:bCs/>
                <w:color w:val="000000"/>
                <w:sz w:val="16"/>
                <w:szCs w:val="16"/>
              </w:rPr>
            </w:pPr>
            <w:r w:rsidRPr="00AE525E">
              <w:rPr>
                <w:rFonts w:ascii="Times New Roman" w:eastAsia="Times New Roman" w:hAnsi="Times New Roman" w:cs="Times New Roman"/>
                <w:b/>
                <w:bCs/>
                <w:color w:val="000000"/>
                <w:sz w:val="16"/>
                <w:szCs w:val="16"/>
              </w:rPr>
              <w:t>Accession no.</w:t>
            </w:r>
          </w:p>
        </w:tc>
      </w:tr>
      <w:tr w:rsidR="006B2888" w:rsidRPr="00AE525E" w14:paraId="63DA694D" w14:textId="77777777" w:rsidTr="006B2888">
        <w:trPr>
          <w:trHeight w:val="320"/>
        </w:trPr>
        <w:tc>
          <w:tcPr>
            <w:tcW w:w="2355" w:type="dxa"/>
            <w:tcBorders>
              <w:top w:val="nil"/>
              <w:left w:val="nil"/>
              <w:bottom w:val="nil"/>
              <w:right w:val="nil"/>
            </w:tcBorders>
            <w:shd w:val="clear" w:color="auto" w:fill="auto"/>
            <w:noWrap/>
            <w:vAlign w:val="center"/>
            <w:hideMark/>
          </w:tcPr>
          <w:p w14:paraId="158C4BC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2439AA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30915-1</w:t>
            </w:r>
          </w:p>
        </w:tc>
        <w:tc>
          <w:tcPr>
            <w:tcW w:w="1300" w:type="dxa"/>
            <w:tcBorders>
              <w:top w:val="nil"/>
              <w:left w:val="nil"/>
              <w:bottom w:val="nil"/>
              <w:right w:val="nil"/>
            </w:tcBorders>
            <w:shd w:val="clear" w:color="auto" w:fill="auto"/>
            <w:noWrap/>
            <w:vAlign w:val="center"/>
            <w:hideMark/>
          </w:tcPr>
          <w:p w14:paraId="369113E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76B605F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010E97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SAMN11038299</w:t>
            </w:r>
          </w:p>
        </w:tc>
      </w:tr>
      <w:tr w:rsidR="006B2888" w:rsidRPr="00AE525E" w14:paraId="6D9E197E" w14:textId="77777777" w:rsidTr="006B2888">
        <w:trPr>
          <w:trHeight w:val="320"/>
        </w:trPr>
        <w:tc>
          <w:tcPr>
            <w:tcW w:w="2355" w:type="dxa"/>
            <w:tcBorders>
              <w:top w:val="nil"/>
              <w:left w:val="nil"/>
              <w:bottom w:val="nil"/>
              <w:right w:val="nil"/>
            </w:tcBorders>
            <w:shd w:val="clear" w:color="auto" w:fill="auto"/>
            <w:noWrap/>
            <w:vAlign w:val="center"/>
            <w:hideMark/>
          </w:tcPr>
          <w:p w14:paraId="4D06A9B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3A94C7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30915-10</w:t>
            </w:r>
          </w:p>
        </w:tc>
        <w:tc>
          <w:tcPr>
            <w:tcW w:w="1300" w:type="dxa"/>
            <w:tcBorders>
              <w:top w:val="nil"/>
              <w:left w:val="nil"/>
              <w:bottom w:val="nil"/>
              <w:right w:val="nil"/>
            </w:tcBorders>
            <w:shd w:val="clear" w:color="auto" w:fill="auto"/>
            <w:noWrap/>
            <w:vAlign w:val="center"/>
            <w:hideMark/>
          </w:tcPr>
          <w:p w14:paraId="60E71E3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1D7DF0A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387038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SAMN11038300</w:t>
            </w:r>
          </w:p>
        </w:tc>
      </w:tr>
      <w:tr w:rsidR="006B2888" w:rsidRPr="00AE525E" w14:paraId="759B3BB1" w14:textId="77777777" w:rsidTr="006B2888">
        <w:trPr>
          <w:trHeight w:val="320"/>
        </w:trPr>
        <w:tc>
          <w:tcPr>
            <w:tcW w:w="2355" w:type="dxa"/>
            <w:tcBorders>
              <w:top w:val="nil"/>
              <w:left w:val="nil"/>
              <w:bottom w:val="nil"/>
              <w:right w:val="nil"/>
            </w:tcBorders>
            <w:shd w:val="clear" w:color="auto" w:fill="auto"/>
            <w:noWrap/>
            <w:vAlign w:val="center"/>
            <w:hideMark/>
          </w:tcPr>
          <w:p w14:paraId="6544E85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F931FB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30915-3</w:t>
            </w:r>
          </w:p>
        </w:tc>
        <w:tc>
          <w:tcPr>
            <w:tcW w:w="1300" w:type="dxa"/>
            <w:tcBorders>
              <w:top w:val="nil"/>
              <w:left w:val="nil"/>
              <w:bottom w:val="nil"/>
              <w:right w:val="nil"/>
            </w:tcBorders>
            <w:shd w:val="clear" w:color="auto" w:fill="auto"/>
            <w:noWrap/>
            <w:vAlign w:val="center"/>
            <w:hideMark/>
          </w:tcPr>
          <w:p w14:paraId="6A34607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766646F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CBC79D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SAMN11038301</w:t>
            </w:r>
          </w:p>
        </w:tc>
      </w:tr>
      <w:tr w:rsidR="006B2888" w:rsidRPr="00AE525E" w14:paraId="17A7715B" w14:textId="77777777" w:rsidTr="006B2888">
        <w:trPr>
          <w:trHeight w:val="320"/>
        </w:trPr>
        <w:tc>
          <w:tcPr>
            <w:tcW w:w="2355" w:type="dxa"/>
            <w:tcBorders>
              <w:top w:val="nil"/>
              <w:left w:val="nil"/>
              <w:bottom w:val="nil"/>
              <w:right w:val="nil"/>
            </w:tcBorders>
            <w:shd w:val="clear" w:color="auto" w:fill="auto"/>
            <w:noWrap/>
            <w:vAlign w:val="center"/>
            <w:hideMark/>
          </w:tcPr>
          <w:p w14:paraId="5F4DE88A"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ADEDE0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30915-4</w:t>
            </w:r>
          </w:p>
        </w:tc>
        <w:tc>
          <w:tcPr>
            <w:tcW w:w="1300" w:type="dxa"/>
            <w:tcBorders>
              <w:top w:val="nil"/>
              <w:left w:val="nil"/>
              <w:bottom w:val="nil"/>
              <w:right w:val="nil"/>
            </w:tcBorders>
            <w:shd w:val="clear" w:color="auto" w:fill="auto"/>
            <w:noWrap/>
            <w:vAlign w:val="center"/>
            <w:hideMark/>
          </w:tcPr>
          <w:p w14:paraId="62F9BCD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21CD6FD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147B99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SAMN11038302</w:t>
            </w:r>
          </w:p>
        </w:tc>
      </w:tr>
      <w:tr w:rsidR="006B2888" w:rsidRPr="00AE525E" w14:paraId="55FD501E" w14:textId="77777777" w:rsidTr="006B2888">
        <w:trPr>
          <w:trHeight w:val="320"/>
        </w:trPr>
        <w:tc>
          <w:tcPr>
            <w:tcW w:w="2355" w:type="dxa"/>
            <w:tcBorders>
              <w:top w:val="nil"/>
              <w:left w:val="nil"/>
              <w:bottom w:val="nil"/>
              <w:right w:val="nil"/>
            </w:tcBorders>
            <w:shd w:val="clear" w:color="auto" w:fill="auto"/>
            <w:noWrap/>
            <w:vAlign w:val="center"/>
            <w:hideMark/>
          </w:tcPr>
          <w:p w14:paraId="0DB47CF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029C49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30915-5</w:t>
            </w:r>
          </w:p>
        </w:tc>
        <w:tc>
          <w:tcPr>
            <w:tcW w:w="1300" w:type="dxa"/>
            <w:tcBorders>
              <w:top w:val="nil"/>
              <w:left w:val="nil"/>
              <w:bottom w:val="nil"/>
              <w:right w:val="nil"/>
            </w:tcBorders>
            <w:shd w:val="clear" w:color="auto" w:fill="auto"/>
            <w:noWrap/>
            <w:vAlign w:val="center"/>
            <w:hideMark/>
          </w:tcPr>
          <w:p w14:paraId="3D68116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5C6F6A0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942E2A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SAMN11038303</w:t>
            </w:r>
          </w:p>
        </w:tc>
      </w:tr>
      <w:tr w:rsidR="006B2888" w:rsidRPr="00AE525E" w14:paraId="5FAD8FE8" w14:textId="77777777" w:rsidTr="006B2888">
        <w:trPr>
          <w:trHeight w:val="320"/>
        </w:trPr>
        <w:tc>
          <w:tcPr>
            <w:tcW w:w="2355" w:type="dxa"/>
            <w:tcBorders>
              <w:top w:val="nil"/>
              <w:left w:val="nil"/>
              <w:bottom w:val="nil"/>
              <w:right w:val="nil"/>
            </w:tcBorders>
            <w:shd w:val="clear" w:color="auto" w:fill="auto"/>
            <w:noWrap/>
            <w:vAlign w:val="center"/>
            <w:hideMark/>
          </w:tcPr>
          <w:p w14:paraId="71F784F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FB59B9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30915-6</w:t>
            </w:r>
          </w:p>
        </w:tc>
        <w:tc>
          <w:tcPr>
            <w:tcW w:w="1300" w:type="dxa"/>
            <w:tcBorders>
              <w:top w:val="nil"/>
              <w:left w:val="nil"/>
              <w:bottom w:val="nil"/>
              <w:right w:val="nil"/>
            </w:tcBorders>
            <w:shd w:val="clear" w:color="auto" w:fill="auto"/>
            <w:noWrap/>
            <w:vAlign w:val="center"/>
            <w:hideMark/>
          </w:tcPr>
          <w:p w14:paraId="351E432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6501EB9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5B8700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SAMN11038304</w:t>
            </w:r>
          </w:p>
        </w:tc>
      </w:tr>
      <w:tr w:rsidR="006B2888" w:rsidRPr="00AE525E" w14:paraId="697A172F" w14:textId="77777777" w:rsidTr="006B2888">
        <w:trPr>
          <w:trHeight w:val="320"/>
        </w:trPr>
        <w:tc>
          <w:tcPr>
            <w:tcW w:w="2355" w:type="dxa"/>
            <w:tcBorders>
              <w:top w:val="nil"/>
              <w:left w:val="nil"/>
              <w:bottom w:val="nil"/>
              <w:right w:val="nil"/>
            </w:tcBorders>
            <w:shd w:val="clear" w:color="auto" w:fill="auto"/>
            <w:noWrap/>
            <w:vAlign w:val="center"/>
            <w:hideMark/>
          </w:tcPr>
          <w:p w14:paraId="2076A44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28A02D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30915-7</w:t>
            </w:r>
          </w:p>
        </w:tc>
        <w:tc>
          <w:tcPr>
            <w:tcW w:w="1300" w:type="dxa"/>
            <w:tcBorders>
              <w:top w:val="nil"/>
              <w:left w:val="nil"/>
              <w:bottom w:val="nil"/>
              <w:right w:val="nil"/>
            </w:tcBorders>
            <w:shd w:val="clear" w:color="auto" w:fill="auto"/>
            <w:noWrap/>
            <w:vAlign w:val="center"/>
            <w:hideMark/>
          </w:tcPr>
          <w:p w14:paraId="039B453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76BB7D1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1BBB77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SAMN11038305</w:t>
            </w:r>
          </w:p>
        </w:tc>
      </w:tr>
      <w:tr w:rsidR="006B2888" w:rsidRPr="00AE525E" w14:paraId="45DC9D15" w14:textId="77777777" w:rsidTr="006B2888">
        <w:trPr>
          <w:trHeight w:val="320"/>
        </w:trPr>
        <w:tc>
          <w:tcPr>
            <w:tcW w:w="2355" w:type="dxa"/>
            <w:tcBorders>
              <w:top w:val="nil"/>
              <w:left w:val="nil"/>
              <w:bottom w:val="nil"/>
              <w:right w:val="nil"/>
            </w:tcBorders>
            <w:shd w:val="clear" w:color="auto" w:fill="auto"/>
            <w:noWrap/>
            <w:vAlign w:val="center"/>
            <w:hideMark/>
          </w:tcPr>
          <w:p w14:paraId="0BD866C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7ECA29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30915-8</w:t>
            </w:r>
          </w:p>
        </w:tc>
        <w:tc>
          <w:tcPr>
            <w:tcW w:w="1300" w:type="dxa"/>
            <w:tcBorders>
              <w:top w:val="nil"/>
              <w:left w:val="nil"/>
              <w:bottom w:val="nil"/>
              <w:right w:val="nil"/>
            </w:tcBorders>
            <w:shd w:val="clear" w:color="auto" w:fill="auto"/>
            <w:noWrap/>
            <w:vAlign w:val="center"/>
            <w:hideMark/>
          </w:tcPr>
          <w:p w14:paraId="1C252AD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58E9E46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FEC433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SAMN11038306</w:t>
            </w:r>
          </w:p>
        </w:tc>
      </w:tr>
      <w:tr w:rsidR="006B2888" w:rsidRPr="00AE525E" w14:paraId="306169D6" w14:textId="77777777" w:rsidTr="006B2888">
        <w:trPr>
          <w:trHeight w:val="320"/>
        </w:trPr>
        <w:tc>
          <w:tcPr>
            <w:tcW w:w="2355" w:type="dxa"/>
            <w:tcBorders>
              <w:top w:val="nil"/>
              <w:left w:val="nil"/>
              <w:bottom w:val="nil"/>
              <w:right w:val="nil"/>
            </w:tcBorders>
            <w:shd w:val="clear" w:color="auto" w:fill="auto"/>
            <w:noWrap/>
            <w:vAlign w:val="center"/>
            <w:hideMark/>
          </w:tcPr>
          <w:p w14:paraId="3B82F64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A2E34B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30915-9</w:t>
            </w:r>
          </w:p>
        </w:tc>
        <w:tc>
          <w:tcPr>
            <w:tcW w:w="1300" w:type="dxa"/>
            <w:tcBorders>
              <w:top w:val="nil"/>
              <w:left w:val="nil"/>
              <w:bottom w:val="nil"/>
              <w:right w:val="nil"/>
            </w:tcBorders>
            <w:shd w:val="clear" w:color="auto" w:fill="auto"/>
            <w:noWrap/>
            <w:vAlign w:val="center"/>
            <w:hideMark/>
          </w:tcPr>
          <w:p w14:paraId="49A847A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57D204A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F0A120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SAMN11038307</w:t>
            </w:r>
          </w:p>
        </w:tc>
      </w:tr>
      <w:tr w:rsidR="006B2888" w:rsidRPr="00AE525E" w14:paraId="2FA384C0" w14:textId="77777777" w:rsidTr="006B2888">
        <w:trPr>
          <w:trHeight w:val="320"/>
        </w:trPr>
        <w:tc>
          <w:tcPr>
            <w:tcW w:w="2355" w:type="dxa"/>
            <w:tcBorders>
              <w:top w:val="nil"/>
              <w:left w:val="nil"/>
              <w:bottom w:val="nil"/>
              <w:right w:val="nil"/>
            </w:tcBorders>
            <w:shd w:val="clear" w:color="auto" w:fill="auto"/>
            <w:noWrap/>
            <w:vAlign w:val="center"/>
            <w:hideMark/>
          </w:tcPr>
          <w:p w14:paraId="2425F66F"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F6BC2E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31215-10</w:t>
            </w:r>
          </w:p>
        </w:tc>
        <w:tc>
          <w:tcPr>
            <w:tcW w:w="1300" w:type="dxa"/>
            <w:tcBorders>
              <w:top w:val="nil"/>
              <w:left w:val="nil"/>
              <w:bottom w:val="nil"/>
              <w:right w:val="nil"/>
            </w:tcBorders>
            <w:shd w:val="clear" w:color="auto" w:fill="auto"/>
            <w:noWrap/>
            <w:vAlign w:val="center"/>
            <w:hideMark/>
          </w:tcPr>
          <w:p w14:paraId="4422370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6FA59FB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FEE2F9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SAMN11038308</w:t>
            </w:r>
          </w:p>
        </w:tc>
      </w:tr>
      <w:tr w:rsidR="006B2888" w:rsidRPr="00AE525E" w14:paraId="6CE15C9E" w14:textId="77777777" w:rsidTr="006B2888">
        <w:trPr>
          <w:trHeight w:val="320"/>
        </w:trPr>
        <w:tc>
          <w:tcPr>
            <w:tcW w:w="2355" w:type="dxa"/>
            <w:tcBorders>
              <w:top w:val="nil"/>
              <w:left w:val="nil"/>
              <w:bottom w:val="nil"/>
              <w:right w:val="nil"/>
            </w:tcBorders>
            <w:shd w:val="clear" w:color="auto" w:fill="auto"/>
            <w:noWrap/>
            <w:vAlign w:val="center"/>
            <w:hideMark/>
          </w:tcPr>
          <w:p w14:paraId="2F2880A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FDB9A3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31215-11</w:t>
            </w:r>
          </w:p>
        </w:tc>
        <w:tc>
          <w:tcPr>
            <w:tcW w:w="1300" w:type="dxa"/>
            <w:tcBorders>
              <w:top w:val="nil"/>
              <w:left w:val="nil"/>
              <w:bottom w:val="nil"/>
              <w:right w:val="nil"/>
            </w:tcBorders>
            <w:shd w:val="clear" w:color="auto" w:fill="auto"/>
            <w:noWrap/>
            <w:vAlign w:val="center"/>
            <w:hideMark/>
          </w:tcPr>
          <w:p w14:paraId="66B9431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6C4FD23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D41B59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SAMN11038309</w:t>
            </w:r>
          </w:p>
        </w:tc>
      </w:tr>
      <w:tr w:rsidR="006B2888" w:rsidRPr="00AE525E" w14:paraId="4F837EF4" w14:textId="77777777" w:rsidTr="006B2888">
        <w:trPr>
          <w:trHeight w:val="320"/>
        </w:trPr>
        <w:tc>
          <w:tcPr>
            <w:tcW w:w="2355" w:type="dxa"/>
            <w:tcBorders>
              <w:top w:val="nil"/>
              <w:left w:val="nil"/>
              <w:bottom w:val="nil"/>
              <w:right w:val="nil"/>
            </w:tcBorders>
            <w:shd w:val="clear" w:color="auto" w:fill="auto"/>
            <w:noWrap/>
            <w:vAlign w:val="center"/>
            <w:hideMark/>
          </w:tcPr>
          <w:p w14:paraId="1CAAFAA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65ED02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31215-12</w:t>
            </w:r>
          </w:p>
        </w:tc>
        <w:tc>
          <w:tcPr>
            <w:tcW w:w="1300" w:type="dxa"/>
            <w:tcBorders>
              <w:top w:val="nil"/>
              <w:left w:val="nil"/>
              <w:bottom w:val="nil"/>
              <w:right w:val="nil"/>
            </w:tcBorders>
            <w:shd w:val="clear" w:color="auto" w:fill="auto"/>
            <w:noWrap/>
            <w:vAlign w:val="center"/>
            <w:hideMark/>
          </w:tcPr>
          <w:p w14:paraId="5E6543A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6DE27BA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4AE587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SAMN11038310</w:t>
            </w:r>
          </w:p>
        </w:tc>
      </w:tr>
      <w:tr w:rsidR="006B2888" w:rsidRPr="00AE525E" w14:paraId="09FA9307" w14:textId="77777777" w:rsidTr="006B2888">
        <w:trPr>
          <w:trHeight w:val="320"/>
        </w:trPr>
        <w:tc>
          <w:tcPr>
            <w:tcW w:w="2355" w:type="dxa"/>
            <w:tcBorders>
              <w:top w:val="nil"/>
              <w:left w:val="nil"/>
              <w:bottom w:val="nil"/>
              <w:right w:val="nil"/>
            </w:tcBorders>
            <w:shd w:val="clear" w:color="auto" w:fill="auto"/>
            <w:noWrap/>
            <w:vAlign w:val="center"/>
            <w:hideMark/>
          </w:tcPr>
          <w:p w14:paraId="02AA2E5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5BF541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31215-13</w:t>
            </w:r>
          </w:p>
        </w:tc>
        <w:tc>
          <w:tcPr>
            <w:tcW w:w="1300" w:type="dxa"/>
            <w:tcBorders>
              <w:top w:val="nil"/>
              <w:left w:val="nil"/>
              <w:bottom w:val="nil"/>
              <w:right w:val="nil"/>
            </w:tcBorders>
            <w:shd w:val="clear" w:color="auto" w:fill="auto"/>
            <w:noWrap/>
            <w:vAlign w:val="center"/>
            <w:hideMark/>
          </w:tcPr>
          <w:p w14:paraId="280A6D9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331C472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EE172B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SAMN11038311</w:t>
            </w:r>
          </w:p>
        </w:tc>
      </w:tr>
      <w:tr w:rsidR="006B2888" w:rsidRPr="00AE525E" w14:paraId="3F586E28" w14:textId="77777777" w:rsidTr="006B2888">
        <w:trPr>
          <w:trHeight w:val="320"/>
        </w:trPr>
        <w:tc>
          <w:tcPr>
            <w:tcW w:w="2355" w:type="dxa"/>
            <w:tcBorders>
              <w:top w:val="nil"/>
              <w:left w:val="nil"/>
              <w:bottom w:val="nil"/>
              <w:right w:val="nil"/>
            </w:tcBorders>
            <w:shd w:val="clear" w:color="auto" w:fill="auto"/>
            <w:noWrap/>
            <w:vAlign w:val="center"/>
            <w:hideMark/>
          </w:tcPr>
          <w:p w14:paraId="6CE71E0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977CC0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31215-14</w:t>
            </w:r>
          </w:p>
        </w:tc>
        <w:tc>
          <w:tcPr>
            <w:tcW w:w="1300" w:type="dxa"/>
            <w:tcBorders>
              <w:top w:val="nil"/>
              <w:left w:val="nil"/>
              <w:bottom w:val="nil"/>
              <w:right w:val="nil"/>
            </w:tcBorders>
            <w:shd w:val="clear" w:color="auto" w:fill="auto"/>
            <w:noWrap/>
            <w:vAlign w:val="center"/>
            <w:hideMark/>
          </w:tcPr>
          <w:p w14:paraId="03DA3E1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668C0E2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608EC2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SAMN11038312</w:t>
            </w:r>
          </w:p>
        </w:tc>
      </w:tr>
      <w:tr w:rsidR="006B2888" w:rsidRPr="00AE525E" w14:paraId="6A0DC69E" w14:textId="77777777" w:rsidTr="006B2888">
        <w:trPr>
          <w:trHeight w:val="320"/>
        </w:trPr>
        <w:tc>
          <w:tcPr>
            <w:tcW w:w="2355" w:type="dxa"/>
            <w:tcBorders>
              <w:top w:val="nil"/>
              <w:left w:val="nil"/>
              <w:bottom w:val="nil"/>
              <w:right w:val="nil"/>
            </w:tcBorders>
            <w:shd w:val="clear" w:color="auto" w:fill="auto"/>
            <w:noWrap/>
            <w:vAlign w:val="center"/>
            <w:hideMark/>
          </w:tcPr>
          <w:p w14:paraId="3E86D42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5853A3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31215-15</w:t>
            </w:r>
          </w:p>
        </w:tc>
        <w:tc>
          <w:tcPr>
            <w:tcW w:w="1300" w:type="dxa"/>
            <w:tcBorders>
              <w:top w:val="nil"/>
              <w:left w:val="nil"/>
              <w:bottom w:val="nil"/>
              <w:right w:val="nil"/>
            </w:tcBorders>
            <w:shd w:val="clear" w:color="auto" w:fill="auto"/>
            <w:noWrap/>
            <w:vAlign w:val="center"/>
            <w:hideMark/>
          </w:tcPr>
          <w:p w14:paraId="7317920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6A4A9B1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B2BCAB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SAMN11038313</w:t>
            </w:r>
          </w:p>
        </w:tc>
      </w:tr>
      <w:tr w:rsidR="006B2888" w:rsidRPr="00AE525E" w14:paraId="2F24266F" w14:textId="77777777" w:rsidTr="006B2888">
        <w:trPr>
          <w:trHeight w:val="320"/>
        </w:trPr>
        <w:tc>
          <w:tcPr>
            <w:tcW w:w="2355" w:type="dxa"/>
            <w:tcBorders>
              <w:top w:val="nil"/>
              <w:left w:val="nil"/>
              <w:bottom w:val="nil"/>
              <w:right w:val="nil"/>
            </w:tcBorders>
            <w:shd w:val="clear" w:color="auto" w:fill="auto"/>
            <w:noWrap/>
            <w:vAlign w:val="center"/>
            <w:hideMark/>
          </w:tcPr>
          <w:p w14:paraId="2D89954F"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231BF7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31215-16</w:t>
            </w:r>
          </w:p>
        </w:tc>
        <w:tc>
          <w:tcPr>
            <w:tcW w:w="1300" w:type="dxa"/>
            <w:tcBorders>
              <w:top w:val="nil"/>
              <w:left w:val="nil"/>
              <w:bottom w:val="nil"/>
              <w:right w:val="nil"/>
            </w:tcBorders>
            <w:shd w:val="clear" w:color="auto" w:fill="auto"/>
            <w:noWrap/>
            <w:vAlign w:val="center"/>
            <w:hideMark/>
          </w:tcPr>
          <w:p w14:paraId="198BABF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1E51449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EC0A26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SAMN11038314</w:t>
            </w:r>
          </w:p>
        </w:tc>
      </w:tr>
      <w:tr w:rsidR="006B2888" w:rsidRPr="00AE525E" w14:paraId="45972FB3" w14:textId="77777777" w:rsidTr="006B2888">
        <w:trPr>
          <w:trHeight w:val="320"/>
        </w:trPr>
        <w:tc>
          <w:tcPr>
            <w:tcW w:w="2355" w:type="dxa"/>
            <w:tcBorders>
              <w:top w:val="nil"/>
              <w:left w:val="nil"/>
              <w:bottom w:val="nil"/>
              <w:right w:val="nil"/>
            </w:tcBorders>
            <w:shd w:val="clear" w:color="auto" w:fill="auto"/>
            <w:noWrap/>
            <w:vAlign w:val="center"/>
            <w:hideMark/>
          </w:tcPr>
          <w:p w14:paraId="18E34D5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319B97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31215-17</w:t>
            </w:r>
          </w:p>
        </w:tc>
        <w:tc>
          <w:tcPr>
            <w:tcW w:w="1300" w:type="dxa"/>
            <w:tcBorders>
              <w:top w:val="nil"/>
              <w:left w:val="nil"/>
              <w:bottom w:val="nil"/>
              <w:right w:val="nil"/>
            </w:tcBorders>
            <w:shd w:val="clear" w:color="auto" w:fill="auto"/>
            <w:noWrap/>
            <w:vAlign w:val="center"/>
            <w:hideMark/>
          </w:tcPr>
          <w:p w14:paraId="6CEE294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07B1A6F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55E16A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SAMN11038315</w:t>
            </w:r>
          </w:p>
        </w:tc>
      </w:tr>
      <w:tr w:rsidR="006B2888" w:rsidRPr="00AE525E" w14:paraId="61E03A97" w14:textId="77777777" w:rsidTr="006B2888">
        <w:trPr>
          <w:trHeight w:val="320"/>
        </w:trPr>
        <w:tc>
          <w:tcPr>
            <w:tcW w:w="2355" w:type="dxa"/>
            <w:tcBorders>
              <w:top w:val="nil"/>
              <w:left w:val="nil"/>
              <w:bottom w:val="nil"/>
              <w:right w:val="nil"/>
            </w:tcBorders>
            <w:shd w:val="clear" w:color="auto" w:fill="auto"/>
            <w:noWrap/>
            <w:vAlign w:val="center"/>
            <w:hideMark/>
          </w:tcPr>
          <w:p w14:paraId="540DC09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EA3380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31215-9</w:t>
            </w:r>
          </w:p>
        </w:tc>
        <w:tc>
          <w:tcPr>
            <w:tcW w:w="1300" w:type="dxa"/>
            <w:tcBorders>
              <w:top w:val="nil"/>
              <w:left w:val="nil"/>
              <w:bottom w:val="nil"/>
              <w:right w:val="nil"/>
            </w:tcBorders>
            <w:shd w:val="clear" w:color="auto" w:fill="auto"/>
            <w:noWrap/>
            <w:vAlign w:val="center"/>
            <w:hideMark/>
          </w:tcPr>
          <w:p w14:paraId="46A93B1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FLO</w:t>
            </w:r>
          </w:p>
        </w:tc>
        <w:tc>
          <w:tcPr>
            <w:tcW w:w="1300" w:type="dxa"/>
            <w:tcBorders>
              <w:top w:val="nil"/>
              <w:left w:val="nil"/>
              <w:bottom w:val="nil"/>
              <w:right w:val="nil"/>
            </w:tcBorders>
            <w:shd w:val="clear" w:color="auto" w:fill="auto"/>
            <w:noWrap/>
            <w:vAlign w:val="center"/>
            <w:hideMark/>
          </w:tcPr>
          <w:p w14:paraId="654C8CF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4C8AEA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SAMN11038316</w:t>
            </w:r>
          </w:p>
        </w:tc>
      </w:tr>
      <w:tr w:rsidR="006B2888" w:rsidRPr="00AE525E" w14:paraId="525935C1" w14:textId="77777777" w:rsidTr="006B2888">
        <w:trPr>
          <w:trHeight w:val="320"/>
        </w:trPr>
        <w:tc>
          <w:tcPr>
            <w:tcW w:w="2355" w:type="dxa"/>
            <w:tcBorders>
              <w:top w:val="nil"/>
              <w:left w:val="nil"/>
              <w:bottom w:val="nil"/>
              <w:right w:val="nil"/>
            </w:tcBorders>
            <w:shd w:val="clear" w:color="auto" w:fill="auto"/>
            <w:noWrap/>
            <w:vAlign w:val="center"/>
            <w:hideMark/>
          </w:tcPr>
          <w:p w14:paraId="7234A67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8E32DD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ABR169</w:t>
            </w:r>
          </w:p>
        </w:tc>
        <w:tc>
          <w:tcPr>
            <w:tcW w:w="1300" w:type="dxa"/>
            <w:tcBorders>
              <w:top w:val="nil"/>
              <w:left w:val="nil"/>
              <w:bottom w:val="nil"/>
              <w:right w:val="nil"/>
            </w:tcBorders>
            <w:shd w:val="clear" w:color="auto" w:fill="auto"/>
            <w:noWrap/>
            <w:vAlign w:val="center"/>
            <w:hideMark/>
          </w:tcPr>
          <w:p w14:paraId="6E62B92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5C66909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5C504E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SAMN11038317</w:t>
            </w:r>
          </w:p>
        </w:tc>
      </w:tr>
      <w:tr w:rsidR="006B2888" w:rsidRPr="00AE525E" w14:paraId="060F7705" w14:textId="77777777" w:rsidTr="006B2888">
        <w:trPr>
          <w:trHeight w:val="320"/>
        </w:trPr>
        <w:tc>
          <w:tcPr>
            <w:tcW w:w="2355" w:type="dxa"/>
            <w:tcBorders>
              <w:top w:val="nil"/>
              <w:left w:val="nil"/>
              <w:bottom w:val="nil"/>
              <w:right w:val="nil"/>
            </w:tcBorders>
            <w:shd w:val="clear" w:color="auto" w:fill="auto"/>
            <w:noWrap/>
            <w:vAlign w:val="center"/>
            <w:hideMark/>
          </w:tcPr>
          <w:p w14:paraId="43701D4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F2029C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ABR170</w:t>
            </w:r>
          </w:p>
        </w:tc>
        <w:tc>
          <w:tcPr>
            <w:tcW w:w="1300" w:type="dxa"/>
            <w:tcBorders>
              <w:top w:val="nil"/>
              <w:left w:val="nil"/>
              <w:bottom w:val="nil"/>
              <w:right w:val="nil"/>
            </w:tcBorders>
            <w:shd w:val="clear" w:color="auto" w:fill="auto"/>
            <w:noWrap/>
            <w:vAlign w:val="center"/>
            <w:hideMark/>
          </w:tcPr>
          <w:p w14:paraId="4FEF69D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ALA      </w:t>
            </w:r>
          </w:p>
        </w:tc>
        <w:tc>
          <w:tcPr>
            <w:tcW w:w="1300" w:type="dxa"/>
            <w:tcBorders>
              <w:top w:val="nil"/>
              <w:left w:val="nil"/>
              <w:bottom w:val="nil"/>
              <w:right w:val="nil"/>
            </w:tcBorders>
            <w:shd w:val="clear" w:color="auto" w:fill="auto"/>
            <w:noWrap/>
            <w:vAlign w:val="center"/>
            <w:hideMark/>
          </w:tcPr>
          <w:p w14:paraId="2EBD5AC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MK534317</w:t>
            </w:r>
          </w:p>
        </w:tc>
        <w:tc>
          <w:tcPr>
            <w:tcW w:w="2242" w:type="dxa"/>
            <w:tcBorders>
              <w:top w:val="nil"/>
              <w:left w:val="nil"/>
              <w:bottom w:val="nil"/>
              <w:right w:val="nil"/>
            </w:tcBorders>
            <w:shd w:val="clear" w:color="auto" w:fill="auto"/>
            <w:noWrap/>
            <w:vAlign w:val="bottom"/>
            <w:hideMark/>
          </w:tcPr>
          <w:p w14:paraId="3150DBD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SAMN11038318</w:t>
            </w:r>
          </w:p>
        </w:tc>
      </w:tr>
      <w:tr w:rsidR="006B2888" w:rsidRPr="00AE525E" w14:paraId="3653D92A" w14:textId="77777777" w:rsidTr="006B2888">
        <w:trPr>
          <w:trHeight w:val="320"/>
        </w:trPr>
        <w:tc>
          <w:tcPr>
            <w:tcW w:w="2355" w:type="dxa"/>
            <w:tcBorders>
              <w:top w:val="nil"/>
              <w:left w:val="nil"/>
              <w:bottom w:val="nil"/>
              <w:right w:val="nil"/>
            </w:tcBorders>
            <w:shd w:val="clear" w:color="auto" w:fill="auto"/>
            <w:noWrap/>
            <w:vAlign w:val="center"/>
            <w:hideMark/>
          </w:tcPr>
          <w:p w14:paraId="1A55A41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285568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ABR34</w:t>
            </w:r>
          </w:p>
        </w:tc>
        <w:tc>
          <w:tcPr>
            <w:tcW w:w="1300" w:type="dxa"/>
            <w:tcBorders>
              <w:top w:val="nil"/>
              <w:left w:val="nil"/>
              <w:bottom w:val="nil"/>
              <w:right w:val="nil"/>
            </w:tcBorders>
            <w:shd w:val="clear" w:color="auto" w:fill="auto"/>
            <w:noWrap/>
            <w:vAlign w:val="center"/>
            <w:hideMark/>
          </w:tcPr>
          <w:p w14:paraId="305483A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354A9F7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AD55CC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SAMN11038319</w:t>
            </w:r>
          </w:p>
        </w:tc>
      </w:tr>
      <w:tr w:rsidR="006B2888" w:rsidRPr="00AE525E" w14:paraId="0B58B20C" w14:textId="77777777" w:rsidTr="006B2888">
        <w:trPr>
          <w:trHeight w:val="320"/>
        </w:trPr>
        <w:tc>
          <w:tcPr>
            <w:tcW w:w="2355" w:type="dxa"/>
            <w:tcBorders>
              <w:top w:val="nil"/>
              <w:left w:val="nil"/>
              <w:bottom w:val="nil"/>
              <w:right w:val="nil"/>
            </w:tcBorders>
            <w:shd w:val="clear" w:color="auto" w:fill="auto"/>
            <w:noWrap/>
            <w:vAlign w:val="center"/>
            <w:hideMark/>
          </w:tcPr>
          <w:p w14:paraId="49BEE89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BECC10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ABR35</w:t>
            </w:r>
          </w:p>
        </w:tc>
        <w:tc>
          <w:tcPr>
            <w:tcW w:w="1300" w:type="dxa"/>
            <w:tcBorders>
              <w:top w:val="nil"/>
              <w:left w:val="nil"/>
              <w:bottom w:val="nil"/>
              <w:right w:val="nil"/>
            </w:tcBorders>
            <w:shd w:val="clear" w:color="auto" w:fill="auto"/>
            <w:noWrap/>
            <w:vAlign w:val="center"/>
            <w:hideMark/>
          </w:tcPr>
          <w:p w14:paraId="04B5951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452556A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479AFC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SAMN11038320</w:t>
            </w:r>
          </w:p>
        </w:tc>
      </w:tr>
      <w:tr w:rsidR="006B2888" w:rsidRPr="00AE525E" w14:paraId="5DDE6FB9" w14:textId="77777777" w:rsidTr="006B2888">
        <w:trPr>
          <w:trHeight w:val="320"/>
        </w:trPr>
        <w:tc>
          <w:tcPr>
            <w:tcW w:w="2355" w:type="dxa"/>
            <w:tcBorders>
              <w:top w:val="nil"/>
              <w:left w:val="nil"/>
              <w:bottom w:val="nil"/>
              <w:right w:val="nil"/>
            </w:tcBorders>
            <w:shd w:val="clear" w:color="auto" w:fill="auto"/>
            <w:noWrap/>
            <w:vAlign w:val="center"/>
            <w:hideMark/>
          </w:tcPr>
          <w:p w14:paraId="64B3208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6F4587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ABR55</w:t>
            </w:r>
          </w:p>
        </w:tc>
        <w:tc>
          <w:tcPr>
            <w:tcW w:w="1300" w:type="dxa"/>
            <w:tcBorders>
              <w:top w:val="nil"/>
              <w:left w:val="nil"/>
              <w:bottom w:val="nil"/>
              <w:right w:val="nil"/>
            </w:tcBorders>
            <w:shd w:val="clear" w:color="auto" w:fill="auto"/>
            <w:noWrap/>
            <w:vAlign w:val="center"/>
            <w:hideMark/>
          </w:tcPr>
          <w:p w14:paraId="26F2197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30C763A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C463EA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SAMN11038321</w:t>
            </w:r>
          </w:p>
        </w:tc>
      </w:tr>
      <w:tr w:rsidR="006B2888" w:rsidRPr="00AE525E" w14:paraId="172383C1" w14:textId="77777777" w:rsidTr="006B2888">
        <w:trPr>
          <w:trHeight w:val="320"/>
        </w:trPr>
        <w:tc>
          <w:tcPr>
            <w:tcW w:w="2355" w:type="dxa"/>
            <w:tcBorders>
              <w:top w:val="nil"/>
              <w:left w:val="nil"/>
              <w:bottom w:val="nil"/>
              <w:right w:val="nil"/>
            </w:tcBorders>
            <w:shd w:val="clear" w:color="auto" w:fill="auto"/>
            <w:noWrap/>
            <w:vAlign w:val="center"/>
            <w:hideMark/>
          </w:tcPr>
          <w:p w14:paraId="3970EB2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BF9A33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ABR59</w:t>
            </w:r>
          </w:p>
        </w:tc>
        <w:tc>
          <w:tcPr>
            <w:tcW w:w="1300" w:type="dxa"/>
            <w:tcBorders>
              <w:top w:val="nil"/>
              <w:left w:val="nil"/>
              <w:bottom w:val="nil"/>
              <w:right w:val="nil"/>
            </w:tcBorders>
            <w:shd w:val="clear" w:color="auto" w:fill="auto"/>
            <w:noWrap/>
            <w:vAlign w:val="center"/>
            <w:hideMark/>
          </w:tcPr>
          <w:p w14:paraId="72F828D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354467A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C48279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SAMN11038322</w:t>
            </w:r>
          </w:p>
        </w:tc>
      </w:tr>
      <w:tr w:rsidR="006B2888" w:rsidRPr="00AE525E" w14:paraId="06B0D0AA" w14:textId="77777777" w:rsidTr="006B2888">
        <w:trPr>
          <w:trHeight w:val="320"/>
        </w:trPr>
        <w:tc>
          <w:tcPr>
            <w:tcW w:w="2355" w:type="dxa"/>
            <w:tcBorders>
              <w:top w:val="nil"/>
              <w:left w:val="nil"/>
              <w:bottom w:val="nil"/>
              <w:right w:val="nil"/>
            </w:tcBorders>
            <w:shd w:val="clear" w:color="auto" w:fill="auto"/>
            <w:noWrap/>
            <w:vAlign w:val="center"/>
            <w:hideMark/>
          </w:tcPr>
          <w:p w14:paraId="488249E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95AAF2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ABR60</w:t>
            </w:r>
          </w:p>
        </w:tc>
        <w:tc>
          <w:tcPr>
            <w:tcW w:w="1300" w:type="dxa"/>
            <w:tcBorders>
              <w:top w:val="nil"/>
              <w:left w:val="nil"/>
              <w:bottom w:val="nil"/>
              <w:right w:val="nil"/>
            </w:tcBorders>
            <w:shd w:val="clear" w:color="auto" w:fill="auto"/>
            <w:noWrap/>
            <w:vAlign w:val="center"/>
            <w:hideMark/>
          </w:tcPr>
          <w:p w14:paraId="36FE9C3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60BC18D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B12AE2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SAMN11038323</w:t>
            </w:r>
          </w:p>
        </w:tc>
      </w:tr>
      <w:tr w:rsidR="006B2888" w:rsidRPr="00AE525E" w14:paraId="373AF01B" w14:textId="77777777" w:rsidTr="006B2888">
        <w:trPr>
          <w:trHeight w:val="320"/>
        </w:trPr>
        <w:tc>
          <w:tcPr>
            <w:tcW w:w="2355" w:type="dxa"/>
            <w:tcBorders>
              <w:top w:val="nil"/>
              <w:left w:val="nil"/>
              <w:bottom w:val="nil"/>
              <w:right w:val="nil"/>
            </w:tcBorders>
            <w:shd w:val="clear" w:color="auto" w:fill="auto"/>
            <w:noWrap/>
            <w:vAlign w:val="center"/>
            <w:hideMark/>
          </w:tcPr>
          <w:p w14:paraId="4841B4D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BC386F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ABR82</w:t>
            </w:r>
          </w:p>
        </w:tc>
        <w:tc>
          <w:tcPr>
            <w:tcW w:w="1300" w:type="dxa"/>
            <w:tcBorders>
              <w:top w:val="nil"/>
              <w:left w:val="nil"/>
              <w:bottom w:val="nil"/>
              <w:right w:val="nil"/>
            </w:tcBorders>
            <w:shd w:val="clear" w:color="auto" w:fill="auto"/>
            <w:noWrap/>
            <w:vAlign w:val="center"/>
            <w:hideMark/>
          </w:tcPr>
          <w:p w14:paraId="371D193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725DB70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044B75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SAMN11038324</w:t>
            </w:r>
          </w:p>
        </w:tc>
      </w:tr>
      <w:tr w:rsidR="006B2888" w:rsidRPr="00AE525E" w14:paraId="0F5C5DD9" w14:textId="77777777" w:rsidTr="006B2888">
        <w:trPr>
          <w:trHeight w:val="320"/>
        </w:trPr>
        <w:tc>
          <w:tcPr>
            <w:tcW w:w="2355" w:type="dxa"/>
            <w:tcBorders>
              <w:top w:val="nil"/>
              <w:left w:val="nil"/>
              <w:bottom w:val="nil"/>
              <w:right w:val="nil"/>
            </w:tcBorders>
            <w:shd w:val="clear" w:color="auto" w:fill="auto"/>
            <w:noWrap/>
            <w:vAlign w:val="center"/>
            <w:hideMark/>
          </w:tcPr>
          <w:p w14:paraId="6B1A11A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224F9D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ABR84</w:t>
            </w:r>
          </w:p>
        </w:tc>
        <w:tc>
          <w:tcPr>
            <w:tcW w:w="1300" w:type="dxa"/>
            <w:tcBorders>
              <w:top w:val="nil"/>
              <w:left w:val="nil"/>
              <w:bottom w:val="nil"/>
              <w:right w:val="nil"/>
            </w:tcBorders>
            <w:shd w:val="clear" w:color="auto" w:fill="auto"/>
            <w:noWrap/>
            <w:vAlign w:val="center"/>
            <w:hideMark/>
          </w:tcPr>
          <w:p w14:paraId="3F912E1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3FA19CF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60F988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SAMN11038325</w:t>
            </w:r>
          </w:p>
        </w:tc>
      </w:tr>
      <w:tr w:rsidR="006B2888" w:rsidRPr="00AE525E" w14:paraId="63E99D13" w14:textId="77777777" w:rsidTr="006B2888">
        <w:trPr>
          <w:trHeight w:val="320"/>
        </w:trPr>
        <w:tc>
          <w:tcPr>
            <w:tcW w:w="2355" w:type="dxa"/>
            <w:tcBorders>
              <w:top w:val="nil"/>
              <w:left w:val="nil"/>
              <w:bottom w:val="nil"/>
              <w:right w:val="nil"/>
            </w:tcBorders>
            <w:shd w:val="clear" w:color="auto" w:fill="auto"/>
            <w:noWrap/>
            <w:vAlign w:val="center"/>
            <w:hideMark/>
          </w:tcPr>
          <w:p w14:paraId="658914A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6E9A40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ES100614HL-20</w:t>
            </w:r>
          </w:p>
        </w:tc>
        <w:tc>
          <w:tcPr>
            <w:tcW w:w="1300" w:type="dxa"/>
            <w:tcBorders>
              <w:top w:val="nil"/>
              <w:left w:val="nil"/>
              <w:bottom w:val="nil"/>
              <w:right w:val="nil"/>
            </w:tcBorders>
            <w:shd w:val="clear" w:color="auto" w:fill="auto"/>
            <w:noWrap/>
            <w:vAlign w:val="center"/>
            <w:hideMark/>
          </w:tcPr>
          <w:p w14:paraId="5C459EB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75E5CE7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MK534318</w:t>
            </w:r>
          </w:p>
        </w:tc>
        <w:tc>
          <w:tcPr>
            <w:tcW w:w="2242" w:type="dxa"/>
            <w:tcBorders>
              <w:top w:val="nil"/>
              <w:left w:val="nil"/>
              <w:bottom w:val="nil"/>
              <w:right w:val="nil"/>
            </w:tcBorders>
            <w:shd w:val="clear" w:color="auto" w:fill="auto"/>
            <w:noWrap/>
            <w:vAlign w:val="bottom"/>
            <w:hideMark/>
          </w:tcPr>
          <w:p w14:paraId="0C2E366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SAMN11038326</w:t>
            </w:r>
          </w:p>
        </w:tc>
      </w:tr>
      <w:tr w:rsidR="006B2888" w:rsidRPr="00AE525E" w14:paraId="3C9E04A6" w14:textId="77777777" w:rsidTr="006B2888">
        <w:trPr>
          <w:trHeight w:val="320"/>
        </w:trPr>
        <w:tc>
          <w:tcPr>
            <w:tcW w:w="2355" w:type="dxa"/>
            <w:tcBorders>
              <w:top w:val="nil"/>
              <w:left w:val="nil"/>
              <w:bottom w:val="nil"/>
              <w:right w:val="nil"/>
            </w:tcBorders>
            <w:shd w:val="clear" w:color="auto" w:fill="auto"/>
            <w:noWrap/>
            <w:vAlign w:val="center"/>
            <w:hideMark/>
          </w:tcPr>
          <w:p w14:paraId="143BE0AF"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82759F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ES100614HL-76</w:t>
            </w:r>
          </w:p>
        </w:tc>
        <w:tc>
          <w:tcPr>
            <w:tcW w:w="1300" w:type="dxa"/>
            <w:tcBorders>
              <w:top w:val="nil"/>
              <w:left w:val="nil"/>
              <w:bottom w:val="nil"/>
              <w:right w:val="nil"/>
            </w:tcBorders>
            <w:shd w:val="clear" w:color="auto" w:fill="auto"/>
            <w:noWrap/>
            <w:vAlign w:val="center"/>
            <w:hideMark/>
          </w:tcPr>
          <w:p w14:paraId="78B2272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6594CA4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MK534319</w:t>
            </w:r>
          </w:p>
        </w:tc>
        <w:tc>
          <w:tcPr>
            <w:tcW w:w="2242" w:type="dxa"/>
            <w:tcBorders>
              <w:top w:val="nil"/>
              <w:left w:val="nil"/>
              <w:bottom w:val="nil"/>
              <w:right w:val="nil"/>
            </w:tcBorders>
            <w:shd w:val="clear" w:color="auto" w:fill="auto"/>
            <w:noWrap/>
            <w:vAlign w:val="bottom"/>
            <w:hideMark/>
          </w:tcPr>
          <w:p w14:paraId="1820C7C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7F2CB625" w14:textId="77777777" w:rsidTr="006B2888">
        <w:trPr>
          <w:trHeight w:val="320"/>
        </w:trPr>
        <w:tc>
          <w:tcPr>
            <w:tcW w:w="2355" w:type="dxa"/>
            <w:tcBorders>
              <w:top w:val="nil"/>
              <w:left w:val="nil"/>
              <w:bottom w:val="nil"/>
              <w:right w:val="nil"/>
            </w:tcBorders>
            <w:shd w:val="clear" w:color="auto" w:fill="auto"/>
            <w:noWrap/>
            <w:vAlign w:val="center"/>
            <w:hideMark/>
          </w:tcPr>
          <w:p w14:paraId="152533D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lastRenderedPageBreak/>
              <w:t>Lutjanus campechanus</w:t>
            </w:r>
          </w:p>
        </w:tc>
        <w:tc>
          <w:tcPr>
            <w:tcW w:w="1533" w:type="dxa"/>
            <w:tcBorders>
              <w:top w:val="nil"/>
              <w:left w:val="nil"/>
              <w:bottom w:val="nil"/>
              <w:right w:val="nil"/>
            </w:tcBorders>
            <w:shd w:val="clear" w:color="auto" w:fill="auto"/>
            <w:noWrap/>
            <w:vAlign w:val="center"/>
            <w:hideMark/>
          </w:tcPr>
          <w:p w14:paraId="4F42894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ES100614HL-78</w:t>
            </w:r>
          </w:p>
        </w:tc>
        <w:tc>
          <w:tcPr>
            <w:tcW w:w="1300" w:type="dxa"/>
            <w:tcBorders>
              <w:top w:val="nil"/>
              <w:left w:val="nil"/>
              <w:bottom w:val="nil"/>
              <w:right w:val="nil"/>
            </w:tcBorders>
            <w:shd w:val="clear" w:color="auto" w:fill="auto"/>
            <w:noWrap/>
            <w:vAlign w:val="center"/>
            <w:hideMark/>
          </w:tcPr>
          <w:p w14:paraId="4699889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0B1AD9B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01FCDF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SAMN11038327</w:t>
            </w:r>
          </w:p>
        </w:tc>
      </w:tr>
      <w:tr w:rsidR="006B2888" w:rsidRPr="00AE525E" w14:paraId="6CD33974" w14:textId="77777777" w:rsidTr="006B2888">
        <w:trPr>
          <w:trHeight w:val="320"/>
        </w:trPr>
        <w:tc>
          <w:tcPr>
            <w:tcW w:w="2355" w:type="dxa"/>
            <w:tcBorders>
              <w:top w:val="nil"/>
              <w:left w:val="nil"/>
              <w:bottom w:val="nil"/>
              <w:right w:val="nil"/>
            </w:tcBorders>
            <w:shd w:val="clear" w:color="auto" w:fill="auto"/>
            <w:noWrap/>
            <w:vAlign w:val="center"/>
            <w:hideMark/>
          </w:tcPr>
          <w:p w14:paraId="7154A59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761B7A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ES100614HL-82</w:t>
            </w:r>
          </w:p>
        </w:tc>
        <w:tc>
          <w:tcPr>
            <w:tcW w:w="1300" w:type="dxa"/>
            <w:tcBorders>
              <w:top w:val="nil"/>
              <w:left w:val="nil"/>
              <w:bottom w:val="nil"/>
              <w:right w:val="nil"/>
            </w:tcBorders>
            <w:shd w:val="clear" w:color="auto" w:fill="auto"/>
            <w:noWrap/>
            <w:vAlign w:val="center"/>
            <w:hideMark/>
          </w:tcPr>
          <w:p w14:paraId="5AD01A4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7C8CD2A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1797D9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SAMN11038328</w:t>
            </w:r>
          </w:p>
        </w:tc>
      </w:tr>
      <w:tr w:rsidR="006B2888" w:rsidRPr="00AE525E" w14:paraId="516384A4" w14:textId="77777777" w:rsidTr="006B2888">
        <w:trPr>
          <w:trHeight w:val="320"/>
        </w:trPr>
        <w:tc>
          <w:tcPr>
            <w:tcW w:w="2355" w:type="dxa"/>
            <w:tcBorders>
              <w:top w:val="nil"/>
              <w:left w:val="nil"/>
              <w:bottom w:val="nil"/>
              <w:right w:val="nil"/>
            </w:tcBorders>
            <w:shd w:val="clear" w:color="auto" w:fill="auto"/>
            <w:noWrap/>
            <w:vAlign w:val="center"/>
            <w:hideMark/>
          </w:tcPr>
          <w:p w14:paraId="7E501B2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22EF63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ES100614HL-83</w:t>
            </w:r>
          </w:p>
        </w:tc>
        <w:tc>
          <w:tcPr>
            <w:tcW w:w="1300" w:type="dxa"/>
            <w:tcBorders>
              <w:top w:val="nil"/>
              <w:left w:val="nil"/>
              <w:bottom w:val="nil"/>
              <w:right w:val="nil"/>
            </w:tcBorders>
            <w:shd w:val="clear" w:color="auto" w:fill="auto"/>
            <w:noWrap/>
            <w:vAlign w:val="center"/>
            <w:hideMark/>
          </w:tcPr>
          <w:p w14:paraId="3EA7B13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42461E5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705B7A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SAMN11038329</w:t>
            </w:r>
          </w:p>
        </w:tc>
      </w:tr>
      <w:tr w:rsidR="006B2888" w:rsidRPr="00AE525E" w14:paraId="75834D24" w14:textId="77777777" w:rsidTr="006B2888">
        <w:trPr>
          <w:trHeight w:val="320"/>
        </w:trPr>
        <w:tc>
          <w:tcPr>
            <w:tcW w:w="2355" w:type="dxa"/>
            <w:tcBorders>
              <w:top w:val="nil"/>
              <w:left w:val="nil"/>
              <w:bottom w:val="nil"/>
              <w:right w:val="nil"/>
            </w:tcBorders>
            <w:shd w:val="clear" w:color="auto" w:fill="auto"/>
            <w:noWrap/>
            <w:vAlign w:val="center"/>
            <w:hideMark/>
          </w:tcPr>
          <w:p w14:paraId="71E474E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46575E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ES100614HL-86</w:t>
            </w:r>
          </w:p>
        </w:tc>
        <w:tc>
          <w:tcPr>
            <w:tcW w:w="1300" w:type="dxa"/>
            <w:tcBorders>
              <w:top w:val="nil"/>
              <w:left w:val="nil"/>
              <w:bottom w:val="nil"/>
              <w:right w:val="nil"/>
            </w:tcBorders>
            <w:shd w:val="clear" w:color="auto" w:fill="auto"/>
            <w:noWrap/>
            <w:vAlign w:val="center"/>
            <w:hideMark/>
          </w:tcPr>
          <w:p w14:paraId="2369949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2476EF2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1C173C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SAMN11038330</w:t>
            </w:r>
          </w:p>
        </w:tc>
      </w:tr>
      <w:tr w:rsidR="006B2888" w:rsidRPr="00AE525E" w14:paraId="0CA89E8B" w14:textId="77777777" w:rsidTr="006B2888">
        <w:trPr>
          <w:trHeight w:val="320"/>
        </w:trPr>
        <w:tc>
          <w:tcPr>
            <w:tcW w:w="2355" w:type="dxa"/>
            <w:tcBorders>
              <w:top w:val="nil"/>
              <w:left w:val="nil"/>
              <w:bottom w:val="nil"/>
              <w:right w:val="nil"/>
            </w:tcBorders>
            <w:shd w:val="clear" w:color="auto" w:fill="auto"/>
            <w:noWrap/>
            <w:vAlign w:val="center"/>
            <w:hideMark/>
          </w:tcPr>
          <w:p w14:paraId="4933529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0F46D0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ES100614HL-87</w:t>
            </w:r>
          </w:p>
        </w:tc>
        <w:tc>
          <w:tcPr>
            <w:tcW w:w="1300" w:type="dxa"/>
            <w:tcBorders>
              <w:top w:val="nil"/>
              <w:left w:val="nil"/>
              <w:bottom w:val="nil"/>
              <w:right w:val="nil"/>
            </w:tcBorders>
            <w:shd w:val="clear" w:color="auto" w:fill="auto"/>
            <w:noWrap/>
            <w:vAlign w:val="center"/>
            <w:hideMark/>
          </w:tcPr>
          <w:p w14:paraId="4C06ACC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371E6FC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5B4302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SAMN11038331</w:t>
            </w:r>
          </w:p>
        </w:tc>
      </w:tr>
      <w:tr w:rsidR="006B2888" w:rsidRPr="00AE525E" w14:paraId="57A45B05" w14:textId="77777777" w:rsidTr="006B2888">
        <w:trPr>
          <w:trHeight w:val="320"/>
        </w:trPr>
        <w:tc>
          <w:tcPr>
            <w:tcW w:w="2355" w:type="dxa"/>
            <w:tcBorders>
              <w:top w:val="nil"/>
              <w:left w:val="nil"/>
              <w:bottom w:val="nil"/>
              <w:right w:val="nil"/>
            </w:tcBorders>
            <w:shd w:val="clear" w:color="auto" w:fill="auto"/>
            <w:noWrap/>
            <w:vAlign w:val="center"/>
            <w:hideMark/>
          </w:tcPr>
          <w:p w14:paraId="3BD6E17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D9430B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ES100614HL-90</w:t>
            </w:r>
          </w:p>
        </w:tc>
        <w:tc>
          <w:tcPr>
            <w:tcW w:w="1300" w:type="dxa"/>
            <w:tcBorders>
              <w:top w:val="nil"/>
              <w:left w:val="nil"/>
              <w:bottom w:val="nil"/>
              <w:right w:val="nil"/>
            </w:tcBorders>
            <w:shd w:val="clear" w:color="auto" w:fill="auto"/>
            <w:noWrap/>
            <w:vAlign w:val="center"/>
            <w:hideMark/>
          </w:tcPr>
          <w:p w14:paraId="791E26A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14BD179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53F477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SAMN11038332</w:t>
            </w:r>
          </w:p>
        </w:tc>
      </w:tr>
      <w:tr w:rsidR="006B2888" w:rsidRPr="00AE525E" w14:paraId="7C464E09" w14:textId="77777777" w:rsidTr="006B2888">
        <w:trPr>
          <w:trHeight w:val="320"/>
        </w:trPr>
        <w:tc>
          <w:tcPr>
            <w:tcW w:w="2355" w:type="dxa"/>
            <w:tcBorders>
              <w:top w:val="nil"/>
              <w:left w:val="nil"/>
              <w:bottom w:val="nil"/>
              <w:right w:val="nil"/>
            </w:tcBorders>
            <w:shd w:val="clear" w:color="auto" w:fill="auto"/>
            <w:noWrap/>
            <w:vAlign w:val="center"/>
            <w:hideMark/>
          </w:tcPr>
          <w:p w14:paraId="5744A5A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F940BD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ES100614HL-91</w:t>
            </w:r>
          </w:p>
        </w:tc>
        <w:tc>
          <w:tcPr>
            <w:tcW w:w="1300" w:type="dxa"/>
            <w:tcBorders>
              <w:top w:val="nil"/>
              <w:left w:val="nil"/>
              <w:bottom w:val="nil"/>
              <w:right w:val="nil"/>
            </w:tcBorders>
            <w:shd w:val="clear" w:color="auto" w:fill="auto"/>
            <w:noWrap/>
            <w:vAlign w:val="center"/>
            <w:hideMark/>
          </w:tcPr>
          <w:p w14:paraId="6D98752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0CD33ED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F1ED10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SAMN11038333</w:t>
            </w:r>
          </w:p>
        </w:tc>
      </w:tr>
      <w:tr w:rsidR="006B2888" w:rsidRPr="00AE525E" w14:paraId="069FE109" w14:textId="77777777" w:rsidTr="006B2888">
        <w:trPr>
          <w:trHeight w:val="320"/>
        </w:trPr>
        <w:tc>
          <w:tcPr>
            <w:tcW w:w="2355" w:type="dxa"/>
            <w:tcBorders>
              <w:top w:val="nil"/>
              <w:left w:val="nil"/>
              <w:bottom w:val="nil"/>
              <w:right w:val="nil"/>
            </w:tcBorders>
            <w:shd w:val="clear" w:color="auto" w:fill="auto"/>
            <w:noWrap/>
            <w:vAlign w:val="center"/>
            <w:hideMark/>
          </w:tcPr>
          <w:p w14:paraId="302CB49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E17FDE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ES100614HL-94</w:t>
            </w:r>
          </w:p>
        </w:tc>
        <w:tc>
          <w:tcPr>
            <w:tcW w:w="1300" w:type="dxa"/>
            <w:tcBorders>
              <w:top w:val="nil"/>
              <w:left w:val="nil"/>
              <w:bottom w:val="nil"/>
              <w:right w:val="nil"/>
            </w:tcBorders>
            <w:shd w:val="clear" w:color="auto" w:fill="auto"/>
            <w:noWrap/>
            <w:vAlign w:val="center"/>
            <w:hideMark/>
          </w:tcPr>
          <w:p w14:paraId="3974A85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ALA</w:t>
            </w:r>
          </w:p>
        </w:tc>
        <w:tc>
          <w:tcPr>
            <w:tcW w:w="1300" w:type="dxa"/>
            <w:tcBorders>
              <w:top w:val="nil"/>
              <w:left w:val="nil"/>
              <w:bottom w:val="nil"/>
              <w:right w:val="nil"/>
            </w:tcBorders>
            <w:shd w:val="clear" w:color="auto" w:fill="auto"/>
            <w:noWrap/>
            <w:vAlign w:val="center"/>
            <w:hideMark/>
          </w:tcPr>
          <w:p w14:paraId="4B69E8A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90EC4C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SAMN11038334</w:t>
            </w:r>
          </w:p>
        </w:tc>
      </w:tr>
      <w:tr w:rsidR="006B2888" w:rsidRPr="00AE525E" w14:paraId="062E8D93" w14:textId="77777777" w:rsidTr="006B2888">
        <w:trPr>
          <w:trHeight w:val="320"/>
        </w:trPr>
        <w:tc>
          <w:tcPr>
            <w:tcW w:w="2355" w:type="dxa"/>
            <w:tcBorders>
              <w:top w:val="nil"/>
              <w:left w:val="nil"/>
              <w:bottom w:val="nil"/>
              <w:right w:val="nil"/>
            </w:tcBorders>
            <w:shd w:val="clear" w:color="auto" w:fill="auto"/>
            <w:noWrap/>
            <w:vAlign w:val="center"/>
            <w:hideMark/>
          </w:tcPr>
          <w:p w14:paraId="3E88C87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07F984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LC424</w:t>
            </w:r>
          </w:p>
        </w:tc>
        <w:tc>
          <w:tcPr>
            <w:tcW w:w="1300" w:type="dxa"/>
            <w:tcBorders>
              <w:top w:val="nil"/>
              <w:left w:val="nil"/>
              <w:bottom w:val="nil"/>
              <w:right w:val="nil"/>
            </w:tcBorders>
            <w:shd w:val="clear" w:color="auto" w:fill="auto"/>
            <w:noWrap/>
            <w:vAlign w:val="center"/>
            <w:hideMark/>
          </w:tcPr>
          <w:p w14:paraId="5A00EEB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70D210E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5DE8F5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SAMN11038339</w:t>
            </w:r>
          </w:p>
        </w:tc>
      </w:tr>
      <w:tr w:rsidR="006B2888" w:rsidRPr="00AE525E" w14:paraId="4FDE12DF" w14:textId="77777777" w:rsidTr="006B2888">
        <w:trPr>
          <w:trHeight w:val="320"/>
        </w:trPr>
        <w:tc>
          <w:tcPr>
            <w:tcW w:w="2355" w:type="dxa"/>
            <w:tcBorders>
              <w:top w:val="nil"/>
              <w:left w:val="nil"/>
              <w:bottom w:val="nil"/>
              <w:right w:val="nil"/>
            </w:tcBorders>
            <w:shd w:val="clear" w:color="auto" w:fill="auto"/>
            <w:noWrap/>
            <w:vAlign w:val="center"/>
            <w:hideMark/>
          </w:tcPr>
          <w:p w14:paraId="42F9E90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86D032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LC425</w:t>
            </w:r>
          </w:p>
        </w:tc>
        <w:tc>
          <w:tcPr>
            <w:tcW w:w="1300" w:type="dxa"/>
            <w:tcBorders>
              <w:top w:val="nil"/>
              <w:left w:val="nil"/>
              <w:bottom w:val="nil"/>
              <w:right w:val="nil"/>
            </w:tcBorders>
            <w:shd w:val="clear" w:color="auto" w:fill="auto"/>
            <w:noWrap/>
            <w:vAlign w:val="center"/>
            <w:hideMark/>
          </w:tcPr>
          <w:p w14:paraId="591F2B6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1BD0599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309F3E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SAMN11038340</w:t>
            </w:r>
          </w:p>
        </w:tc>
      </w:tr>
      <w:tr w:rsidR="006B2888" w:rsidRPr="00AE525E" w14:paraId="16F63ACD" w14:textId="77777777" w:rsidTr="006B2888">
        <w:trPr>
          <w:trHeight w:val="320"/>
        </w:trPr>
        <w:tc>
          <w:tcPr>
            <w:tcW w:w="2355" w:type="dxa"/>
            <w:tcBorders>
              <w:top w:val="nil"/>
              <w:left w:val="nil"/>
              <w:bottom w:val="nil"/>
              <w:right w:val="nil"/>
            </w:tcBorders>
            <w:shd w:val="clear" w:color="auto" w:fill="auto"/>
            <w:noWrap/>
            <w:vAlign w:val="center"/>
            <w:hideMark/>
          </w:tcPr>
          <w:p w14:paraId="1586D2D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052AC0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LC426</w:t>
            </w:r>
          </w:p>
        </w:tc>
        <w:tc>
          <w:tcPr>
            <w:tcW w:w="1300" w:type="dxa"/>
            <w:tcBorders>
              <w:top w:val="nil"/>
              <w:left w:val="nil"/>
              <w:bottom w:val="nil"/>
              <w:right w:val="nil"/>
            </w:tcBorders>
            <w:shd w:val="clear" w:color="auto" w:fill="auto"/>
            <w:noWrap/>
            <w:vAlign w:val="center"/>
            <w:hideMark/>
          </w:tcPr>
          <w:p w14:paraId="2E9DD43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77E430C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82F3AF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SAMN11038341</w:t>
            </w:r>
          </w:p>
        </w:tc>
      </w:tr>
      <w:tr w:rsidR="006B2888" w:rsidRPr="00AE525E" w14:paraId="47787114" w14:textId="77777777" w:rsidTr="006B2888">
        <w:trPr>
          <w:trHeight w:val="320"/>
        </w:trPr>
        <w:tc>
          <w:tcPr>
            <w:tcW w:w="2355" w:type="dxa"/>
            <w:tcBorders>
              <w:top w:val="nil"/>
              <w:left w:val="nil"/>
              <w:bottom w:val="nil"/>
              <w:right w:val="nil"/>
            </w:tcBorders>
            <w:shd w:val="clear" w:color="auto" w:fill="auto"/>
            <w:noWrap/>
            <w:vAlign w:val="center"/>
            <w:hideMark/>
          </w:tcPr>
          <w:p w14:paraId="7F3A83D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2E1BAB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LC427</w:t>
            </w:r>
          </w:p>
        </w:tc>
        <w:tc>
          <w:tcPr>
            <w:tcW w:w="1300" w:type="dxa"/>
            <w:tcBorders>
              <w:top w:val="nil"/>
              <w:left w:val="nil"/>
              <w:bottom w:val="nil"/>
              <w:right w:val="nil"/>
            </w:tcBorders>
            <w:shd w:val="clear" w:color="auto" w:fill="auto"/>
            <w:noWrap/>
            <w:vAlign w:val="center"/>
            <w:hideMark/>
          </w:tcPr>
          <w:p w14:paraId="28C5851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3C90293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18ADE2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SAMN11038342</w:t>
            </w:r>
          </w:p>
        </w:tc>
      </w:tr>
      <w:tr w:rsidR="006B2888" w:rsidRPr="00AE525E" w14:paraId="3D8D5B9A" w14:textId="77777777" w:rsidTr="006B2888">
        <w:trPr>
          <w:trHeight w:val="320"/>
        </w:trPr>
        <w:tc>
          <w:tcPr>
            <w:tcW w:w="2355" w:type="dxa"/>
            <w:tcBorders>
              <w:top w:val="nil"/>
              <w:left w:val="nil"/>
              <w:bottom w:val="nil"/>
              <w:right w:val="nil"/>
            </w:tcBorders>
            <w:shd w:val="clear" w:color="auto" w:fill="auto"/>
            <w:noWrap/>
            <w:vAlign w:val="center"/>
            <w:hideMark/>
          </w:tcPr>
          <w:p w14:paraId="7296E4F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1DB58E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LC428</w:t>
            </w:r>
          </w:p>
        </w:tc>
        <w:tc>
          <w:tcPr>
            <w:tcW w:w="1300" w:type="dxa"/>
            <w:tcBorders>
              <w:top w:val="nil"/>
              <w:left w:val="nil"/>
              <w:bottom w:val="nil"/>
              <w:right w:val="nil"/>
            </w:tcBorders>
            <w:shd w:val="clear" w:color="auto" w:fill="auto"/>
            <w:noWrap/>
            <w:vAlign w:val="center"/>
            <w:hideMark/>
          </w:tcPr>
          <w:p w14:paraId="76EDBEE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19C2685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22A586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SAMN11038343</w:t>
            </w:r>
          </w:p>
        </w:tc>
      </w:tr>
      <w:tr w:rsidR="006B2888" w:rsidRPr="00AE525E" w14:paraId="27966E48" w14:textId="77777777" w:rsidTr="006B2888">
        <w:trPr>
          <w:trHeight w:val="320"/>
        </w:trPr>
        <w:tc>
          <w:tcPr>
            <w:tcW w:w="2355" w:type="dxa"/>
            <w:tcBorders>
              <w:top w:val="nil"/>
              <w:left w:val="nil"/>
              <w:bottom w:val="nil"/>
              <w:right w:val="nil"/>
            </w:tcBorders>
            <w:shd w:val="clear" w:color="auto" w:fill="auto"/>
            <w:noWrap/>
            <w:vAlign w:val="center"/>
            <w:hideMark/>
          </w:tcPr>
          <w:p w14:paraId="72FFFF0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1E7B8C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LC429</w:t>
            </w:r>
          </w:p>
        </w:tc>
        <w:tc>
          <w:tcPr>
            <w:tcW w:w="1300" w:type="dxa"/>
            <w:tcBorders>
              <w:top w:val="nil"/>
              <w:left w:val="nil"/>
              <w:bottom w:val="nil"/>
              <w:right w:val="nil"/>
            </w:tcBorders>
            <w:shd w:val="clear" w:color="auto" w:fill="auto"/>
            <w:noWrap/>
            <w:vAlign w:val="center"/>
            <w:hideMark/>
          </w:tcPr>
          <w:p w14:paraId="11A9D46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3B46999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E7FCAD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SAMN11038344</w:t>
            </w:r>
          </w:p>
        </w:tc>
      </w:tr>
      <w:tr w:rsidR="006B2888" w:rsidRPr="00AE525E" w14:paraId="5A29BEEB" w14:textId="77777777" w:rsidTr="006B2888">
        <w:trPr>
          <w:trHeight w:val="320"/>
        </w:trPr>
        <w:tc>
          <w:tcPr>
            <w:tcW w:w="2355" w:type="dxa"/>
            <w:tcBorders>
              <w:top w:val="nil"/>
              <w:left w:val="nil"/>
              <w:bottom w:val="nil"/>
              <w:right w:val="nil"/>
            </w:tcBorders>
            <w:shd w:val="clear" w:color="auto" w:fill="auto"/>
            <w:noWrap/>
            <w:vAlign w:val="center"/>
            <w:hideMark/>
          </w:tcPr>
          <w:p w14:paraId="51118C8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948349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LC430</w:t>
            </w:r>
          </w:p>
        </w:tc>
        <w:tc>
          <w:tcPr>
            <w:tcW w:w="1300" w:type="dxa"/>
            <w:tcBorders>
              <w:top w:val="nil"/>
              <w:left w:val="nil"/>
              <w:bottom w:val="nil"/>
              <w:right w:val="nil"/>
            </w:tcBorders>
            <w:shd w:val="clear" w:color="auto" w:fill="auto"/>
            <w:noWrap/>
            <w:vAlign w:val="center"/>
            <w:hideMark/>
          </w:tcPr>
          <w:p w14:paraId="521644C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3B59111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2F1327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SAMN11038345</w:t>
            </w:r>
          </w:p>
        </w:tc>
      </w:tr>
      <w:tr w:rsidR="006B2888" w:rsidRPr="00AE525E" w14:paraId="3B9E4EFD" w14:textId="77777777" w:rsidTr="006B2888">
        <w:trPr>
          <w:trHeight w:val="320"/>
        </w:trPr>
        <w:tc>
          <w:tcPr>
            <w:tcW w:w="2355" w:type="dxa"/>
            <w:tcBorders>
              <w:top w:val="nil"/>
              <w:left w:val="nil"/>
              <w:bottom w:val="nil"/>
              <w:right w:val="nil"/>
            </w:tcBorders>
            <w:shd w:val="clear" w:color="auto" w:fill="auto"/>
            <w:noWrap/>
            <w:vAlign w:val="center"/>
            <w:hideMark/>
          </w:tcPr>
          <w:p w14:paraId="0E8E265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E61EA2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LC431</w:t>
            </w:r>
          </w:p>
        </w:tc>
        <w:tc>
          <w:tcPr>
            <w:tcW w:w="1300" w:type="dxa"/>
            <w:tcBorders>
              <w:top w:val="nil"/>
              <w:left w:val="nil"/>
              <w:bottom w:val="nil"/>
              <w:right w:val="nil"/>
            </w:tcBorders>
            <w:shd w:val="clear" w:color="auto" w:fill="auto"/>
            <w:noWrap/>
            <w:vAlign w:val="center"/>
            <w:hideMark/>
          </w:tcPr>
          <w:p w14:paraId="0D61323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64CF28B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A58CC3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SAMN11038346</w:t>
            </w:r>
          </w:p>
        </w:tc>
      </w:tr>
      <w:tr w:rsidR="006B2888" w:rsidRPr="00AE525E" w14:paraId="136DA2F3" w14:textId="77777777" w:rsidTr="006B2888">
        <w:trPr>
          <w:trHeight w:val="320"/>
        </w:trPr>
        <w:tc>
          <w:tcPr>
            <w:tcW w:w="2355" w:type="dxa"/>
            <w:tcBorders>
              <w:top w:val="nil"/>
              <w:left w:val="nil"/>
              <w:bottom w:val="nil"/>
              <w:right w:val="nil"/>
            </w:tcBorders>
            <w:shd w:val="clear" w:color="auto" w:fill="auto"/>
            <w:noWrap/>
            <w:vAlign w:val="center"/>
            <w:hideMark/>
          </w:tcPr>
          <w:p w14:paraId="43491BFF"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6C3E88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LC438</w:t>
            </w:r>
          </w:p>
        </w:tc>
        <w:tc>
          <w:tcPr>
            <w:tcW w:w="1300" w:type="dxa"/>
            <w:tcBorders>
              <w:top w:val="nil"/>
              <w:left w:val="nil"/>
              <w:bottom w:val="nil"/>
              <w:right w:val="nil"/>
            </w:tcBorders>
            <w:shd w:val="clear" w:color="auto" w:fill="auto"/>
            <w:noWrap/>
            <w:vAlign w:val="center"/>
            <w:hideMark/>
          </w:tcPr>
          <w:p w14:paraId="04BCED5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5EEA226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737D18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SAMN11038347</w:t>
            </w:r>
          </w:p>
        </w:tc>
      </w:tr>
      <w:tr w:rsidR="006B2888" w:rsidRPr="00AE525E" w14:paraId="646E33C4" w14:textId="77777777" w:rsidTr="006B2888">
        <w:trPr>
          <w:trHeight w:val="320"/>
        </w:trPr>
        <w:tc>
          <w:tcPr>
            <w:tcW w:w="2355" w:type="dxa"/>
            <w:tcBorders>
              <w:top w:val="nil"/>
              <w:left w:val="nil"/>
              <w:bottom w:val="nil"/>
              <w:right w:val="nil"/>
            </w:tcBorders>
            <w:shd w:val="clear" w:color="auto" w:fill="auto"/>
            <w:noWrap/>
            <w:vAlign w:val="center"/>
            <w:hideMark/>
          </w:tcPr>
          <w:p w14:paraId="701110A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9B7CDD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LC447</w:t>
            </w:r>
          </w:p>
        </w:tc>
        <w:tc>
          <w:tcPr>
            <w:tcW w:w="1300" w:type="dxa"/>
            <w:tcBorders>
              <w:top w:val="nil"/>
              <w:left w:val="nil"/>
              <w:bottom w:val="nil"/>
              <w:right w:val="nil"/>
            </w:tcBorders>
            <w:shd w:val="clear" w:color="auto" w:fill="auto"/>
            <w:noWrap/>
            <w:vAlign w:val="center"/>
            <w:hideMark/>
          </w:tcPr>
          <w:p w14:paraId="7B60E44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4F219D6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7A15CB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SAMN11038348</w:t>
            </w:r>
          </w:p>
        </w:tc>
      </w:tr>
      <w:tr w:rsidR="006B2888" w:rsidRPr="00AE525E" w14:paraId="5DEF1996" w14:textId="77777777" w:rsidTr="006B2888">
        <w:trPr>
          <w:trHeight w:val="320"/>
        </w:trPr>
        <w:tc>
          <w:tcPr>
            <w:tcW w:w="2355" w:type="dxa"/>
            <w:tcBorders>
              <w:top w:val="nil"/>
              <w:left w:val="nil"/>
              <w:bottom w:val="nil"/>
              <w:right w:val="nil"/>
            </w:tcBorders>
            <w:shd w:val="clear" w:color="auto" w:fill="auto"/>
            <w:noWrap/>
            <w:vAlign w:val="center"/>
            <w:hideMark/>
          </w:tcPr>
          <w:p w14:paraId="72C4BFE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10277E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LC448</w:t>
            </w:r>
          </w:p>
        </w:tc>
        <w:tc>
          <w:tcPr>
            <w:tcW w:w="1300" w:type="dxa"/>
            <w:tcBorders>
              <w:top w:val="nil"/>
              <w:left w:val="nil"/>
              <w:bottom w:val="nil"/>
              <w:right w:val="nil"/>
            </w:tcBorders>
            <w:shd w:val="clear" w:color="auto" w:fill="auto"/>
            <w:noWrap/>
            <w:vAlign w:val="center"/>
            <w:hideMark/>
          </w:tcPr>
          <w:p w14:paraId="56BFA0B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1085F36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DD7E16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SAMN11038349</w:t>
            </w:r>
          </w:p>
        </w:tc>
      </w:tr>
      <w:tr w:rsidR="006B2888" w:rsidRPr="00AE525E" w14:paraId="38DA2F73" w14:textId="77777777" w:rsidTr="006B2888">
        <w:trPr>
          <w:trHeight w:val="320"/>
        </w:trPr>
        <w:tc>
          <w:tcPr>
            <w:tcW w:w="2355" w:type="dxa"/>
            <w:tcBorders>
              <w:top w:val="nil"/>
              <w:left w:val="nil"/>
              <w:bottom w:val="nil"/>
              <w:right w:val="nil"/>
            </w:tcBorders>
            <w:shd w:val="clear" w:color="auto" w:fill="auto"/>
            <w:noWrap/>
            <w:vAlign w:val="center"/>
            <w:hideMark/>
          </w:tcPr>
          <w:p w14:paraId="38B5825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656C85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LC449</w:t>
            </w:r>
          </w:p>
        </w:tc>
        <w:tc>
          <w:tcPr>
            <w:tcW w:w="1300" w:type="dxa"/>
            <w:tcBorders>
              <w:top w:val="nil"/>
              <w:left w:val="nil"/>
              <w:bottom w:val="nil"/>
              <w:right w:val="nil"/>
            </w:tcBorders>
            <w:shd w:val="clear" w:color="auto" w:fill="auto"/>
            <w:noWrap/>
            <w:vAlign w:val="center"/>
            <w:hideMark/>
          </w:tcPr>
          <w:p w14:paraId="6A51291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46A255F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CC97D5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SAMN11038350</w:t>
            </w:r>
          </w:p>
        </w:tc>
      </w:tr>
      <w:tr w:rsidR="006B2888" w:rsidRPr="00AE525E" w14:paraId="161CA39B" w14:textId="77777777" w:rsidTr="006B2888">
        <w:trPr>
          <w:trHeight w:val="320"/>
        </w:trPr>
        <w:tc>
          <w:tcPr>
            <w:tcW w:w="2355" w:type="dxa"/>
            <w:tcBorders>
              <w:top w:val="nil"/>
              <w:left w:val="nil"/>
              <w:bottom w:val="nil"/>
              <w:right w:val="nil"/>
            </w:tcBorders>
            <w:shd w:val="clear" w:color="auto" w:fill="auto"/>
            <w:noWrap/>
            <w:vAlign w:val="center"/>
            <w:hideMark/>
          </w:tcPr>
          <w:p w14:paraId="255B152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246A8B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LC450</w:t>
            </w:r>
          </w:p>
        </w:tc>
        <w:tc>
          <w:tcPr>
            <w:tcW w:w="1300" w:type="dxa"/>
            <w:tcBorders>
              <w:top w:val="nil"/>
              <w:left w:val="nil"/>
              <w:bottom w:val="nil"/>
              <w:right w:val="nil"/>
            </w:tcBorders>
            <w:shd w:val="clear" w:color="auto" w:fill="auto"/>
            <w:noWrap/>
            <w:vAlign w:val="center"/>
            <w:hideMark/>
          </w:tcPr>
          <w:p w14:paraId="5BC28B5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516901F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47D4DC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SAMN11038351</w:t>
            </w:r>
          </w:p>
        </w:tc>
      </w:tr>
      <w:tr w:rsidR="006B2888" w:rsidRPr="00AE525E" w14:paraId="463C5F96" w14:textId="77777777" w:rsidTr="006B2888">
        <w:trPr>
          <w:trHeight w:val="320"/>
        </w:trPr>
        <w:tc>
          <w:tcPr>
            <w:tcW w:w="2355" w:type="dxa"/>
            <w:tcBorders>
              <w:top w:val="nil"/>
              <w:left w:val="nil"/>
              <w:bottom w:val="nil"/>
              <w:right w:val="nil"/>
            </w:tcBorders>
            <w:shd w:val="clear" w:color="auto" w:fill="auto"/>
            <w:noWrap/>
            <w:vAlign w:val="center"/>
            <w:hideMark/>
          </w:tcPr>
          <w:p w14:paraId="63BD378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D07A45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LC451</w:t>
            </w:r>
          </w:p>
        </w:tc>
        <w:tc>
          <w:tcPr>
            <w:tcW w:w="1300" w:type="dxa"/>
            <w:tcBorders>
              <w:top w:val="nil"/>
              <w:left w:val="nil"/>
              <w:bottom w:val="nil"/>
              <w:right w:val="nil"/>
            </w:tcBorders>
            <w:shd w:val="clear" w:color="auto" w:fill="auto"/>
            <w:noWrap/>
            <w:vAlign w:val="center"/>
            <w:hideMark/>
          </w:tcPr>
          <w:p w14:paraId="59393C5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03CD4E4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64167E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SAMN11038352</w:t>
            </w:r>
          </w:p>
        </w:tc>
      </w:tr>
      <w:tr w:rsidR="006B2888" w:rsidRPr="00AE525E" w14:paraId="5C24916C" w14:textId="77777777" w:rsidTr="006B2888">
        <w:trPr>
          <w:trHeight w:val="320"/>
        </w:trPr>
        <w:tc>
          <w:tcPr>
            <w:tcW w:w="2355" w:type="dxa"/>
            <w:tcBorders>
              <w:top w:val="nil"/>
              <w:left w:val="nil"/>
              <w:bottom w:val="nil"/>
              <w:right w:val="nil"/>
            </w:tcBorders>
            <w:shd w:val="clear" w:color="auto" w:fill="auto"/>
            <w:noWrap/>
            <w:vAlign w:val="center"/>
            <w:hideMark/>
          </w:tcPr>
          <w:p w14:paraId="152BE6C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040CEE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LC452</w:t>
            </w:r>
          </w:p>
        </w:tc>
        <w:tc>
          <w:tcPr>
            <w:tcW w:w="1300" w:type="dxa"/>
            <w:tcBorders>
              <w:top w:val="nil"/>
              <w:left w:val="nil"/>
              <w:bottom w:val="nil"/>
              <w:right w:val="nil"/>
            </w:tcBorders>
            <w:shd w:val="clear" w:color="auto" w:fill="auto"/>
            <w:noWrap/>
            <w:vAlign w:val="center"/>
            <w:hideMark/>
          </w:tcPr>
          <w:p w14:paraId="614E951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1EBA620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F4F9C1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SAMN11038353</w:t>
            </w:r>
          </w:p>
        </w:tc>
      </w:tr>
      <w:tr w:rsidR="006B2888" w:rsidRPr="00AE525E" w14:paraId="222FBD4D" w14:textId="77777777" w:rsidTr="006B2888">
        <w:trPr>
          <w:trHeight w:val="320"/>
        </w:trPr>
        <w:tc>
          <w:tcPr>
            <w:tcW w:w="2355" w:type="dxa"/>
            <w:tcBorders>
              <w:top w:val="nil"/>
              <w:left w:val="nil"/>
              <w:bottom w:val="nil"/>
              <w:right w:val="nil"/>
            </w:tcBorders>
            <w:shd w:val="clear" w:color="auto" w:fill="auto"/>
            <w:noWrap/>
            <w:vAlign w:val="center"/>
            <w:hideMark/>
          </w:tcPr>
          <w:p w14:paraId="01EBBF5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C19388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LC453</w:t>
            </w:r>
          </w:p>
        </w:tc>
        <w:tc>
          <w:tcPr>
            <w:tcW w:w="1300" w:type="dxa"/>
            <w:tcBorders>
              <w:top w:val="nil"/>
              <w:left w:val="nil"/>
              <w:bottom w:val="nil"/>
              <w:right w:val="nil"/>
            </w:tcBorders>
            <w:shd w:val="clear" w:color="auto" w:fill="auto"/>
            <w:noWrap/>
            <w:vAlign w:val="center"/>
            <w:hideMark/>
          </w:tcPr>
          <w:p w14:paraId="7E9AD33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14A6921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540635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SAMN11038354</w:t>
            </w:r>
          </w:p>
        </w:tc>
      </w:tr>
      <w:tr w:rsidR="006B2888" w:rsidRPr="00AE525E" w14:paraId="32AE015F" w14:textId="77777777" w:rsidTr="006B2888">
        <w:trPr>
          <w:trHeight w:val="320"/>
        </w:trPr>
        <w:tc>
          <w:tcPr>
            <w:tcW w:w="2355" w:type="dxa"/>
            <w:tcBorders>
              <w:top w:val="nil"/>
              <w:left w:val="nil"/>
              <w:bottom w:val="nil"/>
              <w:right w:val="nil"/>
            </w:tcBorders>
            <w:shd w:val="clear" w:color="auto" w:fill="auto"/>
            <w:noWrap/>
            <w:vAlign w:val="center"/>
            <w:hideMark/>
          </w:tcPr>
          <w:p w14:paraId="1C7DEB6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5BC52E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LC454</w:t>
            </w:r>
          </w:p>
        </w:tc>
        <w:tc>
          <w:tcPr>
            <w:tcW w:w="1300" w:type="dxa"/>
            <w:tcBorders>
              <w:top w:val="nil"/>
              <w:left w:val="nil"/>
              <w:bottom w:val="nil"/>
              <w:right w:val="nil"/>
            </w:tcBorders>
            <w:shd w:val="clear" w:color="auto" w:fill="auto"/>
            <w:noWrap/>
            <w:vAlign w:val="center"/>
            <w:hideMark/>
          </w:tcPr>
          <w:p w14:paraId="44C5B0F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6F22413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02D3DF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SAMN11038355</w:t>
            </w:r>
          </w:p>
        </w:tc>
      </w:tr>
      <w:tr w:rsidR="006B2888" w:rsidRPr="00AE525E" w14:paraId="6E1785FF" w14:textId="77777777" w:rsidTr="006B2888">
        <w:trPr>
          <w:trHeight w:val="320"/>
        </w:trPr>
        <w:tc>
          <w:tcPr>
            <w:tcW w:w="2355" w:type="dxa"/>
            <w:tcBorders>
              <w:top w:val="nil"/>
              <w:left w:val="nil"/>
              <w:bottom w:val="nil"/>
              <w:right w:val="nil"/>
            </w:tcBorders>
            <w:shd w:val="clear" w:color="auto" w:fill="auto"/>
            <w:noWrap/>
            <w:vAlign w:val="center"/>
            <w:hideMark/>
          </w:tcPr>
          <w:p w14:paraId="5877638A"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73290A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LC455</w:t>
            </w:r>
          </w:p>
        </w:tc>
        <w:tc>
          <w:tcPr>
            <w:tcW w:w="1300" w:type="dxa"/>
            <w:tcBorders>
              <w:top w:val="nil"/>
              <w:left w:val="nil"/>
              <w:bottom w:val="nil"/>
              <w:right w:val="nil"/>
            </w:tcBorders>
            <w:shd w:val="clear" w:color="auto" w:fill="auto"/>
            <w:noWrap/>
            <w:vAlign w:val="center"/>
            <w:hideMark/>
          </w:tcPr>
          <w:p w14:paraId="69E4499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APA</w:t>
            </w:r>
          </w:p>
        </w:tc>
        <w:tc>
          <w:tcPr>
            <w:tcW w:w="1300" w:type="dxa"/>
            <w:tcBorders>
              <w:top w:val="nil"/>
              <w:left w:val="nil"/>
              <w:bottom w:val="nil"/>
              <w:right w:val="nil"/>
            </w:tcBorders>
            <w:shd w:val="clear" w:color="auto" w:fill="auto"/>
            <w:noWrap/>
            <w:vAlign w:val="center"/>
            <w:hideMark/>
          </w:tcPr>
          <w:p w14:paraId="75E8B1B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AF6EE0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SAMN11038356</w:t>
            </w:r>
          </w:p>
        </w:tc>
      </w:tr>
      <w:tr w:rsidR="006B2888" w:rsidRPr="00AE525E" w14:paraId="2AF82D99" w14:textId="77777777" w:rsidTr="006B2888">
        <w:trPr>
          <w:trHeight w:val="320"/>
        </w:trPr>
        <w:tc>
          <w:tcPr>
            <w:tcW w:w="2355" w:type="dxa"/>
            <w:tcBorders>
              <w:top w:val="nil"/>
              <w:left w:val="nil"/>
              <w:bottom w:val="nil"/>
              <w:right w:val="nil"/>
            </w:tcBorders>
            <w:shd w:val="clear" w:color="auto" w:fill="auto"/>
            <w:noWrap/>
            <w:vAlign w:val="center"/>
            <w:hideMark/>
          </w:tcPr>
          <w:p w14:paraId="177C6BA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B3B457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LSU223</w:t>
            </w:r>
          </w:p>
        </w:tc>
        <w:tc>
          <w:tcPr>
            <w:tcW w:w="1300" w:type="dxa"/>
            <w:tcBorders>
              <w:top w:val="nil"/>
              <w:left w:val="nil"/>
              <w:bottom w:val="nil"/>
              <w:right w:val="nil"/>
            </w:tcBorders>
            <w:shd w:val="clear" w:color="auto" w:fill="auto"/>
            <w:noWrap/>
            <w:vAlign w:val="center"/>
            <w:hideMark/>
          </w:tcPr>
          <w:p w14:paraId="4BE548A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3621787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D16B3B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SAMN11038367</w:t>
            </w:r>
          </w:p>
        </w:tc>
      </w:tr>
      <w:tr w:rsidR="006B2888" w:rsidRPr="00AE525E" w14:paraId="3955E424" w14:textId="77777777" w:rsidTr="006B2888">
        <w:trPr>
          <w:trHeight w:val="320"/>
        </w:trPr>
        <w:tc>
          <w:tcPr>
            <w:tcW w:w="2355" w:type="dxa"/>
            <w:tcBorders>
              <w:top w:val="nil"/>
              <w:left w:val="nil"/>
              <w:bottom w:val="nil"/>
              <w:right w:val="nil"/>
            </w:tcBorders>
            <w:shd w:val="clear" w:color="auto" w:fill="auto"/>
            <w:noWrap/>
            <w:vAlign w:val="center"/>
            <w:hideMark/>
          </w:tcPr>
          <w:p w14:paraId="0DFA051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BA1701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LSU224</w:t>
            </w:r>
          </w:p>
        </w:tc>
        <w:tc>
          <w:tcPr>
            <w:tcW w:w="1300" w:type="dxa"/>
            <w:tcBorders>
              <w:top w:val="nil"/>
              <w:left w:val="nil"/>
              <w:bottom w:val="nil"/>
              <w:right w:val="nil"/>
            </w:tcBorders>
            <w:shd w:val="clear" w:color="auto" w:fill="auto"/>
            <w:noWrap/>
            <w:vAlign w:val="center"/>
            <w:hideMark/>
          </w:tcPr>
          <w:p w14:paraId="0B56C39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1A99E3B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CC1293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SAMN11038368</w:t>
            </w:r>
          </w:p>
        </w:tc>
      </w:tr>
      <w:tr w:rsidR="006B2888" w:rsidRPr="00AE525E" w14:paraId="1E329629" w14:textId="77777777" w:rsidTr="006B2888">
        <w:trPr>
          <w:trHeight w:val="320"/>
        </w:trPr>
        <w:tc>
          <w:tcPr>
            <w:tcW w:w="2355" w:type="dxa"/>
            <w:tcBorders>
              <w:top w:val="nil"/>
              <w:left w:val="nil"/>
              <w:bottom w:val="nil"/>
              <w:right w:val="nil"/>
            </w:tcBorders>
            <w:shd w:val="clear" w:color="auto" w:fill="auto"/>
            <w:noWrap/>
            <w:vAlign w:val="center"/>
            <w:hideMark/>
          </w:tcPr>
          <w:p w14:paraId="2F1DFA6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C1C9D5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LSU226</w:t>
            </w:r>
          </w:p>
        </w:tc>
        <w:tc>
          <w:tcPr>
            <w:tcW w:w="1300" w:type="dxa"/>
            <w:tcBorders>
              <w:top w:val="nil"/>
              <w:left w:val="nil"/>
              <w:bottom w:val="nil"/>
              <w:right w:val="nil"/>
            </w:tcBorders>
            <w:shd w:val="clear" w:color="auto" w:fill="auto"/>
            <w:noWrap/>
            <w:vAlign w:val="center"/>
            <w:hideMark/>
          </w:tcPr>
          <w:p w14:paraId="60CCA42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25C1BFE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4EB33E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SAMN11038369</w:t>
            </w:r>
          </w:p>
        </w:tc>
      </w:tr>
      <w:tr w:rsidR="006B2888" w:rsidRPr="00AE525E" w14:paraId="536DB191" w14:textId="77777777" w:rsidTr="006B2888">
        <w:trPr>
          <w:trHeight w:val="320"/>
        </w:trPr>
        <w:tc>
          <w:tcPr>
            <w:tcW w:w="2355" w:type="dxa"/>
            <w:tcBorders>
              <w:top w:val="nil"/>
              <w:left w:val="nil"/>
              <w:bottom w:val="nil"/>
              <w:right w:val="nil"/>
            </w:tcBorders>
            <w:shd w:val="clear" w:color="auto" w:fill="auto"/>
            <w:noWrap/>
            <w:vAlign w:val="center"/>
            <w:hideMark/>
          </w:tcPr>
          <w:p w14:paraId="15B75EB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6B85DD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LSU227</w:t>
            </w:r>
          </w:p>
        </w:tc>
        <w:tc>
          <w:tcPr>
            <w:tcW w:w="1300" w:type="dxa"/>
            <w:tcBorders>
              <w:top w:val="nil"/>
              <w:left w:val="nil"/>
              <w:bottom w:val="nil"/>
              <w:right w:val="nil"/>
            </w:tcBorders>
            <w:shd w:val="clear" w:color="auto" w:fill="auto"/>
            <w:noWrap/>
            <w:vAlign w:val="center"/>
            <w:hideMark/>
          </w:tcPr>
          <w:p w14:paraId="59F46A5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109FE9F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1DF6D3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SAMN11038370</w:t>
            </w:r>
          </w:p>
        </w:tc>
      </w:tr>
      <w:tr w:rsidR="006B2888" w:rsidRPr="00AE525E" w14:paraId="751D6E4C" w14:textId="77777777" w:rsidTr="006B2888">
        <w:trPr>
          <w:trHeight w:val="320"/>
        </w:trPr>
        <w:tc>
          <w:tcPr>
            <w:tcW w:w="2355" w:type="dxa"/>
            <w:tcBorders>
              <w:top w:val="nil"/>
              <w:left w:val="nil"/>
              <w:bottom w:val="nil"/>
              <w:right w:val="nil"/>
            </w:tcBorders>
            <w:shd w:val="clear" w:color="auto" w:fill="auto"/>
            <w:noWrap/>
            <w:vAlign w:val="center"/>
            <w:hideMark/>
          </w:tcPr>
          <w:p w14:paraId="3241F8A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7ED8EA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LSU228</w:t>
            </w:r>
          </w:p>
        </w:tc>
        <w:tc>
          <w:tcPr>
            <w:tcW w:w="1300" w:type="dxa"/>
            <w:tcBorders>
              <w:top w:val="nil"/>
              <w:left w:val="nil"/>
              <w:bottom w:val="nil"/>
              <w:right w:val="nil"/>
            </w:tcBorders>
            <w:shd w:val="clear" w:color="auto" w:fill="auto"/>
            <w:noWrap/>
            <w:vAlign w:val="center"/>
            <w:hideMark/>
          </w:tcPr>
          <w:p w14:paraId="5F86E1B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548E91D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C7D7C7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SAMN11038371</w:t>
            </w:r>
          </w:p>
        </w:tc>
      </w:tr>
      <w:tr w:rsidR="006B2888" w:rsidRPr="00AE525E" w14:paraId="54E478BD" w14:textId="77777777" w:rsidTr="006B2888">
        <w:trPr>
          <w:trHeight w:val="320"/>
        </w:trPr>
        <w:tc>
          <w:tcPr>
            <w:tcW w:w="2355" w:type="dxa"/>
            <w:tcBorders>
              <w:top w:val="nil"/>
              <w:left w:val="nil"/>
              <w:bottom w:val="nil"/>
              <w:right w:val="nil"/>
            </w:tcBorders>
            <w:shd w:val="clear" w:color="auto" w:fill="auto"/>
            <w:noWrap/>
            <w:vAlign w:val="center"/>
            <w:hideMark/>
          </w:tcPr>
          <w:p w14:paraId="051D3DF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DDE026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LSU229</w:t>
            </w:r>
          </w:p>
        </w:tc>
        <w:tc>
          <w:tcPr>
            <w:tcW w:w="1300" w:type="dxa"/>
            <w:tcBorders>
              <w:top w:val="nil"/>
              <w:left w:val="nil"/>
              <w:bottom w:val="nil"/>
              <w:right w:val="nil"/>
            </w:tcBorders>
            <w:shd w:val="clear" w:color="auto" w:fill="auto"/>
            <w:noWrap/>
            <w:vAlign w:val="center"/>
            <w:hideMark/>
          </w:tcPr>
          <w:p w14:paraId="590FA1B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47BC5B2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000AC7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SAMN11038372</w:t>
            </w:r>
          </w:p>
        </w:tc>
      </w:tr>
      <w:tr w:rsidR="006B2888" w:rsidRPr="00AE525E" w14:paraId="1CA26D66" w14:textId="77777777" w:rsidTr="006B2888">
        <w:trPr>
          <w:trHeight w:val="320"/>
        </w:trPr>
        <w:tc>
          <w:tcPr>
            <w:tcW w:w="2355" w:type="dxa"/>
            <w:tcBorders>
              <w:top w:val="nil"/>
              <w:left w:val="nil"/>
              <w:bottom w:val="nil"/>
              <w:right w:val="nil"/>
            </w:tcBorders>
            <w:shd w:val="clear" w:color="auto" w:fill="auto"/>
            <w:noWrap/>
            <w:vAlign w:val="center"/>
            <w:hideMark/>
          </w:tcPr>
          <w:p w14:paraId="5BF8D70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45D343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LSU230</w:t>
            </w:r>
          </w:p>
        </w:tc>
        <w:tc>
          <w:tcPr>
            <w:tcW w:w="1300" w:type="dxa"/>
            <w:tcBorders>
              <w:top w:val="nil"/>
              <w:left w:val="nil"/>
              <w:bottom w:val="nil"/>
              <w:right w:val="nil"/>
            </w:tcBorders>
            <w:shd w:val="clear" w:color="auto" w:fill="auto"/>
            <w:noWrap/>
            <w:vAlign w:val="center"/>
            <w:hideMark/>
          </w:tcPr>
          <w:p w14:paraId="36A9805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1FAE743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2AC075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SAMN11038373</w:t>
            </w:r>
          </w:p>
        </w:tc>
      </w:tr>
      <w:tr w:rsidR="006B2888" w:rsidRPr="00AE525E" w14:paraId="6266411C" w14:textId="77777777" w:rsidTr="006B2888">
        <w:trPr>
          <w:trHeight w:val="320"/>
        </w:trPr>
        <w:tc>
          <w:tcPr>
            <w:tcW w:w="2355" w:type="dxa"/>
            <w:tcBorders>
              <w:top w:val="nil"/>
              <w:left w:val="nil"/>
              <w:bottom w:val="nil"/>
              <w:right w:val="nil"/>
            </w:tcBorders>
            <w:shd w:val="clear" w:color="auto" w:fill="auto"/>
            <w:noWrap/>
            <w:vAlign w:val="center"/>
            <w:hideMark/>
          </w:tcPr>
          <w:p w14:paraId="1E4B9EE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61BBAE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LSU231</w:t>
            </w:r>
          </w:p>
        </w:tc>
        <w:tc>
          <w:tcPr>
            <w:tcW w:w="1300" w:type="dxa"/>
            <w:tcBorders>
              <w:top w:val="nil"/>
              <w:left w:val="nil"/>
              <w:bottom w:val="nil"/>
              <w:right w:val="nil"/>
            </w:tcBorders>
            <w:shd w:val="clear" w:color="auto" w:fill="auto"/>
            <w:noWrap/>
            <w:vAlign w:val="center"/>
            <w:hideMark/>
          </w:tcPr>
          <w:p w14:paraId="00DE894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74458D0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B40721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SAMN11038374</w:t>
            </w:r>
          </w:p>
        </w:tc>
      </w:tr>
      <w:tr w:rsidR="006B2888" w:rsidRPr="00AE525E" w14:paraId="4C0C117E" w14:textId="77777777" w:rsidTr="006B2888">
        <w:trPr>
          <w:trHeight w:val="320"/>
        </w:trPr>
        <w:tc>
          <w:tcPr>
            <w:tcW w:w="2355" w:type="dxa"/>
            <w:tcBorders>
              <w:top w:val="nil"/>
              <w:left w:val="nil"/>
              <w:bottom w:val="nil"/>
              <w:right w:val="nil"/>
            </w:tcBorders>
            <w:shd w:val="clear" w:color="auto" w:fill="auto"/>
            <w:noWrap/>
            <w:vAlign w:val="center"/>
            <w:hideMark/>
          </w:tcPr>
          <w:p w14:paraId="07DCBE1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A74656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LSU268</w:t>
            </w:r>
          </w:p>
        </w:tc>
        <w:tc>
          <w:tcPr>
            <w:tcW w:w="1300" w:type="dxa"/>
            <w:tcBorders>
              <w:top w:val="nil"/>
              <w:left w:val="nil"/>
              <w:bottom w:val="nil"/>
              <w:right w:val="nil"/>
            </w:tcBorders>
            <w:shd w:val="clear" w:color="auto" w:fill="auto"/>
            <w:noWrap/>
            <w:vAlign w:val="center"/>
            <w:hideMark/>
          </w:tcPr>
          <w:p w14:paraId="1E63B28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71C3E9A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3E6E5D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SAMN11038375</w:t>
            </w:r>
          </w:p>
        </w:tc>
      </w:tr>
      <w:tr w:rsidR="006B2888" w:rsidRPr="00AE525E" w14:paraId="5DA7ABCE" w14:textId="77777777" w:rsidTr="006B2888">
        <w:trPr>
          <w:trHeight w:val="320"/>
        </w:trPr>
        <w:tc>
          <w:tcPr>
            <w:tcW w:w="2355" w:type="dxa"/>
            <w:tcBorders>
              <w:top w:val="nil"/>
              <w:left w:val="nil"/>
              <w:bottom w:val="nil"/>
              <w:right w:val="nil"/>
            </w:tcBorders>
            <w:shd w:val="clear" w:color="auto" w:fill="auto"/>
            <w:noWrap/>
            <w:vAlign w:val="center"/>
            <w:hideMark/>
          </w:tcPr>
          <w:p w14:paraId="0607E4F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7E6C70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LSU271</w:t>
            </w:r>
          </w:p>
        </w:tc>
        <w:tc>
          <w:tcPr>
            <w:tcW w:w="1300" w:type="dxa"/>
            <w:tcBorders>
              <w:top w:val="nil"/>
              <w:left w:val="nil"/>
              <w:bottom w:val="nil"/>
              <w:right w:val="nil"/>
            </w:tcBorders>
            <w:shd w:val="clear" w:color="auto" w:fill="auto"/>
            <w:noWrap/>
            <w:vAlign w:val="center"/>
            <w:hideMark/>
          </w:tcPr>
          <w:p w14:paraId="6B6ED48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15DB14B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0B728D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SAMN11038376</w:t>
            </w:r>
          </w:p>
        </w:tc>
      </w:tr>
      <w:tr w:rsidR="006B2888" w:rsidRPr="00AE525E" w14:paraId="462A256B" w14:textId="77777777" w:rsidTr="006B2888">
        <w:trPr>
          <w:trHeight w:val="320"/>
        </w:trPr>
        <w:tc>
          <w:tcPr>
            <w:tcW w:w="2355" w:type="dxa"/>
            <w:tcBorders>
              <w:top w:val="nil"/>
              <w:left w:val="nil"/>
              <w:bottom w:val="nil"/>
              <w:right w:val="nil"/>
            </w:tcBorders>
            <w:shd w:val="clear" w:color="auto" w:fill="auto"/>
            <w:noWrap/>
            <w:vAlign w:val="center"/>
            <w:hideMark/>
          </w:tcPr>
          <w:p w14:paraId="0476F1E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lastRenderedPageBreak/>
              <w:t>Lutjanus campechanus</w:t>
            </w:r>
          </w:p>
        </w:tc>
        <w:tc>
          <w:tcPr>
            <w:tcW w:w="1533" w:type="dxa"/>
            <w:tcBorders>
              <w:top w:val="nil"/>
              <w:left w:val="nil"/>
              <w:bottom w:val="nil"/>
              <w:right w:val="nil"/>
            </w:tcBorders>
            <w:shd w:val="clear" w:color="auto" w:fill="auto"/>
            <w:noWrap/>
            <w:vAlign w:val="center"/>
            <w:hideMark/>
          </w:tcPr>
          <w:p w14:paraId="622AEC4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LSU272</w:t>
            </w:r>
          </w:p>
        </w:tc>
        <w:tc>
          <w:tcPr>
            <w:tcW w:w="1300" w:type="dxa"/>
            <w:tcBorders>
              <w:top w:val="nil"/>
              <w:left w:val="nil"/>
              <w:bottom w:val="nil"/>
              <w:right w:val="nil"/>
            </w:tcBorders>
            <w:shd w:val="clear" w:color="auto" w:fill="auto"/>
            <w:noWrap/>
            <w:vAlign w:val="center"/>
            <w:hideMark/>
          </w:tcPr>
          <w:p w14:paraId="23B6627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26EB40F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A27711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SAMN11038377</w:t>
            </w:r>
          </w:p>
        </w:tc>
      </w:tr>
      <w:tr w:rsidR="006B2888" w:rsidRPr="00AE525E" w14:paraId="6465B379" w14:textId="77777777" w:rsidTr="006B2888">
        <w:trPr>
          <w:trHeight w:val="320"/>
        </w:trPr>
        <w:tc>
          <w:tcPr>
            <w:tcW w:w="2355" w:type="dxa"/>
            <w:tcBorders>
              <w:top w:val="nil"/>
              <w:left w:val="nil"/>
              <w:bottom w:val="nil"/>
              <w:right w:val="nil"/>
            </w:tcBorders>
            <w:shd w:val="clear" w:color="auto" w:fill="auto"/>
            <w:noWrap/>
            <w:vAlign w:val="center"/>
            <w:hideMark/>
          </w:tcPr>
          <w:p w14:paraId="59EA5E3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F2CACB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LSU273</w:t>
            </w:r>
          </w:p>
        </w:tc>
        <w:tc>
          <w:tcPr>
            <w:tcW w:w="1300" w:type="dxa"/>
            <w:tcBorders>
              <w:top w:val="nil"/>
              <w:left w:val="nil"/>
              <w:bottom w:val="nil"/>
              <w:right w:val="nil"/>
            </w:tcBorders>
            <w:shd w:val="clear" w:color="auto" w:fill="auto"/>
            <w:noWrap/>
            <w:vAlign w:val="center"/>
            <w:hideMark/>
          </w:tcPr>
          <w:p w14:paraId="3FE98D7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7DE4EA8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206A7F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SAMN11038378</w:t>
            </w:r>
          </w:p>
        </w:tc>
      </w:tr>
      <w:tr w:rsidR="006B2888" w:rsidRPr="00AE525E" w14:paraId="3A20473A" w14:textId="77777777" w:rsidTr="006B2888">
        <w:trPr>
          <w:trHeight w:val="320"/>
        </w:trPr>
        <w:tc>
          <w:tcPr>
            <w:tcW w:w="2355" w:type="dxa"/>
            <w:tcBorders>
              <w:top w:val="nil"/>
              <w:left w:val="nil"/>
              <w:bottom w:val="nil"/>
              <w:right w:val="nil"/>
            </w:tcBorders>
            <w:shd w:val="clear" w:color="auto" w:fill="auto"/>
            <w:noWrap/>
            <w:vAlign w:val="center"/>
            <w:hideMark/>
          </w:tcPr>
          <w:p w14:paraId="2CA30A8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5D7307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LSU276</w:t>
            </w:r>
          </w:p>
        </w:tc>
        <w:tc>
          <w:tcPr>
            <w:tcW w:w="1300" w:type="dxa"/>
            <w:tcBorders>
              <w:top w:val="nil"/>
              <w:left w:val="nil"/>
              <w:bottom w:val="nil"/>
              <w:right w:val="nil"/>
            </w:tcBorders>
            <w:shd w:val="clear" w:color="auto" w:fill="auto"/>
            <w:noWrap/>
            <w:vAlign w:val="center"/>
            <w:hideMark/>
          </w:tcPr>
          <w:p w14:paraId="2B6AF5C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4163EE7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1C0524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SAMN11038379</w:t>
            </w:r>
          </w:p>
        </w:tc>
      </w:tr>
      <w:tr w:rsidR="006B2888" w:rsidRPr="00AE525E" w14:paraId="73101683" w14:textId="77777777" w:rsidTr="006B2888">
        <w:trPr>
          <w:trHeight w:val="320"/>
        </w:trPr>
        <w:tc>
          <w:tcPr>
            <w:tcW w:w="2355" w:type="dxa"/>
            <w:tcBorders>
              <w:top w:val="nil"/>
              <w:left w:val="nil"/>
              <w:bottom w:val="nil"/>
              <w:right w:val="nil"/>
            </w:tcBorders>
            <w:shd w:val="clear" w:color="auto" w:fill="auto"/>
            <w:noWrap/>
            <w:vAlign w:val="center"/>
            <w:hideMark/>
          </w:tcPr>
          <w:p w14:paraId="03595E1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67AEF3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LSU278</w:t>
            </w:r>
          </w:p>
        </w:tc>
        <w:tc>
          <w:tcPr>
            <w:tcW w:w="1300" w:type="dxa"/>
            <w:tcBorders>
              <w:top w:val="nil"/>
              <w:left w:val="nil"/>
              <w:bottom w:val="nil"/>
              <w:right w:val="nil"/>
            </w:tcBorders>
            <w:shd w:val="clear" w:color="auto" w:fill="auto"/>
            <w:noWrap/>
            <w:vAlign w:val="center"/>
            <w:hideMark/>
          </w:tcPr>
          <w:p w14:paraId="05381BE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5493174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9EFE42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SAMN11038380</w:t>
            </w:r>
          </w:p>
        </w:tc>
      </w:tr>
      <w:tr w:rsidR="006B2888" w:rsidRPr="00AE525E" w14:paraId="0D8D5B48" w14:textId="77777777" w:rsidTr="006B2888">
        <w:trPr>
          <w:trHeight w:val="320"/>
        </w:trPr>
        <w:tc>
          <w:tcPr>
            <w:tcW w:w="2355" w:type="dxa"/>
            <w:tcBorders>
              <w:top w:val="nil"/>
              <w:left w:val="nil"/>
              <w:bottom w:val="nil"/>
              <w:right w:val="nil"/>
            </w:tcBorders>
            <w:shd w:val="clear" w:color="auto" w:fill="auto"/>
            <w:noWrap/>
            <w:vAlign w:val="center"/>
            <w:hideMark/>
          </w:tcPr>
          <w:p w14:paraId="4B3C8CD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CF3C14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LSU279</w:t>
            </w:r>
          </w:p>
        </w:tc>
        <w:tc>
          <w:tcPr>
            <w:tcW w:w="1300" w:type="dxa"/>
            <w:tcBorders>
              <w:top w:val="nil"/>
              <w:left w:val="nil"/>
              <w:bottom w:val="nil"/>
              <w:right w:val="nil"/>
            </w:tcBorders>
            <w:shd w:val="clear" w:color="auto" w:fill="auto"/>
            <w:noWrap/>
            <w:vAlign w:val="center"/>
            <w:hideMark/>
          </w:tcPr>
          <w:p w14:paraId="5E4AFBA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7DA5833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1A6F83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SAMN11038381</w:t>
            </w:r>
          </w:p>
        </w:tc>
      </w:tr>
      <w:tr w:rsidR="006B2888" w:rsidRPr="00AE525E" w14:paraId="7F05A9C5" w14:textId="77777777" w:rsidTr="006B2888">
        <w:trPr>
          <w:trHeight w:val="320"/>
        </w:trPr>
        <w:tc>
          <w:tcPr>
            <w:tcW w:w="2355" w:type="dxa"/>
            <w:tcBorders>
              <w:top w:val="nil"/>
              <w:left w:val="nil"/>
              <w:bottom w:val="nil"/>
              <w:right w:val="nil"/>
            </w:tcBorders>
            <w:shd w:val="clear" w:color="auto" w:fill="auto"/>
            <w:noWrap/>
            <w:vAlign w:val="center"/>
            <w:hideMark/>
          </w:tcPr>
          <w:p w14:paraId="02F391F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5330B5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LSU280</w:t>
            </w:r>
          </w:p>
        </w:tc>
        <w:tc>
          <w:tcPr>
            <w:tcW w:w="1300" w:type="dxa"/>
            <w:tcBorders>
              <w:top w:val="nil"/>
              <w:left w:val="nil"/>
              <w:bottom w:val="nil"/>
              <w:right w:val="nil"/>
            </w:tcBorders>
            <w:shd w:val="clear" w:color="auto" w:fill="auto"/>
            <w:noWrap/>
            <w:vAlign w:val="center"/>
            <w:hideMark/>
          </w:tcPr>
          <w:p w14:paraId="2246F05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167DE02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60D807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SAMN11038382</w:t>
            </w:r>
          </w:p>
        </w:tc>
      </w:tr>
      <w:tr w:rsidR="006B2888" w:rsidRPr="00AE525E" w14:paraId="1B73C599" w14:textId="77777777" w:rsidTr="006B2888">
        <w:trPr>
          <w:trHeight w:val="320"/>
        </w:trPr>
        <w:tc>
          <w:tcPr>
            <w:tcW w:w="2355" w:type="dxa"/>
            <w:tcBorders>
              <w:top w:val="nil"/>
              <w:left w:val="nil"/>
              <w:bottom w:val="nil"/>
              <w:right w:val="nil"/>
            </w:tcBorders>
            <w:shd w:val="clear" w:color="auto" w:fill="auto"/>
            <w:noWrap/>
            <w:vAlign w:val="center"/>
            <w:hideMark/>
          </w:tcPr>
          <w:p w14:paraId="174EDD4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78BF09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LSU281</w:t>
            </w:r>
          </w:p>
        </w:tc>
        <w:tc>
          <w:tcPr>
            <w:tcW w:w="1300" w:type="dxa"/>
            <w:tcBorders>
              <w:top w:val="nil"/>
              <w:left w:val="nil"/>
              <w:bottom w:val="nil"/>
              <w:right w:val="nil"/>
            </w:tcBorders>
            <w:shd w:val="clear" w:color="auto" w:fill="auto"/>
            <w:noWrap/>
            <w:vAlign w:val="center"/>
            <w:hideMark/>
          </w:tcPr>
          <w:p w14:paraId="5E99BE1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LOU</w:t>
            </w:r>
          </w:p>
        </w:tc>
        <w:tc>
          <w:tcPr>
            <w:tcW w:w="1300" w:type="dxa"/>
            <w:tcBorders>
              <w:top w:val="nil"/>
              <w:left w:val="nil"/>
              <w:bottom w:val="nil"/>
              <w:right w:val="nil"/>
            </w:tcBorders>
            <w:shd w:val="clear" w:color="auto" w:fill="auto"/>
            <w:noWrap/>
            <w:vAlign w:val="center"/>
            <w:hideMark/>
          </w:tcPr>
          <w:p w14:paraId="4B1EBED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58C1E4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SAMN11038383</w:t>
            </w:r>
          </w:p>
        </w:tc>
      </w:tr>
      <w:tr w:rsidR="006B2888" w:rsidRPr="00AE525E" w14:paraId="296C7FA1" w14:textId="77777777" w:rsidTr="006B2888">
        <w:trPr>
          <w:trHeight w:val="320"/>
        </w:trPr>
        <w:tc>
          <w:tcPr>
            <w:tcW w:w="2355" w:type="dxa"/>
            <w:tcBorders>
              <w:top w:val="nil"/>
              <w:left w:val="nil"/>
              <w:bottom w:val="nil"/>
              <w:right w:val="nil"/>
            </w:tcBorders>
            <w:shd w:val="clear" w:color="auto" w:fill="auto"/>
            <w:noWrap/>
            <w:vAlign w:val="center"/>
            <w:hideMark/>
          </w:tcPr>
          <w:p w14:paraId="43702CAA"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16E446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RB1537</w:t>
            </w:r>
          </w:p>
        </w:tc>
        <w:tc>
          <w:tcPr>
            <w:tcW w:w="1300" w:type="dxa"/>
            <w:tcBorders>
              <w:top w:val="nil"/>
              <w:left w:val="nil"/>
              <w:bottom w:val="nil"/>
              <w:right w:val="nil"/>
            </w:tcBorders>
            <w:shd w:val="clear" w:color="auto" w:fill="auto"/>
            <w:noWrap/>
            <w:vAlign w:val="center"/>
            <w:hideMark/>
          </w:tcPr>
          <w:p w14:paraId="3E44258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57605F4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MK534248</w:t>
            </w:r>
          </w:p>
        </w:tc>
        <w:tc>
          <w:tcPr>
            <w:tcW w:w="2242" w:type="dxa"/>
            <w:tcBorders>
              <w:top w:val="nil"/>
              <w:left w:val="nil"/>
              <w:bottom w:val="nil"/>
              <w:right w:val="nil"/>
            </w:tcBorders>
            <w:shd w:val="clear" w:color="auto" w:fill="auto"/>
            <w:noWrap/>
            <w:vAlign w:val="bottom"/>
            <w:hideMark/>
          </w:tcPr>
          <w:p w14:paraId="2734A36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39655DAD" w14:textId="77777777" w:rsidTr="006B2888">
        <w:trPr>
          <w:trHeight w:val="320"/>
        </w:trPr>
        <w:tc>
          <w:tcPr>
            <w:tcW w:w="2355" w:type="dxa"/>
            <w:tcBorders>
              <w:top w:val="nil"/>
              <w:left w:val="nil"/>
              <w:bottom w:val="nil"/>
              <w:right w:val="nil"/>
            </w:tcBorders>
            <w:shd w:val="clear" w:color="auto" w:fill="auto"/>
            <w:noWrap/>
            <w:vAlign w:val="center"/>
            <w:hideMark/>
          </w:tcPr>
          <w:p w14:paraId="4269109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3AE472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RB1538</w:t>
            </w:r>
          </w:p>
        </w:tc>
        <w:tc>
          <w:tcPr>
            <w:tcW w:w="1300" w:type="dxa"/>
            <w:tcBorders>
              <w:top w:val="nil"/>
              <w:left w:val="nil"/>
              <w:bottom w:val="nil"/>
              <w:right w:val="nil"/>
            </w:tcBorders>
            <w:shd w:val="clear" w:color="auto" w:fill="auto"/>
            <w:noWrap/>
            <w:vAlign w:val="center"/>
            <w:hideMark/>
          </w:tcPr>
          <w:p w14:paraId="5FED466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2CB32BC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MK534249</w:t>
            </w:r>
          </w:p>
        </w:tc>
        <w:tc>
          <w:tcPr>
            <w:tcW w:w="2242" w:type="dxa"/>
            <w:tcBorders>
              <w:top w:val="nil"/>
              <w:left w:val="nil"/>
              <w:bottom w:val="nil"/>
              <w:right w:val="nil"/>
            </w:tcBorders>
            <w:shd w:val="clear" w:color="auto" w:fill="auto"/>
            <w:noWrap/>
            <w:vAlign w:val="bottom"/>
            <w:hideMark/>
          </w:tcPr>
          <w:p w14:paraId="70A3078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210F927A" w14:textId="77777777" w:rsidTr="006B2888">
        <w:trPr>
          <w:trHeight w:val="320"/>
        </w:trPr>
        <w:tc>
          <w:tcPr>
            <w:tcW w:w="2355" w:type="dxa"/>
            <w:tcBorders>
              <w:top w:val="nil"/>
              <w:left w:val="nil"/>
              <w:bottom w:val="nil"/>
              <w:right w:val="nil"/>
            </w:tcBorders>
            <w:shd w:val="clear" w:color="auto" w:fill="auto"/>
            <w:noWrap/>
            <w:vAlign w:val="center"/>
            <w:hideMark/>
          </w:tcPr>
          <w:p w14:paraId="00C78B3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233AC5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RB1539</w:t>
            </w:r>
          </w:p>
        </w:tc>
        <w:tc>
          <w:tcPr>
            <w:tcW w:w="1300" w:type="dxa"/>
            <w:tcBorders>
              <w:top w:val="nil"/>
              <w:left w:val="nil"/>
              <w:bottom w:val="nil"/>
              <w:right w:val="nil"/>
            </w:tcBorders>
            <w:shd w:val="clear" w:color="auto" w:fill="auto"/>
            <w:noWrap/>
            <w:vAlign w:val="center"/>
            <w:hideMark/>
          </w:tcPr>
          <w:p w14:paraId="13687CA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2A81C95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MK534250</w:t>
            </w:r>
          </w:p>
        </w:tc>
        <w:tc>
          <w:tcPr>
            <w:tcW w:w="2242" w:type="dxa"/>
            <w:tcBorders>
              <w:top w:val="nil"/>
              <w:left w:val="nil"/>
              <w:bottom w:val="nil"/>
              <w:right w:val="nil"/>
            </w:tcBorders>
            <w:shd w:val="clear" w:color="auto" w:fill="auto"/>
            <w:noWrap/>
            <w:vAlign w:val="bottom"/>
            <w:hideMark/>
          </w:tcPr>
          <w:p w14:paraId="5017186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6520DEE0" w14:textId="77777777" w:rsidTr="006B2888">
        <w:trPr>
          <w:trHeight w:val="320"/>
        </w:trPr>
        <w:tc>
          <w:tcPr>
            <w:tcW w:w="2355" w:type="dxa"/>
            <w:tcBorders>
              <w:top w:val="nil"/>
              <w:left w:val="nil"/>
              <w:bottom w:val="nil"/>
              <w:right w:val="nil"/>
            </w:tcBorders>
            <w:shd w:val="clear" w:color="auto" w:fill="auto"/>
            <w:noWrap/>
            <w:vAlign w:val="center"/>
            <w:hideMark/>
          </w:tcPr>
          <w:p w14:paraId="6D7321E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4E8244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RB1540</w:t>
            </w:r>
          </w:p>
        </w:tc>
        <w:tc>
          <w:tcPr>
            <w:tcW w:w="1300" w:type="dxa"/>
            <w:tcBorders>
              <w:top w:val="nil"/>
              <w:left w:val="nil"/>
              <w:bottom w:val="nil"/>
              <w:right w:val="nil"/>
            </w:tcBorders>
            <w:shd w:val="clear" w:color="auto" w:fill="auto"/>
            <w:noWrap/>
            <w:vAlign w:val="center"/>
            <w:hideMark/>
          </w:tcPr>
          <w:p w14:paraId="08C4D31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01E4149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MK534251</w:t>
            </w:r>
          </w:p>
        </w:tc>
        <w:tc>
          <w:tcPr>
            <w:tcW w:w="2242" w:type="dxa"/>
            <w:tcBorders>
              <w:top w:val="nil"/>
              <w:left w:val="nil"/>
              <w:bottom w:val="nil"/>
              <w:right w:val="nil"/>
            </w:tcBorders>
            <w:shd w:val="clear" w:color="auto" w:fill="auto"/>
            <w:noWrap/>
            <w:vAlign w:val="bottom"/>
            <w:hideMark/>
          </w:tcPr>
          <w:p w14:paraId="25F5E36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116EDA5D" w14:textId="77777777" w:rsidTr="006B2888">
        <w:trPr>
          <w:trHeight w:val="320"/>
        </w:trPr>
        <w:tc>
          <w:tcPr>
            <w:tcW w:w="2355" w:type="dxa"/>
            <w:tcBorders>
              <w:top w:val="nil"/>
              <w:left w:val="nil"/>
              <w:bottom w:val="nil"/>
              <w:right w:val="nil"/>
            </w:tcBorders>
            <w:shd w:val="clear" w:color="auto" w:fill="auto"/>
            <w:noWrap/>
            <w:vAlign w:val="center"/>
            <w:hideMark/>
          </w:tcPr>
          <w:p w14:paraId="391311AA"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B997BE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RB1542</w:t>
            </w:r>
          </w:p>
        </w:tc>
        <w:tc>
          <w:tcPr>
            <w:tcW w:w="1300" w:type="dxa"/>
            <w:tcBorders>
              <w:top w:val="nil"/>
              <w:left w:val="nil"/>
              <w:bottom w:val="nil"/>
              <w:right w:val="nil"/>
            </w:tcBorders>
            <w:shd w:val="clear" w:color="auto" w:fill="auto"/>
            <w:noWrap/>
            <w:vAlign w:val="center"/>
            <w:hideMark/>
          </w:tcPr>
          <w:p w14:paraId="3A32276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311E6AE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MK534252</w:t>
            </w:r>
          </w:p>
        </w:tc>
        <w:tc>
          <w:tcPr>
            <w:tcW w:w="2242" w:type="dxa"/>
            <w:tcBorders>
              <w:top w:val="nil"/>
              <w:left w:val="nil"/>
              <w:bottom w:val="nil"/>
              <w:right w:val="nil"/>
            </w:tcBorders>
            <w:shd w:val="clear" w:color="auto" w:fill="auto"/>
            <w:noWrap/>
            <w:vAlign w:val="bottom"/>
            <w:hideMark/>
          </w:tcPr>
          <w:p w14:paraId="76F789D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07DF5D35" w14:textId="77777777" w:rsidTr="006B2888">
        <w:trPr>
          <w:trHeight w:val="320"/>
        </w:trPr>
        <w:tc>
          <w:tcPr>
            <w:tcW w:w="2355" w:type="dxa"/>
            <w:tcBorders>
              <w:top w:val="nil"/>
              <w:left w:val="nil"/>
              <w:bottom w:val="nil"/>
              <w:right w:val="nil"/>
            </w:tcBorders>
            <w:shd w:val="clear" w:color="auto" w:fill="auto"/>
            <w:noWrap/>
            <w:vAlign w:val="center"/>
            <w:hideMark/>
          </w:tcPr>
          <w:p w14:paraId="64BBE78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7AE9D7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RB1543</w:t>
            </w:r>
          </w:p>
        </w:tc>
        <w:tc>
          <w:tcPr>
            <w:tcW w:w="1300" w:type="dxa"/>
            <w:tcBorders>
              <w:top w:val="nil"/>
              <w:left w:val="nil"/>
              <w:bottom w:val="nil"/>
              <w:right w:val="nil"/>
            </w:tcBorders>
            <w:shd w:val="clear" w:color="auto" w:fill="auto"/>
            <w:noWrap/>
            <w:vAlign w:val="center"/>
            <w:hideMark/>
          </w:tcPr>
          <w:p w14:paraId="20DB62C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1B6A2F6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MK534253</w:t>
            </w:r>
          </w:p>
        </w:tc>
        <w:tc>
          <w:tcPr>
            <w:tcW w:w="2242" w:type="dxa"/>
            <w:tcBorders>
              <w:top w:val="nil"/>
              <w:left w:val="nil"/>
              <w:bottom w:val="nil"/>
              <w:right w:val="nil"/>
            </w:tcBorders>
            <w:shd w:val="clear" w:color="auto" w:fill="auto"/>
            <w:noWrap/>
            <w:vAlign w:val="bottom"/>
            <w:hideMark/>
          </w:tcPr>
          <w:p w14:paraId="53A8A56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2E2B5A57" w14:textId="77777777" w:rsidTr="006B2888">
        <w:trPr>
          <w:trHeight w:val="320"/>
        </w:trPr>
        <w:tc>
          <w:tcPr>
            <w:tcW w:w="2355" w:type="dxa"/>
            <w:tcBorders>
              <w:top w:val="nil"/>
              <w:left w:val="nil"/>
              <w:bottom w:val="nil"/>
              <w:right w:val="nil"/>
            </w:tcBorders>
            <w:shd w:val="clear" w:color="auto" w:fill="auto"/>
            <w:noWrap/>
            <w:vAlign w:val="center"/>
            <w:hideMark/>
          </w:tcPr>
          <w:p w14:paraId="1F07717A"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B992A2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RB1544</w:t>
            </w:r>
          </w:p>
        </w:tc>
        <w:tc>
          <w:tcPr>
            <w:tcW w:w="1300" w:type="dxa"/>
            <w:tcBorders>
              <w:top w:val="nil"/>
              <w:left w:val="nil"/>
              <w:bottom w:val="nil"/>
              <w:right w:val="nil"/>
            </w:tcBorders>
            <w:shd w:val="clear" w:color="auto" w:fill="auto"/>
            <w:noWrap/>
            <w:vAlign w:val="center"/>
            <w:hideMark/>
          </w:tcPr>
          <w:p w14:paraId="3DF2723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1915227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MK534254</w:t>
            </w:r>
          </w:p>
        </w:tc>
        <w:tc>
          <w:tcPr>
            <w:tcW w:w="2242" w:type="dxa"/>
            <w:tcBorders>
              <w:top w:val="nil"/>
              <w:left w:val="nil"/>
              <w:bottom w:val="nil"/>
              <w:right w:val="nil"/>
            </w:tcBorders>
            <w:shd w:val="clear" w:color="auto" w:fill="auto"/>
            <w:noWrap/>
            <w:vAlign w:val="bottom"/>
            <w:hideMark/>
          </w:tcPr>
          <w:p w14:paraId="5AD811A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1B80280B" w14:textId="77777777" w:rsidTr="006B2888">
        <w:trPr>
          <w:trHeight w:val="320"/>
        </w:trPr>
        <w:tc>
          <w:tcPr>
            <w:tcW w:w="2355" w:type="dxa"/>
            <w:tcBorders>
              <w:top w:val="nil"/>
              <w:left w:val="nil"/>
              <w:bottom w:val="nil"/>
              <w:right w:val="nil"/>
            </w:tcBorders>
            <w:shd w:val="clear" w:color="auto" w:fill="auto"/>
            <w:noWrap/>
            <w:vAlign w:val="center"/>
            <w:hideMark/>
          </w:tcPr>
          <w:p w14:paraId="5035876F"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099804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RB1545</w:t>
            </w:r>
          </w:p>
        </w:tc>
        <w:tc>
          <w:tcPr>
            <w:tcW w:w="1300" w:type="dxa"/>
            <w:tcBorders>
              <w:top w:val="nil"/>
              <w:left w:val="nil"/>
              <w:bottom w:val="nil"/>
              <w:right w:val="nil"/>
            </w:tcBorders>
            <w:shd w:val="clear" w:color="auto" w:fill="auto"/>
            <w:noWrap/>
            <w:vAlign w:val="center"/>
            <w:hideMark/>
          </w:tcPr>
          <w:p w14:paraId="0BDAB3D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6031A0E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MK534255</w:t>
            </w:r>
          </w:p>
        </w:tc>
        <w:tc>
          <w:tcPr>
            <w:tcW w:w="2242" w:type="dxa"/>
            <w:tcBorders>
              <w:top w:val="nil"/>
              <w:left w:val="nil"/>
              <w:bottom w:val="nil"/>
              <w:right w:val="nil"/>
            </w:tcBorders>
            <w:shd w:val="clear" w:color="auto" w:fill="auto"/>
            <w:noWrap/>
            <w:vAlign w:val="bottom"/>
            <w:hideMark/>
          </w:tcPr>
          <w:p w14:paraId="6AF6DCC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7FCADF67" w14:textId="77777777" w:rsidTr="006B2888">
        <w:trPr>
          <w:trHeight w:val="320"/>
        </w:trPr>
        <w:tc>
          <w:tcPr>
            <w:tcW w:w="2355" w:type="dxa"/>
            <w:tcBorders>
              <w:top w:val="nil"/>
              <w:left w:val="nil"/>
              <w:bottom w:val="nil"/>
              <w:right w:val="nil"/>
            </w:tcBorders>
            <w:shd w:val="clear" w:color="auto" w:fill="auto"/>
            <w:noWrap/>
            <w:vAlign w:val="center"/>
            <w:hideMark/>
          </w:tcPr>
          <w:p w14:paraId="1E8CE39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E032D0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RB1546</w:t>
            </w:r>
          </w:p>
        </w:tc>
        <w:tc>
          <w:tcPr>
            <w:tcW w:w="1300" w:type="dxa"/>
            <w:tcBorders>
              <w:top w:val="nil"/>
              <w:left w:val="nil"/>
              <w:bottom w:val="nil"/>
              <w:right w:val="nil"/>
            </w:tcBorders>
            <w:shd w:val="clear" w:color="auto" w:fill="auto"/>
            <w:noWrap/>
            <w:vAlign w:val="center"/>
            <w:hideMark/>
          </w:tcPr>
          <w:p w14:paraId="7AE27ED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5E27F0A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MK534256</w:t>
            </w:r>
          </w:p>
        </w:tc>
        <w:tc>
          <w:tcPr>
            <w:tcW w:w="2242" w:type="dxa"/>
            <w:tcBorders>
              <w:top w:val="nil"/>
              <w:left w:val="nil"/>
              <w:bottom w:val="nil"/>
              <w:right w:val="nil"/>
            </w:tcBorders>
            <w:shd w:val="clear" w:color="auto" w:fill="auto"/>
            <w:noWrap/>
            <w:vAlign w:val="bottom"/>
            <w:hideMark/>
          </w:tcPr>
          <w:p w14:paraId="3D479FD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3B7A9118" w14:textId="77777777" w:rsidTr="006B2888">
        <w:trPr>
          <w:trHeight w:val="320"/>
        </w:trPr>
        <w:tc>
          <w:tcPr>
            <w:tcW w:w="2355" w:type="dxa"/>
            <w:tcBorders>
              <w:top w:val="nil"/>
              <w:left w:val="nil"/>
              <w:bottom w:val="nil"/>
              <w:right w:val="nil"/>
            </w:tcBorders>
            <w:shd w:val="clear" w:color="auto" w:fill="auto"/>
            <w:noWrap/>
            <w:vAlign w:val="center"/>
            <w:hideMark/>
          </w:tcPr>
          <w:p w14:paraId="24E9616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849ED4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RB1547</w:t>
            </w:r>
          </w:p>
        </w:tc>
        <w:tc>
          <w:tcPr>
            <w:tcW w:w="1300" w:type="dxa"/>
            <w:tcBorders>
              <w:top w:val="nil"/>
              <w:left w:val="nil"/>
              <w:bottom w:val="nil"/>
              <w:right w:val="nil"/>
            </w:tcBorders>
            <w:shd w:val="clear" w:color="auto" w:fill="auto"/>
            <w:noWrap/>
            <w:vAlign w:val="center"/>
            <w:hideMark/>
          </w:tcPr>
          <w:p w14:paraId="371FABB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550C0BF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MK534257</w:t>
            </w:r>
          </w:p>
        </w:tc>
        <w:tc>
          <w:tcPr>
            <w:tcW w:w="2242" w:type="dxa"/>
            <w:tcBorders>
              <w:top w:val="nil"/>
              <w:left w:val="nil"/>
              <w:bottom w:val="nil"/>
              <w:right w:val="nil"/>
            </w:tcBorders>
            <w:shd w:val="clear" w:color="auto" w:fill="auto"/>
            <w:noWrap/>
            <w:vAlign w:val="bottom"/>
            <w:hideMark/>
          </w:tcPr>
          <w:p w14:paraId="4A33ACD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56410B5D" w14:textId="77777777" w:rsidTr="006B2888">
        <w:trPr>
          <w:trHeight w:val="320"/>
        </w:trPr>
        <w:tc>
          <w:tcPr>
            <w:tcW w:w="2355" w:type="dxa"/>
            <w:tcBorders>
              <w:top w:val="nil"/>
              <w:left w:val="nil"/>
              <w:bottom w:val="nil"/>
              <w:right w:val="nil"/>
            </w:tcBorders>
            <w:shd w:val="clear" w:color="auto" w:fill="auto"/>
            <w:noWrap/>
            <w:vAlign w:val="center"/>
            <w:hideMark/>
          </w:tcPr>
          <w:p w14:paraId="681D092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CF5094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RB1548</w:t>
            </w:r>
          </w:p>
        </w:tc>
        <w:tc>
          <w:tcPr>
            <w:tcW w:w="1300" w:type="dxa"/>
            <w:tcBorders>
              <w:top w:val="nil"/>
              <w:left w:val="nil"/>
              <w:bottom w:val="nil"/>
              <w:right w:val="nil"/>
            </w:tcBorders>
            <w:shd w:val="clear" w:color="auto" w:fill="auto"/>
            <w:noWrap/>
            <w:vAlign w:val="center"/>
            <w:hideMark/>
          </w:tcPr>
          <w:p w14:paraId="1F7239D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7C21E4C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MK534258</w:t>
            </w:r>
          </w:p>
        </w:tc>
        <w:tc>
          <w:tcPr>
            <w:tcW w:w="2242" w:type="dxa"/>
            <w:tcBorders>
              <w:top w:val="nil"/>
              <w:left w:val="nil"/>
              <w:bottom w:val="nil"/>
              <w:right w:val="nil"/>
            </w:tcBorders>
            <w:shd w:val="clear" w:color="auto" w:fill="auto"/>
            <w:noWrap/>
            <w:vAlign w:val="bottom"/>
            <w:hideMark/>
          </w:tcPr>
          <w:p w14:paraId="3B52101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57B45627" w14:textId="77777777" w:rsidTr="006B2888">
        <w:trPr>
          <w:trHeight w:val="320"/>
        </w:trPr>
        <w:tc>
          <w:tcPr>
            <w:tcW w:w="2355" w:type="dxa"/>
            <w:tcBorders>
              <w:top w:val="nil"/>
              <w:left w:val="nil"/>
              <w:bottom w:val="nil"/>
              <w:right w:val="nil"/>
            </w:tcBorders>
            <w:shd w:val="clear" w:color="auto" w:fill="auto"/>
            <w:noWrap/>
            <w:vAlign w:val="center"/>
            <w:hideMark/>
          </w:tcPr>
          <w:p w14:paraId="185DDF0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441ED2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RB1550</w:t>
            </w:r>
          </w:p>
        </w:tc>
        <w:tc>
          <w:tcPr>
            <w:tcW w:w="1300" w:type="dxa"/>
            <w:tcBorders>
              <w:top w:val="nil"/>
              <w:left w:val="nil"/>
              <w:bottom w:val="nil"/>
              <w:right w:val="nil"/>
            </w:tcBorders>
            <w:shd w:val="clear" w:color="auto" w:fill="auto"/>
            <w:noWrap/>
            <w:vAlign w:val="center"/>
            <w:hideMark/>
          </w:tcPr>
          <w:p w14:paraId="5032DFC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4AC0D35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MK534259</w:t>
            </w:r>
          </w:p>
        </w:tc>
        <w:tc>
          <w:tcPr>
            <w:tcW w:w="2242" w:type="dxa"/>
            <w:tcBorders>
              <w:top w:val="nil"/>
              <w:left w:val="nil"/>
              <w:bottom w:val="nil"/>
              <w:right w:val="nil"/>
            </w:tcBorders>
            <w:shd w:val="clear" w:color="auto" w:fill="auto"/>
            <w:noWrap/>
            <w:vAlign w:val="bottom"/>
            <w:hideMark/>
          </w:tcPr>
          <w:p w14:paraId="627904A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546E4C35" w14:textId="77777777" w:rsidTr="006B2888">
        <w:trPr>
          <w:trHeight w:val="320"/>
        </w:trPr>
        <w:tc>
          <w:tcPr>
            <w:tcW w:w="2355" w:type="dxa"/>
            <w:tcBorders>
              <w:top w:val="nil"/>
              <w:left w:val="nil"/>
              <w:bottom w:val="nil"/>
              <w:right w:val="nil"/>
            </w:tcBorders>
            <w:shd w:val="clear" w:color="auto" w:fill="auto"/>
            <w:noWrap/>
            <w:vAlign w:val="center"/>
            <w:hideMark/>
          </w:tcPr>
          <w:p w14:paraId="3C5A0E0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5D9FA8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RB1551</w:t>
            </w:r>
          </w:p>
        </w:tc>
        <w:tc>
          <w:tcPr>
            <w:tcW w:w="1300" w:type="dxa"/>
            <w:tcBorders>
              <w:top w:val="nil"/>
              <w:left w:val="nil"/>
              <w:bottom w:val="nil"/>
              <w:right w:val="nil"/>
            </w:tcBorders>
            <w:shd w:val="clear" w:color="auto" w:fill="auto"/>
            <w:noWrap/>
            <w:vAlign w:val="center"/>
            <w:hideMark/>
          </w:tcPr>
          <w:p w14:paraId="766D569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5BA01CF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MK534260</w:t>
            </w:r>
          </w:p>
        </w:tc>
        <w:tc>
          <w:tcPr>
            <w:tcW w:w="2242" w:type="dxa"/>
            <w:tcBorders>
              <w:top w:val="nil"/>
              <w:left w:val="nil"/>
              <w:bottom w:val="nil"/>
              <w:right w:val="nil"/>
            </w:tcBorders>
            <w:shd w:val="clear" w:color="auto" w:fill="auto"/>
            <w:noWrap/>
            <w:vAlign w:val="bottom"/>
            <w:hideMark/>
          </w:tcPr>
          <w:p w14:paraId="2883696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241540AE" w14:textId="77777777" w:rsidTr="006B2888">
        <w:trPr>
          <w:trHeight w:val="320"/>
        </w:trPr>
        <w:tc>
          <w:tcPr>
            <w:tcW w:w="2355" w:type="dxa"/>
            <w:tcBorders>
              <w:top w:val="nil"/>
              <w:left w:val="nil"/>
              <w:bottom w:val="nil"/>
              <w:right w:val="nil"/>
            </w:tcBorders>
            <w:shd w:val="clear" w:color="auto" w:fill="auto"/>
            <w:noWrap/>
            <w:vAlign w:val="center"/>
            <w:hideMark/>
          </w:tcPr>
          <w:p w14:paraId="266E804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83BA9E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RB1552</w:t>
            </w:r>
          </w:p>
        </w:tc>
        <w:tc>
          <w:tcPr>
            <w:tcW w:w="1300" w:type="dxa"/>
            <w:tcBorders>
              <w:top w:val="nil"/>
              <w:left w:val="nil"/>
              <w:bottom w:val="nil"/>
              <w:right w:val="nil"/>
            </w:tcBorders>
            <w:shd w:val="clear" w:color="auto" w:fill="auto"/>
            <w:noWrap/>
            <w:vAlign w:val="center"/>
            <w:hideMark/>
          </w:tcPr>
          <w:p w14:paraId="23F331F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43D1434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MK534261</w:t>
            </w:r>
          </w:p>
        </w:tc>
        <w:tc>
          <w:tcPr>
            <w:tcW w:w="2242" w:type="dxa"/>
            <w:tcBorders>
              <w:top w:val="nil"/>
              <w:left w:val="nil"/>
              <w:bottom w:val="nil"/>
              <w:right w:val="nil"/>
            </w:tcBorders>
            <w:shd w:val="clear" w:color="auto" w:fill="auto"/>
            <w:noWrap/>
            <w:vAlign w:val="bottom"/>
            <w:hideMark/>
          </w:tcPr>
          <w:p w14:paraId="4E0EAD2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15F31A85" w14:textId="77777777" w:rsidTr="006B2888">
        <w:trPr>
          <w:trHeight w:val="320"/>
        </w:trPr>
        <w:tc>
          <w:tcPr>
            <w:tcW w:w="2355" w:type="dxa"/>
            <w:tcBorders>
              <w:top w:val="nil"/>
              <w:left w:val="nil"/>
              <w:bottom w:val="nil"/>
              <w:right w:val="nil"/>
            </w:tcBorders>
            <w:shd w:val="clear" w:color="auto" w:fill="auto"/>
            <w:noWrap/>
            <w:vAlign w:val="center"/>
            <w:hideMark/>
          </w:tcPr>
          <w:p w14:paraId="5E5F1DB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202D7E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RB1553</w:t>
            </w:r>
          </w:p>
        </w:tc>
        <w:tc>
          <w:tcPr>
            <w:tcW w:w="1300" w:type="dxa"/>
            <w:tcBorders>
              <w:top w:val="nil"/>
              <w:left w:val="nil"/>
              <w:bottom w:val="nil"/>
              <w:right w:val="nil"/>
            </w:tcBorders>
            <w:shd w:val="clear" w:color="auto" w:fill="auto"/>
            <w:noWrap/>
            <w:vAlign w:val="center"/>
            <w:hideMark/>
          </w:tcPr>
          <w:p w14:paraId="4221B97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22D60B4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MK534262</w:t>
            </w:r>
          </w:p>
        </w:tc>
        <w:tc>
          <w:tcPr>
            <w:tcW w:w="2242" w:type="dxa"/>
            <w:tcBorders>
              <w:top w:val="nil"/>
              <w:left w:val="nil"/>
              <w:bottom w:val="nil"/>
              <w:right w:val="nil"/>
            </w:tcBorders>
            <w:shd w:val="clear" w:color="auto" w:fill="auto"/>
            <w:noWrap/>
            <w:vAlign w:val="bottom"/>
            <w:hideMark/>
          </w:tcPr>
          <w:p w14:paraId="087BF1A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5672E879" w14:textId="77777777" w:rsidTr="006B2888">
        <w:trPr>
          <w:trHeight w:val="320"/>
        </w:trPr>
        <w:tc>
          <w:tcPr>
            <w:tcW w:w="2355" w:type="dxa"/>
            <w:tcBorders>
              <w:top w:val="nil"/>
              <w:left w:val="nil"/>
              <w:bottom w:val="nil"/>
              <w:right w:val="nil"/>
            </w:tcBorders>
            <w:shd w:val="clear" w:color="auto" w:fill="auto"/>
            <w:noWrap/>
            <w:vAlign w:val="center"/>
            <w:hideMark/>
          </w:tcPr>
          <w:p w14:paraId="2A4D1B4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B1C977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RB1554</w:t>
            </w:r>
          </w:p>
        </w:tc>
        <w:tc>
          <w:tcPr>
            <w:tcW w:w="1300" w:type="dxa"/>
            <w:tcBorders>
              <w:top w:val="nil"/>
              <w:left w:val="nil"/>
              <w:bottom w:val="nil"/>
              <w:right w:val="nil"/>
            </w:tcBorders>
            <w:shd w:val="clear" w:color="auto" w:fill="auto"/>
            <w:noWrap/>
            <w:vAlign w:val="center"/>
            <w:hideMark/>
          </w:tcPr>
          <w:p w14:paraId="42EC535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7F458AE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MK534263</w:t>
            </w:r>
          </w:p>
        </w:tc>
        <w:tc>
          <w:tcPr>
            <w:tcW w:w="2242" w:type="dxa"/>
            <w:tcBorders>
              <w:top w:val="nil"/>
              <w:left w:val="nil"/>
              <w:bottom w:val="nil"/>
              <w:right w:val="nil"/>
            </w:tcBorders>
            <w:shd w:val="clear" w:color="auto" w:fill="auto"/>
            <w:noWrap/>
            <w:vAlign w:val="bottom"/>
            <w:hideMark/>
          </w:tcPr>
          <w:p w14:paraId="29EF253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07E9BA5E" w14:textId="77777777" w:rsidTr="006B2888">
        <w:trPr>
          <w:trHeight w:val="320"/>
        </w:trPr>
        <w:tc>
          <w:tcPr>
            <w:tcW w:w="2355" w:type="dxa"/>
            <w:tcBorders>
              <w:top w:val="nil"/>
              <w:left w:val="nil"/>
              <w:bottom w:val="nil"/>
              <w:right w:val="nil"/>
            </w:tcBorders>
            <w:shd w:val="clear" w:color="auto" w:fill="auto"/>
            <w:noWrap/>
            <w:vAlign w:val="center"/>
            <w:hideMark/>
          </w:tcPr>
          <w:p w14:paraId="114D46B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C9ED5B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RB1555</w:t>
            </w:r>
          </w:p>
        </w:tc>
        <w:tc>
          <w:tcPr>
            <w:tcW w:w="1300" w:type="dxa"/>
            <w:tcBorders>
              <w:top w:val="nil"/>
              <w:left w:val="nil"/>
              <w:bottom w:val="nil"/>
              <w:right w:val="nil"/>
            </w:tcBorders>
            <w:shd w:val="clear" w:color="auto" w:fill="auto"/>
            <w:noWrap/>
            <w:vAlign w:val="center"/>
            <w:hideMark/>
          </w:tcPr>
          <w:p w14:paraId="547A85C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7B6B267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MK534264</w:t>
            </w:r>
          </w:p>
        </w:tc>
        <w:tc>
          <w:tcPr>
            <w:tcW w:w="2242" w:type="dxa"/>
            <w:tcBorders>
              <w:top w:val="nil"/>
              <w:left w:val="nil"/>
              <w:bottom w:val="nil"/>
              <w:right w:val="nil"/>
            </w:tcBorders>
            <w:shd w:val="clear" w:color="auto" w:fill="auto"/>
            <w:noWrap/>
            <w:vAlign w:val="bottom"/>
            <w:hideMark/>
          </w:tcPr>
          <w:p w14:paraId="58B08BA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SAMN11038434</w:t>
            </w:r>
          </w:p>
        </w:tc>
      </w:tr>
      <w:tr w:rsidR="006B2888" w:rsidRPr="00AE525E" w14:paraId="6F33A784" w14:textId="77777777" w:rsidTr="006B2888">
        <w:trPr>
          <w:trHeight w:val="320"/>
        </w:trPr>
        <w:tc>
          <w:tcPr>
            <w:tcW w:w="2355" w:type="dxa"/>
            <w:tcBorders>
              <w:top w:val="nil"/>
              <w:left w:val="nil"/>
              <w:bottom w:val="nil"/>
              <w:right w:val="nil"/>
            </w:tcBorders>
            <w:shd w:val="clear" w:color="auto" w:fill="auto"/>
            <w:noWrap/>
            <w:vAlign w:val="center"/>
            <w:hideMark/>
          </w:tcPr>
          <w:p w14:paraId="2C9F6CEF"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B22DCE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RB1556</w:t>
            </w:r>
          </w:p>
        </w:tc>
        <w:tc>
          <w:tcPr>
            <w:tcW w:w="1300" w:type="dxa"/>
            <w:tcBorders>
              <w:top w:val="nil"/>
              <w:left w:val="nil"/>
              <w:bottom w:val="nil"/>
              <w:right w:val="nil"/>
            </w:tcBorders>
            <w:shd w:val="clear" w:color="auto" w:fill="auto"/>
            <w:noWrap/>
            <w:vAlign w:val="center"/>
            <w:hideMark/>
          </w:tcPr>
          <w:p w14:paraId="03822A3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339B649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MK534265</w:t>
            </w:r>
          </w:p>
        </w:tc>
        <w:tc>
          <w:tcPr>
            <w:tcW w:w="2242" w:type="dxa"/>
            <w:tcBorders>
              <w:top w:val="nil"/>
              <w:left w:val="nil"/>
              <w:bottom w:val="nil"/>
              <w:right w:val="nil"/>
            </w:tcBorders>
            <w:shd w:val="clear" w:color="auto" w:fill="auto"/>
            <w:noWrap/>
            <w:vAlign w:val="bottom"/>
            <w:hideMark/>
          </w:tcPr>
          <w:p w14:paraId="6B6DD28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SAMN11038435</w:t>
            </w:r>
          </w:p>
        </w:tc>
      </w:tr>
      <w:tr w:rsidR="006B2888" w:rsidRPr="00AE525E" w14:paraId="60CB2C0A" w14:textId="77777777" w:rsidTr="006B2888">
        <w:trPr>
          <w:trHeight w:val="320"/>
        </w:trPr>
        <w:tc>
          <w:tcPr>
            <w:tcW w:w="2355" w:type="dxa"/>
            <w:tcBorders>
              <w:top w:val="nil"/>
              <w:left w:val="nil"/>
              <w:bottom w:val="nil"/>
              <w:right w:val="nil"/>
            </w:tcBorders>
            <w:shd w:val="clear" w:color="auto" w:fill="auto"/>
            <w:noWrap/>
            <w:vAlign w:val="center"/>
            <w:hideMark/>
          </w:tcPr>
          <w:p w14:paraId="2BAE5EA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B70FAB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RB1557</w:t>
            </w:r>
          </w:p>
        </w:tc>
        <w:tc>
          <w:tcPr>
            <w:tcW w:w="1300" w:type="dxa"/>
            <w:tcBorders>
              <w:top w:val="nil"/>
              <w:left w:val="nil"/>
              <w:bottom w:val="nil"/>
              <w:right w:val="nil"/>
            </w:tcBorders>
            <w:shd w:val="clear" w:color="auto" w:fill="auto"/>
            <w:noWrap/>
            <w:vAlign w:val="center"/>
            <w:hideMark/>
          </w:tcPr>
          <w:p w14:paraId="184F091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2B1D4DB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MK534266</w:t>
            </w:r>
          </w:p>
        </w:tc>
        <w:tc>
          <w:tcPr>
            <w:tcW w:w="2242" w:type="dxa"/>
            <w:tcBorders>
              <w:top w:val="nil"/>
              <w:left w:val="nil"/>
              <w:bottom w:val="nil"/>
              <w:right w:val="nil"/>
            </w:tcBorders>
            <w:shd w:val="clear" w:color="auto" w:fill="auto"/>
            <w:noWrap/>
            <w:vAlign w:val="bottom"/>
            <w:hideMark/>
          </w:tcPr>
          <w:p w14:paraId="1E3B377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22351069" w14:textId="77777777" w:rsidTr="006B2888">
        <w:trPr>
          <w:trHeight w:val="320"/>
        </w:trPr>
        <w:tc>
          <w:tcPr>
            <w:tcW w:w="2355" w:type="dxa"/>
            <w:tcBorders>
              <w:top w:val="nil"/>
              <w:left w:val="nil"/>
              <w:bottom w:val="nil"/>
              <w:right w:val="nil"/>
            </w:tcBorders>
            <w:shd w:val="clear" w:color="auto" w:fill="auto"/>
            <w:noWrap/>
            <w:vAlign w:val="center"/>
            <w:hideMark/>
          </w:tcPr>
          <w:p w14:paraId="6D655FB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516A2E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RB1558</w:t>
            </w:r>
          </w:p>
        </w:tc>
        <w:tc>
          <w:tcPr>
            <w:tcW w:w="1300" w:type="dxa"/>
            <w:tcBorders>
              <w:top w:val="nil"/>
              <w:left w:val="nil"/>
              <w:bottom w:val="nil"/>
              <w:right w:val="nil"/>
            </w:tcBorders>
            <w:shd w:val="clear" w:color="auto" w:fill="auto"/>
            <w:noWrap/>
            <w:vAlign w:val="center"/>
            <w:hideMark/>
          </w:tcPr>
          <w:p w14:paraId="3074A8F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06833A9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MK534267</w:t>
            </w:r>
          </w:p>
        </w:tc>
        <w:tc>
          <w:tcPr>
            <w:tcW w:w="2242" w:type="dxa"/>
            <w:tcBorders>
              <w:top w:val="nil"/>
              <w:left w:val="nil"/>
              <w:bottom w:val="nil"/>
              <w:right w:val="nil"/>
            </w:tcBorders>
            <w:shd w:val="clear" w:color="auto" w:fill="auto"/>
            <w:noWrap/>
            <w:vAlign w:val="bottom"/>
            <w:hideMark/>
          </w:tcPr>
          <w:p w14:paraId="736C70E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SAMN11038436</w:t>
            </w:r>
          </w:p>
        </w:tc>
      </w:tr>
      <w:tr w:rsidR="006B2888" w:rsidRPr="00AE525E" w14:paraId="79B129DA" w14:textId="77777777" w:rsidTr="006B2888">
        <w:trPr>
          <w:trHeight w:val="320"/>
        </w:trPr>
        <w:tc>
          <w:tcPr>
            <w:tcW w:w="2355" w:type="dxa"/>
            <w:tcBorders>
              <w:top w:val="nil"/>
              <w:left w:val="nil"/>
              <w:bottom w:val="nil"/>
              <w:right w:val="nil"/>
            </w:tcBorders>
            <w:shd w:val="clear" w:color="auto" w:fill="auto"/>
            <w:noWrap/>
            <w:vAlign w:val="center"/>
            <w:hideMark/>
          </w:tcPr>
          <w:p w14:paraId="68C35D9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9EA54B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RB1559</w:t>
            </w:r>
          </w:p>
        </w:tc>
        <w:tc>
          <w:tcPr>
            <w:tcW w:w="1300" w:type="dxa"/>
            <w:tcBorders>
              <w:top w:val="nil"/>
              <w:left w:val="nil"/>
              <w:bottom w:val="nil"/>
              <w:right w:val="nil"/>
            </w:tcBorders>
            <w:shd w:val="clear" w:color="auto" w:fill="auto"/>
            <w:noWrap/>
            <w:vAlign w:val="center"/>
            <w:hideMark/>
          </w:tcPr>
          <w:p w14:paraId="1DC057F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76FC02C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MK534268</w:t>
            </w:r>
          </w:p>
        </w:tc>
        <w:tc>
          <w:tcPr>
            <w:tcW w:w="2242" w:type="dxa"/>
            <w:tcBorders>
              <w:top w:val="nil"/>
              <w:left w:val="nil"/>
              <w:bottom w:val="nil"/>
              <w:right w:val="nil"/>
            </w:tcBorders>
            <w:shd w:val="clear" w:color="auto" w:fill="auto"/>
            <w:noWrap/>
            <w:vAlign w:val="bottom"/>
            <w:hideMark/>
          </w:tcPr>
          <w:p w14:paraId="3D04BC1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26897720" w14:textId="77777777" w:rsidTr="006B2888">
        <w:trPr>
          <w:trHeight w:val="320"/>
        </w:trPr>
        <w:tc>
          <w:tcPr>
            <w:tcW w:w="2355" w:type="dxa"/>
            <w:tcBorders>
              <w:top w:val="nil"/>
              <w:left w:val="nil"/>
              <w:bottom w:val="nil"/>
              <w:right w:val="nil"/>
            </w:tcBorders>
            <w:shd w:val="clear" w:color="auto" w:fill="auto"/>
            <w:noWrap/>
            <w:vAlign w:val="center"/>
            <w:hideMark/>
          </w:tcPr>
          <w:p w14:paraId="1C9F8C6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FDB11B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RB1560</w:t>
            </w:r>
          </w:p>
        </w:tc>
        <w:tc>
          <w:tcPr>
            <w:tcW w:w="1300" w:type="dxa"/>
            <w:tcBorders>
              <w:top w:val="nil"/>
              <w:left w:val="nil"/>
              <w:bottom w:val="nil"/>
              <w:right w:val="nil"/>
            </w:tcBorders>
            <w:shd w:val="clear" w:color="auto" w:fill="auto"/>
            <w:noWrap/>
            <w:vAlign w:val="center"/>
            <w:hideMark/>
          </w:tcPr>
          <w:p w14:paraId="02440E8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07ECF6A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MK534269</w:t>
            </w:r>
          </w:p>
        </w:tc>
        <w:tc>
          <w:tcPr>
            <w:tcW w:w="2242" w:type="dxa"/>
            <w:tcBorders>
              <w:top w:val="nil"/>
              <w:left w:val="nil"/>
              <w:bottom w:val="nil"/>
              <w:right w:val="nil"/>
            </w:tcBorders>
            <w:shd w:val="clear" w:color="auto" w:fill="auto"/>
            <w:noWrap/>
            <w:vAlign w:val="bottom"/>
            <w:hideMark/>
          </w:tcPr>
          <w:p w14:paraId="28BE45D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52ABAC8D" w14:textId="77777777" w:rsidTr="006B2888">
        <w:trPr>
          <w:trHeight w:val="320"/>
        </w:trPr>
        <w:tc>
          <w:tcPr>
            <w:tcW w:w="2355" w:type="dxa"/>
            <w:tcBorders>
              <w:top w:val="nil"/>
              <w:left w:val="nil"/>
              <w:bottom w:val="nil"/>
              <w:right w:val="nil"/>
            </w:tcBorders>
            <w:shd w:val="clear" w:color="auto" w:fill="auto"/>
            <w:noWrap/>
            <w:vAlign w:val="center"/>
            <w:hideMark/>
          </w:tcPr>
          <w:p w14:paraId="02ABDC2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629BE5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RB1561</w:t>
            </w:r>
          </w:p>
        </w:tc>
        <w:tc>
          <w:tcPr>
            <w:tcW w:w="1300" w:type="dxa"/>
            <w:tcBorders>
              <w:top w:val="nil"/>
              <w:left w:val="nil"/>
              <w:bottom w:val="nil"/>
              <w:right w:val="nil"/>
            </w:tcBorders>
            <w:shd w:val="clear" w:color="auto" w:fill="auto"/>
            <w:noWrap/>
            <w:vAlign w:val="center"/>
            <w:hideMark/>
          </w:tcPr>
          <w:p w14:paraId="5A77DC9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4356A94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MK534270</w:t>
            </w:r>
          </w:p>
        </w:tc>
        <w:tc>
          <w:tcPr>
            <w:tcW w:w="2242" w:type="dxa"/>
            <w:tcBorders>
              <w:top w:val="nil"/>
              <w:left w:val="nil"/>
              <w:bottom w:val="nil"/>
              <w:right w:val="nil"/>
            </w:tcBorders>
            <w:shd w:val="clear" w:color="auto" w:fill="auto"/>
            <w:noWrap/>
            <w:vAlign w:val="bottom"/>
            <w:hideMark/>
          </w:tcPr>
          <w:p w14:paraId="6EA8896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SAMN11038437</w:t>
            </w:r>
          </w:p>
        </w:tc>
      </w:tr>
      <w:tr w:rsidR="006B2888" w:rsidRPr="00AE525E" w14:paraId="4F79F013" w14:textId="77777777" w:rsidTr="006B2888">
        <w:trPr>
          <w:trHeight w:val="320"/>
        </w:trPr>
        <w:tc>
          <w:tcPr>
            <w:tcW w:w="2355" w:type="dxa"/>
            <w:tcBorders>
              <w:top w:val="nil"/>
              <w:left w:val="nil"/>
              <w:bottom w:val="nil"/>
              <w:right w:val="nil"/>
            </w:tcBorders>
            <w:shd w:val="clear" w:color="auto" w:fill="auto"/>
            <w:noWrap/>
            <w:vAlign w:val="center"/>
            <w:hideMark/>
          </w:tcPr>
          <w:p w14:paraId="1F07745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C07F72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RB1562</w:t>
            </w:r>
          </w:p>
        </w:tc>
        <w:tc>
          <w:tcPr>
            <w:tcW w:w="1300" w:type="dxa"/>
            <w:tcBorders>
              <w:top w:val="nil"/>
              <w:left w:val="nil"/>
              <w:bottom w:val="nil"/>
              <w:right w:val="nil"/>
            </w:tcBorders>
            <w:shd w:val="clear" w:color="auto" w:fill="auto"/>
            <w:noWrap/>
            <w:vAlign w:val="center"/>
            <w:hideMark/>
          </w:tcPr>
          <w:p w14:paraId="58A0F45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31CBC7B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MK534271</w:t>
            </w:r>
          </w:p>
        </w:tc>
        <w:tc>
          <w:tcPr>
            <w:tcW w:w="2242" w:type="dxa"/>
            <w:tcBorders>
              <w:top w:val="nil"/>
              <w:left w:val="nil"/>
              <w:bottom w:val="nil"/>
              <w:right w:val="nil"/>
            </w:tcBorders>
            <w:shd w:val="clear" w:color="auto" w:fill="auto"/>
            <w:noWrap/>
            <w:vAlign w:val="bottom"/>
            <w:hideMark/>
          </w:tcPr>
          <w:p w14:paraId="71B8895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SAMN11038438</w:t>
            </w:r>
          </w:p>
        </w:tc>
      </w:tr>
      <w:tr w:rsidR="006B2888" w:rsidRPr="00AE525E" w14:paraId="0CAEF1F3" w14:textId="77777777" w:rsidTr="006B2888">
        <w:trPr>
          <w:trHeight w:val="320"/>
        </w:trPr>
        <w:tc>
          <w:tcPr>
            <w:tcW w:w="2355" w:type="dxa"/>
            <w:tcBorders>
              <w:top w:val="nil"/>
              <w:left w:val="nil"/>
              <w:bottom w:val="nil"/>
              <w:right w:val="nil"/>
            </w:tcBorders>
            <w:shd w:val="clear" w:color="auto" w:fill="auto"/>
            <w:noWrap/>
            <w:vAlign w:val="center"/>
            <w:hideMark/>
          </w:tcPr>
          <w:p w14:paraId="13FBF38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3BA47B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RB1563</w:t>
            </w:r>
          </w:p>
        </w:tc>
        <w:tc>
          <w:tcPr>
            <w:tcW w:w="1300" w:type="dxa"/>
            <w:tcBorders>
              <w:top w:val="nil"/>
              <w:left w:val="nil"/>
              <w:bottom w:val="nil"/>
              <w:right w:val="nil"/>
            </w:tcBorders>
            <w:shd w:val="clear" w:color="auto" w:fill="auto"/>
            <w:noWrap/>
            <w:vAlign w:val="center"/>
            <w:hideMark/>
          </w:tcPr>
          <w:p w14:paraId="5C5E819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309D46B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MK534272</w:t>
            </w:r>
          </w:p>
        </w:tc>
        <w:tc>
          <w:tcPr>
            <w:tcW w:w="2242" w:type="dxa"/>
            <w:tcBorders>
              <w:top w:val="nil"/>
              <w:left w:val="nil"/>
              <w:bottom w:val="nil"/>
              <w:right w:val="nil"/>
            </w:tcBorders>
            <w:shd w:val="clear" w:color="auto" w:fill="auto"/>
            <w:noWrap/>
            <w:vAlign w:val="bottom"/>
            <w:hideMark/>
          </w:tcPr>
          <w:p w14:paraId="1CAF507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7485F9F4" w14:textId="77777777" w:rsidTr="006B2888">
        <w:trPr>
          <w:trHeight w:val="320"/>
        </w:trPr>
        <w:tc>
          <w:tcPr>
            <w:tcW w:w="2355" w:type="dxa"/>
            <w:tcBorders>
              <w:top w:val="nil"/>
              <w:left w:val="nil"/>
              <w:bottom w:val="nil"/>
              <w:right w:val="nil"/>
            </w:tcBorders>
            <w:shd w:val="clear" w:color="auto" w:fill="auto"/>
            <w:noWrap/>
            <w:vAlign w:val="center"/>
            <w:hideMark/>
          </w:tcPr>
          <w:p w14:paraId="2E84AF6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349B7C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RB1564</w:t>
            </w:r>
          </w:p>
        </w:tc>
        <w:tc>
          <w:tcPr>
            <w:tcW w:w="1300" w:type="dxa"/>
            <w:tcBorders>
              <w:top w:val="nil"/>
              <w:left w:val="nil"/>
              <w:bottom w:val="nil"/>
              <w:right w:val="nil"/>
            </w:tcBorders>
            <w:shd w:val="clear" w:color="auto" w:fill="auto"/>
            <w:noWrap/>
            <w:vAlign w:val="center"/>
            <w:hideMark/>
          </w:tcPr>
          <w:p w14:paraId="2E1BC0A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79B9C5F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MK534273</w:t>
            </w:r>
          </w:p>
        </w:tc>
        <w:tc>
          <w:tcPr>
            <w:tcW w:w="2242" w:type="dxa"/>
            <w:tcBorders>
              <w:top w:val="nil"/>
              <w:left w:val="nil"/>
              <w:bottom w:val="nil"/>
              <w:right w:val="nil"/>
            </w:tcBorders>
            <w:shd w:val="clear" w:color="auto" w:fill="auto"/>
            <w:noWrap/>
            <w:vAlign w:val="bottom"/>
            <w:hideMark/>
          </w:tcPr>
          <w:p w14:paraId="66EB862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614F8248" w14:textId="77777777" w:rsidTr="006B2888">
        <w:trPr>
          <w:trHeight w:val="320"/>
        </w:trPr>
        <w:tc>
          <w:tcPr>
            <w:tcW w:w="2355" w:type="dxa"/>
            <w:tcBorders>
              <w:top w:val="nil"/>
              <w:left w:val="nil"/>
              <w:bottom w:val="nil"/>
              <w:right w:val="nil"/>
            </w:tcBorders>
            <w:shd w:val="clear" w:color="auto" w:fill="auto"/>
            <w:noWrap/>
            <w:vAlign w:val="center"/>
            <w:hideMark/>
          </w:tcPr>
          <w:p w14:paraId="52D2EE8A"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116095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RB1565</w:t>
            </w:r>
          </w:p>
        </w:tc>
        <w:tc>
          <w:tcPr>
            <w:tcW w:w="1300" w:type="dxa"/>
            <w:tcBorders>
              <w:top w:val="nil"/>
              <w:left w:val="nil"/>
              <w:bottom w:val="nil"/>
              <w:right w:val="nil"/>
            </w:tcBorders>
            <w:shd w:val="clear" w:color="auto" w:fill="auto"/>
            <w:noWrap/>
            <w:vAlign w:val="center"/>
            <w:hideMark/>
          </w:tcPr>
          <w:p w14:paraId="4571F77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402FA9C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MK534274</w:t>
            </w:r>
          </w:p>
        </w:tc>
        <w:tc>
          <w:tcPr>
            <w:tcW w:w="2242" w:type="dxa"/>
            <w:tcBorders>
              <w:top w:val="nil"/>
              <w:left w:val="nil"/>
              <w:bottom w:val="nil"/>
              <w:right w:val="nil"/>
            </w:tcBorders>
            <w:shd w:val="clear" w:color="auto" w:fill="auto"/>
            <w:noWrap/>
            <w:vAlign w:val="bottom"/>
            <w:hideMark/>
          </w:tcPr>
          <w:p w14:paraId="7F9063B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1C6F0323" w14:textId="77777777" w:rsidTr="006B2888">
        <w:trPr>
          <w:trHeight w:val="320"/>
        </w:trPr>
        <w:tc>
          <w:tcPr>
            <w:tcW w:w="2355" w:type="dxa"/>
            <w:tcBorders>
              <w:top w:val="nil"/>
              <w:left w:val="nil"/>
              <w:bottom w:val="nil"/>
              <w:right w:val="nil"/>
            </w:tcBorders>
            <w:shd w:val="clear" w:color="auto" w:fill="auto"/>
            <w:noWrap/>
            <w:vAlign w:val="center"/>
            <w:hideMark/>
          </w:tcPr>
          <w:p w14:paraId="4245F39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09E2C1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RB1566</w:t>
            </w:r>
          </w:p>
        </w:tc>
        <w:tc>
          <w:tcPr>
            <w:tcW w:w="1300" w:type="dxa"/>
            <w:tcBorders>
              <w:top w:val="nil"/>
              <w:left w:val="nil"/>
              <w:bottom w:val="nil"/>
              <w:right w:val="nil"/>
            </w:tcBorders>
            <w:shd w:val="clear" w:color="auto" w:fill="auto"/>
            <w:noWrap/>
            <w:vAlign w:val="center"/>
            <w:hideMark/>
          </w:tcPr>
          <w:p w14:paraId="1F0D3D9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5A0103F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MK534275</w:t>
            </w:r>
          </w:p>
        </w:tc>
        <w:tc>
          <w:tcPr>
            <w:tcW w:w="2242" w:type="dxa"/>
            <w:tcBorders>
              <w:top w:val="nil"/>
              <w:left w:val="nil"/>
              <w:bottom w:val="nil"/>
              <w:right w:val="nil"/>
            </w:tcBorders>
            <w:shd w:val="clear" w:color="auto" w:fill="auto"/>
            <w:noWrap/>
            <w:vAlign w:val="bottom"/>
            <w:hideMark/>
          </w:tcPr>
          <w:p w14:paraId="74026F2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648BE764" w14:textId="77777777" w:rsidTr="006B2888">
        <w:trPr>
          <w:trHeight w:val="320"/>
        </w:trPr>
        <w:tc>
          <w:tcPr>
            <w:tcW w:w="2355" w:type="dxa"/>
            <w:tcBorders>
              <w:top w:val="nil"/>
              <w:left w:val="nil"/>
              <w:bottom w:val="nil"/>
              <w:right w:val="nil"/>
            </w:tcBorders>
            <w:shd w:val="clear" w:color="auto" w:fill="auto"/>
            <w:noWrap/>
            <w:vAlign w:val="center"/>
            <w:hideMark/>
          </w:tcPr>
          <w:p w14:paraId="69D812C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1555DE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RB1567</w:t>
            </w:r>
          </w:p>
        </w:tc>
        <w:tc>
          <w:tcPr>
            <w:tcW w:w="1300" w:type="dxa"/>
            <w:tcBorders>
              <w:top w:val="nil"/>
              <w:left w:val="nil"/>
              <w:bottom w:val="nil"/>
              <w:right w:val="nil"/>
            </w:tcBorders>
            <w:shd w:val="clear" w:color="auto" w:fill="auto"/>
            <w:noWrap/>
            <w:vAlign w:val="center"/>
            <w:hideMark/>
          </w:tcPr>
          <w:p w14:paraId="6300E35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341ECB8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MK534276</w:t>
            </w:r>
          </w:p>
        </w:tc>
        <w:tc>
          <w:tcPr>
            <w:tcW w:w="2242" w:type="dxa"/>
            <w:tcBorders>
              <w:top w:val="nil"/>
              <w:left w:val="nil"/>
              <w:bottom w:val="nil"/>
              <w:right w:val="nil"/>
            </w:tcBorders>
            <w:shd w:val="clear" w:color="auto" w:fill="auto"/>
            <w:noWrap/>
            <w:vAlign w:val="bottom"/>
            <w:hideMark/>
          </w:tcPr>
          <w:p w14:paraId="1C7235F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SAMN11038439</w:t>
            </w:r>
          </w:p>
        </w:tc>
      </w:tr>
      <w:tr w:rsidR="006B2888" w:rsidRPr="00AE525E" w14:paraId="2CAA630B" w14:textId="77777777" w:rsidTr="006B2888">
        <w:trPr>
          <w:trHeight w:val="320"/>
        </w:trPr>
        <w:tc>
          <w:tcPr>
            <w:tcW w:w="2355" w:type="dxa"/>
            <w:tcBorders>
              <w:top w:val="nil"/>
              <w:left w:val="nil"/>
              <w:bottom w:val="nil"/>
              <w:right w:val="nil"/>
            </w:tcBorders>
            <w:shd w:val="clear" w:color="auto" w:fill="auto"/>
            <w:noWrap/>
            <w:vAlign w:val="center"/>
            <w:hideMark/>
          </w:tcPr>
          <w:p w14:paraId="6638D1C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lastRenderedPageBreak/>
              <w:t>Lutjanus campechanus</w:t>
            </w:r>
          </w:p>
        </w:tc>
        <w:tc>
          <w:tcPr>
            <w:tcW w:w="1533" w:type="dxa"/>
            <w:tcBorders>
              <w:top w:val="nil"/>
              <w:left w:val="nil"/>
              <w:bottom w:val="nil"/>
              <w:right w:val="nil"/>
            </w:tcBorders>
            <w:shd w:val="clear" w:color="auto" w:fill="auto"/>
            <w:noWrap/>
            <w:vAlign w:val="center"/>
            <w:hideMark/>
          </w:tcPr>
          <w:p w14:paraId="2CD5839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RB1568</w:t>
            </w:r>
          </w:p>
        </w:tc>
        <w:tc>
          <w:tcPr>
            <w:tcW w:w="1300" w:type="dxa"/>
            <w:tcBorders>
              <w:top w:val="nil"/>
              <w:left w:val="nil"/>
              <w:bottom w:val="nil"/>
              <w:right w:val="nil"/>
            </w:tcBorders>
            <w:shd w:val="clear" w:color="auto" w:fill="auto"/>
            <w:noWrap/>
            <w:vAlign w:val="center"/>
            <w:hideMark/>
          </w:tcPr>
          <w:p w14:paraId="1625CA5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42D1267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MK534277</w:t>
            </w:r>
          </w:p>
        </w:tc>
        <w:tc>
          <w:tcPr>
            <w:tcW w:w="2242" w:type="dxa"/>
            <w:tcBorders>
              <w:top w:val="nil"/>
              <w:left w:val="nil"/>
              <w:bottom w:val="nil"/>
              <w:right w:val="nil"/>
            </w:tcBorders>
            <w:shd w:val="clear" w:color="auto" w:fill="auto"/>
            <w:noWrap/>
            <w:vAlign w:val="bottom"/>
            <w:hideMark/>
          </w:tcPr>
          <w:p w14:paraId="6CBD13B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69FC43FF" w14:textId="77777777" w:rsidTr="006B2888">
        <w:trPr>
          <w:trHeight w:val="320"/>
        </w:trPr>
        <w:tc>
          <w:tcPr>
            <w:tcW w:w="2355" w:type="dxa"/>
            <w:tcBorders>
              <w:top w:val="nil"/>
              <w:left w:val="nil"/>
              <w:bottom w:val="nil"/>
              <w:right w:val="nil"/>
            </w:tcBorders>
            <w:shd w:val="clear" w:color="auto" w:fill="auto"/>
            <w:noWrap/>
            <w:vAlign w:val="center"/>
            <w:hideMark/>
          </w:tcPr>
          <w:p w14:paraId="1FA677B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04C3FD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RB1569</w:t>
            </w:r>
          </w:p>
        </w:tc>
        <w:tc>
          <w:tcPr>
            <w:tcW w:w="1300" w:type="dxa"/>
            <w:tcBorders>
              <w:top w:val="nil"/>
              <w:left w:val="nil"/>
              <w:bottom w:val="nil"/>
              <w:right w:val="nil"/>
            </w:tcBorders>
            <w:shd w:val="clear" w:color="auto" w:fill="auto"/>
            <w:noWrap/>
            <w:vAlign w:val="center"/>
            <w:hideMark/>
          </w:tcPr>
          <w:p w14:paraId="183ACF9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233A803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MK534278</w:t>
            </w:r>
          </w:p>
        </w:tc>
        <w:tc>
          <w:tcPr>
            <w:tcW w:w="2242" w:type="dxa"/>
            <w:tcBorders>
              <w:top w:val="nil"/>
              <w:left w:val="nil"/>
              <w:bottom w:val="nil"/>
              <w:right w:val="nil"/>
            </w:tcBorders>
            <w:shd w:val="clear" w:color="auto" w:fill="auto"/>
            <w:noWrap/>
            <w:vAlign w:val="bottom"/>
            <w:hideMark/>
          </w:tcPr>
          <w:p w14:paraId="165585D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451D5216" w14:textId="77777777" w:rsidTr="006B2888">
        <w:trPr>
          <w:trHeight w:val="320"/>
        </w:trPr>
        <w:tc>
          <w:tcPr>
            <w:tcW w:w="2355" w:type="dxa"/>
            <w:tcBorders>
              <w:top w:val="nil"/>
              <w:left w:val="nil"/>
              <w:bottom w:val="nil"/>
              <w:right w:val="nil"/>
            </w:tcBorders>
            <w:shd w:val="clear" w:color="auto" w:fill="auto"/>
            <w:noWrap/>
            <w:vAlign w:val="center"/>
            <w:hideMark/>
          </w:tcPr>
          <w:p w14:paraId="0DC9850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700120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RB1570</w:t>
            </w:r>
          </w:p>
        </w:tc>
        <w:tc>
          <w:tcPr>
            <w:tcW w:w="1300" w:type="dxa"/>
            <w:tcBorders>
              <w:top w:val="nil"/>
              <w:left w:val="nil"/>
              <w:bottom w:val="nil"/>
              <w:right w:val="nil"/>
            </w:tcBorders>
            <w:shd w:val="clear" w:color="auto" w:fill="auto"/>
            <w:noWrap/>
            <w:vAlign w:val="center"/>
            <w:hideMark/>
          </w:tcPr>
          <w:p w14:paraId="28C0D69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08F500E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MK534279</w:t>
            </w:r>
          </w:p>
        </w:tc>
        <w:tc>
          <w:tcPr>
            <w:tcW w:w="2242" w:type="dxa"/>
            <w:tcBorders>
              <w:top w:val="nil"/>
              <w:left w:val="nil"/>
              <w:bottom w:val="nil"/>
              <w:right w:val="nil"/>
            </w:tcBorders>
            <w:shd w:val="clear" w:color="auto" w:fill="auto"/>
            <w:noWrap/>
            <w:vAlign w:val="bottom"/>
            <w:hideMark/>
          </w:tcPr>
          <w:p w14:paraId="3A2F56A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43E946E1" w14:textId="77777777" w:rsidTr="006B2888">
        <w:trPr>
          <w:trHeight w:val="320"/>
        </w:trPr>
        <w:tc>
          <w:tcPr>
            <w:tcW w:w="2355" w:type="dxa"/>
            <w:tcBorders>
              <w:top w:val="nil"/>
              <w:left w:val="nil"/>
              <w:bottom w:val="nil"/>
              <w:right w:val="nil"/>
            </w:tcBorders>
            <w:shd w:val="clear" w:color="auto" w:fill="auto"/>
            <w:noWrap/>
            <w:vAlign w:val="center"/>
            <w:hideMark/>
          </w:tcPr>
          <w:p w14:paraId="10E3000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F84741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RB1571</w:t>
            </w:r>
          </w:p>
        </w:tc>
        <w:tc>
          <w:tcPr>
            <w:tcW w:w="1300" w:type="dxa"/>
            <w:tcBorders>
              <w:top w:val="nil"/>
              <w:left w:val="nil"/>
              <w:bottom w:val="nil"/>
              <w:right w:val="nil"/>
            </w:tcBorders>
            <w:shd w:val="clear" w:color="auto" w:fill="auto"/>
            <w:noWrap/>
            <w:vAlign w:val="center"/>
            <w:hideMark/>
          </w:tcPr>
          <w:p w14:paraId="4767747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66ECFEA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MK534280</w:t>
            </w:r>
          </w:p>
        </w:tc>
        <w:tc>
          <w:tcPr>
            <w:tcW w:w="2242" w:type="dxa"/>
            <w:tcBorders>
              <w:top w:val="nil"/>
              <w:left w:val="nil"/>
              <w:bottom w:val="nil"/>
              <w:right w:val="nil"/>
            </w:tcBorders>
            <w:shd w:val="clear" w:color="auto" w:fill="auto"/>
            <w:noWrap/>
            <w:vAlign w:val="bottom"/>
            <w:hideMark/>
          </w:tcPr>
          <w:p w14:paraId="2CF1662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SAMN11038440</w:t>
            </w:r>
          </w:p>
        </w:tc>
      </w:tr>
      <w:tr w:rsidR="006B2888" w:rsidRPr="00AE525E" w14:paraId="2C807E78" w14:textId="77777777" w:rsidTr="006B2888">
        <w:trPr>
          <w:trHeight w:val="320"/>
        </w:trPr>
        <w:tc>
          <w:tcPr>
            <w:tcW w:w="2355" w:type="dxa"/>
            <w:tcBorders>
              <w:top w:val="nil"/>
              <w:left w:val="nil"/>
              <w:bottom w:val="nil"/>
              <w:right w:val="nil"/>
            </w:tcBorders>
            <w:shd w:val="clear" w:color="auto" w:fill="auto"/>
            <w:noWrap/>
            <w:vAlign w:val="center"/>
            <w:hideMark/>
          </w:tcPr>
          <w:p w14:paraId="6750F59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7EB53A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RB1572</w:t>
            </w:r>
          </w:p>
        </w:tc>
        <w:tc>
          <w:tcPr>
            <w:tcW w:w="1300" w:type="dxa"/>
            <w:tcBorders>
              <w:top w:val="nil"/>
              <w:left w:val="nil"/>
              <w:bottom w:val="nil"/>
              <w:right w:val="nil"/>
            </w:tcBorders>
            <w:shd w:val="clear" w:color="auto" w:fill="auto"/>
            <w:noWrap/>
            <w:vAlign w:val="center"/>
            <w:hideMark/>
          </w:tcPr>
          <w:p w14:paraId="09F4789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02C42E8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MK534281</w:t>
            </w:r>
          </w:p>
        </w:tc>
        <w:tc>
          <w:tcPr>
            <w:tcW w:w="2242" w:type="dxa"/>
            <w:tcBorders>
              <w:top w:val="nil"/>
              <w:left w:val="nil"/>
              <w:bottom w:val="nil"/>
              <w:right w:val="nil"/>
            </w:tcBorders>
            <w:shd w:val="clear" w:color="auto" w:fill="auto"/>
            <w:noWrap/>
            <w:vAlign w:val="bottom"/>
            <w:hideMark/>
          </w:tcPr>
          <w:p w14:paraId="3B399E7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219C3CD3" w14:textId="77777777" w:rsidTr="006B2888">
        <w:trPr>
          <w:trHeight w:val="320"/>
        </w:trPr>
        <w:tc>
          <w:tcPr>
            <w:tcW w:w="2355" w:type="dxa"/>
            <w:tcBorders>
              <w:top w:val="nil"/>
              <w:left w:val="nil"/>
              <w:bottom w:val="nil"/>
              <w:right w:val="nil"/>
            </w:tcBorders>
            <w:shd w:val="clear" w:color="auto" w:fill="auto"/>
            <w:noWrap/>
            <w:vAlign w:val="center"/>
            <w:hideMark/>
          </w:tcPr>
          <w:p w14:paraId="5880802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4C1721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RB1573</w:t>
            </w:r>
          </w:p>
        </w:tc>
        <w:tc>
          <w:tcPr>
            <w:tcW w:w="1300" w:type="dxa"/>
            <w:tcBorders>
              <w:top w:val="nil"/>
              <w:left w:val="nil"/>
              <w:bottom w:val="nil"/>
              <w:right w:val="nil"/>
            </w:tcBorders>
            <w:shd w:val="clear" w:color="auto" w:fill="auto"/>
            <w:noWrap/>
            <w:vAlign w:val="center"/>
            <w:hideMark/>
          </w:tcPr>
          <w:p w14:paraId="1C41F9D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2A19F2F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MK534282</w:t>
            </w:r>
          </w:p>
        </w:tc>
        <w:tc>
          <w:tcPr>
            <w:tcW w:w="2242" w:type="dxa"/>
            <w:tcBorders>
              <w:top w:val="nil"/>
              <w:left w:val="nil"/>
              <w:bottom w:val="nil"/>
              <w:right w:val="nil"/>
            </w:tcBorders>
            <w:shd w:val="clear" w:color="auto" w:fill="auto"/>
            <w:noWrap/>
            <w:vAlign w:val="bottom"/>
            <w:hideMark/>
          </w:tcPr>
          <w:p w14:paraId="408AA30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4C7AD436" w14:textId="77777777" w:rsidTr="006B2888">
        <w:trPr>
          <w:trHeight w:val="320"/>
        </w:trPr>
        <w:tc>
          <w:tcPr>
            <w:tcW w:w="2355" w:type="dxa"/>
            <w:tcBorders>
              <w:top w:val="nil"/>
              <w:left w:val="nil"/>
              <w:bottom w:val="nil"/>
              <w:right w:val="nil"/>
            </w:tcBorders>
            <w:shd w:val="clear" w:color="auto" w:fill="auto"/>
            <w:noWrap/>
            <w:vAlign w:val="center"/>
            <w:hideMark/>
          </w:tcPr>
          <w:p w14:paraId="01D62DD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0AA4E8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RB1574</w:t>
            </w:r>
          </w:p>
        </w:tc>
        <w:tc>
          <w:tcPr>
            <w:tcW w:w="1300" w:type="dxa"/>
            <w:tcBorders>
              <w:top w:val="nil"/>
              <w:left w:val="nil"/>
              <w:bottom w:val="nil"/>
              <w:right w:val="nil"/>
            </w:tcBorders>
            <w:shd w:val="clear" w:color="auto" w:fill="auto"/>
            <w:noWrap/>
            <w:vAlign w:val="center"/>
            <w:hideMark/>
          </w:tcPr>
          <w:p w14:paraId="70926ED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3CB27BD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MK534283</w:t>
            </w:r>
          </w:p>
        </w:tc>
        <w:tc>
          <w:tcPr>
            <w:tcW w:w="2242" w:type="dxa"/>
            <w:tcBorders>
              <w:top w:val="nil"/>
              <w:left w:val="nil"/>
              <w:bottom w:val="nil"/>
              <w:right w:val="nil"/>
            </w:tcBorders>
            <w:shd w:val="clear" w:color="auto" w:fill="auto"/>
            <w:noWrap/>
            <w:vAlign w:val="bottom"/>
            <w:hideMark/>
          </w:tcPr>
          <w:p w14:paraId="2645528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7D38707E" w14:textId="77777777" w:rsidTr="006B2888">
        <w:trPr>
          <w:trHeight w:val="320"/>
        </w:trPr>
        <w:tc>
          <w:tcPr>
            <w:tcW w:w="2355" w:type="dxa"/>
            <w:tcBorders>
              <w:top w:val="nil"/>
              <w:left w:val="nil"/>
              <w:bottom w:val="nil"/>
              <w:right w:val="nil"/>
            </w:tcBorders>
            <w:shd w:val="clear" w:color="auto" w:fill="auto"/>
            <w:noWrap/>
            <w:vAlign w:val="center"/>
            <w:hideMark/>
          </w:tcPr>
          <w:p w14:paraId="1F2C020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657457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RB1575</w:t>
            </w:r>
          </w:p>
        </w:tc>
        <w:tc>
          <w:tcPr>
            <w:tcW w:w="1300" w:type="dxa"/>
            <w:tcBorders>
              <w:top w:val="nil"/>
              <w:left w:val="nil"/>
              <w:bottom w:val="nil"/>
              <w:right w:val="nil"/>
            </w:tcBorders>
            <w:shd w:val="clear" w:color="auto" w:fill="auto"/>
            <w:noWrap/>
            <w:vAlign w:val="center"/>
            <w:hideMark/>
          </w:tcPr>
          <w:p w14:paraId="0D10245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3F50110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MK534284</w:t>
            </w:r>
          </w:p>
        </w:tc>
        <w:tc>
          <w:tcPr>
            <w:tcW w:w="2242" w:type="dxa"/>
            <w:tcBorders>
              <w:top w:val="nil"/>
              <w:left w:val="nil"/>
              <w:bottom w:val="nil"/>
              <w:right w:val="nil"/>
            </w:tcBorders>
            <w:shd w:val="clear" w:color="auto" w:fill="auto"/>
            <w:noWrap/>
            <w:vAlign w:val="bottom"/>
            <w:hideMark/>
          </w:tcPr>
          <w:p w14:paraId="7DA9FC1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2A2759D7" w14:textId="77777777" w:rsidTr="006B2888">
        <w:trPr>
          <w:trHeight w:val="320"/>
        </w:trPr>
        <w:tc>
          <w:tcPr>
            <w:tcW w:w="2355" w:type="dxa"/>
            <w:tcBorders>
              <w:top w:val="nil"/>
              <w:left w:val="nil"/>
              <w:bottom w:val="nil"/>
              <w:right w:val="nil"/>
            </w:tcBorders>
            <w:shd w:val="clear" w:color="auto" w:fill="auto"/>
            <w:noWrap/>
            <w:vAlign w:val="center"/>
            <w:hideMark/>
          </w:tcPr>
          <w:p w14:paraId="79407AE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9B79D6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RB1576</w:t>
            </w:r>
          </w:p>
        </w:tc>
        <w:tc>
          <w:tcPr>
            <w:tcW w:w="1300" w:type="dxa"/>
            <w:tcBorders>
              <w:top w:val="nil"/>
              <w:left w:val="nil"/>
              <w:bottom w:val="nil"/>
              <w:right w:val="nil"/>
            </w:tcBorders>
            <w:shd w:val="clear" w:color="auto" w:fill="auto"/>
            <w:noWrap/>
            <w:vAlign w:val="center"/>
            <w:hideMark/>
          </w:tcPr>
          <w:p w14:paraId="541E35C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260230C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MK534285</w:t>
            </w:r>
          </w:p>
        </w:tc>
        <w:tc>
          <w:tcPr>
            <w:tcW w:w="2242" w:type="dxa"/>
            <w:tcBorders>
              <w:top w:val="nil"/>
              <w:left w:val="nil"/>
              <w:bottom w:val="nil"/>
              <w:right w:val="nil"/>
            </w:tcBorders>
            <w:shd w:val="clear" w:color="auto" w:fill="auto"/>
            <w:noWrap/>
            <w:vAlign w:val="bottom"/>
            <w:hideMark/>
          </w:tcPr>
          <w:p w14:paraId="3D16AE3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73D62A3E" w14:textId="77777777" w:rsidTr="006B2888">
        <w:trPr>
          <w:trHeight w:val="320"/>
        </w:trPr>
        <w:tc>
          <w:tcPr>
            <w:tcW w:w="2355" w:type="dxa"/>
            <w:tcBorders>
              <w:top w:val="nil"/>
              <w:left w:val="nil"/>
              <w:bottom w:val="nil"/>
              <w:right w:val="nil"/>
            </w:tcBorders>
            <w:shd w:val="clear" w:color="auto" w:fill="auto"/>
            <w:noWrap/>
            <w:vAlign w:val="center"/>
            <w:hideMark/>
          </w:tcPr>
          <w:p w14:paraId="42AE545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4E743A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RB1577</w:t>
            </w:r>
          </w:p>
        </w:tc>
        <w:tc>
          <w:tcPr>
            <w:tcW w:w="1300" w:type="dxa"/>
            <w:tcBorders>
              <w:top w:val="nil"/>
              <w:left w:val="nil"/>
              <w:bottom w:val="nil"/>
              <w:right w:val="nil"/>
            </w:tcBorders>
            <w:shd w:val="clear" w:color="auto" w:fill="auto"/>
            <w:noWrap/>
            <w:vAlign w:val="center"/>
            <w:hideMark/>
          </w:tcPr>
          <w:p w14:paraId="271B760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638A9C0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MK534286</w:t>
            </w:r>
          </w:p>
        </w:tc>
        <w:tc>
          <w:tcPr>
            <w:tcW w:w="2242" w:type="dxa"/>
            <w:tcBorders>
              <w:top w:val="nil"/>
              <w:left w:val="nil"/>
              <w:bottom w:val="nil"/>
              <w:right w:val="nil"/>
            </w:tcBorders>
            <w:shd w:val="clear" w:color="auto" w:fill="auto"/>
            <w:noWrap/>
            <w:vAlign w:val="bottom"/>
            <w:hideMark/>
          </w:tcPr>
          <w:p w14:paraId="579114C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41710238" w14:textId="77777777" w:rsidTr="006B2888">
        <w:trPr>
          <w:trHeight w:val="320"/>
        </w:trPr>
        <w:tc>
          <w:tcPr>
            <w:tcW w:w="2355" w:type="dxa"/>
            <w:tcBorders>
              <w:top w:val="nil"/>
              <w:left w:val="nil"/>
              <w:bottom w:val="nil"/>
              <w:right w:val="nil"/>
            </w:tcBorders>
            <w:shd w:val="clear" w:color="auto" w:fill="auto"/>
            <w:noWrap/>
            <w:vAlign w:val="center"/>
            <w:hideMark/>
          </w:tcPr>
          <w:p w14:paraId="7A1F8F9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7D3C86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RB1578</w:t>
            </w:r>
          </w:p>
        </w:tc>
        <w:tc>
          <w:tcPr>
            <w:tcW w:w="1300" w:type="dxa"/>
            <w:tcBorders>
              <w:top w:val="nil"/>
              <w:left w:val="nil"/>
              <w:bottom w:val="nil"/>
              <w:right w:val="nil"/>
            </w:tcBorders>
            <w:shd w:val="clear" w:color="auto" w:fill="auto"/>
            <w:noWrap/>
            <w:vAlign w:val="center"/>
            <w:hideMark/>
          </w:tcPr>
          <w:p w14:paraId="02BBF4B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7FA77CB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MK534287</w:t>
            </w:r>
          </w:p>
        </w:tc>
        <w:tc>
          <w:tcPr>
            <w:tcW w:w="2242" w:type="dxa"/>
            <w:tcBorders>
              <w:top w:val="nil"/>
              <w:left w:val="nil"/>
              <w:bottom w:val="nil"/>
              <w:right w:val="nil"/>
            </w:tcBorders>
            <w:shd w:val="clear" w:color="auto" w:fill="auto"/>
            <w:noWrap/>
            <w:vAlign w:val="bottom"/>
            <w:hideMark/>
          </w:tcPr>
          <w:p w14:paraId="5767BAA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27D97F31" w14:textId="77777777" w:rsidTr="006B2888">
        <w:trPr>
          <w:trHeight w:val="320"/>
        </w:trPr>
        <w:tc>
          <w:tcPr>
            <w:tcW w:w="2355" w:type="dxa"/>
            <w:tcBorders>
              <w:top w:val="nil"/>
              <w:left w:val="nil"/>
              <w:bottom w:val="nil"/>
              <w:right w:val="nil"/>
            </w:tcBorders>
            <w:shd w:val="clear" w:color="auto" w:fill="auto"/>
            <w:noWrap/>
            <w:vAlign w:val="center"/>
            <w:hideMark/>
          </w:tcPr>
          <w:p w14:paraId="276EFEDA"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833C93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RB1579</w:t>
            </w:r>
          </w:p>
        </w:tc>
        <w:tc>
          <w:tcPr>
            <w:tcW w:w="1300" w:type="dxa"/>
            <w:tcBorders>
              <w:top w:val="nil"/>
              <w:left w:val="nil"/>
              <w:bottom w:val="nil"/>
              <w:right w:val="nil"/>
            </w:tcBorders>
            <w:shd w:val="clear" w:color="auto" w:fill="auto"/>
            <w:noWrap/>
            <w:vAlign w:val="center"/>
            <w:hideMark/>
          </w:tcPr>
          <w:p w14:paraId="25BBED0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3581AE9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MK534288</w:t>
            </w:r>
          </w:p>
        </w:tc>
        <w:tc>
          <w:tcPr>
            <w:tcW w:w="2242" w:type="dxa"/>
            <w:tcBorders>
              <w:top w:val="nil"/>
              <w:left w:val="nil"/>
              <w:bottom w:val="nil"/>
              <w:right w:val="nil"/>
            </w:tcBorders>
            <w:shd w:val="clear" w:color="auto" w:fill="auto"/>
            <w:noWrap/>
            <w:vAlign w:val="bottom"/>
            <w:hideMark/>
          </w:tcPr>
          <w:p w14:paraId="4B12B5E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1322C462" w14:textId="77777777" w:rsidTr="006B2888">
        <w:trPr>
          <w:trHeight w:val="320"/>
        </w:trPr>
        <w:tc>
          <w:tcPr>
            <w:tcW w:w="2355" w:type="dxa"/>
            <w:tcBorders>
              <w:top w:val="nil"/>
              <w:left w:val="nil"/>
              <w:bottom w:val="nil"/>
              <w:right w:val="nil"/>
            </w:tcBorders>
            <w:shd w:val="clear" w:color="auto" w:fill="auto"/>
            <w:noWrap/>
            <w:vAlign w:val="center"/>
            <w:hideMark/>
          </w:tcPr>
          <w:p w14:paraId="5DF1429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B94286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RB1580</w:t>
            </w:r>
          </w:p>
        </w:tc>
        <w:tc>
          <w:tcPr>
            <w:tcW w:w="1300" w:type="dxa"/>
            <w:tcBorders>
              <w:top w:val="nil"/>
              <w:left w:val="nil"/>
              <w:bottom w:val="nil"/>
              <w:right w:val="nil"/>
            </w:tcBorders>
            <w:shd w:val="clear" w:color="auto" w:fill="auto"/>
            <w:noWrap/>
            <w:vAlign w:val="center"/>
            <w:hideMark/>
          </w:tcPr>
          <w:p w14:paraId="4DDF65F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0E5881F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MK534289</w:t>
            </w:r>
          </w:p>
        </w:tc>
        <w:tc>
          <w:tcPr>
            <w:tcW w:w="2242" w:type="dxa"/>
            <w:tcBorders>
              <w:top w:val="nil"/>
              <w:left w:val="nil"/>
              <w:bottom w:val="nil"/>
              <w:right w:val="nil"/>
            </w:tcBorders>
            <w:shd w:val="clear" w:color="auto" w:fill="auto"/>
            <w:noWrap/>
            <w:vAlign w:val="bottom"/>
            <w:hideMark/>
          </w:tcPr>
          <w:p w14:paraId="747DA4A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6378DA63" w14:textId="77777777" w:rsidTr="006B2888">
        <w:trPr>
          <w:trHeight w:val="320"/>
        </w:trPr>
        <w:tc>
          <w:tcPr>
            <w:tcW w:w="2355" w:type="dxa"/>
            <w:tcBorders>
              <w:top w:val="nil"/>
              <w:left w:val="nil"/>
              <w:bottom w:val="nil"/>
              <w:right w:val="nil"/>
            </w:tcBorders>
            <w:shd w:val="clear" w:color="auto" w:fill="auto"/>
            <w:noWrap/>
            <w:vAlign w:val="center"/>
            <w:hideMark/>
          </w:tcPr>
          <w:p w14:paraId="37D4A71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41BD04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RB1581</w:t>
            </w:r>
          </w:p>
        </w:tc>
        <w:tc>
          <w:tcPr>
            <w:tcW w:w="1300" w:type="dxa"/>
            <w:tcBorders>
              <w:top w:val="nil"/>
              <w:left w:val="nil"/>
              <w:bottom w:val="nil"/>
              <w:right w:val="nil"/>
            </w:tcBorders>
            <w:shd w:val="clear" w:color="auto" w:fill="auto"/>
            <w:noWrap/>
            <w:vAlign w:val="center"/>
            <w:hideMark/>
          </w:tcPr>
          <w:p w14:paraId="6A11742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3AA2DA7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MK534290</w:t>
            </w:r>
          </w:p>
        </w:tc>
        <w:tc>
          <w:tcPr>
            <w:tcW w:w="2242" w:type="dxa"/>
            <w:tcBorders>
              <w:top w:val="nil"/>
              <w:left w:val="nil"/>
              <w:bottom w:val="nil"/>
              <w:right w:val="nil"/>
            </w:tcBorders>
            <w:shd w:val="clear" w:color="auto" w:fill="auto"/>
            <w:noWrap/>
            <w:vAlign w:val="bottom"/>
            <w:hideMark/>
          </w:tcPr>
          <w:p w14:paraId="14A39AD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4C765BF0" w14:textId="77777777" w:rsidTr="006B2888">
        <w:trPr>
          <w:trHeight w:val="320"/>
        </w:trPr>
        <w:tc>
          <w:tcPr>
            <w:tcW w:w="2355" w:type="dxa"/>
            <w:tcBorders>
              <w:top w:val="nil"/>
              <w:left w:val="nil"/>
              <w:bottom w:val="nil"/>
              <w:right w:val="nil"/>
            </w:tcBorders>
            <w:shd w:val="clear" w:color="auto" w:fill="auto"/>
            <w:noWrap/>
            <w:vAlign w:val="center"/>
            <w:hideMark/>
          </w:tcPr>
          <w:p w14:paraId="2E5EFA7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CBB22F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RB1582</w:t>
            </w:r>
          </w:p>
        </w:tc>
        <w:tc>
          <w:tcPr>
            <w:tcW w:w="1300" w:type="dxa"/>
            <w:tcBorders>
              <w:top w:val="nil"/>
              <w:left w:val="nil"/>
              <w:bottom w:val="nil"/>
              <w:right w:val="nil"/>
            </w:tcBorders>
            <w:shd w:val="clear" w:color="auto" w:fill="auto"/>
            <w:noWrap/>
            <w:vAlign w:val="center"/>
            <w:hideMark/>
          </w:tcPr>
          <w:p w14:paraId="023903A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604DA75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MK534291</w:t>
            </w:r>
          </w:p>
        </w:tc>
        <w:tc>
          <w:tcPr>
            <w:tcW w:w="2242" w:type="dxa"/>
            <w:tcBorders>
              <w:top w:val="nil"/>
              <w:left w:val="nil"/>
              <w:bottom w:val="nil"/>
              <w:right w:val="nil"/>
            </w:tcBorders>
            <w:shd w:val="clear" w:color="auto" w:fill="auto"/>
            <w:noWrap/>
            <w:vAlign w:val="bottom"/>
            <w:hideMark/>
          </w:tcPr>
          <w:p w14:paraId="1E19524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57B510EC" w14:textId="77777777" w:rsidTr="006B2888">
        <w:trPr>
          <w:trHeight w:val="320"/>
        </w:trPr>
        <w:tc>
          <w:tcPr>
            <w:tcW w:w="2355" w:type="dxa"/>
            <w:tcBorders>
              <w:top w:val="nil"/>
              <w:left w:val="nil"/>
              <w:bottom w:val="nil"/>
              <w:right w:val="nil"/>
            </w:tcBorders>
            <w:shd w:val="clear" w:color="auto" w:fill="auto"/>
            <w:noWrap/>
            <w:vAlign w:val="center"/>
            <w:hideMark/>
          </w:tcPr>
          <w:p w14:paraId="73B1E07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9FD7D7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RB1583</w:t>
            </w:r>
          </w:p>
        </w:tc>
        <w:tc>
          <w:tcPr>
            <w:tcW w:w="1300" w:type="dxa"/>
            <w:tcBorders>
              <w:top w:val="nil"/>
              <w:left w:val="nil"/>
              <w:bottom w:val="nil"/>
              <w:right w:val="nil"/>
            </w:tcBorders>
            <w:shd w:val="clear" w:color="auto" w:fill="auto"/>
            <w:noWrap/>
            <w:vAlign w:val="center"/>
            <w:hideMark/>
          </w:tcPr>
          <w:p w14:paraId="5CC218B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1D3AF4F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MK534292</w:t>
            </w:r>
          </w:p>
        </w:tc>
        <w:tc>
          <w:tcPr>
            <w:tcW w:w="2242" w:type="dxa"/>
            <w:tcBorders>
              <w:top w:val="nil"/>
              <w:left w:val="nil"/>
              <w:bottom w:val="nil"/>
              <w:right w:val="nil"/>
            </w:tcBorders>
            <w:shd w:val="clear" w:color="auto" w:fill="auto"/>
            <w:noWrap/>
            <w:vAlign w:val="bottom"/>
            <w:hideMark/>
          </w:tcPr>
          <w:p w14:paraId="79D411A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09DFB145" w14:textId="77777777" w:rsidTr="006B2888">
        <w:trPr>
          <w:trHeight w:val="320"/>
        </w:trPr>
        <w:tc>
          <w:tcPr>
            <w:tcW w:w="2355" w:type="dxa"/>
            <w:tcBorders>
              <w:top w:val="nil"/>
              <w:left w:val="nil"/>
              <w:bottom w:val="nil"/>
              <w:right w:val="nil"/>
            </w:tcBorders>
            <w:shd w:val="clear" w:color="auto" w:fill="auto"/>
            <w:noWrap/>
            <w:vAlign w:val="center"/>
            <w:hideMark/>
          </w:tcPr>
          <w:p w14:paraId="585719D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087C48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RB1584</w:t>
            </w:r>
          </w:p>
        </w:tc>
        <w:tc>
          <w:tcPr>
            <w:tcW w:w="1300" w:type="dxa"/>
            <w:tcBorders>
              <w:top w:val="nil"/>
              <w:left w:val="nil"/>
              <w:bottom w:val="nil"/>
              <w:right w:val="nil"/>
            </w:tcBorders>
            <w:shd w:val="clear" w:color="auto" w:fill="auto"/>
            <w:noWrap/>
            <w:vAlign w:val="center"/>
            <w:hideMark/>
          </w:tcPr>
          <w:p w14:paraId="138AF39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54B0AAF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MK534293</w:t>
            </w:r>
          </w:p>
        </w:tc>
        <w:tc>
          <w:tcPr>
            <w:tcW w:w="2242" w:type="dxa"/>
            <w:tcBorders>
              <w:top w:val="nil"/>
              <w:left w:val="nil"/>
              <w:bottom w:val="nil"/>
              <w:right w:val="nil"/>
            </w:tcBorders>
            <w:shd w:val="clear" w:color="auto" w:fill="auto"/>
            <w:noWrap/>
            <w:vAlign w:val="bottom"/>
            <w:hideMark/>
          </w:tcPr>
          <w:p w14:paraId="189AE8B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228A2603" w14:textId="77777777" w:rsidTr="006B2888">
        <w:trPr>
          <w:trHeight w:val="320"/>
        </w:trPr>
        <w:tc>
          <w:tcPr>
            <w:tcW w:w="2355" w:type="dxa"/>
            <w:tcBorders>
              <w:top w:val="nil"/>
              <w:left w:val="nil"/>
              <w:bottom w:val="nil"/>
              <w:right w:val="nil"/>
            </w:tcBorders>
            <w:shd w:val="clear" w:color="auto" w:fill="auto"/>
            <w:noWrap/>
            <w:vAlign w:val="center"/>
            <w:hideMark/>
          </w:tcPr>
          <w:p w14:paraId="65A05B4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3DAFAB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RB1585</w:t>
            </w:r>
          </w:p>
        </w:tc>
        <w:tc>
          <w:tcPr>
            <w:tcW w:w="1300" w:type="dxa"/>
            <w:tcBorders>
              <w:top w:val="nil"/>
              <w:left w:val="nil"/>
              <w:bottom w:val="nil"/>
              <w:right w:val="nil"/>
            </w:tcBorders>
            <w:shd w:val="clear" w:color="auto" w:fill="auto"/>
            <w:noWrap/>
            <w:vAlign w:val="center"/>
            <w:hideMark/>
          </w:tcPr>
          <w:p w14:paraId="12D0968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672C337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MK534294</w:t>
            </w:r>
          </w:p>
        </w:tc>
        <w:tc>
          <w:tcPr>
            <w:tcW w:w="2242" w:type="dxa"/>
            <w:tcBorders>
              <w:top w:val="nil"/>
              <w:left w:val="nil"/>
              <w:bottom w:val="nil"/>
              <w:right w:val="nil"/>
            </w:tcBorders>
            <w:shd w:val="clear" w:color="auto" w:fill="auto"/>
            <w:noWrap/>
            <w:vAlign w:val="bottom"/>
            <w:hideMark/>
          </w:tcPr>
          <w:p w14:paraId="25BEC4A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749A7D4D" w14:textId="77777777" w:rsidTr="006B2888">
        <w:trPr>
          <w:trHeight w:val="320"/>
        </w:trPr>
        <w:tc>
          <w:tcPr>
            <w:tcW w:w="2355" w:type="dxa"/>
            <w:tcBorders>
              <w:top w:val="nil"/>
              <w:left w:val="nil"/>
              <w:bottom w:val="nil"/>
              <w:right w:val="nil"/>
            </w:tcBorders>
            <w:shd w:val="clear" w:color="auto" w:fill="auto"/>
            <w:noWrap/>
            <w:vAlign w:val="center"/>
            <w:hideMark/>
          </w:tcPr>
          <w:p w14:paraId="28E10C8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CAB06F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RB1586</w:t>
            </w:r>
          </w:p>
        </w:tc>
        <w:tc>
          <w:tcPr>
            <w:tcW w:w="1300" w:type="dxa"/>
            <w:tcBorders>
              <w:top w:val="nil"/>
              <w:left w:val="nil"/>
              <w:bottom w:val="nil"/>
              <w:right w:val="nil"/>
            </w:tcBorders>
            <w:shd w:val="clear" w:color="auto" w:fill="auto"/>
            <w:noWrap/>
            <w:vAlign w:val="center"/>
            <w:hideMark/>
          </w:tcPr>
          <w:p w14:paraId="2836FCB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608A8B5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MK534295</w:t>
            </w:r>
          </w:p>
        </w:tc>
        <w:tc>
          <w:tcPr>
            <w:tcW w:w="2242" w:type="dxa"/>
            <w:tcBorders>
              <w:top w:val="nil"/>
              <w:left w:val="nil"/>
              <w:bottom w:val="nil"/>
              <w:right w:val="nil"/>
            </w:tcBorders>
            <w:shd w:val="clear" w:color="auto" w:fill="auto"/>
            <w:noWrap/>
            <w:vAlign w:val="bottom"/>
            <w:hideMark/>
          </w:tcPr>
          <w:p w14:paraId="3E0F862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79473C12" w14:textId="77777777" w:rsidTr="006B2888">
        <w:trPr>
          <w:trHeight w:val="320"/>
        </w:trPr>
        <w:tc>
          <w:tcPr>
            <w:tcW w:w="2355" w:type="dxa"/>
            <w:tcBorders>
              <w:top w:val="nil"/>
              <w:left w:val="nil"/>
              <w:bottom w:val="nil"/>
              <w:right w:val="nil"/>
            </w:tcBorders>
            <w:shd w:val="clear" w:color="auto" w:fill="auto"/>
            <w:noWrap/>
            <w:vAlign w:val="center"/>
            <w:hideMark/>
          </w:tcPr>
          <w:p w14:paraId="65C5EBD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4F523C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RB1587</w:t>
            </w:r>
          </w:p>
        </w:tc>
        <w:tc>
          <w:tcPr>
            <w:tcW w:w="1300" w:type="dxa"/>
            <w:tcBorders>
              <w:top w:val="nil"/>
              <w:left w:val="nil"/>
              <w:bottom w:val="nil"/>
              <w:right w:val="nil"/>
            </w:tcBorders>
            <w:shd w:val="clear" w:color="auto" w:fill="auto"/>
            <w:noWrap/>
            <w:vAlign w:val="center"/>
            <w:hideMark/>
          </w:tcPr>
          <w:p w14:paraId="7B6A0AC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2E2CD98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MK534297</w:t>
            </w:r>
          </w:p>
        </w:tc>
        <w:tc>
          <w:tcPr>
            <w:tcW w:w="2242" w:type="dxa"/>
            <w:tcBorders>
              <w:top w:val="nil"/>
              <w:left w:val="nil"/>
              <w:bottom w:val="nil"/>
              <w:right w:val="nil"/>
            </w:tcBorders>
            <w:shd w:val="clear" w:color="auto" w:fill="auto"/>
            <w:noWrap/>
            <w:vAlign w:val="bottom"/>
            <w:hideMark/>
          </w:tcPr>
          <w:p w14:paraId="09A0CF8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764F9BEE" w14:textId="77777777" w:rsidTr="006B2888">
        <w:trPr>
          <w:trHeight w:val="320"/>
        </w:trPr>
        <w:tc>
          <w:tcPr>
            <w:tcW w:w="2355" w:type="dxa"/>
            <w:tcBorders>
              <w:top w:val="nil"/>
              <w:left w:val="nil"/>
              <w:bottom w:val="nil"/>
              <w:right w:val="nil"/>
            </w:tcBorders>
            <w:shd w:val="clear" w:color="auto" w:fill="auto"/>
            <w:noWrap/>
            <w:vAlign w:val="center"/>
            <w:hideMark/>
          </w:tcPr>
          <w:p w14:paraId="3CD8754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718E11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RB1588</w:t>
            </w:r>
          </w:p>
        </w:tc>
        <w:tc>
          <w:tcPr>
            <w:tcW w:w="1300" w:type="dxa"/>
            <w:tcBorders>
              <w:top w:val="nil"/>
              <w:left w:val="nil"/>
              <w:bottom w:val="nil"/>
              <w:right w:val="nil"/>
            </w:tcBorders>
            <w:shd w:val="clear" w:color="auto" w:fill="auto"/>
            <w:noWrap/>
            <w:vAlign w:val="center"/>
            <w:hideMark/>
          </w:tcPr>
          <w:p w14:paraId="707F17B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56BD15A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MK534296</w:t>
            </w:r>
          </w:p>
        </w:tc>
        <w:tc>
          <w:tcPr>
            <w:tcW w:w="2242" w:type="dxa"/>
            <w:tcBorders>
              <w:top w:val="nil"/>
              <w:left w:val="nil"/>
              <w:bottom w:val="nil"/>
              <w:right w:val="nil"/>
            </w:tcBorders>
            <w:shd w:val="clear" w:color="auto" w:fill="auto"/>
            <w:noWrap/>
            <w:vAlign w:val="bottom"/>
            <w:hideMark/>
          </w:tcPr>
          <w:p w14:paraId="2EF4899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6DEB8258" w14:textId="77777777" w:rsidTr="006B2888">
        <w:trPr>
          <w:trHeight w:val="320"/>
        </w:trPr>
        <w:tc>
          <w:tcPr>
            <w:tcW w:w="2355" w:type="dxa"/>
            <w:tcBorders>
              <w:top w:val="nil"/>
              <w:left w:val="nil"/>
              <w:bottom w:val="nil"/>
              <w:right w:val="nil"/>
            </w:tcBorders>
            <w:shd w:val="clear" w:color="auto" w:fill="auto"/>
            <w:noWrap/>
            <w:vAlign w:val="center"/>
            <w:hideMark/>
          </w:tcPr>
          <w:p w14:paraId="671DE22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079291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RB1589</w:t>
            </w:r>
          </w:p>
        </w:tc>
        <w:tc>
          <w:tcPr>
            <w:tcW w:w="1300" w:type="dxa"/>
            <w:tcBorders>
              <w:top w:val="nil"/>
              <w:left w:val="nil"/>
              <w:bottom w:val="nil"/>
              <w:right w:val="nil"/>
            </w:tcBorders>
            <w:shd w:val="clear" w:color="auto" w:fill="auto"/>
            <w:noWrap/>
            <w:vAlign w:val="center"/>
            <w:hideMark/>
          </w:tcPr>
          <w:p w14:paraId="432B138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6699F62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MK534298</w:t>
            </w:r>
          </w:p>
        </w:tc>
        <w:tc>
          <w:tcPr>
            <w:tcW w:w="2242" w:type="dxa"/>
            <w:tcBorders>
              <w:top w:val="nil"/>
              <w:left w:val="nil"/>
              <w:bottom w:val="nil"/>
              <w:right w:val="nil"/>
            </w:tcBorders>
            <w:shd w:val="clear" w:color="auto" w:fill="auto"/>
            <w:noWrap/>
            <w:vAlign w:val="bottom"/>
            <w:hideMark/>
          </w:tcPr>
          <w:p w14:paraId="3B84BA4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3C634F53" w14:textId="77777777" w:rsidTr="006B2888">
        <w:trPr>
          <w:trHeight w:val="320"/>
        </w:trPr>
        <w:tc>
          <w:tcPr>
            <w:tcW w:w="2355" w:type="dxa"/>
            <w:tcBorders>
              <w:top w:val="nil"/>
              <w:left w:val="nil"/>
              <w:bottom w:val="nil"/>
              <w:right w:val="nil"/>
            </w:tcBorders>
            <w:shd w:val="clear" w:color="auto" w:fill="auto"/>
            <w:noWrap/>
            <w:vAlign w:val="center"/>
            <w:hideMark/>
          </w:tcPr>
          <w:p w14:paraId="7EF4658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0E7B3C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RB1590</w:t>
            </w:r>
          </w:p>
        </w:tc>
        <w:tc>
          <w:tcPr>
            <w:tcW w:w="1300" w:type="dxa"/>
            <w:tcBorders>
              <w:top w:val="nil"/>
              <w:left w:val="nil"/>
              <w:bottom w:val="nil"/>
              <w:right w:val="nil"/>
            </w:tcBorders>
            <w:shd w:val="clear" w:color="auto" w:fill="auto"/>
            <w:noWrap/>
            <w:vAlign w:val="center"/>
            <w:hideMark/>
          </w:tcPr>
          <w:p w14:paraId="53E7A02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77F78BA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MK534299</w:t>
            </w:r>
          </w:p>
        </w:tc>
        <w:tc>
          <w:tcPr>
            <w:tcW w:w="2242" w:type="dxa"/>
            <w:tcBorders>
              <w:top w:val="nil"/>
              <w:left w:val="nil"/>
              <w:bottom w:val="nil"/>
              <w:right w:val="nil"/>
            </w:tcBorders>
            <w:shd w:val="clear" w:color="auto" w:fill="auto"/>
            <w:noWrap/>
            <w:vAlign w:val="bottom"/>
            <w:hideMark/>
          </w:tcPr>
          <w:p w14:paraId="6EB54D4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02CF4B21" w14:textId="77777777" w:rsidTr="006B2888">
        <w:trPr>
          <w:trHeight w:val="320"/>
        </w:trPr>
        <w:tc>
          <w:tcPr>
            <w:tcW w:w="2355" w:type="dxa"/>
            <w:tcBorders>
              <w:top w:val="nil"/>
              <w:left w:val="nil"/>
              <w:bottom w:val="nil"/>
              <w:right w:val="nil"/>
            </w:tcBorders>
            <w:shd w:val="clear" w:color="auto" w:fill="auto"/>
            <w:noWrap/>
            <w:vAlign w:val="center"/>
            <w:hideMark/>
          </w:tcPr>
          <w:p w14:paraId="48E7009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10E67B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RB1591</w:t>
            </w:r>
          </w:p>
        </w:tc>
        <w:tc>
          <w:tcPr>
            <w:tcW w:w="1300" w:type="dxa"/>
            <w:tcBorders>
              <w:top w:val="nil"/>
              <w:left w:val="nil"/>
              <w:bottom w:val="nil"/>
              <w:right w:val="nil"/>
            </w:tcBorders>
            <w:shd w:val="clear" w:color="auto" w:fill="auto"/>
            <w:noWrap/>
            <w:vAlign w:val="center"/>
            <w:hideMark/>
          </w:tcPr>
          <w:p w14:paraId="00AE910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43FFA64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MK534300</w:t>
            </w:r>
          </w:p>
        </w:tc>
        <w:tc>
          <w:tcPr>
            <w:tcW w:w="2242" w:type="dxa"/>
            <w:tcBorders>
              <w:top w:val="nil"/>
              <w:left w:val="nil"/>
              <w:bottom w:val="nil"/>
              <w:right w:val="nil"/>
            </w:tcBorders>
            <w:shd w:val="clear" w:color="auto" w:fill="auto"/>
            <w:noWrap/>
            <w:vAlign w:val="bottom"/>
            <w:hideMark/>
          </w:tcPr>
          <w:p w14:paraId="419B6DC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47EC62EA" w14:textId="77777777" w:rsidTr="006B2888">
        <w:trPr>
          <w:trHeight w:val="320"/>
        </w:trPr>
        <w:tc>
          <w:tcPr>
            <w:tcW w:w="2355" w:type="dxa"/>
            <w:tcBorders>
              <w:top w:val="nil"/>
              <w:left w:val="nil"/>
              <w:bottom w:val="nil"/>
              <w:right w:val="nil"/>
            </w:tcBorders>
            <w:shd w:val="clear" w:color="auto" w:fill="auto"/>
            <w:noWrap/>
            <w:vAlign w:val="center"/>
            <w:hideMark/>
          </w:tcPr>
          <w:p w14:paraId="6581F0A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4FB05D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RB1593</w:t>
            </w:r>
          </w:p>
        </w:tc>
        <w:tc>
          <w:tcPr>
            <w:tcW w:w="1300" w:type="dxa"/>
            <w:tcBorders>
              <w:top w:val="nil"/>
              <w:left w:val="nil"/>
              <w:bottom w:val="nil"/>
              <w:right w:val="nil"/>
            </w:tcBorders>
            <w:shd w:val="clear" w:color="auto" w:fill="auto"/>
            <w:noWrap/>
            <w:vAlign w:val="center"/>
            <w:hideMark/>
          </w:tcPr>
          <w:p w14:paraId="6D1B4C7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4B52334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MK534301</w:t>
            </w:r>
          </w:p>
        </w:tc>
        <w:tc>
          <w:tcPr>
            <w:tcW w:w="2242" w:type="dxa"/>
            <w:tcBorders>
              <w:top w:val="nil"/>
              <w:left w:val="nil"/>
              <w:bottom w:val="nil"/>
              <w:right w:val="nil"/>
            </w:tcBorders>
            <w:shd w:val="clear" w:color="auto" w:fill="auto"/>
            <w:noWrap/>
            <w:vAlign w:val="bottom"/>
            <w:hideMark/>
          </w:tcPr>
          <w:p w14:paraId="2B85D29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2D755423" w14:textId="77777777" w:rsidTr="006B2888">
        <w:trPr>
          <w:trHeight w:val="320"/>
        </w:trPr>
        <w:tc>
          <w:tcPr>
            <w:tcW w:w="2355" w:type="dxa"/>
            <w:tcBorders>
              <w:top w:val="nil"/>
              <w:left w:val="nil"/>
              <w:bottom w:val="nil"/>
              <w:right w:val="nil"/>
            </w:tcBorders>
            <w:shd w:val="clear" w:color="auto" w:fill="auto"/>
            <w:noWrap/>
            <w:vAlign w:val="center"/>
            <w:hideMark/>
          </w:tcPr>
          <w:p w14:paraId="529B7B1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1CE9B5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RB1594</w:t>
            </w:r>
          </w:p>
        </w:tc>
        <w:tc>
          <w:tcPr>
            <w:tcW w:w="1300" w:type="dxa"/>
            <w:tcBorders>
              <w:top w:val="nil"/>
              <w:left w:val="nil"/>
              <w:bottom w:val="nil"/>
              <w:right w:val="nil"/>
            </w:tcBorders>
            <w:shd w:val="clear" w:color="auto" w:fill="auto"/>
            <w:noWrap/>
            <w:vAlign w:val="center"/>
            <w:hideMark/>
          </w:tcPr>
          <w:p w14:paraId="5E294A7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711AA17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MK534302</w:t>
            </w:r>
          </w:p>
        </w:tc>
        <w:tc>
          <w:tcPr>
            <w:tcW w:w="2242" w:type="dxa"/>
            <w:tcBorders>
              <w:top w:val="nil"/>
              <w:left w:val="nil"/>
              <w:bottom w:val="nil"/>
              <w:right w:val="nil"/>
            </w:tcBorders>
            <w:shd w:val="clear" w:color="auto" w:fill="auto"/>
            <w:noWrap/>
            <w:vAlign w:val="bottom"/>
            <w:hideMark/>
          </w:tcPr>
          <w:p w14:paraId="25B1B4E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69F6869F" w14:textId="77777777" w:rsidTr="006B2888">
        <w:trPr>
          <w:trHeight w:val="320"/>
        </w:trPr>
        <w:tc>
          <w:tcPr>
            <w:tcW w:w="2355" w:type="dxa"/>
            <w:tcBorders>
              <w:top w:val="nil"/>
              <w:left w:val="nil"/>
              <w:bottom w:val="nil"/>
              <w:right w:val="nil"/>
            </w:tcBorders>
            <w:shd w:val="clear" w:color="auto" w:fill="auto"/>
            <w:noWrap/>
            <w:vAlign w:val="center"/>
            <w:hideMark/>
          </w:tcPr>
          <w:p w14:paraId="09299D3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C81A41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RB1595</w:t>
            </w:r>
          </w:p>
        </w:tc>
        <w:tc>
          <w:tcPr>
            <w:tcW w:w="1300" w:type="dxa"/>
            <w:tcBorders>
              <w:top w:val="nil"/>
              <w:left w:val="nil"/>
              <w:bottom w:val="nil"/>
              <w:right w:val="nil"/>
            </w:tcBorders>
            <w:shd w:val="clear" w:color="auto" w:fill="auto"/>
            <w:noWrap/>
            <w:vAlign w:val="center"/>
            <w:hideMark/>
          </w:tcPr>
          <w:p w14:paraId="3481076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55050C3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MK534303</w:t>
            </w:r>
          </w:p>
        </w:tc>
        <w:tc>
          <w:tcPr>
            <w:tcW w:w="2242" w:type="dxa"/>
            <w:tcBorders>
              <w:top w:val="nil"/>
              <w:left w:val="nil"/>
              <w:bottom w:val="nil"/>
              <w:right w:val="nil"/>
            </w:tcBorders>
            <w:shd w:val="clear" w:color="auto" w:fill="auto"/>
            <w:noWrap/>
            <w:vAlign w:val="bottom"/>
            <w:hideMark/>
          </w:tcPr>
          <w:p w14:paraId="3DB1D2F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01DA39BC" w14:textId="77777777" w:rsidTr="006B2888">
        <w:trPr>
          <w:trHeight w:val="320"/>
        </w:trPr>
        <w:tc>
          <w:tcPr>
            <w:tcW w:w="2355" w:type="dxa"/>
            <w:tcBorders>
              <w:top w:val="nil"/>
              <w:left w:val="nil"/>
              <w:bottom w:val="nil"/>
              <w:right w:val="nil"/>
            </w:tcBorders>
            <w:shd w:val="clear" w:color="auto" w:fill="auto"/>
            <w:noWrap/>
            <w:vAlign w:val="center"/>
            <w:hideMark/>
          </w:tcPr>
          <w:p w14:paraId="3197738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A36EB5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RB1596</w:t>
            </w:r>
          </w:p>
        </w:tc>
        <w:tc>
          <w:tcPr>
            <w:tcW w:w="1300" w:type="dxa"/>
            <w:tcBorders>
              <w:top w:val="nil"/>
              <w:left w:val="nil"/>
              <w:bottom w:val="nil"/>
              <w:right w:val="nil"/>
            </w:tcBorders>
            <w:shd w:val="clear" w:color="auto" w:fill="auto"/>
            <w:noWrap/>
            <w:vAlign w:val="center"/>
            <w:hideMark/>
          </w:tcPr>
          <w:p w14:paraId="47F01DE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61B8464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MK534304</w:t>
            </w:r>
          </w:p>
        </w:tc>
        <w:tc>
          <w:tcPr>
            <w:tcW w:w="2242" w:type="dxa"/>
            <w:tcBorders>
              <w:top w:val="nil"/>
              <w:left w:val="nil"/>
              <w:bottom w:val="nil"/>
              <w:right w:val="nil"/>
            </w:tcBorders>
            <w:shd w:val="clear" w:color="auto" w:fill="auto"/>
            <w:noWrap/>
            <w:vAlign w:val="bottom"/>
            <w:hideMark/>
          </w:tcPr>
          <w:p w14:paraId="756D6C2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728463F8" w14:textId="77777777" w:rsidTr="006B2888">
        <w:trPr>
          <w:trHeight w:val="320"/>
        </w:trPr>
        <w:tc>
          <w:tcPr>
            <w:tcW w:w="2355" w:type="dxa"/>
            <w:tcBorders>
              <w:top w:val="nil"/>
              <w:left w:val="nil"/>
              <w:bottom w:val="nil"/>
              <w:right w:val="nil"/>
            </w:tcBorders>
            <w:shd w:val="clear" w:color="auto" w:fill="auto"/>
            <w:noWrap/>
            <w:vAlign w:val="center"/>
            <w:hideMark/>
          </w:tcPr>
          <w:p w14:paraId="2BE58BA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02A916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RB1597</w:t>
            </w:r>
          </w:p>
        </w:tc>
        <w:tc>
          <w:tcPr>
            <w:tcW w:w="1300" w:type="dxa"/>
            <w:tcBorders>
              <w:top w:val="nil"/>
              <w:left w:val="nil"/>
              <w:bottom w:val="nil"/>
              <w:right w:val="nil"/>
            </w:tcBorders>
            <w:shd w:val="clear" w:color="auto" w:fill="auto"/>
            <w:noWrap/>
            <w:vAlign w:val="center"/>
            <w:hideMark/>
          </w:tcPr>
          <w:p w14:paraId="1C182AA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662A130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MK534305</w:t>
            </w:r>
          </w:p>
        </w:tc>
        <w:tc>
          <w:tcPr>
            <w:tcW w:w="2242" w:type="dxa"/>
            <w:tcBorders>
              <w:top w:val="nil"/>
              <w:left w:val="nil"/>
              <w:bottom w:val="nil"/>
              <w:right w:val="nil"/>
            </w:tcBorders>
            <w:shd w:val="clear" w:color="auto" w:fill="auto"/>
            <w:noWrap/>
            <w:vAlign w:val="bottom"/>
            <w:hideMark/>
          </w:tcPr>
          <w:p w14:paraId="7728C7C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48A68945" w14:textId="77777777" w:rsidTr="006B2888">
        <w:trPr>
          <w:trHeight w:val="320"/>
        </w:trPr>
        <w:tc>
          <w:tcPr>
            <w:tcW w:w="2355" w:type="dxa"/>
            <w:tcBorders>
              <w:top w:val="nil"/>
              <w:left w:val="nil"/>
              <w:bottom w:val="nil"/>
              <w:right w:val="nil"/>
            </w:tcBorders>
            <w:shd w:val="clear" w:color="auto" w:fill="auto"/>
            <w:noWrap/>
            <w:vAlign w:val="center"/>
            <w:hideMark/>
          </w:tcPr>
          <w:p w14:paraId="5BFC231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2DB2F4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RB1598</w:t>
            </w:r>
          </w:p>
        </w:tc>
        <w:tc>
          <w:tcPr>
            <w:tcW w:w="1300" w:type="dxa"/>
            <w:tcBorders>
              <w:top w:val="nil"/>
              <w:left w:val="nil"/>
              <w:bottom w:val="nil"/>
              <w:right w:val="nil"/>
            </w:tcBorders>
            <w:shd w:val="clear" w:color="auto" w:fill="auto"/>
            <w:noWrap/>
            <w:vAlign w:val="center"/>
            <w:hideMark/>
          </w:tcPr>
          <w:p w14:paraId="5DB09AC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CAM      </w:t>
            </w:r>
          </w:p>
        </w:tc>
        <w:tc>
          <w:tcPr>
            <w:tcW w:w="1300" w:type="dxa"/>
            <w:tcBorders>
              <w:top w:val="nil"/>
              <w:left w:val="nil"/>
              <w:bottom w:val="nil"/>
              <w:right w:val="nil"/>
            </w:tcBorders>
            <w:shd w:val="clear" w:color="auto" w:fill="auto"/>
            <w:noWrap/>
            <w:vAlign w:val="center"/>
            <w:hideMark/>
          </w:tcPr>
          <w:p w14:paraId="5B2F30F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MK534306</w:t>
            </w:r>
          </w:p>
        </w:tc>
        <w:tc>
          <w:tcPr>
            <w:tcW w:w="2242" w:type="dxa"/>
            <w:tcBorders>
              <w:top w:val="nil"/>
              <w:left w:val="nil"/>
              <w:bottom w:val="nil"/>
              <w:right w:val="nil"/>
            </w:tcBorders>
            <w:shd w:val="clear" w:color="auto" w:fill="auto"/>
            <w:noWrap/>
            <w:vAlign w:val="bottom"/>
            <w:hideMark/>
          </w:tcPr>
          <w:p w14:paraId="3C77528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3ADD2B6C" w14:textId="77777777" w:rsidTr="006B2888">
        <w:trPr>
          <w:trHeight w:val="320"/>
        </w:trPr>
        <w:tc>
          <w:tcPr>
            <w:tcW w:w="2355" w:type="dxa"/>
            <w:tcBorders>
              <w:top w:val="nil"/>
              <w:left w:val="nil"/>
              <w:bottom w:val="nil"/>
              <w:right w:val="nil"/>
            </w:tcBorders>
            <w:shd w:val="clear" w:color="auto" w:fill="auto"/>
            <w:noWrap/>
            <w:vAlign w:val="center"/>
            <w:hideMark/>
          </w:tcPr>
          <w:p w14:paraId="37ECEFB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7B401B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RB1599</w:t>
            </w:r>
          </w:p>
        </w:tc>
        <w:tc>
          <w:tcPr>
            <w:tcW w:w="1300" w:type="dxa"/>
            <w:tcBorders>
              <w:top w:val="nil"/>
              <w:left w:val="nil"/>
              <w:bottom w:val="nil"/>
              <w:right w:val="nil"/>
            </w:tcBorders>
            <w:shd w:val="clear" w:color="auto" w:fill="auto"/>
            <w:noWrap/>
            <w:vAlign w:val="center"/>
            <w:hideMark/>
          </w:tcPr>
          <w:p w14:paraId="6FB1931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0A65484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MK534307</w:t>
            </w:r>
          </w:p>
        </w:tc>
        <w:tc>
          <w:tcPr>
            <w:tcW w:w="2242" w:type="dxa"/>
            <w:tcBorders>
              <w:top w:val="nil"/>
              <w:left w:val="nil"/>
              <w:bottom w:val="nil"/>
              <w:right w:val="nil"/>
            </w:tcBorders>
            <w:shd w:val="clear" w:color="auto" w:fill="auto"/>
            <w:noWrap/>
            <w:vAlign w:val="bottom"/>
            <w:hideMark/>
          </w:tcPr>
          <w:p w14:paraId="6A93958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SAMN11038441</w:t>
            </w:r>
          </w:p>
        </w:tc>
      </w:tr>
      <w:tr w:rsidR="006B2888" w:rsidRPr="00AE525E" w14:paraId="7625A58B" w14:textId="77777777" w:rsidTr="006B2888">
        <w:trPr>
          <w:trHeight w:val="320"/>
        </w:trPr>
        <w:tc>
          <w:tcPr>
            <w:tcW w:w="2355" w:type="dxa"/>
            <w:tcBorders>
              <w:top w:val="nil"/>
              <w:left w:val="nil"/>
              <w:bottom w:val="nil"/>
              <w:right w:val="nil"/>
            </w:tcBorders>
            <w:shd w:val="clear" w:color="auto" w:fill="auto"/>
            <w:noWrap/>
            <w:vAlign w:val="center"/>
            <w:hideMark/>
          </w:tcPr>
          <w:p w14:paraId="51D7A8F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97A310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RB1600</w:t>
            </w:r>
          </w:p>
        </w:tc>
        <w:tc>
          <w:tcPr>
            <w:tcW w:w="1300" w:type="dxa"/>
            <w:tcBorders>
              <w:top w:val="nil"/>
              <w:left w:val="nil"/>
              <w:bottom w:val="nil"/>
              <w:right w:val="nil"/>
            </w:tcBorders>
            <w:shd w:val="clear" w:color="auto" w:fill="auto"/>
            <w:noWrap/>
            <w:vAlign w:val="center"/>
            <w:hideMark/>
          </w:tcPr>
          <w:p w14:paraId="3FB7817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7DEF1E6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MK534308</w:t>
            </w:r>
          </w:p>
        </w:tc>
        <w:tc>
          <w:tcPr>
            <w:tcW w:w="2242" w:type="dxa"/>
            <w:tcBorders>
              <w:top w:val="nil"/>
              <w:left w:val="nil"/>
              <w:bottom w:val="nil"/>
              <w:right w:val="nil"/>
            </w:tcBorders>
            <w:shd w:val="clear" w:color="auto" w:fill="auto"/>
            <w:noWrap/>
            <w:vAlign w:val="bottom"/>
            <w:hideMark/>
          </w:tcPr>
          <w:p w14:paraId="596E43A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SAMN11038442</w:t>
            </w:r>
          </w:p>
        </w:tc>
      </w:tr>
      <w:tr w:rsidR="006B2888" w:rsidRPr="00AE525E" w14:paraId="2C8D95CC" w14:textId="77777777" w:rsidTr="006B2888">
        <w:trPr>
          <w:trHeight w:val="320"/>
        </w:trPr>
        <w:tc>
          <w:tcPr>
            <w:tcW w:w="2355" w:type="dxa"/>
            <w:tcBorders>
              <w:top w:val="nil"/>
              <w:left w:val="nil"/>
              <w:bottom w:val="nil"/>
              <w:right w:val="nil"/>
            </w:tcBorders>
            <w:shd w:val="clear" w:color="auto" w:fill="auto"/>
            <w:noWrap/>
            <w:vAlign w:val="center"/>
            <w:hideMark/>
          </w:tcPr>
          <w:p w14:paraId="1D4CC3D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501591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RB1601</w:t>
            </w:r>
          </w:p>
        </w:tc>
        <w:tc>
          <w:tcPr>
            <w:tcW w:w="1300" w:type="dxa"/>
            <w:tcBorders>
              <w:top w:val="nil"/>
              <w:left w:val="nil"/>
              <w:bottom w:val="nil"/>
              <w:right w:val="nil"/>
            </w:tcBorders>
            <w:shd w:val="clear" w:color="auto" w:fill="auto"/>
            <w:noWrap/>
            <w:vAlign w:val="center"/>
            <w:hideMark/>
          </w:tcPr>
          <w:p w14:paraId="3FC355E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43C2EEC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MK534309</w:t>
            </w:r>
          </w:p>
        </w:tc>
        <w:tc>
          <w:tcPr>
            <w:tcW w:w="2242" w:type="dxa"/>
            <w:tcBorders>
              <w:top w:val="nil"/>
              <w:left w:val="nil"/>
              <w:bottom w:val="nil"/>
              <w:right w:val="nil"/>
            </w:tcBorders>
            <w:shd w:val="clear" w:color="auto" w:fill="auto"/>
            <w:noWrap/>
            <w:vAlign w:val="bottom"/>
            <w:hideMark/>
          </w:tcPr>
          <w:p w14:paraId="2850530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SAMN11038443</w:t>
            </w:r>
          </w:p>
        </w:tc>
      </w:tr>
      <w:tr w:rsidR="006B2888" w:rsidRPr="00AE525E" w14:paraId="271E004E" w14:textId="77777777" w:rsidTr="006B2888">
        <w:trPr>
          <w:trHeight w:val="320"/>
        </w:trPr>
        <w:tc>
          <w:tcPr>
            <w:tcW w:w="2355" w:type="dxa"/>
            <w:tcBorders>
              <w:top w:val="nil"/>
              <w:left w:val="nil"/>
              <w:bottom w:val="nil"/>
              <w:right w:val="nil"/>
            </w:tcBorders>
            <w:shd w:val="clear" w:color="auto" w:fill="auto"/>
            <w:noWrap/>
            <w:vAlign w:val="center"/>
            <w:hideMark/>
          </w:tcPr>
          <w:p w14:paraId="4EB888A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8603F5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RB1602</w:t>
            </w:r>
          </w:p>
        </w:tc>
        <w:tc>
          <w:tcPr>
            <w:tcW w:w="1300" w:type="dxa"/>
            <w:tcBorders>
              <w:top w:val="nil"/>
              <w:left w:val="nil"/>
              <w:bottom w:val="nil"/>
              <w:right w:val="nil"/>
            </w:tcBorders>
            <w:shd w:val="clear" w:color="auto" w:fill="auto"/>
            <w:noWrap/>
            <w:vAlign w:val="center"/>
            <w:hideMark/>
          </w:tcPr>
          <w:p w14:paraId="3F6A0AE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6230F8C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MK534310</w:t>
            </w:r>
          </w:p>
        </w:tc>
        <w:tc>
          <w:tcPr>
            <w:tcW w:w="2242" w:type="dxa"/>
            <w:tcBorders>
              <w:top w:val="nil"/>
              <w:left w:val="nil"/>
              <w:bottom w:val="nil"/>
              <w:right w:val="nil"/>
            </w:tcBorders>
            <w:shd w:val="clear" w:color="auto" w:fill="auto"/>
            <w:noWrap/>
            <w:vAlign w:val="bottom"/>
            <w:hideMark/>
          </w:tcPr>
          <w:p w14:paraId="0BC5320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SAMN11038444</w:t>
            </w:r>
          </w:p>
        </w:tc>
      </w:tr>
      <w:tr w:rsidR="006B2888" w:rsidRPr="00AE525E" w14:paraId="0BFB842C" w14:textId="77777777" w:rsidTr="006B2888">
        <w:trPr>
          <w:trHeight w:val="320"/>
        </w:trPr>
        <w:tc>
          <w:tcPr>
            <w:tcW w:w="2355" w:type="dxa"/>
            <w:tcBorders>
              <w:top w:val="nil"/>
              <w:left w:val="nil"/>
              <w:bottom w:val="nil"/>
              <w:right w:val="nil"/>
            </w:tcBorders>
            <w:shd w:val="clear" w:color="auto" w:fill="auto"/>
            <w:noWrap/>
            <w:vAlign w:val="center"/>
            <w:hideMark/>
          </w:tcPr>
          <w:p w14:paraId="44FE732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09539B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RB1603</w:t>
            </w:r>
          </w:p>
        </w:tc>
        <w:tc>
          <w:tcPr>
            <w:tcW w:w="1300" w:type="dxa"/>
            <w:tcBorders>
              <w:top w:val="nil"/>
              <w:left w:val="nil"/>
              <w:bottom w:val="nil"/>
              <w:right w:val="nil"/>
            </w:tcBorders>
            <w:shd w:val="clear" w:color="auto" w:fill="auto"/>
            <w:noWrap/>
            <w:vAlign w:val="center"/>
            <w:hideMark/>
          </w:tcPr>
          <w:p w14:paraId="27D446C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15ABE86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MK534311</w:t>
            </w:r>
          </w:p>
        </w:tc>
        <w:tc>
          <w:tcPr>
            <w:tcW w:w="2242" w:type="dxa"/>
            <w:tcBorders>
              <w:top w:val="nil"/>
              <w:left w:val="nil"/>
              <w:bottom w:val="nil"/>
              <w:right w:val="nil"/>
            </w:tcBorders>
            <w:shd w:val="clear" w:color="auto" w:fill="auto"/>
            <w:noWrap/>
            <w:vAlign w:val="bottom"/>
            <w:hideMark/>
          </w:tcPr>
          <w:p w14:paraId="7EFEB1E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SAMN11038445</w:t>
            </w:r>
          </w:p>
        </w:tc>
      </w:tr>
      <w:tr w:rsidR="006B2888" w:rsidRPr="00AE525E" w14:paraId="10981CF5" w14:textId="77777777" w:rsidTr="006B2888">
        <w:trPr>
          <w:trHeight w:val="320"/>
        </w:trPr>
        <w:tc>
          <w:tcPr>
            <w:tcW w:w="2355" w:type="dxa"/>
            <w:tcBorders>
              <w:top w:val="nil"/>
              <w:left w:val="nil"/>
              <w:bottom w:val="nil"/>
              <w:right w:val="nil"/>
            </w:tcBorders>
            <w:shd w:val="clear" w:color="auto" w:fill="auto"/>
            <w:noWrap/>
            <w:vAlign w:val="center"/>
            <w:hideMark/>
          </w:tcPr>
          <w:p w14:paraId="4B0A47B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46D955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RB1604</w:t>
            </w:r>
          </w:p>
        </w:tc>
        <w:tc>
          <w:tcPr>
            <w:tcW w:w="1300" w:type="dxa"/>
            <w:tcBorders>
              <w:top w:val="nil"/>
              <w:left w:val="nil"/>
              <w:bottom w:val="nil"/>
              <w:right w:val="nil"/>
            </w:tcBorders>
            <w:shd w:val="clear" w:color="auto" w:fill="auto"/>
            <w:noWrap/>
            <w:vAlign w:val="center"/>
            <w:hideMark/>
          </w:tcPr>
          <w:p w14:paraId="5B05FE7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10011F3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MK534312</w:t>
            </w:r>
          </w:p>
        </w:tc>
        <w:tc>
          <w:tcPr>
            <w:tcW w:w="2242" w:type="dxa"/>
            <w:tcBorders>
              <w:top w:val="nil"/>
              <w:left w:val="nil"/>
              <w:bottom w:val="nil"/>
              <w:right w:val="nil"/>
            </w:tcBorders>
            <w:shd w:val="clear" w:color="auto" w:fill="auto"/>
            <w:noWrap/>
            <w:vAlign w:val="bottom"/>
            <w:hideMark/>
          </w:tcPr>
          <w:p w14:paraId="161722A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SAMN11038446</w:t>
            </w:r>
          </w:p>
        </w:tc>
      </w:tr>
      <w:tr w:rsidR="006B2888" w:rsidRPr="00AE525E" w14:paraId="01F4D24F" w14:textId="77777777" w:rsidTr="006B2888">
        <w:trPr>
          <w:trHeight w:val="320"/>
        </w:trPr>
        <w:tc>
          <w:tcPr>
            <w:tcW w:w="2355" w:type="dxa"/>
            <w:tcBorders>
              <w:top w:val="nil"/>
              <w:left w:val="nil"/>
              <w:bottom w:val="nil"/>
              <w:right w:val="nil"/>
            </w:tcBorders>
            <w:shd w:val="clear" w:color="auto" w:fill="auto"/>
            <w:noWrap/>
            <w:vAlign w:val="center"/>
            <w:hideMark/>
          </w:tcPr>
          <w:p w14:paraId="369BABC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lastRenderedPageBreak/>
              <w:t>Lutjanus campechanus</w:t>
            </w:r>
          </w:p>
        </w:tc>
        <w:tc>
          <w:tcPr>
            <w:tcW w:w="1533" w:type="dxa"/>
            <w:tcBorders>
              <w:top w:val="nil"/>
              <w:left w:val="nil"/>
              <w:bottom w:val="nil"/>
              <w:right w:val="nil"/>
            </w:tcBorders>
            <w:shd w:val="clear" w:color="auto" w:fill="auto"/>
            <w:noWrap/>
            <w:vAlign w:val="center"/>
            <w:hideMark/>
          </w:tcPr>
          <w:p w14:paraId="0D1919A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RB1605</w:t>
            </w:r>
          </w:p>
        </w:tc>
        <w:tc>
          <w:tcPr>
            <w:tcW w:w="1300" w:type="dxa"/>
            <w:tcBorders>
              <w:top w:val="nil"/>
              <w:left w:val="nil"/>
              <w:bottom w:val="nil"/>
              <w:right w:val="nil"/>
            </w:tcBorders>
            <w:shd w:val="clear" w:color="auto" w:fill="auto"/>
            <w:noWrap/>
            <w:vAlign w:val="center"/>
            <w:hideMark/>
          </w:tcPr>
          <w:p w14:paraId="16F8FB6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TAB      </w:t>
            </w:r>
          </w:p>
        </w:tc>
        <w:tc>
          <w:tcPr>
            <w:tcW w:w="1300" w:type="dxa"/>
            <w:tcBorders>
              <w:top w:val="nil"/>
              <w:left w:val="nil"/>
              <w:bottom w:val="nil"/>
              <w:right w:val="nil"/>
            </w:tcBorders>
            <w:shd w:val="clear" w:color="auto" w:fill="auto"/>
            <w:noWrap/>
            <w:vAlign w:val="center"/>
            <w:hideMark/>
          </w:tcPr>
          <w:p w14:paraId="68D13D9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MK534313</w:t>
            </w:r>
          </w:p>
        </w:tc>
        <w:tc>
          <w:tcPr>
            <w:tcW w:w="2242" w:type="dxa"/>
            <w:tcBorders>
              <w:top w:val="nil"/>
              <w:left w:val="nil"/>
              <w:bottom w:val="nil"/>
              <w:right w:val="nil"/>
            </w:tcBorders>
            <w:shd w:val="clear" w:color="auto" w:fill="auto"/>
            <w:noWrap/>
            <w:vAlign w:val="bottom"/>
            <w:hideMark/>
          </w:tcPr>
          <w:p w14:paraId="3E3492E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SAMN11038447</w:t>
            </w:r>
          </w:p>
        </w:tc>
      </w:tr>
      <w:tr w:rsidR="006B2888" w:rsidRPr="00AE525E" w14:paraId="5492687B" w14:textId="77777777" w:rsidTr="006B2888">
        <w:trPr>
          <w:trHeight w:val="320"/>
        </w:trPr>
        <w:tc>
          <w:tcPr>
            <w:tcW w:w="2355" w:type="dxa"/>
            <w:tcBorders>
              <w:top w:val="nil"/>
              <w:left w:val="nil"/>
              <w:bottom w:val="nil"/>
              <w:right w:val="nil"/>
            </w:tcBorders>
            <w:shd w:val="clear" w:color="auto" w:fill="auto"/>
            <w:noWrap/>
            <w:vAlign w:val="center"/>
            <w:hideMark/>
          </w:tcPr>
          <w:p w14:paraId="2834D62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0E0750A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RB1606</w:t>
            </w:r>
          </w:p>
        </w:tc>
        <w:tc>
          <w:tcPr>
            <w:tcW w:w="1300" w:type="dxa"/>
            <w:tcBorders>
              <w:top w:val="nil"/>
              <w:left w:val="nil"/>
              <w:bottom w:val="nil"/>
              <w:right w:val="nil"/>
            </w:tcBorders>
            <w:shd w:val="clear" w:color="auto" w:fill="auto"/>
            <w:noWrap/>
            <w:vAlign w:val="center"/>
            <w:hideMark/>
          </w:tcPr>
          <w:p w14:paraId="49AE355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TUX</w:t>
            </w:r>
          </w:p>
        </w:tc>
        <w:tc>
          <w:tcPr>
            <w:tcW w:w="1300" w:type="dxa"/>
            <w:tcBorders>
              <w:top w:val="nil"/>
              <w:left w:val="nil"/>
              <w:bottom w:val="nil"/>
              <w:right w:val="nil"/>
            </w:tcBorders>
            <w:shd w:val="clear" w:color="auto" w:fill="auto"/>
            <w:noWrap/>
            <w:vAlign w:val="center"/>
            <w:hideMark/>
          </w:tcPr>
          <w:p w14:paraId="3B42260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3BA7E7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SAMN11038448</w:t>
            </w:r>
          </w:p>
        </w:tc>
      </w:tr>
      <w:tr w:rsidR="006B2888" w:rsidRPr="00AE525E" w14:paraId="1A6156F7" w14:textId="77777777" w:rsidTr="006B2888">
        <w:trPr>
          <w:trHeight w:val="320"/>
        </w:trPr>
        <w:tc>
          <w:tcPr>
            <w:tcW w:w="2355" w:type="dxa"/>
            <w:tcBorders>
              <w:top w:val="nil"/>
              <w:left w:val="nil"/>
              <w:bottom w:val="nil"/>
              <w:right w:val="nil"/>
            </w:tcBorders>
            <w:shd w:val="clear" w:color="auto" w:fill="auto"/>
            <w:noWrap/>
            <w:vAlign w:val="center"/>
            <w:hideMark/>
          </w:tcPr>
          <w:p w14:paraId="0FBF1B0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17C243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RB1607</w:t>
            </w:r>
          </w:p>
        </w:tc>
        <w:tc>
          <w:tcPr>
            <w:tcW w:w="1300" w:type="dxa"/>
            <w:tcBorders>
              <w:top w:val="nil"/>
              <w:left w:val="nil"/>
              <w:bottom w:val="nil"/>
              <w:right w:val="nil"/>
            </w:tcBorders>
            <w:shd w:val="clear" w:color="auto" w:fill="auto"/>
            <w:noWrap/>
            <w:vAlign w:val="center"/>
            <w:hideMark/>
          </w:tcPr>
          <w:p w14:paraId="02875CC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TUX</w:t>
            </w:r>
          </w:p>
        </w:tc>
        <w:tc>
          <w:tcPr>
            <w:tcW w:w="1300" w:type="dxa"/>
            <w:tcBorders>
              <w:top w:val="nil"/>
              <w:left w:val="nil"/>
              <w:bottom w:val="nil"/>
              <w:right w:val="nil"/>
            </w:tcBorders>
            <w:shd w:val="clear" w:color="auto" w:fill="auto"/>
            <w:noWrap/>
            <w:vAlign w:val="center"/>
            <w:hideMark/>
          </w:tcPr>
          <w:p w14:paraId="1DFF1A9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EAC7DC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SAMN11038449</w:t>
            </w:r>
          </w:p>
        </w:tc>
      </w:tr>
      <w:tr w:rsidR="006B2888" w:rsidRPr="00AE525E" w14:paraId="4783B08E" w14:textId="77777777" w:rsidTr="006B2888">
        <w:trPr>
          <w:trHeight w:val="320"/>
        </w:trPr>
        <w:tc>
          <w:tcPr>
            <w:tcW w:w="2355" w:type="dxa"/>
            <w:tcBorders>
              <w:top w:val="nil"/>
              <w:left w:val="nil"/>
              <w:bottom w:val="nil"/>
              <w:right w:val="nil"/>
            </w:tcBorders>
            <w:shd w:val="clear" w:color="auto" w:fill="auto"/>
            <w:noWrap/>
            <w:vAlign w:val="center"/>
            <w:hideMark/>
          </w:tcPr>
          <w:p w14:paraId="2352134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EB9701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RB1608</w:t>
            </w:r>
          </w:p>
        </w:tc>
        <w:tc>
          <w:tcPr>
            <w:tcW w:w="1300" w:type="dxa"/>
            <w:tcBorders>
              <w:top w:val="nil"/>
              <w:left w:val="nil"/>
              <w:bottom w:val="nil"/>
              <w:right w:val="nil"/>
            </w:tcBorders>
            <w:shd w:val="clear" w:color="auto" w:fill="auto"/>
            <w:noWrap/>
            <w:vAlign w:val="center"/>
            <w:hideMark/>
          </w:tcPr>
          <w:p w14:paraId="4B0D12A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TUX</w:t>
            </w:r>
          </w:p>
        </w:tc>
        <w:tc>
          <w:tcPr>
            <w:tcW w:w="1300" w:type="dxa"/>
            <w:tcBorders>
              <w:top w:val="nil"/>
              <w:left w:val="nil"/>
              <w:bottom w:val="nil"/>
              <w:right w:val="nil"/>
            </w:tcBorders>
            <w:shd w:val="clear" w:color="auto" w:fill="auto"/>
            <w:noWrap/>
            <w:vAlign w:val="center"/>
            <w:hideMark/>
          </w:tcPr>
          <w:p w14:paraId="4F910EF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AF72CF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SAMN11038450</w:t>
            </w:r>
          </w:p>
        </w:tc>
      </w:tr>
      <w:tr w:rsidR="006B2888" w:rsidRPr="00AE525E" w14:paraId="241D833D" w14:textId="77777777" w:rsidTr="006B2888">
        <w:trPr>
          <w:trHeight w:val="320"/>
        </w:trPr>
        <w:tc>
          <w:tcPr>
            <w:tcW w:w="2355" w:type="dxa"/>
            <w:tcBorders>
              <w:top w:val="nil"/>
              <w:left w:val="nil"/>
              <w:bottom w:val="nil"/>
              <w:right w:val="nil"/>
            </w:tcBorders>
            <w:shd w:val="clear" w:color="auto" w:fill="auto"/>
            <w:noWrap/>
            <w:vAlign w:val="center"/>
            <w:hideMark/>
          </w:tcPr>
          <w:p w14:paraId="2219085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56283E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RB1609</w:t>
            </w:r>
          </w:p>
        </w:tc>
        <w:tc>
          <w:tcPr>
            <w:tcW w:w="1300" w:type="dxa"/>
            <w:tcBorders>
              <w:top w:val="nil"/>
              <w:left w:val="nil"/>
              <w:bottom w:val="nil"/>
              <w:right w:val="nil"/>
            </w:tcBorders>
            <w:shd w:val="clear" w:color="auto" w:fill="auto"/>
            <w:noWrap/>
            <w:vAlign w:val="center"/>
            <w:hideMark/>
          </w:tcPr>
          <w:p w14:paraId="1F6BA7B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VER</w:t>
            </w:r>
          </w:p>
        </w:tc>
        <w:tc>
          <w:tcPr>
            <w:tcW w:w="1300" w:type="dxa"/>
            <w:tcBorders>
              <w:top w:val="nil"/>
              <w:left w:val="nil"/>
              <w:bottom w:val="nil"/>
              <w:right w:val="nil"/>
            </w:tcBorders>
            <w:shd w:val="clear" w:color="auto" w:fill="auto"/>
            <w:noWrap/>
            <w:vAlign w:val="center"/>
            <w:hideMark/>
          </w:tcPr>
          <w:p w14:paraId="000CD23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6E8980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SAMN11038451</w:t>
            </w:r>
          </w:p>
        </w:tc>
      </w:tr>
      <w:tr w:rsidR="006B2888" w:rsidRPr="00AE525E" w14:paraId="6883DB92" w14:textId="77777777" w:rsidTr="006B2888">
        <w:trPr>
          <w:trHeight w:val="320"/>
        </w:trPr>
        <w:tc>
          <w:tcPr>
            <w:tcW w:w="2355" w:type="dxa"/>
            <w:tcBorders>
              <w:top w:val="nil"/>
              <w:left w:val="nil"/>
              <w:bottom w:val="nil"/>
              <w:right w:val="nil"/>
            </w:tcBorders>
            <w:shd w:val="clear" w:color="auto" w:fill="auto"/>
            <w:noWrap/>
            <w:vAlign w:val="center"/>
            <w:hideMark/>
          </w:tcPr>
          <w:p w14:paraId="1B4086D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1582631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RB1610</w:t>
            </w:r>
          </w:p>
        </w:tc>
        <w:tc>
          <w:tcPr>
            <w:tcW w:w="1300" w:type="dxa"/>
            <w:tcBorders>
              <w:top w:val="nil"/>
              <w:left w:val="nil"/>
              <w:bottom w:val="nil"/>
              <w:right w:val="nil"/>
            </w:tcBorders>
            <w:shd w:val="clear" w:color="auto" w:fill="auto"/>
            <w:noWrap/>
            <w:vAlign w:val="center"/>
            <w:hideMark/>
          </w:tcPr>
          <w:p w14:paraId="461F3F0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VER</w:t>
            </w:r>
          </w:p>
        </w:tc>
        <w:tc>
          <w:tcPr>
            <w:tcW w:w="1300" w:type="dxa"/>
            <w:tcBorders>
              <w:top w:val="nil"/>
              <w:left w:val="nil"/>
              <w:bottom w:val="nil"/>
              <w:right w:val="nil"/>
            </w:tcBorders>
            <w:shd w:val="clear" w:color="auto" w:fill="auto"/>
            <w:noWrap/>
            <w:vAlign w:val="center"/>
            <w:hideMark/>
          </w:tcPr>
          <w:p w14:paraId="37C267D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81714C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SAMN11038452</w:t>
            </w:r>
          </w:p>
        </w:tc>
      </w:tr>
      <w:tr w:rsidR="006B2888" w:rsidRPr="00AE525E" w14:paraId="17AC0B5C" w14:textId="77777777" w:rsidTr="006B2888">
        <w:trPr>
          <w:trHeight w:val="320"/>
        </w:trPr>
        <w:tc>
          <w:tcPr>
            <w:tcW w:w="2355" w:type="dxa"/>
            <w:tcBorders>
              <w:top w:val="nil"/>
              <w:left w:val="nil"/>
              <w:bottom w:val="nil"/>
              <w:right w:val="nil"/>
            </w:tcBorders>
            <w:shd w:val="clear" w:color="auto" w:fill="auto"/>
            <w:noWrap/>
            <w:vAlign w:val="center"/>
            <w:hideMark/>
          </w:tcPr>
          <w:p w14:paraId="258B575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DA3772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RB1611</w:t>
            </w:r>
          </w:p>
        </w:tc>
        <w:tc>
          <w:tcPr>
            <w:tcW w:w="1300" w:type="dxa"/>
            <w:tcBorders>
              <w:top w:val="nil"/>
              <w:left w:val="nil"/>
              <w:bottom w:val="nil"/>
              <w:right w:val="nil"/>
            </w:tcBorders>
            <w:shd w:val="clear" w:color="auto" w:fill="auto"/>
            <w:noWrap/>
            <w:vAlign w:val="center"/>
            <w:hideMark/>
          </w:tcPr>
          <w:p w14:paraId="331E1FD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VER</w:t>
            </w:r>
          </w:p>
        </w:tc>
        <w:tc>
          <w:tcPr>
            <w:tcW w:w="1300" w:type="dxa"/>
            <w:tcBorders>
              <w:top w:val="nil"/>
              <w:left w:val="nil"/>
              <w:bottom w:val="nil"/>
              <w:right w:val="nil"/>
            </w:tcBorders>
            <w:shd w:val="clear" w:color="auto" w:fill="auto"/>
            <w:noWrap/>
            <w:vAlign w:val="center"/>
            <w:hideMark/>
          </w:tcPr>
          <w:p w14:paraId="25B8D99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F7F74A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SAMN11038453</w:t>
            </w:r>
          </w:p>
        </w:tc>
      </w:tr>
      <w:tr w:rsidR="006B2888" w:rsidRPr="00AE525E" w14:paraId="771336C6" w14:textId="77777777" w:rsidTr="006B2888">
        <w:trPr>
          <w:trHeight w:val="320"/>
        </w:trPr>
        <w:tc>
          <w:tcPr>
            <w:tcW w:w="2355" w:type="dxa"/>
            <w:tcBorders>
              <w:top w:val="nil"/>
              <w:left w:val="nil"/>
              <w:bottom w:val="nil"/>
              <w:right w:val="nil"/>
            </w:tcBorders>
            <w:shd w:val="clear" w:color="auto" w:fill="auto"/>
            <w:noWrap/>
            <w:vAlign w:val="center"/>
            <w:hideMark/>
          </w:tcPr>
          <w:p w14:paraId="3E3C7B3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150196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RB1637</w:t>
            </w:r>
          </w:p>
        </w:tc>
        <w:tc>
          <w:tcPr>
            <w:tcW w:w="1300" w:type="dxa"/>
            <w:tcBorders>
              <w:top w:val="nil"/>
              <w:left w:val="nil"/>
              <w:bottom w:val="nil"/>
              <w:right w:val="nil"/>
            </w:tcBorders>
            <w:shd w:val="clear" w:color="auto" w:fill="auto"/>
            <w:noWrap/>
            <w:vAlign w:val="center"/>
            <w:hideMark/>
          </w:tcPr>
          <w:p w14:paraId="68EAE97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YUC</w:t>
            </w:r>
          </w:p>
        </w:tc>
        <w:tc>
          <w:tcPr>
            <w:tcW w:w="1300" w:type="dxa"/>
            <w:tcBorders>
              <w:top w:val="nil"/>
              <w:left w:val="nil"/>
              <w:bottom w:val="nil"/>
              <w:right w:val="nil"/>
            </w:tcBorders>
            <w:shd w:val="clear" w:color="auto" w:fill="auto"/>
            <w:noWrap/>
            <w:vAlign w:val="center"/>
            <w:hideMark/>
          </w:tcPr>
          <w:p w14:paraId="170A854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9A76D2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SAMN11038454</w:t>
            </w:r>
          </w:p>
        </w:tc>
      </w:tr>
      <w:tr w:rsidR="006B2888" w:rsidRPr="00AE525E" w14:paraId="39CE51BD" w14:textId="77777777" w:rsidTr="006B2888">
        <w:trPr>
          <w:trHeight w:val="320"/>
        </w:trPr>
        <w:tc>
          <w:tcPr>
            <w:tcW w:w="2355" w:type="dxa"/>
            <w:tcBorders>
              <w:top w:val="nil"/>
              <w:left w:val="nil"/>
              <w:bottom w:val="nil"/>
              <w:right w:val="nil"/>
            </w:tcBorders>
            <w:shd w:val="clear" w:color="auto" w:fill="auto"/>
            <w:noWrap/>
            <w:vAlign w:val="center"/>
            <w:hideMark/>
          </w:tcPr>
          <w:p w14:paraId="3729405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4953CF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RB1640</w:t>
            </w:r>
          </w:p>
        </w:tc>
        <w:tc>
          <w:tcPr>
            <w:tcW w:w="1300" w:type="dxa"/>
            <w:tcBorders>
              <w:top w:val="nil"/>
              <w:left w:val="nil"/>
              <w:bottom w:val="nil"/>
              <w:right w:val="nil"/>
            </w:tcBorders>
            <w:shd w:val="clear" w:color="auto" w:fill="auto"/>
            <w:noWrap/>
            <w:vAlign w:val="center"/>
            <w:hideMark/>
          </w:tcPr>
          <w:p w14:paraId="2C50ABE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YUC</w:t>
            </w:r>
          </w:p>
        </w:tc>
        <w:tc>
          <w:tcPr>
            <w:tcW w:w="1300" w:type="dxa"/>
            <w:tcBorders>
              <w:top w:val="nil"/>
              <w:left w:val="nil"/>
              <w:bottom w:val="nil"/>
              <w:right w:val="nil"/>
            </w:tcBorders>
            <w:shd w:val="clear" w:color="auto" w:fill="auto"/>
            <w:noWrap/>
            <w:vAlign w:val="center"/>
            <w:hideMark/>
          </w:tcPr>
          <w:p w14:paraId="2DDF33B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6CF4D1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SAMN11038455</w:t>
            </w:r>
          </w:p>
        </w:tc>
      </w:tr>
      <w:tr w:rsidR="006B2888" w:rsidRPr="00AE525E" w14:paraId="069393B5" w14:textId="77777777" w:rsidTr="006B2888">
        <w:trPr>
          <w:trHeight w:val="320"/>
        </w:trPr>
        <w:tc>
          <w:tcPr>
            <w:tcW w:w="2355" w:type="dxa"/>
            <w:tcBorders>
              <w:top w:val="nil"/>
              <w:left w:val="nil"/>
              <w:bottom w:val="nil"/>
              <w:right w:val="nil"/>
            </w:tcBorders>
            <w:shd w:val="clear" w:color="auto" w:fill="auto"/>
            <w:noWrap/>
            <w:vAlign w:val="center"/>
            <w:hideMark/>
          </w:tcPr>
          <w:p w14:paraId="3B22915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82E434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RB1641</w:t>
            </w:r>
          </w:p>
        </w:tc>
        <w:tc>
          <w:tcPr>
            <w:tcW w:w="1300" w:type="dxa"/>
            <w:tcBorders>
              <w:top w:val="nil"/>
              <w:left w:val="nil"/>
              <w:bottom w:val="nil"/>
              <w:right w:val="nil"/>
            </w:tcBorders>
            <w:shd w:val="clear" w:color="auto" w:fill="auto"/>
            <w:noWrap/>
            <w:vAlign w:val="center"/>
            <w:hideMark/>
          </w:tcPr>
          <w:p w14:paraId="61D77C4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YUC</w:t>
            </w:r>
          </w:p>
        </w:tc>
        <w:tc>
          <w:tcPr>
            <w:tcW w:w="1300" w:type="dxa"/>
            <w:tcBorders>
              <w:top w:val="nil"/>
              <w:left w:val="nil"/>
              <w:bottom w:val="nil"/>
              <w:right w:val="nil"/>
            </w:tcBorders>
            <w:shd w:val="clear" w:color="auto" w:fill="auto"/>
            <w:noWrap/>
            <w:vAlign w:val="center"/>
            <w:hideMark/>
          </w:tcPr>
          <w:p w14:paraId="22C8150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0DA6CF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SAMN11038456</w:t>
            </w:r>
          </w:p>
        </w:tc>
      </w:tr>
      <w:tr w:rsidR="006B2888" w:rsidRPr="00AE525E" w14:paraId="6C56E62C" w14:textId="77777777" w:rsidTr="006B2888">
        <w:trPr>
          <w:trHeight w:val="320"/>
        </w:trPr>
        <w:tc>
          <w:tcPr>
            <w:tcW w:w="2355" w:type="dxa"/>
            <w:tcBorders>
              <w:top w:val="nil"/>
              <w:left w:val="nil"/>
              <w:bottom w:val="nil"/>
              <w:right w:val="nil"/>
            </w:tcBorders>
            <w:shd w:val="clear" w:color="auto" w:fill="auto"/>
            <w:noWrap/>
            <w:vAlign w:val="center"/>
            <w:hideMark/>
          </w:tcPr>
          <w:p w14:paraId="669634F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B7B842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RB1642</w:t>
            </w:r>
          </w:p>
        </w:tc>
        <w:tc>
          <w:tcPr>
            <w:tcW w:w="1300" w:type="dxa"/>
            <w:tcBorders>
              <w:top w:val="nil"/>
              <w:left w:val="nil"/>
              <w:bottom w:val="nil"/>
              <w:right w:val="nil"/>
            </w:tcBorders>
            <w:shd w:val="clear" w:color="auto" w:fill="auto"/>
            <w:noWrap/>
            <w:vAlign w:val="center"/>
            <w:hideMark/>
          </w:tcPr>
          <w:p w14:paraId="3C89DFD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YUC</w:t>
            </w:r>
          </w:p>
        </w:tc>
        <w:tc>
          <w:tcPr>
            <w:tcW w:w="1300" w:type="dxa"/>
            <w:tcBorders>
              <w:top w:val="nil"/>
              <w:left w:val="nil"/>
              <w:bottom w:val="nil"/>
              <w:right w:val="nil"/>
            </w:tcBorders>
            <w:shd w:val="clear" w:color="auto" w:fill="auto"/>
            <w:noWrap/>
            <w:vAlign w:val="center"/>
            <w:hideMark/>
          </w:tcPr>
          <w:p w14:paraId="105D889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F4CB20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SAMN11038457</w:t>
            </w:r>
          </w:p>
        </w:tc>
      </w:tr>
      <w:tr w:rsidR="006B2888" w:rsidRPr="00AE525E" w14:paraId="36F3E9E9" w14:textId="77777777" w:rsidTr="006B2888">
        <w:trPr>
          <w:trHeight w:val="320"/>
        </w:trPr>
        <w:tc>
          <w:tcPr>
            <w:tcW w:w="2355" w:type="dxa"/>
            <w:tcBorders>
              <w:top w:val="nil"/>
              <w:left w:val="nil"/>
              <w:bottom w:val="nil"/>
              <w:right w:val="nil"/>
            </w:tcBorders>
            <w:shd w:val="clear" w:color="auto" w:fill="auto"/>
            <w:noWrap/>
            <w:vAlign w:val="center"/>
            <w:hideMark/>
          </w:tcPr>
          <w:p w14:paraId="5CC91D3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A71E0B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RB1643</w:t>
            </w:r>
          </w:p>
        </w:tc>
        <w:tc>
          <w:tcPr>
            <w:tcW w:w="1300" w:type="dxa"/>
            <w:tcBorders>
              <w:top w:val="nil"/>
              <w:left w:val="nil"/>
              <w:bottom w:val="nil"/>
              <w:right w:val="nil"/>
            </w:tcBorders>
            <w:shd w:val="clear" w:color="auto" w:fill="auto"/>
            <w:noWrap/>
            <w:vAlign w:val="center"/>
            <w:hideMark/>
          </w:tcPr>
          <w:p w14:paraId="6DC6358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YUC</w:t>
            </w:r>
          </w:p>
        </w:tc>
        <w:tc>
          <w:tcPr>
            <w:tcW w:w="1300" w:type="dxa"/>
            <w:tcBorders>
              <w:top w:val="nil"/>
              <w:left w:val="nil"/>
              <w:bottom w:val="nil"/>
              <w:right w:val="nil"/>
            </w:tcBorders>
            <w:shd w:val="clear" w:color="auto" w:fill="auto"/>
            <w:noWrap/>
            <w:vAlign w:val="center"/>
            <w:hideMark/>
          </w:tcPr>
          <w:p w14:paraId="68014C1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4D127E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SAMN11038458</w:t>
            </w:r>
          </w:p>
        </w:tc>
      </w:tr>
      <w:tr w:rsidR="006B2888" w:rsidRPr="00AE525E" w14:paraId="5BC6D038" w14:textId="77777777" w:rsidTr="006B2888">
        <w:trPr>
          <w:trHeight w:val="320"/>
        </w:trPr>
        <w:tc>
          <w:tcPr>
            <w:tcW w:w="2355" w:type="dxa"/>
            <w:tcBorders>
              <w:top w:val="nil"/>
              <w:left w:val="nil"/>
              <w:bottom w:val="nil"/>
              <w:right w:val="nil"/>
            </w:tcBorders>
            <w:shd w:val="clear" w:color="auto" w:fill="auto"/>
            <w:noWrap/>
            <w:vAlign w:val="center"/>
            <w:hideMark/>
          </w:tcPr>
          <w:p w14:paraId="46615D3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04120E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RB1645</w:t>
            </w:r>
          </w:p>
        </w:tc>
        <w:tc>
          <w:tcPr>
            <w:tcW w:w="1300" w:type="dxa"/>
            <w:tcBorders>
              <w:top w:val="nil"/>
              <w:left w:val="nil"/>
              <w:bottom w:val="nil"/>
              <w:right w:val="nil"/>
            </w:tcBorders>
            <w:shd w:val="clear" w:color="auto" w:fill="auto"/>
            <w:noWrap/>
            <w:vAlign w:val="center"/>
            <w:hideMark/>
          </w:tcPr>
          <w:p w14:paraId="7D99152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YUC</w:t>
            </w:r>
          </w:p>
        </w:tc>
        <w:tc>
          <w:tcPr>
            <w:tcW w:w="1300" w:type="dxa"/>
            <w:tcBorders>
              <w:top w:val="nil"/>
              <w:left w:val="nil"/>
              <w:bottom w:val="nil"/>
              <w:right w:val="nil"/>
            </w:tcBorders>
            <w:shd w:val="clear" w:color="auto" w:fill="auto"/>
            <w:noWrap/>
            <w:vAlign w:val="center"/>
            <w:hideMark/>
          </w:tcPr>
          <w:p w14:paraId="74CDC9C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5C2586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SAMN11038459</w:t>
            </w:r>
          </w:p>
        </w:tc>
      </w:tr>
      <w:tr w:rsidR="006B2888" w:rsidRPr="00AE525E" w14:paraId="10737E9A" w14:textId="77777777" w:rsidTr="006B2888">
        <w:trPr>
          <w:trHeight w:val="320"/>
        </w:trPr>
        <w:tc>
          <w:tcPr>
            <w:tcW w:w="2355" w:type="dxa"/>
            <w:tcBorders>
              <w:top w:val="nil"/>
              <w:left w:val="nil"/>
              <w:bottom w:val="nil"/>
              <w:right w:val="nil"/>
            </w:tcBorders>
            <w:shd w:val="clear" w:color="auto" w:fill="auto"/>
            <w:noWrap/>
            <w:vAlign w:val="center"/>
            <w:hideMark/>
          </w:tcPr>
          <w:p w14:paraId="752EDBE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21B6BB1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RB1646</w:t>
            </w:r>
          </w:p>
        </w:tc>
        <w:tc>
          <w:tcPr>
            <w:tcW w:w="1300" w:type="dxa"/>
            <w:tcBorders>
              <w:top w:val="nil"/>
              <w:left w:val="nil"/>
              <w:bottom w:val="nil"/>
              <w:right w:val="nil"/>
            </w:tcBorders>
            <w:shd w:val="clear" w:color="auto" w:fill="auto"/>
            <w:noWrap/>
            <w:vAlign w:val="center"/>
            <w:hideMark/>
          </w:tcPr>
          <w:p w14:paraId="7A33D4D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YUC</w:t>
            </w:r>
          </w:p>
        </w:tc>
        <w:tc>
          <w:tcPr>
            <w:tcW w:w="1300" w:type="dxa"/>
            <w:tcBorders>
              <w:top w:val="nil"/>
              <w:left w:val="nil"/>
              <w:bottom w:val="nil"/>
              <w:right w:val="nil"/>
            </w:tcBorders>
            <w:shd w:val="clear" w:color="auto" w:fill="auto"/>
            <w:noWrap/>
            <w:vAlign w:val="center"/>
            <w:hideMark/>
          </w:tcPr>
          <w:p w14:paraId="31792F7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11FEA7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SAMN11038460</w:t>
            </w:r>
          </w:p>
        </w:tc>
      </w:tr>
      <w:tr w:rsidR="006B2888" w:rsidRPr="00AE525E" w14:paraId="06DC4493" w14:textId="77777777" w:rsidTr="006B2888">
        <w:trPr>
          <w:trHeight w:val="320"/>
        </w:trPr>
        <w:tc>
          <w:tcPr>
            <w:tcW w:w="2355" w:type="dxa"/>
            <w:tcBorders>
              <w:top w:val="nil"/>
              <w:left w:val="nil"/>
              <w:bottom w:val="nil"/>
              <w:right w:val="nil"/>
            </w:tcBorders>
            <w:shd w:val="clear" w:color="auto" w:fill="auto"/>
            <w:noWrap/>
            <w:vAlign w:val="center"/>
            <w:hideMark/>
          </w:tcPr>
          <w:p w14:paraId="39CC8E7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7782781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RB1647</w:t>
            </w:r>
          </w:p>
        </w:tc>
        <w:tc>
          <w:tcPr>
            <w:tcW w:w="1300" w:type="dxa"/>
            <w:tcBorders>
              <w:top w:val="nil"/>
              <w:left w:val="nil"/>
              <w:bottom w:val="nil"/>
              <w:right w:val="nil"/>
            </w:tcBorders>
            <w:shd w:val="clear" w:color="auto" w:fill="auto"/>
            <w:noWrap/>
            <w:vAlign w:val="center"/>
            <w:hideMark/>
          </w:tcPr>
          <w:p w14:paraId="63461D2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YUC</w:t>
            </w:r>
          </w:p>
        </w:tc>
        <w:tc>
          <w:tcPr>
            <w:tcW w:w="1300" w:type="dxa"/>
            <w:tcBorders>
              <w:top w:val="nil"/>
              <w:left w:val="nil"/>
              <w:bottom w:val="nil"/>
              <w:right w:val="nil"/>
            </w:tcBorders>
            <w:shd w:val="clear" w:color="auto" w:fill="auto"/>
            <w:noWrap/>
            <w:vAlign w:val="center"/>
            <w:hideMark/>
          </w:tcPr>
          <w:p w14:paraId="13D8C1A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D88DEE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SAMN11038461</w:t>
            </w:r>
          </w:p>
        </w:tc>
      </w:tr>
      <w:tr w:rsidR="006B2888" w:rsidRPr="00AE525E" w14:paraId="11ACA31C" w14:textId="77777777" w:rsidTr="006B2888">
        <w:trPr>
          <w:trHeight w:val="320"/>
        </w:trPr>
        <w:tc>
          <w:tcPr>
            <w:tcW w:w="2355" w:type="dxa"/>
            <w:tcBorders>
              <w:top w:val="nil"/>
              <w:left w:val="nil"/>
              <w:bottom w:val="nil"/>
              <w:right w:val="nil"/>
            </w:tcBorders>
            <w:shd w:val="clear" w:color="auto" w:fill="auto"/>
            <w:noWrap/>
            <w:vAlign w:val="center"/>
            <w:hideMark/>
          </w:tcPr>
          <w:p w14:paraId="4B3F6A3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ADB476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RB1648</w:t>
            </w:r>
          </w:p>
        </w:tc>
        <w:tc>
          <w:tcPr>
            <w:tcW w:w="1300" w:type="dxa"/>
            <w:tcBorders>
              <w:top w:val="nil"/>
              <w:left w:val="nil"/>
              <w:bottom w:val="nil"/>
              <w:right w:val="nil"/>
            </w:tcBorders>
            <w:shd w:val="clear" w:color="auto" w:fill="auto"/>
            <w:noWrap/>
            <w:vAlign w:val="center"/>
            <w:hideMark/>
          </w:tcPr>
          <w:p w14:paraId="2950135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YUC      </w:t>
            </w:r>
          </w:p>
        </w:tc>
        <w:tc>
          <w:tcPr>
            <w:tcW w:w="1300" w:type="dxa"/>
            <w:tcBorders>
              <w:top w:val="nil"/>
              <w:left w:val="nil"/>
              <w:bottom w:val="nil"/>
              <w:right w:val="nil"/>
            </w:tcBorders>
            <w:shd w:val="clear" w:color="auto" w:fill="auto"/>
            <w:noWrap/>
            <w:vAlign w:val="center"/>
            <w:hideMark/>
          </w:tcPr>
          <w:p w14:paraId="0001C16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MK534314</w:t>
            </w:r>
          </w:p>
        </w:tc>
        <w:tc>
          <w:tcPr>
            <w:tcW w:w="2242" w:type="dxa"/>
            <w:tcBorders>
              <w:top w:val="nil"/>
              <w:left w:val="nil"/>
              <w:bottom w:val="nil"/>
              <w:right w:val="nil"/>
            </w:tcBorders>
            <w:shd w:val="clear" w:color="auto" w:fill="auto"/>
            <w:noWrap/>
            <w:vAlign w:val="bottom"/>
            <w:hideMark/>
          </w:tcPr>
          <w:p w14:paraId="5E66328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SAMN11038462</w:t>
            </w:r>
          </w:p>
        </w:tc>
      </w:tr>
      <w:tr w:rsidR="006B2888" w:rsidRPr="00AE525E" w14:paraId="30A1A4E4" w14:textId="77777777" w:rsidTr="006B2888">
        <w:trPr>
          <w:trHeight w:val="320"/>
        </w:trPr>
        <w:tc>
          <w:tcPr>
            <w:tcW w:w="2355" w:type="dxa"/>
            <w:tcBorders>
              <w:top w:val="nil"/>
              <w:left w:val="nil"/>
              <w:bottom w:val="nil"/>
              <w:right w:val="nil"/>
            </w:tcBorders>
            <w:shd w:val="clear" w:color="auto" w:fill="auto"/>
            <w:noWrap/>
            <w:vAlign w:val="center"/>
            <w:hideMark/>
          </w:tcPr>
          <w:p w14:paraId="26FA308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67239BB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RB1649</w:t>
            </w:r>
          </w:p>
        </w:tc>
        <w:tc>
          <w:tcPr>
            <w:tcW w:w="1300" w:type="dxa"/>
            <w:tcBorders>
              <w:top w:val="nil"/>
              <w:left w:val="nil"/>
              <w:bottom w:val="nil"/>
              <w:right w:val="nil"/>
            </w:tcBorders>
            <w:shd w:val="clear" w:color="auto" w:fill="auto"/>
            <w:noWrap/>
            <w:vAlign w:val="center"/>
            <w:hideMark/>
          </w:tcPr>
          <w:p w14:paraId="5C19363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YUC      </w:t>
            </w:r>
          </w:p>
        </w:tc>
        <w:tc>
          <w:tcPr>
            <w:tcW w:w="1300" w:type="dxa"/>
            <w:tcBorders>
              <w:top w:val="nil"/>
              <w:left w:val="nil"/>
              <w:bottom w:val="nil"/>
              <w:right w:val="nil"/>
            </w:tcBorders>
            <w:shd w:val="clear" w:color="auto" w:fill="auto"/>
            <w:noWrap/>
            <w:vAlign w:val="center"/>
            <w:hideMark/>
          </w:tcPr>
          <w:p w14:paraId="4E42809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MK534315</w:t>
            </w:r>
          </w:p>
        </w:tc>
        <w:tc>
          <w:tcPr>
            <w:tcW w:w="2242" w:type="dxa"/>
            <w:tcBorders>
              <w:top w:val="nil"/>
              <w:left w:val="nil"/>
              <w:bottom w:val="nil"/>
              <w:right w:val="nil"/>
            </w:tcBorders>
            <w:shd w:val="clear" w:color="auto" w:fill="auto"/>
            <w:noWrap/>
            <w:vAlign w:val="bottom"/>
            <w:hideMark/>
          </w:tcPr>
          <w:p w14:paraId="684B6D0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r>
      <w:tr w:rsidR="006B2888" w:rsidRPr="00AE525E" w14:paraId="40BE566B" w14:textId="77777777" w:rsidTr="006B2888">
        <w:trPr>
          <w:trHeight w:val="320"/>
        </w:trPr>
        <w:tc>
          <w:tcPr>
            <w:tcW w:w="2355" w:type="dxa"/>
            <w:tcBorders>
              <w:top w:val="nil"/>
              <w:left w:val="nil"/>
              <w:bottom w:val="nil"/>
              <w:right w:val="nil"/>
            </w:tcBorders>
            <w:shd w:val="clear" w:color="auto" w:fill="auto"/>
            <w:noWrap/>
            <w:vAlign w:val="center"/>
            <w:hideMark/>
          </w:tcPr>
          <w:p w14:paraId="443F9D6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5785C1A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RB1650</w:t>
            </w:r>
          </w:p>
        </w:tc>
        <w:tc>
          <w:tcPr>
            <w:tcW w:w="1300" w:type="dxa"/>
            <w:tcBorders>
              <w:top w:val="nil"/>
              <w:left w:val="nil"/>
              <w:bottom w:val="nil"/>
              <w:right w:val="nil"/>
            </w:tcBorders>
            <w:shd w:val="clear" w:color="auto" w:fill="auto"/>
            <w:noWrap/>
            <w:vAlign w:val="center"/>
            <w:hideMark/>
          </w:tcPr>
          <w:p w14:paraId="4162B93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YUC      </w:t>
            </w:r>
          </w:p>
        </w:tc>
        <w:tc>
          <w:tcPr>
            <w:tcW w:w="1300" w:type="dxa"/>
            <w:tcBorders>
              <w:top w:val="nil"/>
              <w:left w:val="nil"/>
              <w:bottom w:val="nil"/>
              <w:right w:val="nil"/>
            </w:tcBorders>
            <w:shd w:val="clear" w:color="auto" w:fill="auto"/>
            <w:noWrap/>
            <w:vAlign w:val="center"/>
            <w:hideMark/>
          </w:tcPr>
          <w:p w14:paraId="03698BB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MK534316</w:t>
            </w:r>
          </w:p>
        </w:tc>
        <w:tc>
          <w:tcPr>
            <w:tcW w:w="2242" w:type="dxa"/>
            <w:tcBorders>
              <w:top w:val="nil"/>
              <w:left w:val="nil"/>
              <w:bottom w:val="nil"/>
              <w:right w:val="nil"/>
            </w:tcBorders>
            <w:shd w:val="clear" w:color="auto" w:fill="auto"/>
            <w:noWrap/>
            <w:vAlign w:val="bottom"/>
            <w:hideMark/>
          </w:tcPr>
          <w:p w14:paraId="0321BF8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SAMN11038463</w:t>
            </w:r>
          </w:p>
        </w:tc>
      </w:tr>
      <w:tr w:rsidR="006B2888" w:rsidRPr="00AE525E" w14:paraId="31C4EE69" w14:textId="77777777" w:rsidTr="006B2888">
        <w:trPr>
          <w:trHeight w:val="320"/>
        </w:trPr>
        <w:tc>
          <w:tcPr>
            <w:tcW w:w="2355" w:type="dxa"/>
            <w:tcBorders>
              <w:top w:val="nil"/>
              <w:left w:val="nil"/>
              <w:bottom w:val="nil"/>
              <w:right w:val="nil"/>
            </w:tcBorders>
            <w:shd w:val="clear" w:color="auto" w:fill="auto"/>
            <w:noWrap/>
            <w:vAlign w:val="center"/>
            <w:hideMark/>
          </w:tcPr>
          <w:p w14:paraId="61062AA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4A01D9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RB1651</w:t>
            </w:r>
          </w:p>
        </w:tc>
        <w:tc>
          <w:tcPr>
            <w:tcW w:w="1300" w:type="dxa"/>
            <w:tcBorders>
              <w:top w:val="nil"/>
              <w:left w:val="nil"/>
              <w:bottom w:val="nil"/>
              <w:right w:val="nil"/>
            </w:tcBorders>
            <w:shd w:val="clear" w:color="auto" w:fill="auto"/>
            <w:noWrap/>
            <w:vAlign w:val="center"/>
            <w:hideMark/>
          </w:tcPr>
          <w:p w14:paraId="4D9C158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YUC</w:t>
            </w:r>
          </w:p>
        </w:tc>
        <w:tc>
          <w:tcPr>
            <w:tcW w:w="1300" w:type="dxa"/>
            <w:tcBorders>
              <w:top w:val="nil"/>
              <w:left w:val="nil"/>
              <w:bottom w:val="nil"/>
              <w:right w:val="nil"/>
            </w:tcBorders>
            <w:shd w:val="clear" w:color="auto" w:fill="auto"/>
            <w:noWrap/>
            <w:vAlign w:val="center"/>
            <w:hideMark/>
          </w:tcPr>
          <w:p w14:paraId="77F2B68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5524F9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SAMN11038464</w:t>
            </w:r>
          </w:p>
        </w:tc>
      </w:tr>
      <w:tr w:rsidR="006B2888" w:rsidRPr="00AE525E" w14:paraId="1A5CFC19" w14:textId="77777777" w:rsidTr="006B2888">
        <w:trPr>
          <w:trHeight w:val="320"/>
        </w:trPr>
        <w:tc>
          <w:tcPr>
            <w:tcW w:w="2355" w:type="dxa"/>
            <w:tcBorders>
              <w:top w:val="nil"/>
              <w:left w:val="nil"/>
              <w:bottom w:val="nil"/>
              <w:right w:val="nil"/>
            </w:tcBorders>
            <w:shd w:val="clear" w:color="auto" w:fill="auto"/>
            <w:noWrap/>
            <w:vAlign w:val="center"/>
            <w:hideMark/>
          </w:tcPr>
          <w:p w14:paraId="6AFB0AB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BD6B66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RB1652</w:t>
            </w:r>
          </w:p>
        </w:tc>
        <w:tc>
          <w:tcPr>
            <w:tcW w:w="1300" w:type="dxa"/>
            <w:tcBorders>
              <w:top w:val="nil"/>
              <w:left w:val="nil"/>
              <w:bottom w:val="nil"/>
              <w:right w:val="nil"/>
            </w:tcBorders>
            <w:shd w:val="clear" w:color="auto" w:fill="auto"/>
            <w:noWrap/>
            <w:vAlign w:val="center"/>
            <w:hideMark/>
          </w:tcPr>
          <w:p w14:paraId="3720F9A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YUC</w:t>
            </w:r>
          </w:p>
        </w:tc>
        <w:tc>
          <w:tcPr>
            <w:tcW w:w="1300" w:type="dxa"/>
            <w:tcBorders>
              <w:top w:val="nil"/>
              <w:left w:val="nil"/>
              <w:bottom w:val="nil"/>
              <w:right w:val="nil"/>
            </w:tcBorders>
            <w:shd w:val="clear" w:color="auto" w:fill="auto"/>
            <w:noWrap/>
            <w:vAlign w:val="center"/>
            <w:hideMark/>
          </w:tcPr>
          <w:p w14:paraId="0716E3F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433980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SAMN11038465</w:t>
            </w:r>
          </w:p>
        </w:tc>
      </w:tr>
      <w:tr w:rsidR="006B2888" w:rsidRPr="00AE525E" w14:paraId="1D44A8DC" w14:textId="77777777" w:rsidTr="006B2888">
        <w:trPr>
          <w:trHeight w:val="320"/>
        </w:trPr>
        <w:tc>
          <w:tcPr>
            <w:tcW w:w="2355" w:type="dxa"/>
            <w:tcBorders>
              <w:top w:val="nil"/>
              <w:left w:val="nil"/>
              <w:bottom w:val="nil"/>
              <w:right w:val="nil"/>
            </w:tcBorders>
            <w:shd w:val="clear" w:color="auto" w:fill="auto"/>
            <w:noWrap/>
            <w:vAlign w:val="center"/>
            <w:hideMark/>
          </w:tcPr>
          <w:p w14:paraId="7C40089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3F96B44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UMSNH41727</w:t>
            </w:r>
          </w:p>
        </w:tc>
        <w:tc>
          <w:tcPr>
            <w:tcW w:w="1300" w:type="dxa"/>
            <w:tcBorders>
              <w:top w:val="nil"/>
              <w:left w:val="nil"/>
              <w:bottom w:val="nil"/>
              <w:right w:val="nil"/>
            </w:tcBorders>
            <w:shd w:val="clear" w:color="auto" w:fill="auto"/>
            <w:noWrap/>
            <w:vAlign w:val="center"/>
            <w:hideMark/>
          </w:tcPr>
          <w:p w14:paraId="138F6B8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CAM</w:t>
            </w:r>
          </w:p>
        </w:tc>
        <w:tc>
          <w:tcPr>
            <w:tcW w:w="1300" w:type="dxa"/>
            <w:tcBorders>
              <w:top w:val="nil"/>
              <w:left w:val="nil"/>
              <w:bottom w:val="nil"/>
              <w:right w:val="nil"/>
            </w:tcBorders>
            <w:shd w:val="clear" w:color="auto" w:fill="auto"/>
            <w:noWrap/>
            <w:vAlign w:val="center"/>
            <w:hideMark/>
          </w:tcPr>
          <w:p w14:paraId="001BE79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98F65E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SAMN11038469</w:t>
            </w:r>
          </w:p>
        </w:tc>
      </w:tr>
      <w:tr w:rsidR="006B2888" w:rsidRPr="00AE525E" w14:paraId="1D6929FA" w14:textId="77777777" w:rsidTr="006B2888">
        <w:trPr>
          <w:trHeight w:val="320"/>
        </w:trPr>
        <w:tc>
          <w:tcPr>
            <w:tcW w:w="2355" w:type="dxa"/>
            <w:tcBorders>
              <w:top w:val="nil"/>
              <w:left w:val="nil"/>
              <w:bottom w:val="nil"/>
              <w:right w:val="nil"/>
            </w:tcBorders>
            <w:shd w:val="clear" w:color="auto" w:fill="auto"/>
            <w:noWrap/>
            <w:vAlign w:val="center"/>
            <w:hideMark/>
          </w:tcPr>
          <w:p w14:paraId="6E0EB74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campechanus</w:t>
            </w:r>
          </w:p>
        </w:tc>
        <w:tc>
          <w:tcPr>
            <w:tcW w:w="1533" w:type="dxa"/>
            <w:tcBorders>
              <w:top w:val="nil"/>
              <w:left w:val="nil"/>
              <w:bottom w:val="nil"/>
              <w:right w:val="nil"/>
            </w:tcBorders>
            <w:shd w:val="clear" w:color="auto" w:fill="auto"/>
            <w:noWrap/>
            <w:vAlign w:val="center"/>
            <w:hideMark/>
          </w:tcPr>
          <w:p w14:paraId="459A9B0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UMSNH41728</w:t>
            </w:r>
          </w:p>
        </w:tc>
        <w:tc>
          <w:tcPr>
            <w:tcW w:w="1300" w:type="dxa"/>
            <w:tcBorders>
              <w:top w:val="nil"/>
              <w:left w:val="nil"/>
              <w:bottom w:val="nil"/>
              <w:right w:val="nil"/>
            </w:tcBorders>
            <w:shd w:val="clear" w:color="auto" w:fill="auto"/>
            <w:noWrap/>
            <w:vAlign w:val="center"/>
            <w:hideMark/>
          </w:tcPr>
          <w:p w14:paraId="5739386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CAM</w:t>
            </w:r>
          </w:p>
        </w:tc>
        <w:tc>
          <w:tcPr>
            <w:tcW w:w="1300" w:type="dxa"/>
            <w:tcBorders>
              <w:top w:val="nil"/>
              <w:left w:val="nil"/>
              <w:bottom w:val="nil"/>
              <w:right w:val="nil"/>
            </w:tcBorders>
            <w:shd w:val="clear" w:color="auto" w:fill="auto"/>
            <w:noWrap/>
            <w:vAlign w:val="center"/>
            <w:hideMark/>
          </w:tcPr>
          <w:p w14:paraId="493676E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97B61F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SAMN11038470</w:t>
            </w:r>
          </w:p>
        </w:tc>
      </w:tr>
      <w:tr w:rsidR="006B2888" w:rsidRPr="00AE525E" w14:paraId="195A109F" w14:textId="77777777" w:rsidTr="006B2888">
        <w:trPr>
          <w:trHeight w:val="320"/>
        </w:trPr>
        <w:tc>
          <w:tcPr>
            <w:tcW w:w="2355" w:type="dxa"/>
            <w:tcBorders>
              <w:top w:val="nil"/>
              <w:left w:val="nil"/>
              <w:bottom w:val="nil"/>
              <w:right w:val="nil"/>
            </w:tcBorders>
            <w:shd w:val="clear" w:color="auto" w:fill="auto"/>
            <w:noWrap/>
            <w:vAlign w:val="center"/>
            <w:hideMark/>
          </w:tcPr>
          <w:p w14:paraId="667C23F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437D049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GUA001</w:t>
            </w:r>
          </w:p>
        </w:tc>
        <w:tc>
          <w:tcPr>
            <w:tcW w:w="1300" w:type="dxa"/>
            <w:tcBorders>
              <w:top w:val="nil"/>
              <w:left w:val="nil"/>
              <w:bottom w:val="nil"/>
              <w:right w:val="nil"/>
            </w:tcBorders>
            <w:shd w:val="clear" w:color="auto" w:fill="auto"/>
            <w:noWrap/>
            <w:vAlign w:val="center"/>
            <w:hideMark/>
          </w:tcPr>
          <w:p w14:paraId="2E25D55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GUA</w:t>
            </w:r>
          </w:p>
        </w:tc>
        <w:tc>
          <w:tcPr>
            <w:tcW w:w="1300" w:type="dxa"/>
            <w:tcBorders>
              <w:top w:val="nil"/>
              <w:left w:val="nil"/>
              <w:bottom w:val="nil"/>
              <w:right w:val="nil"/>
            </w:tcBorders>
            <w:shd w:val="clear" w:color="auto" w:fill="auto"/>
            <w:noWrap/>
            <w:vAlign w:val="center"/>
            <w:hideMark/>
          </w:tcPr>
          <w:p w14:paraId="7C77600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AAC919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SAMN11038335</w:t>
            </w:r>
          </w:p>
        </w:tc>
      </w:tr>
      <w:tr w:rsidR="006B2888" w:rsidRPr="00AE525E" w14:paraId="4864590E" w14:textId="77777777" w:rsidTr="006B2888">
        <w:trPr>
          <w:trHeight w:val="320"/>
        </w:trPr>
        <w:tc>
          <w:tcPr>
            <w:tcW w:w="2355" w:type="dxa"/>
            <w:tcBorders>
              <w:top w:val="nil"/>
              <w:left w:val="nil"/>
              <w:bottom w:val="nil"/>
              <w:right w:val="nil"/>
            </w:tcBorders>
            <w:shd w:val="clear" w:color="auto" w:fill="auto"/>
            <w:noWrap/>
            <w:vAlign w:val="center"/>
            <w:hideMark/>
          </w:tcPr>
          <w:p w14:paraId="2F3C512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3802BB4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GUA002</w:t>
            </w:r>
          </w:p>
        </w:tc>
        <w:tc>
          <w:tcPr>
            <w:tcW w:w="1300" w:type="dxa"/>
            <w:tcBorders>
              <w:top w:val="nil"/>
              <w:left w:val="nil"/>
              <w:bottom w:val="nil"/>
              <w:right w:val="nil"/>
            </w:tcBorders>
            <w:shd w:val="clear" w:color="auto" w:fill="auto"/>
            <w:noWrap/>
            <w:vAlign w:val="center"/>
            <w:hideMark/>
          </w:tcPr>
          <w:p w14:paraId="5BD893A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GUA</w:t>
            </w:r>
          </w:p>
        </w:tc>
        <w:tc>
          <w:tcPr>
            <w:tcW w:w="1300" w:type="dxa"/>
            <w:tcBorders>
              <w:top w:val="nil"/>
              <w:left w:val="nil"/>
              <w:bottom w:val="nil"/>
              <w:right w:val="nil"/>
            </w:tcBorders>
            <w:shd w:val="clear" w:color="auto" w:fill="auto"/>
            <w:noWrap/>
            <w:vAlign w:val="center"/>
            <w:hideMark/>
          </w:tcPr>
          <w:p w14:paraId="1EA4375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CECED9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SAMN11038336</w:t>
            </w:r>
          </w:p>
        </w:tc>
      </w:tr>
      <w:tr w:rsidR="006B2888" w:rsidRPr="00AE525E" w14:paraId="7914FF65" w14:textId="77777777" w:rsidTr="006B2888">
        <w:trPr>
          <w:trHeight w:val="320"/>
        </w:trPr>
        <w:tc>
          <w:tcPr>
            <w:tcW w:w="2355" w:type="dxa"/>
            <w:tcBorders>
              <w:top w:val="nil"/>
              <w:left w:val="nil"/>
              <w:bottom w:val="nil"/>
              <w:right w:val="nil"/>
            </w:tcBorders>
            <w:shd w:val="clear" w:color="auto" w:fill="auto"/>
            <w:noWrap/>
            <w:vAlign w:val="center"/>
            <w:hideMark/>
          </w:tcPr>
          <w:p w14:paraId="4CB950B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7C5971A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GUA003</w:t>
            </w:r>
          </w:p>
        </w:tc>
        <w:tc>
          <w:tcPr>
            <w:tcW w:w="1300" w:type="dxa"/>
            <w:tcBorders>
              <w:top w:val="nil"/>
              <w:left w:val="nil"/>
              <w:bottom w:val="nil"/>
              <w:right w:val="nil"/>
            </w:tcBorders>
            <w:shd w:val="clear" w:color="auto" w:fill="auto"/>
            <w:noWrap/>
            <w:vAlign w:val="center"/>
            <w:hideMark/>
          </w:tcPr>
          <w:p w14:paraId="0E69642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GUA</w:t>
            </w:r>
          </w:p>
        </w:tc>
        <w:tc>
          <w:tcPr>
            <w:tcW w:w="1300" w:type="dxa"/>
            <w:tcBorders>
              <w:top w:val="nil"/>
              <w:left w:val="nil"/>
              <w:bottom w:val="nil"/>
              <w:right w:val="nil"/>
            </w:tcBorders>
            <w:shd w:val="clear" w:color="auto" w:fill="auto"/>
            <w:noWrap/>
            <w:vAlign w:val="center"/>
            <w:hideMark/>
          </w:tcPr>
          <w:p w14:paraId="7C34731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330901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SAMN11038337</w:t>
            </w:r>
          </w:p>
        </w:tc>
      </w:tr>
      <w:tr w:rsidR="006B2888" w:rsidRPr="00AE525E" w14:paraId="4490B327" w14:textId="77777777" w:rsidTr="006B2888">
        <w:trPr>
          <w:trHeight w:val="320"/>
        </w:trPr>
        <w:tc>
          <w:tcPr>
            <w:tcW w:w="2355" w:type="dxa"/>
            <w:tcBorders>
              <w:top w:val="nil"/>
              <w:left w:val="nil"/>
              <w:bottom w:val="nil"/>
              <w:right w:val="nil"/>
            </w:tcBorders>
            <w:shd w:val="clear" w:color="auto" w:fill="auto"/>
            <w:noWrap/>
            <w:vAlign w:val="center"/>
            <w:hideMark/>
          </w:tcPr>
          <w:p w14:paraId="3596D09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75CDD87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GUA004</w:t>
            </w:r>
          </w:p>
        </w:tc>
        <w:tc>
          <w:tcPr>
            <w:tcW w:w="1300" w:type="dxa"/>
            <w:tcBorders>
              <w:top w:val="nil"/>
              <w:left w:val="nil"/>
              <w:bottom w:val="nil"/>
              <w:right w:val="nil"/>
            </w:tcBorders>
            <w:shd w:val="clear" w:color="auto" w:fill="auto"/>
            <w:noWrap/>
            <w:vAlign w:val="center"/>
            <w:hideMark/>
          </w:tcPr>
          <w:p w14:paraId="74F57D3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GUA</w:t>
            </w:r>
          </w:p>
        </w:tc>
        <w:tc>
          <w:tcPr>
            <w:tcW w:w="1300" w:type="dxa"/>
            <w:tcBorders>
              <w:top w:val="nil"/>
              <w:left w:val="nil"/>
              <w:bottom w:val="nil"/>
              <w:right w:val="nil"/>
            </w:tcBorders>
            <w:shd w:val="clear" w:color="auto" w:fill="auto"/>
            <w:noWrap/>
            <w:vAlign w:val="center"/>
            <w:hideMark/>
          </w:tcPr>
          <w:p w14:paraId="08D1346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CD3CDF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SAMN11038338</w:t>
            </w:r>
          </w:p>
        </w:tc>
      </w:tr>
      <w:tr w:rsidR="006B2888" w:rsidRPr="00AE525E" w14:paraId="1CB27587" w14:textId="77777777" w:rsidTr="006B2888">
        <w:trPr>
          <w:trHeight w:val="320"/>
        </w:trPr>
        <w:tc>
          <w:tcPr>
            <w:tcW w:w="2355" w:type="dxa"/>
            <w:tcBorders>
              <w:top w:val="nil"/>
              <w:left w:val="nil"/>
              <w:bottom w:val="nil"/>
              <w:right w:val="nil"/>
            </w:tcBorders>
            <w:shd w:val="clear" w:color="auto" w:fill="auto"/>
            <w:noWrap/>
            <w:vAlign w:val="center"/>
            <w:hideMark/>
          </w:tcPr>
          <w:p w14:paraId="7E35AAC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6BE52BF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LP1</w:t>
            </w:r>
          </w:p>
        </w:tc>
        <w:tc>
          <w:tcPr>
            <w:tcW w:w="1300" w:type="dxa"/>
            <w:tcBorders>
              <w:top w:val="nil"/>
              <w:left w:val="nil"/>
              <w:bottom w:val="nil"/>
              <w:right w:val="nil"/>
            </w:tcBorders>
            <w:shd w:val="clear" w:color="auto" w:fill="auto"/>
            <w:noWrap/>
            <w:vAlign w:val="center"/>
            <w:hideMark/>
          </w:tcPr>
          <w:p w14:paraId="51D4B23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NUE           </w:t>
            </w:r>
          </w:p>
        </w:tc>
        <w:tc>
          <w:tcPr>
            <w:tcW w:w="1300" w:type="dxa"/>
            <w:tcBorders>
              <w:top w:val="nil"/>
              <w:left w:val="nil"/>
              <w:bottom w:val="nil"/>
              <w:right w:val="nil"/>
            </w:tcBorders>
            <w:shd w:val="clear" w:color="auto" w:fill="auto"/>
            <w:noWrap/>
            <w:vAlign w:val="center"/>
            <w:hideMark/>
          </w:tcPr>
          <w:p w14:paraId="67C5E23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MK534320</w:t>
            </w:r>
          </w:p>
        </w:tc>
        <w:tc>
          <w:tcPr>
            <w:tcW w:w="2242" w:type="dxa"/>
            <w:tcBorders>
              <w:top w:val="nil"/>
              <w:left w:val="nil"/>
              <w:bottom w:val="nil"/>
              <w:right w:val="nil"/>
            </w:tcBorders>
            <w:shd w:val="clear" w:color="auto" w:fill="auto"/>
            <w:noWrap/>
            <w:vAlign w:val="bottom"/>
            <w:hideMark/>
          </w:tcPr>
          <w:p w14:paraId="2D832F1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SAMN11038357</w:t>
            </w:r>
          </w:p>
        </w:tc>
      </w:tr>
      <w:tr w:rsidR="006B2888" w:rsidRPr="00AE525E" w14:paraId="564575F0" w14:textId="77777777" w:rsidTr="006B2888">
        <w:trPr>
          <w:trHeight w:val="320"/>
        </w:trPr>
        <w:tc>
          <w:tcPr>
            <w:tcW w:w="2355" w:type="dxa"/>
            <w:tcBorders>
              <w:top w:val="nil"/>
              <w:left w:val="nil"/>
              <w:bottom w:val="nil"/>
              <w:right w:val="nil"/>
            </w:tcBorders>
            <w:shd w:val="clear" w:color="auto" w:fill="auto"/>
            <w:noWrap/>
            <w:vAlign w:val="center"/>
            <w:hideMark/>
          </w:tcPr>
          <w:p w14:paraId="05536C4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6C6E788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LP10</w:t>
            </w:r>
          </w:p>
        </w:tc>
        <w:tc>
          <w:tcPr>
            <w:tcW w:w="1300" w:type="dxa"/>
            <w:tcBorders>
              <w:top w:val="nil"/>
              <w:left w:val="nil"/>
              <w:bottom w:val="nil"/>
              <w:right w:val="nil"/>
            </w:tcBorders>
            <w:shd w:val="clear" w:color="auto" w:fill="auto"/>
            <w:noWrap/>
            <w:vAlign w:val="center"/>
            <w:hideMark/>
          </w:tcPr>
          <w:p w14:paraId="6513840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GUA</w:t>
            </w:r>
          </w:p>
        </w:tc>
        <w:tc>
          <w:tcPr>
            <w:tcW w:w="1300" w:type="dxa"/>
            <w:tcBorders>
              <w:top w:val="nil"/>
              <w:left w:val="nil"/>
              <w:bottom w:val="nil"/>
              <w:right w:val="nil"/>
            </w:tcBorders>
            <w:shd w:val="clear" w:color="auto" w:fill="auto"/>
            <w:noWrap/>
            <w:vAlign w:val="center"/>
            <w:hideMark/>
          </w:tcPr>
          <w:p w14:paraId="38BBD8A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972702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SAMN11038358</w:t>
            </w:r>
          </w:p>
        </w:tc>
      </w:tr>
      <w:tr w:rsidR="006B2888" w:rsidRPr="00AE525E" w14:paraId="5ED4E386" w14:textId="77777777" w:rsidTr="006B2888">
        <w:trPr>
          <w:trHeight w:val="320"/>
        </w:trPr>
        <w:tc>
          <w:tcPr>
            <w:tcW w:w="2355" w:type="dxa"/>
            <w:tcBorders>
              <w:top w:val="nil"/>
              <w:left w:val="nil"/>
              <w:bottom w:val="nil"/>
              <w:right w:val="nil"/>
            </w:tcBorders>
            <w:shd w:val="clear" w:color="auto" w:fill="auto"/>
            <w:noWrap/>
            <w:vAlign w:val="center"/>
            <w:hideMark/>
          </w:tcPr>
          <w:p w14:paraId="41CA55FF"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A52015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LP2</w:t>
            </w:r>
          </w:p>
        </w:tc>
        <w:tc>
          <w:tcPr>
            <w:tcW w:w="1300" w:type="dxa"/>
            <w:tcBorders>
              <w:top w:val="nil"/>
              <w:left w:val="nil"/>
              <w:bottom w:val="nil"/>
              <w:right w:val="nil"/>
            </w:tcBorders>
            <w:shd w:val="clear" w:color="auto" w:fill="auto"/>
            <w:noWrap/>
            <w:vAlign w:val="center"/>
            <w:hideMark/>
          </w:tcPr>
          <w:p w14:paraId="070B0B9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nil"/>
              <w:right w:val="nil"/>
            </w:tcBorders>
            <w:shd w:val="clear" w:color="auto" w:fill="auto"/>
            <w:noWrap/>
            <w:vAlign w:val="center"/>
            <w:hideMark/>
          </w:tcPr>
          <w:p w14:paraId="4DC7E87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92EADF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SAMN11038359</w:t>
            </w:r>
          </w:p>
        </w:tc>
      </w:tr>
      <w:tr w:rsidR="006B2888" w:rsidRPr="00AE525E" w14:paraId="6D6EB91F" w14:textId="77777777" w:rsidTr="006B2888">
        <w:trPr>
          <w:trHeight w:val="320"/>
        </w:trPr>
        <w:tc>
          <w:tcPr>
            <w:tcW w:w="2355" w:type="dxa"/>
            <w:tcBorders>
              <w:top w:val="nil"/>
              <w:left w:val="nil"/>
              <w:bottom w:val="nil"/>
              <w:right w:val="nil"/>
            </w:tcBorders>
            <w:shd w:val="clear" w:color="auto" w:fill="auto"/>
            <w:noWrap/>
            <w:vAlign w:val="center"/>
            <w:hideMark/>
          </w:tcPr>
          <w:p w14:paraId="2829831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5B97DDE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LP3</w:t>
            </w:r>
          </w:p>
        </w:tc>
        <w:tc>
          <w:tcPr>
            <w:tcW w:w="1300" w:type="dxa"/>
            <w:tcBorders>
              <w:top w:val="nil"/>
              <w:left w:val="nil"/>
              <w:bottom w:val="nil"/>
              <w:right w:val="nil"/>
            </w:tcBorders>
            <w:shd w:val="clear" w:color="auto" w:fill="auto"/>
            <w:noWrap/>
            <w:vAlign w:val="center"/>
            <w:hideMark/>
          </w:tcPr>
          <w:p w14:paraId="6C28D61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NUE           </w:t>
            </w:r>
          </w:p>
        </w:tc>
        <w:tc>
          <w:tcPr>
            <w:tcW w:w="1300" w:type="dxa"/>
            <w:tcBorders>
              <w:top w:val="nil"/>
              <w:left w:val="nil"/>
              <w:bottom w:val="nil"/>
              <w:right w:val="nil"/>
            </w:tcBorders>
            <w:shd w:val="clear" w:color="auto" w:fill="auto"/>
            <w:noWrap/>
            <w:vAlign w:val="center"/>
            <w:hideMark/>
          </w:tcPr>
          <w:p w14:paraId="75AADF4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MK534321</w:t>
            </w:r>
          </w:p>
        </w:tc>
        <w:tc>
          <w:tcPr>
            <w:tcW w:w="2242" w:type="dxa"/>
            <w:tcBorders>
              <w:top w:val="nil"/>
              <w:left w:val="nil"/>
              <w:bottom w:val="nil"/>
              <w:right w:val="nil"/>
            </w:tcBorders>
            <w:shd w:val="clear" w:color="auto" w:fill="auto"/>
            <w:noWrap/>
            <w:vAlign w:val="bottom"/>
            <w:hideMark/>
          </w:tcPr>
          <w:p w14:paraId="3745021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SAMN11038360</w:t>
            </w:r>
          </w:p>
        </w:tc>
      </w:tr>
      <w:tr w:rsidR="006B2888" w:rsidRPr="00AE525E" w14:paraId="7B6662B5" w14:textId="77777777" w:rsidTr="006B2888">
        <w:trPr>
          <w:trHeight w:val="320"/>
        </w:trPr>
        <w:tc>
          <w:tcPr>
            <w:tcW w:w="2355" w:type="dxa"/>
            <w:tcBorders>
              <w:top w:val="nil"/>
              <w:left w:val="nil"/>
              <w:bottom w:val="nil"/>
              <w:right w:val="nil"/>
            </w:tcBorders>
            <w:shd w:val="clear" w:color="auto" w:fill="auto"/>
            <w:noWrap/>
            <w:vAlign w:val="center"/>
            <w:hideMark/>
          </w:tcPr>
          <w:p w14:paraId="4BC0C90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3DEC172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LP4</w:t>
            </w:r>
          </w:p>
        </w:tc>
        <w:tc>
          <w:tcPr>
            <w:tcW w:w="1300" w:type="dxa"/>
            <w:tcBorders>
              <w:top w:val="nil"/>
              <w:left w:val="nil"/>
              <w:bottom w:val="nil"/>
              <w:right w:val="nil"/>
            </w:tcBorders>
            <w:shd w:val="clear" w:color="auto" w:fill="auto"/>
            <w:noWrap/>
            <w:vAlign w:val="center"/>
            <w:hideMark/>
          </w:tcPr>
          <w:p w14:paraId="25424E8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nil"/>
              <w:right w:val="nil"/>
            </w:tcBorders>
            <w:shd w:val="clear" w:color="auto" w:fill="auto"/>
            <w:noWrap/>
            <w:vAlign w:val="center"/>
            <w:hideMark/>
          </w:tcPr>
          <w:p w14:paraId="7BCB4C7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141264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SAMN11038361</w:t>
            </w:r>
          </w:p>
        </w:tc>
      </w:tr>
      <w:tr w:rsidR="006B2888" w:rsidRPr="00AE525E" w14:paraId="5BA6E960" w14:textId="77777777" w:rsidTr="006B2888">
        <w:trPr>
          <w:trHeight w:val="320"/>
        </w:trPr>
        <w:tc>
          <w:tcPr>
            <w:tcW w:w="2355" w:type="dxa"/>
            <w:tcBorders>
              <w:top w:val="nil"/>
              <w:left w:val="nil"/>
              <w:bottom w:val="nil"/>
              <w:right w:val="nil"/>
            </w:tcBorders>
            <w:shd w:val="clear" w:color="auto" w:fill="auto"/>
            <w:noWrap/>
            <w:vAlign w:val="center"/>
            <w:hideMark/>
          </w:tcPr>
          <w:p w14:paraId="21E5AFB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391EF8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LP5</w:t>
            </w:r>
          </w:p>
        </w:tc>
        <w:tc>
          <w:tcPr>
            <w:tcW w:w="1300" w:type="dxa"/>
            <w:tcBorders>
              <w:top w:val="nil"/>
              <w:left w:val="nil"/>
              <w:bottom w:val="nil"/>
              <w:right w:val="nil"/>
            </w:tcBorders>
            <w:shd w:val="clear" w:color="auto" w:fill="auto"/>
            <w:noWrap/>
            <w:vAlign w:val="center"/>
            <w:hideMark/>
          </w:tcPr>
          <w:p w14:paraId="109F83F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nil"/>
              <w:right w:val="nil"/>
            </w:tcBorders>
            <w:shd w:val="clear" w:color="auto" w:fill="auto"/>
            <w:noWrap/>
            <w:vAlign w:val="center"/>
            <w:hideMark/>
          </w:tcPr>
          <w:p w14:paraId="52962D6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658119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SAMN11038362</w:t>
            </w:r>
          </w:p>
        </w:tc>
      </w:tr>
      <w:tr w:rsidR="006B2888" w:rsidRPr="00AE525E" w14:paraId="1D0D602E" w14:textId="77777777" w:rsidTr="006B2888">
        <w:trPr>
          <w:trHeight w:val="320"/>
        </w:trPr>
        <w:tc>
          <w:tcPr>
            <w:tcW w:w="2355" w:type="dxa"/>
            <w:tcBorders>
              <w:top w:val="nil"/>
              <w:left w:val="nil"/>
              <w:bottom w:val="nil"/>
              <w:right w:val="nil"/>
            </w:tcBorders>
            <w:shd w:val="clear" w:color="auto" w:fill="auto"/>
            <w:noWrap/>
            <w:vAlign w:val="center"/>
            <w:hideMark/>
          </w:tcPr>
          <w:p w14:paraId="2D53F1D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870FF5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LP6</w:t>
            </w:r>
          </w:p>
        </w:tc>
        <w:tc>
          <w:tcPr>
            <w:tcW w:w="1300" w:type="dxa"/>
            <w:tcBorders>
              <w:top w:val="nil"/>
              <w:left w:val="nil"/>
              <w:bottom w:val="nil"/>
              <w:right w:val="nil"/>
            </w:tcBorders>
            <w:shd w:val="clear" w:color="auto" w:fill="auto"/>
            <w:noWrap/>
            <w:vAlign w:val="center"/>
            <w:hideMark/>
          </w:tcPr>
          <w:p w14:paraId="7200CF0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nil"/>
              <w:right w:val="nil"/>
            </w:tcBorders>
            <w:shd w:val="clear" w:color="auto" w:fill="auto"/>
            <w:noWrap/>
            <w:vAlign w:val="center"/>
            <w:hideMark/>
          </w:tcPr>
          <w:p w14:paraId="2413F7C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D15168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SAMN11038363</w:t>
            </w:r>
          </w:p>
        </w:tc>
      </w:tr>
      <w:tr w:rsidR="006B2888" w:rsidRPr="00AE525E" w14:paraId="2CA24FF0" w14:textId="77777777" w:rsidTr="006B2888">
        <w:trPr>
          <w:trHeight w:val="320"/>
        </w:trPr>
        <w:tc>
          <w:tcPr>
            <w:tcW w:w="2355" w:type="dxa"/>
            <w:tcBorders>
              <w:top w:val="nil"/>
              <w:left w:val="nil"/>
              <w:bottom w:val="nil"/>
              <w:right w:val="nil"/>
            </w:tcBorders>
            <w:shd w:val="clear" w:color="auto" w:fill="auto"/>
            <w:noWrap/>
            <w:vAlign w:val="center"/>
            <w:hideMark/>
          </w:tcPr>
          <w:p w14:paraId="252F8E3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2C6FB51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LP7</w:t>
            </w:r>
          </w:p>
        </w:tc>
        <w:tc>
          <w:tcPr>
            <w:tcW w:w="1300" w:type="dxa"/>
            <w:tcBorders>
              <w:top w:val="nil"/>
              <w:left w:val="nil"/>
              <w:bottom w:val="nil"/>
              <w:right w:val="nil"/>
            </w:tcBorders>
            <w:shd w:val="clear" w:color="auto" w:fill="auto"/>
            <w:noWrap/>
            <w:vAlign w:val="center"/>
            <w:hideMark/>
          </w:tcPr>
          <w:p w14:paraId="5482F66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nil"/>
              <w:right w:val="nil"/>
            </w:tcBorders>
            <w:shd w:val="clear" w:color="auto" w:fill="auto"/>
            <w:noWrap/>
            <w:vAlign w:val="center"/>
            <w:hideMark/>
          </w:tcPr>
          <w:p w14:paraId="3F34302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028145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SAMN11038364</w:t>
            </w:r>
          </w:p>
        </w:tc>
      </w:tr>
      <w:tr w:rsidR="006B2888" w:rsidRPr="00AE525E" w14:paraId="4594A591" w14:textId="77777777" w:rsidTr="006B2888">
        <w:trPr>
          <w:trHeight w:val="320"/>
        </w:trPr>
        <w:tc>
          <w:tcPr>
            <w:tcW w:w="2355" w:type="dxa"/>
            <w:tcBorders>
              <w:top w:val="nil"/>
              <w:left w:val="nil"/>
              <w:bottom w:val="nil"/>
              <w:right w:val="nil"/>
            </w:tcBorders>
            <w:shd w:val="clear" w:color="auto" w:fill="auto"/>
            <w:noWrap/>
            <w:vAlign w:val="center"/>
            <w:hideMark/>
          </w:tcPr>
          <w:p w14:paraId="69E1725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8EC70B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LP8</w:t>
            </w:r>
          </w:p>
        </w:tc>
        <w:tc>
          <w:tcPr>
            <w:tcW w:w="1300" w:type="dxa"/>
            <w:tcBorders>
              <w:top w:val="nil"/>
              <w:left w:val="nil"/>
              <w:bottom w:val="nil"/>
              <w:right w:val="nil"/>
            </w:tcBorders>
            <w:shd w:val="clear" w:color="auto" w:fill="auto"/>
            <w:noWrap/>
            <w:vAlign w:val="center"/>
            <w:hideMark/>
          </w:tcPr>
          <w:p w14:paraId="71ADC32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GUA           </w:t>
            </w:r>
          </w:p>
        </w:tc>
        <w:tc>
          <w:tcPr>
            <w:tcW w:w="1300" w:type="dxa"/>
            <w:tcBorders>
              <w:top w:val="nil"/>
              <w:left w:val="nil"/>
              <w:bottom w:val="nil"/>
              <w:right w:val="nil"/>
            </w:tcBorders>
            <w:shd w:val="clear" w:color="auto" w:fill="auto"/>
            <w:noWrap/>
            <w:vAlign w:val="center"/>
            <w:hideMark/>
          </w:tcPr>
          <w:p w14:paraId="322557E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MK534322</w:t>
            </w:r>
          </w:p>
        </w:tc>
        <w:tc>
          <w:tcPr>
            <w:tcW w:w="2242" w:type="dxa"/>
            <w:tcBorders>
              <w:top w:val="nil"/>
              <w:left w:val="nil"/>
              <w:bottom w:val="nil"/>
              <w:right w:val="nil"/>
            </w:tcBorders>
            <w:shd w:val="clear" w:color="auto" w:fill="auto"/>
            <w:noWrap/>
            <w:vAlign w:val="bottom"/>
            <w:hideMark/>
          </w:tcPr>
          <w:p w14:paraId="5DA95E5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SAMN11038365</w:t>
            </w:r>
          </w:p>
        </w:tc>
      </w:tr>
      <w:tr w:rsidR="006B2888" w:rsidRPr="00AE525E" w14:paraId="6C3B068F" w14:textId="77777777" w:rsidTr="006B2888">
        <w:trPr>
          <w:trHeight w:val="320"/>
        </w:trPr>
        <w:tc>
          <w:tcPr>
            <w:tcW w:w="2355" w:type="dxa"/>
            <w:tcBorders>
              <w:top w:val="nil"/>
              <w:left w:val="nil"/>
              <w:bottom w:val="nil"/>
              <w:right w:val="nil"/>
            </w:tcBorders>
            <w:shd w:val="clear" w:color="auto" w:fill="auto"/>
            <w:noWrap/>
            <w:vAlign w:val="center"/>
            <w:hideMark/>
          </w:tcPr>
          <w:p w14:paraId="72A0787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13AC12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LP9</w:t>
            </w:r>
          </w:p>
        </w:tc>
        <w:tc>
          <w:tcPr>
            <w:tcW w:w="1300" w:type="dxa"/>
            <w:tcBorders>
              <w:top w:val="nil"/>
              <w:left w:val="nil"/>
              <w:bottom w:val="nil"/>
              <w:right w:val="nil"/>
            </w:tcBorders>
            <w:shd w:val="clear" w:color="auto" w:fill="auto"/>
            <w:noWrap/>
            <w:vAlign w:val="center"/>
            <w:hideMark/>
          </w:tcPr>
          <w:p w14:paraId="160FDC8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GUA           </w:t>
            </w:r>
          </w:p>
        </w:tc>
        <w:tc>
          <w:tcPr>
            <w:tcW w:w="1300" w:type="dxa"/>
            <w:tcBorders>
              <w:top w:val="nil"/>
              <w:left w:val="nil"/>
              <w:bottom w:val="nil"/>
              <w:right w:val="nil"/>
            </w:tcBorders>
            <w:shd w:val="clear" w:color="auto" w:fill="auto"/>
            <w:noWrap/>
            <w:vAlign w:val="center"/>
            <w:hideMark/>
          </w:tcPr>
          <w:p w14:paraId="798C73E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MK534323</w:t>
            </w:r>
          </w:p>
        </w:tc>
        <w:tc>
          <w:tcPr>
            <w:tcW w:w="2242" w:type="dxa"/>
            <w:tcBorders>
              <w:top w:val="nil"/>
              <w:left w:val="nil"/>
              <w:bottom w:val="nil"/>
              <w:right w:val="nil"/>
            </w:tcBorders>
            <w:shd w:val="clear" w:color="auto" w:fill="auto"/>
            <w:noWrap/>
            <w:vAlign w:val="bottom"/>
            <w:hideMark/>
          </w:tcPr>
          <w:p w14:paraId="1C47094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SAMN11038366</w:t>
            </w:r>
          </w:p>
        </w:tc>
      </w:tr>
      <w:tr w:rsidR="006B2888" w:rsidRPr="00AE525E" w14:paraId="3C82A661" w14:textId="77777777" w:rsidTr="006B2888">
        <w:trPr>
          <w:trHeight w:val="320"/>
        </w:trPr>
        <w:tc>
          <w:tcPr>
            <w:tcW w:w="2355" w:type="dxa"/>
            <w:tcBorders>
              <w:top w:val="nil"/>
              <w:left w:val="nil"/>
              <w:bottom w:val="nil"/>
              <w:right w:val="nil"/>
            </w:tcBorders>
            <w:shd w:val="clear" w:color="auto" w:fill="auto"/>
            <w:noWrap/>
            <w:vAlign w:val="center"/>
            <w:hideMark/>
          </w:tcPr>
          <w:p w14:paraId="2F77972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lastRenderedPageBreak/>
              <w:t>Lutjanus purpureus</w:t>
            </w:r>
          </w:p>
        </w:tc>
        <w:tc>
          <w:tcPr>
            <w:tcW w:w="1533" w:type="dxa"/>
            <w:tcBorders>
              <w:top w:val="nil"/>
              <w:left w:val="nil"/>
              <w:bottom w:val="nil"/>
              <w:right w:val="nil"/>
            </w:tcBorders>
            <w:shd w:val="clear" w:color="auto" w:fill="auto"/>
            <w:noWrap/>
            <w:vAlign w:val="center"/>
            <w:hideMark/>
          </w:tcPr>
          <w:p w14:paraId="19EDBE8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RB1432</w:t>
            </w:r>
          </w:p>
        </w:tc>
        <w:tc>
          <w:tcPr>
            <w:tcW w:w="1300" w:type="dxa"/>
            <w:tcBorders>
              <w:top w:val="nil"/>
              <w:left w:val="nil"/>
              <w:bottom w:val="nil"/>
              <w:right w:val="nil"/>
            </w:tcBorders>
            <w:shd w:val="clear" w:color="auto" w:fill="auto"/>
            <w:noWrap/>
            <w:vAlign w:val="center"/>
            <w:hideMark/>
          </w:tcPr>
          <w:p w14:paraId="50B23BD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60ADC2C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5161DD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SAMN11038384</w:t>
            </w:r>
          </w:p>
        </w:tc>
      </w:tr>
      <w:tr w:rsidR="006B2888" w:rsidRPr="00AE525E" w14:paraId="15062203" w14:textId="77777777" w:rsidTr="006B2888">
        <w:trPr>
          <w:trHeight w:val="320"/>
        </w:trPr>
        <w:tc>
          <w:tcPr>
            <w:tcW w:w="2355" w:type="dxa"/>
            <w:tcBorders>
              <w:top w:val="nil"/>
              <w:left w:val="nil"/>
              <w:bottom w:val="nil"/>
              <w:right w:val="nil"/>
            </w:tcBorders>
            <w:shd w:val="clear" w:color="auto" w:fill="auto"/>
            <w:noWrap/>
            <w:vAlign w:val="center"/>
            <w:hideMark/>
          </w:tcPr>
          <w:p w14:paraId="7B35ADB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5555C3C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RB1433</w:t>
            </w:r>
          </w:p>
        </w:tc>
        <w:tc>
          <w:tcPr>
            <w:tcW w:w="1300" w:type="dxa"/>
            <w:tcBorders>
              <w:top w:val="nil"/>
              <w:left w:val="nil"/>
              <w:bottom w:val="nil"/>
              <w:right w:val="nil"/>
            </w:tcBorders>
            <w:shd w:val="clear" w:color="auto" w:fill="auto"/>
            <w:noWrap/>
            <w:vAlign w:val="center"/>
            <w:hideMark/>
          </w:tcPr>
          <w:p w14:paraId="5643BC9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7FA617B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1E97A5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SAMN11038385</w:t>
            </w:r>
          </w:p>
        </w:tc>
      </w:tr>
      <w:tr w:rsidR="006B2888" w:rsidRPr="00AE525E" w14:paraId="5336A898" w14:textId="77777777" w:rsidTr="006B2888">
        <w:trPr>
          <w:trHeight w:val="320"/>
        </w:trPr>
        <w:tc>
          <w:tcPr>
            <w:tcW w:w="2355" w:type="dxa"/>
            <w:tcBorders>
              <w:top w:val="nil"/>
              <w:left w:val="nil"/>
              <w:bottom w:val="nil"/>
              <w:right w:val="nil"/>
            </w:tcBorders>
            <w:shd w:val="clear" w:color="auto" w:fill="auto"/>
            <w:noWrap/>
            <w:vAlign w:val="center"/>
            <w:hideMark/>
          </w:tcPr>
          <w:p w14:paraId="2753837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49E8274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RB1434</w:t>
            </w:r>
          </w:p>
        </w:tc>
        <w:tc>
          <w:tcPr>
            <w:tcW w:w="1300" w:type="dxa"/>
            <w:tcBorders>
              <w:top w:val="nil"/>
              <w:left w:val="nil"/>
              <w:bottom w:val="nil"/>
              <w:right w:val="nil"/>
            </w:tcBorders>
            <w:shd w:val="clear" w:color="auto" w:fill="auto"/>
            <w:noWrap/>
            <w:vAlign w:val="center"/>
            <w:hideMark/>
          </w:tcPr>
          <w:p w14:paraId="6A38AD7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1B633E5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95B6B7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SAMN11038386</w:t>
            </w:r>
          </w:p>
        </w:tc>
      </w:tr>
      <w:tr w:rsidR="006B2888" w:rsidRPr="00AE525E" w14:paraId="7CED8EE1" w14:textId="77777777" w:rsidTr="006B2888">
        <w:trPr>
          <w:trHeight w:val="320"/>
        </w:trPr>
        <w:tc>
          <w:tcPr>
            <w:tcW w:w="2355" w:type="dxa"/>
            <w:tcBorders>
              <w:top w:val="nil"/>
              <w:left w:val="nil"/>
              <w:bottom w:val="nil"/>
              <w:right w:val="nil"/>
            </w:tcBorders>
            <w:shd w:val="clear" w:color="auto" w:fill="auto"/>
            <w:noWrap/>
            <w:vAlign w:val="center"/>
            <w:hideMark/>
          </w:tcPr>
          <w:p w14:paraId="72EEAC6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4959D04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RB1436</w:t>
            </w:r>
          </w:p>
        </w:tc>
        <w:tc>
          <w:tcPr>
            <w:tcW w:w="1300" w:type="dxa"/>
            <w:tcBorders>
              <w:top w:val="nil"/>
              <w:left w:val="nil"/>
              <w:bottom w:val="nil"/>
              <w:right w:val="nil"/>
            </w:tcBorders>
            <w:shd w:val="clear" w:color="auto" w:fill="auto"/>
            <w:noWrap/>
            <w:vAlign w:val="center"/>
            <w:hideMark/>
          </w:tcPr>
          <w:p w14:paraId="1598F9C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28B439E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51DA27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SAMN11038387</w:t>
            </w:r>
          </w:p>
        </w:tc>
      </w:tr>
      <w:tr w:rsidR="006B2888" w:rsidRPr="00AE525E" w14:paraId="6BD47E95" w14:textId="77777777" w:rsidTr="006B2888">
        <w:trPr>
          <w:trHeight w:val="320"/>
        </w:trPr>
        <w:tc>
          <w:tcPr>
            <w:tcW w:w="2355" w:type="dxa"/>
            <w:tcBorders>
              <w:top w:val="nil"/>
              <w:left w:val="nil"/>
              <w:bottom w:val="nil"/>
              <w:right w:val="nil"/>
            </w:tcBorders>
            <w:shd w:val="clear" w:color="auto" w:fill="auto"/>
            <w:noWrap/>
            <w:vAlign w:val="center"/>
            <w:hideMark/>
          </w:tcPr>
          <w:p w14:paraId="408F590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5657552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RB1438</w:t>
            </w:r>
          </w:p>
        </w:tc>
        <w:tc>
          <w:tcPr>
            <w:tcW w:w="1300" w:type="dxa"/>
            <w:tcBorders>
              <w:top w:val="nil"/>
              <w:left w:val="nil"/>
              <w:bottom w:val="nil"/>
              <w:right w:val="nil"/>
            </w:tcBorders>
            <w:shd w:val="clear" w:color="auto" w:fill="auto"/>
            <w:noWrap/>
            <w:vAlign w:val="center"/>
            <w:hideMark/>
          </w:tcPr>
          <w:p w14:paraId="6F6AC3C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6DE5D13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497BA5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SAMN11038388</w:t>
            </w:r>
          </w:p>
        </w:tc>
      </w:tr>
      <w:tr w:rsidR="006B2888" w:rsidRPr="00AE525E" w14:paraId="571CB339" w14:textId="77777777" w:rsidTr="006B2888">
        <w:trPr>
          <w:trHeight w:val="320"/>
        </w:trPr>
        <w:tc>
          <w:tcPr>
            <w:tcW w:w="2355" w:type="dxa"/>
            <w:tcBorders>
              <w:top w:val="nil"/>
              <w:left w:val="nil"/>
              <w:bottom w:val="nil"/>
              <w:right w:val="nil"/>
            </w:tcBorders>
            <w:shd w:val="clear" w:color="auto" w:fill="auto"/>
            <w:noWrap/>
            <w:vAlign w:val="center"/>
            <w:hideMark/>
          </w:tcPr>
          <w:p w14:paraId="5209184F"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41F6640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RB1439</w:t>
            </w:r>
          </w:p>
        </w:tc>
        <w:tc>
          <w:tcPr>
            <w:tcW w:w="1300" w:type="dxa"/>
            <w:tcBorders>
              <w:top w:val="nil"/>
              <w:left w:val="nil"/>
              <w:bottom w:val="nil"/>
              <w:right w:val="nil"/>
            </w:tcBorders>
            <w:shd w:val="clear" w:color="auto" w:fill="auto"/>
            <w:noWrap/>
            <w:vAlign w:val="center"/>
            <w:hideMark/>
          </w:tcPr>
          <w:p w14:paraId="2468CF9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63EFB1C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D844A2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SAMN11038389</w:t>
            </w:r>
          </w:p>
        </w:tc>
      </w:tr>
      <w:tr w:rsidR="006B2888" w:rsidRPr="00AE525E" w14:paraId="5EADA369" w14:textId="77777777" w:rsidTr="006B2888">
        <w:trPr>
          <w:trHeight w:val="320"/>
        </w:trPr>
        <w:tc>
          <w:tcPr>
            <w:tcW w:w="2355" w:type="dxa"/>
            <w:tcBorders>
              <w:top w:val="nil"/>
              <w:left w:val="nil"/>
              <w:bottom w:val="nil"/>
              <w:right w:val="nil"/>
            </w:tcBorders>
            <w:shd w:val="clear" w:color="auto" w:fill="auto"/>
            <w:noWrap/>
            <w:vAlign w:val="center"/>
            <w:hideMark/>
          </w:tcPr>
          <w:p w14:paraId="0314667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40AB345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RB1442</w:t>
            </w:r>
          </w:p>
        </w:tc>
        <w:tc>
          <w:tcPr>
            <w:tcW w:w="1300" w:type="dxa"/>
            <w:tcBorders>
              <w:top w:val="nil"/>
              <w:left w:val="nil"/>
              <w:bottom w:val="nil"/>
              <w:right w:val="nil"/>
            </w:tcBorders>
            <w:shd w:val="clear" w:color="auto" w:fill="auto"/>
            <w:noWrap/>
            <w:vAlign w:val="center"/>
            <w:hideMark/>
          </w:tcPr>
          <w:p w14:paraId="0303393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2DB77E8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37EB33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SAMN11038390</w:t>
            </w:r>
          </w:p>
        </w:tc>
      </w:tr>
      <w:tr w:rsidR="006B2888" w:rsidRPr="00AE525E" w14:paraId="64786C5C" w14:textId="77777777" w:rsidTr="006B2888">
        <w:trPr>
          <w:trHeight w:val="320"/>
        </w:trPr>
        <w:tc>
          <w:tcPr>
            <w:tcW w:w="2355" w:type="dxa"/>
            <w:tcBorders>
              <w:top w:val="nil"/>
              <w:left w:val="nil"/>
              <w:bottom w:val="nil"/>
              <w:right w:val="nil"/>
            </w:tcBorders>
            <w:shd w:val="clear" w:color="auto" w:fill="auto"/>
            <w:noWrap/>
            <w:vAlign w:val="center"/>
            <w:hideMark/>
          </w:tcPr>
          <w:p w14:paraId="4662E4F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5AF687D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RB1444</w:t>
            </w:r>
          </w:p>
        </w:tc>
        <w:tc>
          <w:tcPr>
            <w:tcW w:w="1300" w:type="dxa"/>
            <w:tcBorders>
              <w:top w:val="nil"/>
              <w:left w:val="nil"/>
              <w:bottom w:val="nil"/>
              <w:right w:val="nil"/>
            </w:tcBorders>
            <w:shd w:val="clear" w:color="auto" w:fill="auto"/>
            <w:noWrap/>
            <w:vAlign w:val="center"/>
            <w:hideMark/>
          </w:tcPr>
          <w:p w14:paraId="3EC5E7B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49585D6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E04428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SAMN11038391</w:t>
            </w:r>
          </w:p>
        </w:tc>
      </w:tr>
      <w:tr w:rsidR="006B2888" w:rsidRPr="00AE525E" w14:paraId="58570D4C" w14:textId="77777777" w:rsidTr="006B2888">
        <w:trPr>
          <w:trHeight w:val="320"/>
        </w:trPr>
        <w:tc>
          <w:tcPr>
            <w:tcW w:w="2355" w:type="dxa"/>
            <w:tcBorders>
              <w:top w:val="nil"/>
              <w:left w:val="nil"/>
              <w:bottom w:val="nil"/>
              <w:right w:val="nil"/>
            </w:tcBorders>
            <w:shd w:val="clear" w:color="auto" w:fill="auto"/>
            <w:noWrap/>
            <w:vAlign w:val="center"/>
            <w:hideMark/>
          </w:tcPr>
          <w:p w14:paraId="7AE1FE4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4AE4E97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RB1445</w:t>
            </w:r>
          </w:p>
        </w:tc>
        <w:tc>
          <w:tcPr>
            <w:tcW w:w="1300" w:type="dxa"/>
            <w:tcBorders>
              <w:top w:val="nil"/>
              <w:left w:val="nil"/>
              <w:bottom w:val="nil"/>
              <w:right w:val="nil"/>
            </w:tcBorders>
            <w:shd w:val="clear" w:color="auto" w:fill="auto"/>
            <w:noWrap/>
            <w:vAlign w:val="center"/>
            <w:hideMark/>
          </w:tcPr>
          <w:p w14:paraId="4ADD8E3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30A5A3D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D8BD42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SAMN11038392</w:t>
            </w:r>
          </w:p>
        </w:tc>
      </w:tr>
      <w:tr w:rsidR="006B2888" w:rsidRPr="00AE525E" w14:paraId="04A4E263" w14:textId="77777777" w:rsidTr="006B2888">
        <w:trPr>
          <w:trHeight w:val="320"/>
        </w:trPr>
        <w:tc>
          <w:tcPr>
            <w:tcW w:w="2355" w:type="dxa"/>
            <w:tcBorders>
              <w:top w:val="nil"/>
              <w:left w:val="nil"/>
              <w:bottom w:val="nil"/>
              <w:right w:val="nil"/>
            </w:tcBorders>
            <w:shd w:val="clear" w:color="auto" w:fill="auto"/>
            <w:noWrap/>
            <w:vAlign w:val="center"/>
            <w:hideMark/>
          </w:tcPr>
          <w:p w14:paraId="1EA605B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6236D11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RB1446</w:t>
            </w:r>
          </w:p>
        </w:tc>
        <w:tc>
          <w:tcPr>
            <w:tcW w:w="1300" w:type="dxa"/>
            <w:tcBorders>
              <w:top w:val="nil"/>
              <w:left w:val="nil"/>
              <w:bottom w:val="nil"/>
              <w:right w:val="nil"/>
            </w:tcBorders>
            <w:shd w:val="clear" w:color="auto" w:fill="auto"/>
            <w:noWrap/>
            <w:vAlign w:val="center"/>
            <w:hideMark/>
          </w:tcPr>
          <w:p w14:paraId="6BFF55D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3D8DCD3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40666D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SAMN11038393</w:t>
            </w:r>
          </w:p>
        </w:tc>
      </w:tr>
      <w:tr w:rsidR="006B2888" w:rsidRPr="00AE525E" w14:paraId="0DE097B3" w14:textId="77777777" w:rsidTr="006B2888">
        <w:trPr>
          <w:trHeight w:val="320"/>
        </w:trPr>
        <w:tc>
          <w:tcPr>
            <w:tcW w:w="2355" w:type="dxa"/>
            <w:tcBorders>
              <w:top w:val="nil"/>
              <w:left w:val="nil"/>
              <w:bottom w:val="nil"/>
              <w:right w:val="nil"/>
            </w:tcBorders>
            <w:shd w:val="clear" w:color="auto" w:fill="auto"/>
            <w:noWrap/>
            <w:vAlign w:val="center"/>
            <w:hideMark/>
          </w:tcPr>
          <w:p w14:paraId="448DA8FC"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998AE2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RB1458</w:t>
            </w:r>
          </w:p>
        </w:tc>
        <w:tc>
          <w:tcPr>
            <w:tcW w:w="1300" w:type="dxa"/>
            <w:tcBorders>
              <w:top w:val="nil"/>
              <w:left w:val="nil"/>
              <w:bottom w:val="nil"/>
              <w:right w:val="nil"/>
            </w:tcBorders>
            <w:shd w:val="clear" w:color="auto" w:fill="auto"/>
            <w:noWrap/>
            <w:vAlign w:val="center"/>
            <w:hideMark/>
          </w:tcPr>
          <w:p w14:paraId="415DE98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4AD3E3D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DD7764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SAMN11038394</w:t>
            </w:r>
          </w:p>
        </w:tc>
      </w:tr>
      <w:tr w:rsidR="006B2888" w:rsidRPr="00AE525E" w14:paraId="1A146792" w14:textId="77777777" w:rsidTr="006B2888">
        <w:trPr>
          <w:trHeight w:val="320"/>
        </w:trPr>
        <w:tc>
          <w:tcPr>
            <w:tcW w:w="2355" w:type="dxa"/>
            <w:tcBorders>
              <w:top w:val="nil"/>
              <w:left w:val="nil"/>
              <w:bottom w:val="nil"/>
              <w:right w:val="nil"/>
            </w:tcBorders>
            <w:shd w:val="clear" w:color="auto" w:fill="auto"/>
            <w:noWrap/>
            <w:vAlign w:val="center"/>
            <w:hideMark/>
          </w:tcPr>
          <w:p w14:paraId="7C2859B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330670F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RB1459</w:t>
            </w:r>
          </w:p>
        </w:tc>
        <w:tc>
          <w:tcPr>
            <w:tcW w:w="1300" w:type="dxa"/>
            <w:tcBorders>
              <w:top w:val="nil"/>
              <w:left w:val="nil"/>
              <w:bottom w:val="nil"/>
              <w:right w:val="nil"/>
            </w:tcBorders>
            <w:shd w:val="clear" w:color="auto" w:fill="auto"/>
            <w:noWrap/>
            <w:vAlign w:val="center"/>
            <w:hideMark/>
          </w:tcPr>
          <w:p w14:paraId="192953A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617C15C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05C256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SAMN11038395</w:t>
            </w:r>
          </w:p>
        </w:tc>
      </w:tr>
      <w:tr w:rsidR="006B2888" w:rsidRPr="00AE525E" w14:paraId="182267D8" w14:textId="77777777" w:rsidTr="006B2888">
        <w:trPr>
          <w:trHeight w:val="320"/>
        </w:trPr>
        <w:tc>
          <w:tcPr>
            <w:tcW w:w="2355" w:type="dxa"/>
            <w:tcBorders>
              <w:top w:val="nil"/>
              <w:left w:val="nil"/>
              <w:bottom w:val="nil"/>
              <w:right w:val="nil"/>
            </w:tcBorders>
            <w:shd w:val="clear" w:color="auto" w:fill="auto"/>
            <w:noWrap/>
            <w:vAlign w:val="center"/>
            <w:hideMark/>
          </w:tcPr>
          <w:p w14:paraId="1BD5FC8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7B4541C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RB1460</w:t>
            </w:r>
          </w:p>
        </w:tc>
        <w:tc>
          <w:tcPr>
            <w:tcW w:w="1300" w:type="dxa"/>
            <w:tcBorders>
              <w:top w:val="nil"/>
              <w:left w:val="nil"/>
              <w:bottom w:val="nil"/>
              <w:right w:val="nil"/>
            </w:tcBorders>
            <w:shd w:val="clear" w:color="auto" w:fill="auto"/>
            <w:noWrap/>
            <w:vAlign w:val="center"/>
            <w:hideMark/>
          </w:tcPr>
          <w:p w14:paraId="2AFA13E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AMA</w:t>
            </w:r>
          </w:p>
        </w:tc>
        <w:tc>
          <w:tcPr>
            <w:tcW w:w="1300" w:type="dxa"/>
            <w:tcBorders>
              <w:top w:val="nil"/>
              <w:left w:val="nil"/>
              <w:bottom w:val="nil"/>
              <w:right w:val="nil"/>
            </w:tcBorders>
            <w:shd w:val="clear" w:color="auto" w:fill="auto"/>
            <w:noWrap/>
            <w:vAlign w:val="center"/>
            <w:hideMark/>
          </w:tcPr>
          <w:p w14:paraId="56D9D12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D393E9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SAMN11038396</w:t>
            </w:r>
          </w:p>
        </w:tc>
      </w:tr>
      <w:tr w:rsidR="006B2888" w:rsidRPr="00AE525E" w14:paraId="2DEC61D9" w14:textId="77777777" w:rsidTr="006B2888">
        <w:trPr>
          <w:trHeight w:val="320"/>
        </w:trPr>
        <w:tc>
          <w:tcPr>
            <w:tcW w:w="2355" w:type="dxa"/>
            <w:tcBorders>
              <w:top w:val="nil"/>
              <w:left w:val="nil"/>
              <w:bottom w:val="nil"/>
              <w:right w:val="nil"/>
            </w:tcBorders>
            <w:shd w:val="clear" w:color="auto" w:fill="auto"/>
            <w:noWrap/>
            <w:vAlign w:val="center"/>
            <w:hideMark/>
          </w:tcPr>
          <w:p w14:paraId="7AF6863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5E88918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RB1470</w:t>
            </w:r>
          </w:p>
        </w:tc>
        <w:tc>
          <w:tcPr>
            <w:tcW w:w="1300" w:type="dxa"/>
            <w:tcBorders>
              <w:top w:val="nil"/>
              <w:left w:val="nil"/>
              <w:bottom w:val="nil"/>
              <w:right w:val="nil"/>
            </w:tcBorders>
            <w:shd w:val="clear" w:color="auto" w:fill="auto"/>
            <w:noWrap/>
            <w:vAlign w:val="center"/>
            <w:hideMark/>
          </w:tcPr>
          <w:p w14:paraId="38449B7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3B0D553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98AD3C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SAMN11038397</w:t>
            </w:r>
          </w:p>
        </w:tc>
      </w:tr>
      <w:tr w:rsidR="006B2888" w:rsidRPr="00AE525E" w14:paraId="37DFB4B2" w14:textId="77777777" w:rsidTr="006B2888">
        <w:trPr>
          <w:trHeight w:val="320"/>
        </w:trPr>
        <w:tc>
          <w:tcPr>
            <w:tcW w:w="2355" w:type="dxa"/>
            <w:tcBorders>
              <w:top w:val="nil"/>
              <w:left w:val="nil"/>
              <w:bottom w:val="nil"/>
              <w:right w:val="nil"/>
            </w:tcBorders>
            <w:shd w:val="clear" w:color="auto" w:fill="auto"/>
            <w:noWrap/>
            <w:vAlign w:val="center"/>
            <w:hideMark/>
          </w:tcPr>
          <w:p w14:paraId="60729DC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281B638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RB1471</w:t>
            </w:r>
          </w:p>
        </w:tc>
        <w:tc>
          <w:tcPr>
            <w:tcW w:w="1300" w:type="dxa"/>
            <w:tcBorders>
              <w:top w:val="nil"/>
              <w:left w:val="nil"/>
              <w:bottom w:val="nil"/>
              <w:right w:val="nil"/>
            </w:tcBorders>
            <w:shd w:val="clear" w:color="auto" w:fill="auto"/>
            <w:noWrap/>
            <w:vAlign w:val="center"/>
            <w:hideMark/>
          </w:tcPr>
          <w:p w14:paraId="3DC657D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7D256BA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F9F287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SAMN11038398</w:t>
            </w:r>
          </w:p>
        </w:tc>
      </w:tr>
      <w:tr w:rsidR="006B2888" w:rsidRPr="00AE525E" w14:paraId="30C6FC40" w14:textId="77777777" w:rsidTr="006B2888">
        <w:trPr>
          <w:trHeight w:val="320"/>
        </w:trPr>
        <w:tc>
          <w:tcPr>
            <w:tcW w:w="2355" w:type="dxa"/>
            <w:tcBorders>
              <w:top w:val="nil"/>
              <w:left w:val="nil"/>
              <w:bottom w:val="nil"/>
              <w:right w:val="nil"/>
            </w:tcBorders>
            <w:shd w:val="clear" w:color="auto" w:fill="auto"/>
            <w:noWrap/>
            <w:vAlign w:val="center"/>
            <w:hideMark/>
          </w:tcPr>
          <w:p w14:paraId="1C23E03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275E5A4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RB1473</w:t>
            </w:r>
          </w:p>
        </w:tc>
        <w:tc>
          <w:tcPr>
            <w:tcW w:w="1300" w:type="dxa"/>
            <w:tcBorders>
              <w:top w:val="nil"/>
              <w:left w:val="nil"/>
              <w:bottom w:val="nil"/>
              <w:right w:val="nil"/>
            </w:tcBorders>
            <w:shd w:val="clear" w:color="auto" w:fill="auto"/>
            <w:noWrap/>
            <w:vAlign w:val="center"/>
            <w:hideMark/>
          </w:tcPr>
          <w:p w14:paraId="69B93E2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0291AC5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98D677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SAMN11038399</w:t>
            </w:r>
          </w:p>
        </w:tc>
      </w:tr>
      <w:tr w:rsidR="006B2888" w:rsidRPr="00AE525E" w14:paraId="7E731CB2" w14:textId="77777777" w:rsidTr="006B2888">
        <w:trPr>
          <w:trHeight w:val="320"/>
        </w:trPr>
        <w:tc>
          <w:tcPr>
            <w:tcW w:w="2355" w:type="dxa"/>
            <w:tcBorders>
              <w:top w:val="nil"/>
              <w:left w:val="nil"/>
              <w:bottom w:val="nil"/>
              <w:right w:val="nil"/>
            </w:tcBorders>
            <w:shd w:val="clear" w:color="auto" w:fill="auto"/>
            <w:noWrap/>
            <w:vAlign w:val="center"/>
            <w:hideMark/>
          </w:tcPr>
          <w:p w14:paraId="5CC800AF"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7FCF26D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RB1474</w:t>
            </w:r>
          </w:p>
        </w:tc>
        <w:tc>
          <w:tcPr>
            <w:tcW w:w="1300" w:type="dxa"/>
            <w:tcBorders>
              <w:top w:val="nil"/>
              <w:left w:val="nil"/>
              <w:bottom w:val="nil"/>
              <w:right w:val="nil"/>
            </w:tcBorders>
            <w:shd w:val="clear" w:color="auto" w:fill="auto"/>
            <w:noWrap/>
            <w:vAlign w:val="center"/>
            <w:hideMark/>
          </w:tcPr>
          <w:p w14:paraId="491119A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30132ED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AF9710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SAMN11038400</w:t>
            </w:r>
          </w:p>
        </w:tc>
      </w:tr>
      <w:tr w:rsidR="006B2888" w:rsidRPr="00AE525E" w14:paraId="37002820" w14:textId="77777777" w:rsidTr="006B2888">
        <w:trPr>
          <w:trHeight w:val="320"/>
        </w:trPr>
        <w:tc>
          <w:tcPr>
            <w:tcW w:w="2355" w:type="dxa"/>
            <w:tcBorders>
              <w:top w:val="nil"/>
              <w:left w:val="nil"/>
              <w:bottom w:val="nil"/>
              <w:right w:val="nil"/>
            </w:tcBorders>
            <w:shd w:val="clear" w:color="auto" w:fill="auto"/>
            <w:noWrap/>
            <w:vAlign w:val="center"/>
            <w:hideMark/>
          </w:tcPr>
          <w:p w14:paraId="2120C72F"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1862CE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RB1475</w:t>
            </w:r>
          </w:p>
        </w:tc>
        <w:tc>
          <w:tcPr>
            <w:tcW w:w="1300" w:type="dxa"/>
            <w:tcBorders>
              <w:top w:val="nil"/>
              <w:left w:val="nil"/>
              <w:bottom w:val="nil"/>
              <w:right w:val="nil"/>
            </w:tcBorders>
            <w:shd w:val="clear" w:color="auto" w:fill="auto"/>
            <w:noWrap/>
            <w:vAlign w:val="center"/>
            <w:hideMark/>
          </w:tcPr>
          <w:p w14:paraId="1375FAD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302561F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52C7E9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SAMN11038401</w:t>
            </w:r>
          </w:p>
        </w:tc>
      </w:tr>
      <w:tr w:rsidR="006B2888" w:rsidRPr="00AE525E" w14:paraId="33A7EBA8" w14:textId="77777777" w:rsidTr="006B2888">
        <w:trPr>
          <w:trHeight w:val="320"/>
        </w:trPr>
        <w:tc>
          <w:tcPr>
            <w:tcW w:w="2355" w:type="dxa"/>
            <w:tcBorders>
              <w:top w:val="nil"/>
              <w:left w:val="nil"/>
              <w:bottom w:val="nil"/>
              <w:right w:val="nil"/>
            </w:tcBorders>
            <w:shd w:val="clear" w:color="auto" w:fill="auto"/>
            <w:noWrap/>
            <w:vAlign w:val="center"/>
            <w:hideMark/>
          </w:tcPr>
          <w:p w14:paraId="1C10329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3471E70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RB1476</w:t>
            </w:r>
          </w:p>
        </w:tc>
        <w:tc>
          <w:tcPr>
            <w:tcW w:w="1300" w:type="dxa"/>
            <w:tcBorders>
              <w:top w:val="nil"/>
              <w:left w:val="nil"/>
              <w:bottom w:val="nil"/>
              <w:right w:val="nil"/>
            </w:tcBorders>
            <w:shd w:val="clear" w:color="auto" w:fill="auto"/>
            <w:noWrap/>
            <w:vAlign w:val="center"/>
            <w:hideMark/>
          </w:tcPr>
          <w:p w14:paraId="10B7FFE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7DE057D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297C68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SAMN11038402</w:t>
            </w:r>
          </w:p>
        </w:tc>
      </w:tr>
      <w:tr w:rsidR="006B2888" w:rsidRPr="00AE525E" w14:paraId="22691438" w14:textId="77777777" w:rsidTr="006B2888">
        <w:trPr>
          <w:trHeight w:val="320"/>
        </w:trPr>
        <w:tc>
          <w:tcPr>
            <w:tcW w:w="2355" w:type="dxa"/>
            <w:tcBorders>
              <w:top w:val="nil"/>
              <w:left w:val="nil"/>
              <w:bottom w:val="nil"/>
              <w:right w:val="nil"/>
            </w:tcBorders>
            <w:shd w:val="clear" w:color="auto" w:fill="auto"/>
            <w:noWrap/>
            <w:vAlign w:val="center"/>
            <w:hideMark/>
          </w:tcPr>
          <w:p w14:paraId="4C0851D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7639703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RB1477</w:t>
            </w:r>
          </w:p>
        </w:tc>
        <w:tc>
          <w:tcPr>
            <w:tcW w:w="1300" w:type="dxa"/>
            <w:tcBorders>
              <w:top w:val="nil"/>
              <w:left w:val="nil"/>
              <w:bottom w:val="nil"/>
              <w:right w:val="nil"/>
            </w:tcBorders>
            <w:shd w:val="clear" w:color="auto" w:fill="auto"/>
            <w:noWrap/>
            <w:vAlign w:val="center"/>
            <w:hideMark/>
          </w:tcPr>
          <w:p w14:paraId="1492BB2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5C22CAF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DD152F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SAMN11038403</w:t>
            </w:r>
          </w:p>
        </w:tc>
      </w:tr>
      <w:tr w:rsidR="006B2888" w:rsidRPr="00AE525E" w14:paraId="1A946578" w14:textId="77777777" w:rsidTr="006B2888">
        <w:trPr>
          <w:trHeight w:val="320"/>
        </w:trPr>
        <w:tc>
          <w:tcPr>
            <w:tcW w:w="2355" w:type="dxa"/>
            <w:tcBorders>
              <w:top w:val="nil"/>
              <w:left w:val="nil"/>
              <w:bottom w:val="nil"/>
              <w:right w:val="nil"/>
            </w:tcBorders>
            <w:shd w:val="clear" w:color="auto" w:fill="auto"/>
            <w:noWrap/>
            <w:vAlign w:val="center"/>
            <w:hideMark/>
          </w:tcPr>
          <w:p w14:paraId="3439623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878ADF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RB1478</w:t>
            </w:r>
          </w:p>
        </w:tc>
        <w:tc>
          <w:tcPr>
            <w:tcW w:w="1300" w:type="dxa"/>
            <w:tcBorders>
              <w:top w:val="nil"/>
              <w:left w:val="nil"/>
              <w:bottom w:val="nil"/>
              <w:right w:val="nil"/>
            </w:tcBorders>
            <w:shd w:val="clear" w:color="auto" w:fill="auto"/>
            <w:noWrap/>
            <w:vAlign w:val="center"/>
            <w:hideMark/>
          </w:tcPr>
          <w:p w14:paraId="68B6D77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4974B7F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DC1458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SAMN11038404</w:t>
            </w:r>
          </w:p>
        </w:tc>
      </w:tr>
      <w:tr w:rsidR="006B2888" w:rsidRPr="00AE525E" w14:paraId="116DCEAC" w14:textId="77777777" w:rsidTr="006B2888">
        <w:trPr>
          <w:trHeight w:val="320"/>
        </w:trPr>
        <w:tc>
          <w:tcPr>
            <w:tcW w:w="2355" w:type="dxa"/>
            <w:tcBorders>
              <w:top w:val="nil"/>
              <w:left w:val="nil"/>
              <w:bottom w:val="nil"/>
              <w:right w:val="nil"/>
            </w:tcBorders>
            <w:shd w:val="clear" w:color="auto" w:fill="auto"/>
            <w:noWrap/>
            <w:vAlign w:val="center"/>
            <w:hideMark/>
          </w:tcPr>
          <w:p w14:paraId="4A056CE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4D2EEE1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RB1479</w:t>
            </w:r>
          </w:p>
        </w:tc>
        <w:tc>
          <w:tcPr>
            <w:tcW w:w="1300" w:type="dxa"/>
            <w:tcBorders>
              <w:top w:val="nil"/>
              <w:left w:val="nil"/>
              <w:bottom w:val="nil"/>
              <w:right w:val="nil"/>
            </w:tcBorders>
            <w:shd w:val="clear" w:color="auto" w:fill="auto"/>
            <w:noWrap/>
            <w:vAlign w:val="center"/>
            <w:hideMark/>
          </w:tcPr>
          <w:p w14:paraId="1C71005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3625BEA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10ED77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SAMN11038405</w:t>
            </w:r>
          </w:p>
        </w:tc>
      </w:tr>
      <w:tr w:rsidR="006B2888" w:rsidRPr="00AE525E" w14:paraId="42E5FD35" w14:textId="77777777" w:rsidTr="006B2888">
        <w:trPr>
          <w:trHeight w:val="320"/>
        </w:trPr>
        <w:tc>
          <w:tcPr>
            <w:tcW w:w="2355" w:type="dxa"/>
            <w:tcBorders>
              <w:top w:val="nil"/>
              <w:left w:val="nil"/>
              <w:bottom w:val="nil"/>
              <w:right w:val="nil"/>
            </w:tcBorders>
            <w:shd w:val="clear" w:color="auto" w:fill="auto"/>
            <w:noWrap/>
            <w:vAlign w:val="center"/>
            <w:hideMark/>
          </w:tcPr>
          <w:p w14:paraId="3C9E646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237F1EB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RB1482</w:t>
            </w:r>
          </w:p>
        </w:tc>
        <w:tc>
          <w:tcPr>
            <w:tcW w:w="1300" w:type="dxa"/>
            <w:tcBorders>
              <w:top w:val="nil"/>
              <w:left w:val="nil"/>
              <w:bottom w:val="nil"/>
              <w:right w:val="nil"/>
            </w:tcBorders>
            <w:shd w:val="clear" w:color="auto" w:fill="auto"/>
            <w:noWrap/>
            <w:vAlign w:val="center"/>
            <w:hideMark/>
          </w:tcPr>
          <w:p w14:paraId="5ECADF2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27E082C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B053C4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SAMN11038406</w:t>
            </w:r>
          </w:p>
        </w:tc>
      </w:tr>
      <w:tr w:rsidR="006B2888" w:rsidRPr="00AE525E" w14:paraId="0B067E6E" w14:textId="77777777" w:rsidTr="006B2888">
        <w:trPr>
          <w:trHeight w:val="320"/>
        </w:trPr>
        <w:tc>
          <w:tcPr>
            <w:tcW w:w="2355" w:type="dxa"/>
            <w:tcBorders>
              <w:top w:val="nil"/>
              <w:left w:val="nil"/>
              <w:bottom w:val="nil"/>
              <w:right w:val="nil"/>
            </w:tcBorders>
            <w:shd w:val="clear" w:color="auto" w:fill="auto"/>
            <w:noWrap/>
            <w:vAlign w:val="center"/>
            <w:hideMark/>
          </w:tcPr>
          <w:p w14:paraId="0C2FA18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A53EE7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RB1484</w:t>
            </w:r>
          </w:p>
        </w:tc>
        <w:tc>
          <w:tcPr>
            <w:tcW w:w="1300" w:type="dxa"/>
            <w:tcBorders>
              <w:top w:val="nil"/>
              <w:left w:val="nil"/>
              <w:bottom w:val="nil"/>
              <w:right w:val="nil"/>
            </w:tcBorders>
            <w:shd w:val="clear" w:color="auto" w:fill="auto"/>
            <w:noWrap/>
            <w:vAlign w:val="center"/>
            <w:hideMark/>
          </w:tcPr>
          <w:p w14:paraId="20F016D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35A8CDC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7EB5AC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SAMN11038407</w:t>
            </w:r>
          </w:p>
        </w:tc>
      </w:tr>
      <w:tr w:rsidR="006B2888" w:rsidRPr="00AE525E" w14:paraId="23875C24" w14:textId="77777777" w:rsidTr="006B2888">
        <w:trPr>
          <w:trHeight w:val="320"/>
        </w:trPr>
        <w:tc>
          <w:tcPr>
            <w:tcW w:w="2355" w:type="dxa"/>
            <w:tcBorders>
              <w:top w:val="nil"/>
              <w:left w:val="nil"/>
              <w:bottom w:val="nil"/>
              <w:right w:val="nil"/>
            </w:tcBorders>
            <w:shd w:val="clear" w:color="auto" w:fill="auto"/>
            <w:noWrap/>
            <w:vAlign w:val="center"/>
            <w:hideMark/>
          </w:tcPr>
          <w:p w14:paraId="132CF84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3F3DD67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RB1490</w:t>
            </w:r>
          </w:p>
        </w:tc>
        <w:tc>
          <w:tcPr>
            <w:tcW w:w="1300" w:type="dxa"/>
            <w:tcBorders>
              <w:top w:val="nil"/>
              <w:left w:val="nil"/>
              <w:bottom w:val="nil"/>
              <w:right w:val="nil"/>
            </w:tcBorders>
            <w:shd w:val="clear" w:color="auto" w:fill="auto"/>
            <w:noWrap/>
            <w:vAlign w:val="center"/>
            <w:hideMark/>
          </w:tcPr>
          <w:p w14:paraId="4258A9A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FOR</w:t>
            </w:r>
          </w:p>
        </w:tc>
        <w:tc>
          <w:tcPr>
            <w:tcW w:w="1300" w:type="dxa"/>
            <w:tcBorders>
              <w:top w:val="nil"/>
              <w:left w:val="nil"/>
              <w:bottom w:val="nil"/>
              <w:right w:val="nil"/>
            </w:tcBorders>
            <w:shd w:val="clear" w:color="auto" w:fill="auto"/>
            <w:noWrap/>
            <w:vAlign w:val="center"/>
            <w:hideMark/>
          </w:tcPr>
          <w:p w14:paraId="5E716E7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0A8B72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SAMN11038408</w:t>
            </w:r>
          </w:p>
        </w:tc>
      </w:tr>
      <w:tr w:rsidR="006B2888" w:rsidRPr="00AE525E" w14:paraId="5C9E2E98" w14:textId="77777777" w:rsidTr="006B2888">
        <w:trPr>
          <w:trHeight w:val="320"/>
        </w:trPr>
        <w:tc>
          <w:tcPr>
            <w:tcW w:w="2355" w:type="dxa"/>
            <w:tcBorders>
              <w:top w:val="nil"/>
              <w:left w:val="nil"/>
              <w:bottom w:val="nil"/>
              <w:right w:val="nil"/>
            </w:tcBorders>
            <w:shd w:val="clear" w:color="auto" w:fill="auto"/>
            <w:noWrap/>
            <w:vAlign w:val="center"/>
            <w:hideMark/>
          </w:tcPr>
          <w:p w14:paraId="1AE6860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8B18AA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RB1496</w:t>
            </w:r>
          </w:p>
        </w:tc>
        <w:tc>
          <w:tcPr>
            <w:tcW w:w="1300" w:type="dxa"/>
            <w:tcBorders>
              <w:top w:val="nil"/>
              <w:left w:val="nil"/>
              <w:bottom w:val="nil"/>
              <w:right w:val="nil"/>
            </w:tcBorders>
            <w:shd w:val="clear" w:color="auto" w:fill="auto"/>
            <w:noWrap/>
            <w:vAlign w:val="center"/>
            <w:hideMark/>
          </w:tcPr>
          <w:p w14:paraId="6E21BC2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1F3D066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32C7C0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SAMN11038409</w:t>
            </w:r>
          </w:p>
        </w:tc>
      </w:tr>
      <w:tr w:rsidR="006B2888" w:rsidRPr="00AE525E" w14:paraId="09474681" w14:textId="77777777" w:rsidTr="006B2888">
        <w:trPr>
          <w:trHeight w:val="320"/>
        </w:trPr>
        <w:tc>
          <w:tcPr>
            <w:tcW w:w="2355" w:type="dxa"/>
            <w:tcBorders>
              <w:top w:val="nil"/>
              <w:left w:val="nil"/>
              <w:bottom w:val="nil"/>
              <w:right w:val="nil"/>
            </w:tcBorders>
            <w:shd w:val="clear" w:color="auto" w:fill="auto"/>
            <w:noWrap/>
            <w:vAlign w:val="center"/>
            <w:hideMark/>
          </w:tcPr>
          <w:p w14:paraId="3B6E5D3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3FA788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RB1497</w:t>
            </w:r>
          </w:p>
        </w:tc>
        <w:tc>
          <w:tcPr>
            <w:tcW w:w="1300" w:type="dxa"/>
            <w:tcBorders>
              <w:top w:val="nil"/>
              <w:left w:val="nil"/>
              <w:bottom w:val="nil"/>
              <w:right w:val="nil"/>
            </w:tcBorders>
            <w:shd w:val="clear" w:color="auto" w:fill="auto"/>
            <w:noWrap/>
            <w:vAlign w:val="center"/>
            <w:hideMark/>
          </w:tcPr>
          <w:p w14:paraId="0AEE5DF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759853F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FD9957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SAMN11038410</w:t>
            </w:r>
          </w:p>
        </w:tc>
      </w:tr>
      <w:tr w:rsidR="006B2888" w:rsidRPr="00AE525E" w14:paraId="6DD32153" w14:textId="77777777" w:rsidTr="006B2888">
        <w:trPr>
          <w:trHeight w:val="320"/>
        </w:trPr>
        <w:tc>
          <w:tcPr>
            <w:tcW w:w="2355" w:type="dxa"/>
            <w:tcBorders>
              <w:top w:val="nil"/>
              <w:left w:val="nil"/>
              <w:bottom w:val="nil"/>
              <w:right w:val="nil"/>
            </w:tcBorders>
            <w:shd w:val="clear" w:color="auto" w:fill="auto"/>
            <w:noWrap/>
            <w:vAlign w:val="center"/>
            <w:hideMark/>
          </w:tcPr>
          <w:p w14:paraId="0E6881B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5A45A59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RB1498</w:t>
            </w:r>
          </w:p>
        </w:tc>
        <w:tc>
          <w:tcPr>
            <w:tcW w:w="1300" w:type="dxa"/>
            <w:tcBorders>
              <w:top w:val="nil"/>
              <w:left w:val="nil"/>
              <w:bottom w:val="nil"/>
              <w:right w:val="nil"/>
            </w:tcBorders>
            <w:shd w:val="clear" w:color="auto" w:fill="auto"/>
            <w:noWrap/>
            <w:vAlign w:val="center"/>
            <w:hideMark/>
          </w:tcPr>
          <w:p w14:paraId="3CEF919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4DB0221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919CCC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SAMN11038411</w:t>
            </w:r>
          </w:p>
        </w:tc>
      </w:tr>
      <w:tr w:rsidR="006B2888" w:rsidRPr="00AE525E" w14:paraId="57FD6C1D" w14:textId="77777777" w:rsidTr="006B2888">
        <w:trPr>
          <w:trHeight w:val="320"/>
        </w:trPr>
        <w:tc>
          <w:tcPr>
            <w:tcW w:w="2355" w:type="dxa"/>
            <w:tcBorders>
              <w:top w:val="nil"/>
              <w:left w:val="nil"/>
              <w:bottom w:val="nil"/>
              <w:right w:val="nil"/>
            </w:tcBorders>
            <w:shd w:val="clear" w:color="auto" w:fill="auto"/>
            <w:noWrap/>
            <w:vAlign w:val="center"/>
            <w:hideMark/>
          </w:tcPr>
          <w:p w14:paraId="57B25E5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70DB27A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RB1499</w:t>
            </w:r>
          </w:p>
        </w:tc>
        <w:tc>
          <w:tcPr>
            <w:tcW w:w="1300" w:type="dxa"/>
            <w:tcBorders>
              <w:top w:val="nil"/>
              <w:left w:val="nil"/>
              <w:bottom w:val="nil"/>
              <w:right w:val="nil"/>
            </w:tcBorders>
            <w:shd w:val="clear" w:color="auto" w:fill="auto"/>
            <w:noWrap/>
            <w:vAlign w:val="center"/>
            <w:hideMark/>
          </w:tcPr>
          <w:p w14:paraId="228DBE1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32C137D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989012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SAMN11038412</w:t>
            </w:r>
          </w:p>
        </w:tc>
      </w:tr>
      <w:tr w:rsidR="006B2888" w:rsidRPr="00AE525E" w14:paraId="59A92F98" w14:textId="77777777" w:rsidTr="006B2888">
        <w:trPr>
          <w:trHeight w:val="320"/>
        </w:trPr>
        <w:tc>
          <w:tcPr>
            <w:tcW w:w="2355" w:type="dxa"/>
            <w:tcBorders>
              <w:top w:val="nil"/>
              <w:left w:val="nil"/>
              <w:bottom w:val="nil"/>
              <w:right w:val="nil"/>
            </w:tcBorders>
            <w:shd w:val="clear" w:color="auto" w:fill="auto"/>
            <w:noWrap/>
            <w:vAlign w:val="center"/>
            <w:hideMark/>
          </w:tcPr>
          <w:p w14:paraId="30296A8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3FE9912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RB1502</w:t>
            </w:r>
          </w:p>
        </w:tc>
        <w:tc>
          <w:tcPr>
            <w:tcW w:w="1300" w:type="dxa"/>
            <w:tcBorders>
              <w:top w:val="nil"/>
              <w:left w:val="nil"/>
              <w:bottom w:val="nil"/>
              <w:right w:val="nil"/>
            </w:tcBorders>
            <w:shd w:val="clear" w:color="auto" w:fill="auto"/>
            <w:noWrap/>
            <w:vAlign w:val="center"/>
            <w:hideMark/>
          </w:tcPr>
          <w:p w14:paraId="7E71FDD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7623692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4785235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SAMN11038413</w:t>
            </w:r>
          </w:p>
        </w:tc>
      </w:tr>
      <w:tr w:rsidR="006B2888" w:rsidRPr="00AE525E" w14:paraId="36836120" w14:textId="77777777" w:rsidTr="006B2888">
        <w:trPr>
          <w:trHeight w:val="320"/>
        </w:trPr>
        <w:tc>
          <w:tcPr>
            <w:tcW w:w="2355" w:type="dxa"/>
            <w:tcBorders>
              <w:top w:val="nil"/>
              <w:left w:val="nil"/>
              <w:bottom w:val="nil"/>
              <w:right w:val="nil"/>
            </w:tcBorders>
            <w:shd w:val="clear" w:color="auto" w:fill="auto"/>
            <w:noWrap/>
            <w:vAlign w:val="center"/>
            <w:hideMark/>
          </w:tcPr>
          <w:p w14:paraId="4A93D18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23D9224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RB1503</w:t>
            </w:r>
          </w:p>
        </w:tc>
        <w:tc>
          <w:tcPr>
            <w:tcW w:w="1300" w:type="dxa"/>
            <w:tcBorders>
              <w:top w:val="nil"/>
              <w:left w:val="nil"/>
              <w:bottom w:val="nil"/>
              <w:right w:val="nil"/>
            </w:tcBorders>
            <w:shd w:val="clear" w:color="auto" w:fill="auto"/>
            <w:noWrap/>
            <w:vAlign w:val="center"/>
            <w:hideMark/>
          </w:tcPr>
          <w:p w14:paraId="5C058EA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5C3F979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EA6F7F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SAMN11038414</w:t>
            </w:r>
          </w:p>
        </w:tc>
      </w:tr>
      <w:tr w:rsidR="006B2888" w:rsidRPr="00AE525E" w14:paraId="3E821C5B" w14:textId="77777777" w:rsidTr="006B2888">
        <w:trPr>
          <w:trHeight w:val="320"/>
        </w:trPr>
        <w:tc>
          <w:tcPr>
            <w:tcW w:w="2355" w:type="dxa"/>
            <w:tcBorders>
              <w:top w:val="nil"/>
              <w:left w:val="nil"/>
              <w:bottom w:val="nil"/>
              <w:right w:val="nil"/>
            </w:tcBorders>
            <w:shd w:val="clear" w:color="auto" w:fill="auto"/>
            <w:noWrap/>
            <w:vAlign w:val="center"/>
            <w:hideMark/>
          </w:tcPr>
          <w:p w14:paraId="6931CA6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362F0A6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RB1504</w:t>
            </w:r>
          </w:p>
        </w:tc>
        <w:tc>
          <w:tcPr>
            <w:tcW w:w="1300" w:type="dxa"/>
            <w:tcBorders>
              <w:top w:val="nil"/>
              <w:left w:val="nil"/>
              <w:bottom w:val="nil"/>
              <w:right w:val="nil"/>
            </w:tcBorders>
            <w:shd w:val="clear" w:color="auto" w:fill="auto"/>
            <w:noWrap/>
            <w:vAlign w:val="center"/>
            <w:hideMark/>
          </w:tcPr>
          <w:p w14:paraId="45AF706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76780ED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6DE056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SAMN11038415</w:t>
            </w:r>
          </w:p>
        </w:tc>
      </w:tr>
      <w:tr w:rsidR="006B2888" w:rsidRPr="00AE525E" w14:paraId="76D27FEB" w14:textId="77777777" w:rsidTr="006B2888">
        <w:trPr>
          <w:trHeight w:val="320"/>
        </w:trPr>
        <w:tc>
          <w:tcPr>
            <w:tcW w:w="2355" w:type="dxa"/>
            <w:tcBorders>
              <w:top w:val="nil"/>
              <w:left w:val="nil"/>
              <w:bottom w:val="nil"/>
              <w:right w:val="nil"/>
            </w:tcBorders>
            <w:shd w:val="clear" w:color="auto" w:fill="auto"/>
            <w:noWrap/>
            <w:vAlign w:val="center"/>
            <w:hideMark/>
          </w:tcPr>
          <w:p w14:paraId="2086A41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6852598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RB1505</w:t>
            </w:r>
          </w:p>
        </w:tc>
        <w:tc>
          <w:tcPr>
            <w:tcW w:w="1300" w:type="dxa"/>
            <w:tcBorders>
              <w:top w:val="nil"/>
              <w:left w:val="nil"/>
              <w:bottom w:val="nil"/>
              <w:right w:val="nil"/>
            </w:tcBorders>
            <w:shd w:val="clear" w:color="auto" w:fill="auto"/>
            <w:noWrap/>
            <w:vAlign w:val="center"/>
            <w:hideMark/>
          </w:tcPr>
          <w:p w14:paraId="3A407E7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57402B1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3C2E4D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SAMN11038416</w:t>
            </w:r>
          </w:p>
        </w:tc>
      </w:tr>
      <w:tr w:rsidR="006B2888" w:rsidRPr="00AE525E" w14:paraId="2A175187" w14:textId="77777777" w:rsidTr="006B2888">
        <w:trPr>
          <w:trHeight w:val="320"/>
        </w:trPr>
        <w:tc>
          <w:tcPr>
            <w:tcW w:w="2355" w:type="dxa"/>
            <w:tcBorders>
              <w:top w:val="nil"/>
              <w:left w:val="nil"/>
              <w:bottom w:val="nil"/>
              <w:right w:val="nil"/>
            </w:tcBorders>
            <w:shd w:val="clear" w:color="auto" w:fill="auto"/>
            <w:noWrap/>
            <w:vAlign w:val="center"/>
            <w:hideMark/>
          </w:tcPr>
          <w:p w14:paraId="04825CD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82FC74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RB1507</w:t>
            </w:r>
          </w:p>
        </w:tc>
        <w:tc>
          <w:tcPr>
            <w:tcW w:w="1300" w:type="dxa"/>
            <w:tcBorders>
              <w:top w:val="nil"/>
              <w:left w:val="nil"/>
              <w:bottom w:val="nil"/>
              <w:right w:val="nil"/>
            </w:tcBorders>
            <w:shd w:val="clear" w:color="auto" w:fill="auto"/>
            <w:noWrap/>
            <w:vAlign w:val="center"/>
            <w:hideMark/>
          </w:tcPr>
          <w:p w14:paraId="7BFC79E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1FDCA87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F36F30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SAMN11038417</w:t>
            </w:r>
          </w:p>
        </w:tc>
      </w:tr>
      <w:tr w:rsidR="006B2888" w:rsidRPr="00AE525E" w14:paraId="1E9E36EF" w14:textId="77777777" w:rsidTr="006B2888">
        <w:trPr>
          <w:trHeight w:val="320"/>
        </w:trPr>
        <w:tc>
          <w:tcPr>
            <w:tcW w:w="2355" w:type="dxa"/>
            <w:tcBorders>
              <w:top w:val="nil"/>
              <w:left w:val="nil"/>
              <w:bottom w:val="nil"/>
              <w:right w:val="nil"/>
            </w:tcBorders>
            <w:shd w:val="clear" w:color="auto" w:fill="auto"/>
            <w:noWrap/>
            <w:vAlign w:val="center"/>
            <w:hideMark/>
          </w:tcPr>
          <w:p w14:paraId="5B9F822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1520C4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RB1510</w:t>
            </w:r>
          </w:p>
        </w:tc>
        <w:tc>
          <w:tcPr>
            <w:tcW w:w="1300" w:type="dxa"/>
            <w:tcBorders>
              <w:top w:val="nil"/>
              <w:left w:val="nil"/>
              <w:bottom w:val="nil"/>
              <w:right w:val="nil"/>
            </w:tcBorders>
            <w:shd w:val="clear" w:color="auto" w:fill="auto"/>
            <w:noWrap/>
            <w:vAlign w:val="center"/>
            <w:hideMark/>
          </w:tcPr>
          <w:p w14:paraId="13AD08E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703A95D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292A3A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SAMN11038418</w:t>
            </w:r>
          </w:p>
        </w:tc>
      </w:tr>
      <w:tr w:rsidR="006B2888" w:rsidRPr="00AE525E" w14:paraId="65BD4470" w14:textId="77777777" w:rsidTr="006B2888">
        <w:trPr>
          <w:trHeight w:val="320"/>
        </w:trPr>
        <w:tc>
          <w:tcPr>
            <w:tcW w:w="2355" w:type="dxa"/>
            <w:tcBorders>
              <w:top w:val="nil"/>
              <w:left w:val="nil"/>
              <w:bottom w:val="nil"/>
              <w:right w:val="nil"/>
            </w:tcBorders>
            <w:shd w:val="clear" w:color="auto" w:fill="auto"/>
            <w:noWrap/>
            <w:vAlign w:val="center"/>
            <w:hideMark/>
          </w:tcPr>
          <w:p w14:paraId="36AE37C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549FB08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RB1514</w:t>
            </w:r>
          </w:p>
        </w:tc>
        <w:tc>
          <w:tcPr>
            <w:tcW w:w="1300" w:type="dxa"/>
            <w:tcBorders>
              <w:top w:val="nil"/>
              <w:left w:val="nil"/>
              <w:bottom w:val="nil"/>
              <w:right w:val="nil"/>
            </w:tcBorders>
            <w:shd w:val="clear" w:color="auto" w:fill="auto"/>
            <w:noWrap/>
            <w:vAlign w:val="center"/>
            <w:hideMark/>
          </w:tcPr>
          <w:p w14:paraId="0D440AF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0664F94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ABCBD7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SAMN11038419</w:t>
            </w:r>
          </w:p>
        </w:tc>
      </w:tr>
      <w:tr w:rsidR="006B2888" w:rsidRPr="00AE525E" w14:paraId="14FC998A" w14:textId="77777777" w:rsidTr="006B2888">
        <w:trPr>
          <w:trHeight w:val="320"/>
        </w:trPr>
        <w:tc>
          <w:tcPr>
            <w:tcW w:w="2355" w:type="dxa"/>
            <w:tcBorders>
              <w:top w:val="nil"/>
              <w:left w:val="nil"/>
              <w:bottom w:val="nil"/>
              <w:right w:val="nil"/>
            </w:tcBorders>
            <w:shd w:val="clear" w:color="auto" w:fill="auto"/>
            <w:noWrap/>
            <w:vAlign w:val="center"/>
            <w:hideMark/>
          </w:tcPr>
          <w:p w14:paraId="28F75E19"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lastRenderedPageBreak/>
              <w:t>Lutjanus purpureus</w:t>
            </w:r>
          </w:p>
        </w:tc>
        <w:tc>
          <w:tcPr>
            <w:tcW w:w="1533" w:type="dxa"/>
            <w:tcBorders>
              <w:top w:val="nil"/>
              <w:left w:val="nil"/>
              <w:bottom w:val="nil"/>
              <w:right w:val="nil"/>
            </w:tcBorders>
            <w:shd w:val="clear" w:color="auto" w:fill="auto"/>
            <w:noWrap/>
            <w:vAlign w:val="center"/>
            <w:hideMark/>
          </w:tcPr>
          <w:p w14:paraId="34E19DA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RB1515</w:t>
            </w:r>
          </w:p>
        </w:tc>
        <w:tc>
          <w:tcPr>
            <w:tcW w:w="1300" w:type="dxa"/>
            <w:tcBorders>
              <w:top w:val="nil"/>
              <w:left w:val="nil"/>
              <w:bottom w:val="nil"/>
              <w:right w:val="nil"/>
            </w:tcBorders>
            <w:shd w:val="clear" w:color="auto" w:fill="auto"/>
            <w:noWrap/>
            <w:vAlign w:val="center"/>
            <w:hideMark/>
          </w:tcPr>
          <w:p w14:paraId="4E69EED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50FC08B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FE73C2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SAMN11038420</w:t>
            </w:r>
          </w:p>
        </w:tc>
      </w:tr>
      <w:tr w:rsidR="006B2888" w:rsidRPr="00AE525E" w14:paraId="30EC81D0" w14:textId="77777777" w:rsidTr="006B2888">
        <w:trPr>
          <w:trHeight w:val="320"/>
        </w:trPr>
        <w:tc>
          <w:tcPr>
            <w:tcW w:w="2355" w:type="dxa"/>
            <w:tcBorders>
              <w:top w:val="nil"/>
              <w:left w:val="nil"/>
              <w:bottom w:val="nil"/>
              <w:right w:val="nil"/>
            </w:tcBorders>
            <w:shd w:val="clear" w:color="auto" w:fill="auto"/>
            <w:noWrap/>
            <w:vAlign w:val="center"/>
            <w:hideMark/>
          </w:tcPr>
          <w:p w14:paraId="399AFB1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9A0089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RB1516</w:t>
            </w:r>
          </w:p>
        </w:tc>
        <w:tc>
          <w:tcPr>
            <w:tcW w:w="1300" w:type="dxa"/>
            <w:tcBorders>
              <w:top w:val="nil"/>
              <w:left w:val="nil"/>
              <w:bottom w:val="nil"/>
              <w:right w:val="nil"/>
            </w:tcBorders>
            <w:shd w:val="clear" w:color="auto" w:fill="auto"/>
            <w:noWrap/>
            <w:vAlign w:val="center"/>
            <w:hideMark/>
          </w:tcPr>
          <w:p w14:paraId="5B762AC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SAO</w:t>
            </w:r>
          </w:p>
        </w:tc>
        <w:tc>
          <w:tcPr>
            <w:tcW w:w="1300" w:type="dxa"/>
            <w:tcBorders>
              <w:top w:val="nil"/>
              <w:left w:val="nil"/>
              <w:bottom w:val="nil"/>
              <w:right w:val="nil"/>
            </w:tcBorders>
            <w:shd w:val="clear" w:color="auto" w:fill="auto"/>
            <w:noWrap/>
            <w:vAlign w:val="center"/>
            <w:hideMark/>
          </w:tcPr>
          <w:p w14:paraId="5F54B8D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042E23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SAMN11038421</w:t>
            </w:r>
          </w:p>
        </w:tc>
      </w:tr>
      <w:tr w:rsidR="006B2888" w:rsidRPr="00AE525E" w14:paraId="082A5AF1" w14:textId="77777777" w:rsidTr="006B2888">
        <w:trPr>
          <w:trHeight w:val="320"/>
        </w:trPr>
        <w:tc>
          <w:tcPr>
            <w:tcW w:w="2355" w:type="dxa"/>
            <w:tcBorders>
              <w:top w:val="nil"/>
              <w:left w:val="nil"/>
              <w:bottom w:val="nil"/>
              <w:right w:val="nil"/>
            </w:tcBorders>
            <w:shd w:val="clear" w:color="auto" w:fill="auto"/>
            <w:noWrap/>
            <w:vAlign w:val="center"/>
            <w:hideMark/>
          </w:tcPr>
          <w:p w14:paraId="7C3CE6BE"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476D139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RB1520</w:t>
            </w:r>
          </w:p>
        </w:tc>
        <w:tc>
          <w:tcPr>
            <w:tcW w:w="1300" w:type="dxa"/>
            <w:tcBorders>
              <w:top w:val="nil"/>
              <w:left w:val="nil"/>
              <w:bottom w:val="nil"/>
              <w:right w:val="nil"/>
            </w:tcBorders>
            <w:shd w:val="clear" w:color="auto" w:fill="auto"/>
            <w:noWrap/>
            <w:vAlign w:val="center"/>
            <w:hideMark/>
          </w:tcPr>
          <w:p w14:paraId="3E95586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026D4B6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35F1613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SAMN11038422</w:t>
            </w:r>
          </w:p>
        </w:tc>
      </w:tr>
      <w:tr w:rsidR="006B2888" w:rsidRPr="00AE525E" w14:paraId="7D61E9EA" w14:textId="77777777" w:rsidTr="006B2888">
        <w:trPr>
          <w:trHeight w:val="320"/>
        </w:trPr>
        <w:tc>
          <w:tcPr>
            <w:tcW w:w="2355" w:type="dxa"/>
            <w:tcBorders>
              <w:top w:val="nil"/>
              <w:left w:val="nil"/>
              <w:bottom w:val="nil"/>
              <w:right w:val="nil"/>
            </w:tcBorders>
            <w:shd w:val="clear" w:color="auto" w:fill="auto"/>
            <w:noWrap/>
            <w:vAlign w:val="center"/>
            <w:hideMark/>
          </w:tcPr>
          <w:p w14:paraId="5BEF744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C4C2EB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RB1522</w:t>
            </w:r>
          </w:p>
        </w:tc>
        <w:tc>
          <w:tcPr>
            <w:tcW w:w="1300" w:type="dxa"/>
            <w:tcBorders>
              <w:top w:val="nil"/>
              <w:left w:val="nil"/>
              <w:bottom w:val="nil"/>
              <w:right w:val="nil"/>
            </w:tcBorders>
            <w:shd w:val="clear" w:color="auto" w:fill="auto"/>
            <w:noWrap/>
            <w:vAlign w:val="center"/>
            <w:hideMark/>
          </w:tcPr>
          <w:p w14:paraId="61A81BE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09438AC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F305CB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SAMN11038423</w:t>
            </w:r>
          </w:p>
        </w:tc>
      </w:tr>
      <w:tr w:rsidR="006B2888" w:rsidRPr="00AE525E" w14:paraId="5508FF01" w14:textId="77777777" w:rsidTr="006B2888">
        <w:trPr>
          <w:trHeight w:val="320"/>
        </w:trPr>
        <w:tc>
          <w:tcPr>
            <w:tcW w:w="2355" w:type="dxa"/>
            <w:tcBorders>
              <w:top w:val="nil"/>
              <w:left w:val="nil"/>
              <w:bottom w:val="nil"/>
              <w:right w:val="nil"/>
            </w:tcBorders>
            <w:shd w:val="clear" w:color="auto" w:fill="auto"/>
            <w:noWrap/>
            <w:vAlign w:val="center"/>
            <w:hideMark/>
          </w:tcPr>
          <w:p w14:paraId="3057A594"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2D77E41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RB1523</w:t>
            </w:r>
          </w:p>
        </w:tc>
        <w:tc>
          <w:tcPr>
            <w:tcW w:w="1300" w:type="dxa"/>
            <w:tcBorders>
              <w:top w:val="nil"/>
              <w:left w:val="nil"/>
              <w:bottom w:val="nil"/>
              <w:right w:val="nil"/>
            </w:tcBorders>
            <w:shd w:val="clear" w:color="auto" w:fill="auto"/>
            <w:noWrap/>
            <w:vAlign w:val="center"/>
            <w:hideMark/>
          </w:tcPr>
          <w:p w14:paraId="6B75876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16D8D78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7D1572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SAMN11038424</w:t>
            </w:r>
          </w:p>
        </w:tc>
      </w:tr>
      <w:tr w:rsidR="006B2888" w:rsidRPr="00AE525E" w14:paraId="22FB8C65" w14:textId="77777777" w:rsidTr="006B2888">
        <w:trPr>
          <w:trHeight w:val="320"/>
        </w:trPr>
        <w:tc>
          <w:tcPr>
            <w:tcW w:w="2355" w:type="dxa"/>
            <w:tcBorders>
              <w:top w:val="nil"/>
              <w:left w:val="nil"/>
              <w:bottom w:val="nil"/>
              <w:right w:val="nil"/>
            </w:tcBorders>
            <w:shd w:val="clear" w:color="auto" w:fill="auto"/>
            <w:noWrap/>
            <w:vAlign w:val="center"/>
            <w:hideMark/>
          </w:tcPr>
          <w:p w14:paraId="552BBE0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A25E54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RB1524</w:t>
            </w:r>
          </w:p>
        </w:tc>
        <w:tc>
          <w:tcPr>
            <w:tcW w:w="1300" w:type="dxa"/>
            <w:tcBorders>
              <w:top w:val="nil"/>
              <w:left w:val="nil"/>
              <w:bottom w:val="nil"/>
              <w:right w:val="nil"/>
            </w:tcBorders>
            <w:shd w:val="clear" w:color="auto" w:fill="auto"/>
            <w:noWrap/>
            <w:vAlign w:val="center"/>
            <w:hideMark/>
          </w:tcPr>
          <w:p w14:paraId="6AD9298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281C343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D0BA66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SAMN11038425</w:t>
            </w:r>
          </w:p>
        </w:tc>
      </w:tr>
      <w:tr w:rsidR="006B2888" w:rsidRPr="00AE525E" w14:paraId="77D95708" w14:textId="77777777" w:rsidTr="006B2888">
        <w:trPr>
          <w:trHeight w:val="320"/>
        </w:trPr>
        <w:tc>
          <w:tcPr>
            <w:tcW w:w="2355" w:type="dxa"/>
            <w:tcBorders>
              <w:top w:val="nil"/>
              <w:left w:val="nil"/>
              <w:bottom w:val="nil"/>
              <w:right w:val="nil"/>
            </w:tcBorders>
            <w:shd w:val="clear" w:color="auto" w:fill="auto"/>
            <w:noWrap/>
            <w:vAlign w:val="center"/>
            <w:hideMark/>
          </w:tcPr>
          <w:p w14:paraId="2745C36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3A660F8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RB1525</w:t>
            </w:r>
          </w:p>
        </w:tc>
        <w:tc>
          <w:tcPr>
            <w:tcW w:w="1300" w:type="dxa"/>
            <w:tcBorders>
              <w:top w:val="nil"/>
              <w:left w:val="nil"/>
              <w:bottom w:val="nil"/>
              <w:right w:val="nil"/>
            </w:tcBorders>
            <w:shd w:val="clear" w:color="auto" w:fill="auto"/>
            <w:noWrap/>
            <w:vAlign w:val="center"/>
            <w:hideMark/>
          </w:tcPr>
          <w:p w14:paraId="786F527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61BC5D1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124B8FD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SAMN11038426</w:t>
            </w:r>
          </w:p>
        </w:tc>
      </w:tr>
      <w:tr w:rsidR="006B2888" w:rsidRPr="00AE525E" w14:paraId="0D5AD4C2" w14:textId="77777777" w:rsidTr="006B2888">
        <w:trPr>
          <w:trHeight w:val="320"/>
        </w:trPr>
        <w:tc>
          <w:tcPr>
            <w:tcW w:w="2355" w:type="dxa"/>
            <w:tcBorders>
              <w:top w:val="nil"/>
              <w:left w:val="nil"/>
              <w:bottom w:val="nil"/>
              <w:right w:val="nil"/>
            </w:tcBorders>
            <w:shd w:val="clear" w:color="auto" w:fill="auto"/>
            <w:noWrap/>
            <w:vAlign w:val="center"/>
            <w:hideMark/>
          </w:tcPr>
          <w:p w14:paraId="67ECD5C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3D10CB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RB1526</w:t>
            </w:r>
          </w:p>
        </w:tc>
        <w:tc>
          <w:tcPr>
            <w:tcW w:w="1300" w:type="dxa"/>
            <w:tcBorders>
              <w:top w:val="nil"/>
              <w:left w:val="nil"/>
              <w:bottom w:val="nil"/>
              <w:right w:val="nil"/>
            </w:tcBorders>
            <w:shd w:val="clear" w:color="auto" w:fill="auto"/>
            <w:noWrap/>
            <w:vAlign w:val="center"/>
            <w:hideMark/>
          </w:tcPr>
          <w:p w14:paraId="05E21D9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4E9580B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877F76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SAMN11038427</w:t>
            </w:r>
          </w:p>
        </w:tc>
      </w:tr>
      <w:tr w:rsidR="006B2888" w:rsidRPr="00AE525E" w14:paraId="6D5E80F7" w14:textId="77777777" w:rsidTr="006B2888">
        <w:trPr>
          <w:trHeight w:val="320"/>
        </w:trPr>
        <w:tc>
          <w:tcPr>
            <w:tcW w:w="2355" w:type="dxa"/>
            <w:tcBorders>
              <w:top w:val="nil"/>
              <w:left w:val="nil"/>
              <w:bottom w:val="nil"/>
              <w:right w:val="nil"/>
            </w:tcBorders>
            <w:shd w:val="clear" w:color="auto" w:fill="auto"/>
            <w:noWrap/>
            <w:vAlign w:val="center"/>
            <w:hideMark/>
          </w:tcPr>
          <w:p w14:paraId="70A0BBA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614B600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RB1527</w:t>
            </w:r>
          </w:p>
        </w:tc>
        <w:tc>
          <w:tcPr>
            <w:tcW w:w="1300" w:type="dxa"/>
            <w:tcBorders>
              <w:top w:val="nil"/>
              <w:left w:val="nil"/>
              <w:bottom w:val="nil"/>
              <w:right w:val="nil"/>
            </w:tcBorders>
            <w:shd w:val="clear" w:color="auto" w:fill="auto"/>
            <w:noWrap/>
            <w:vAlign w:val="center"/>
            <w:hideMark/>
          </w:tcPr>
          <w:p w14:paraId="23AF406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1546D68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9A0155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SAMN11038428</w:t>
            </w:r>
          </w:p>
        </w:tc>
      </w:tr>
      <w:tr w:rsidR="006B2888" w:rsidRPr="00AE525E" w14:paraId="2DEDF7BC" w14:textId="77777777" w:rsidTr="006B2888">
        <w:trPr>
          <w:trHeight w:val="320"/>
        </w:trPr>
        <w:tc>
          <w:tcPr>
            <w:tcW w:w="2355" w:type="dxa"/>
            <w:tcBorders>
              <w:top w:val="nil"/>
              <w:left w:val="nil"/>
              <w:bottom w:val="nil"/>
              <w:right w:val="nil"/>
            </w:tcBorders>
            <w:shd w:val="clear" w:color="auto" w:fill="auto"/>
            <w:noWrap/>
            <w:vAlign w:val="center"/>
            <w:hideMark/>
          </w:tcPr>
          <w:p w14:paraId="5D867AF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B27491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RB1528</w:t>
            </w:r>
          </w:p>
        </w:tc>
        <w:tc>
          <w:tcPr>
            <w:tcW w:w="1300" w:type="dxa"/>
            <w:tcBorders>
              <w:top w:val="nil"/>
              <w:left w:val="nil"/>
              <w:bottom w:val="nil"/>
              <w:right w:val="nil"/>
            </w:tcBorders>
            <w:shd w:val="clear" w:color="auto" w:fill="auto"/>
            <w:noWrap/>
            <w:vAlign w:val="center"/>
            <w:hideMark/>
          </w:tcPr>
          <w:p w14:paraId="7D2BD38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155E58D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F8289D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SAMN11038429</w:t>
            </w:r>
          </w:p>
        </w:tc>
      </w:tr>
      <w:tr w:rsidR="006B2888" w:rsidRPr="00AE525E" w14:paraId="780C99BF" w14:textId="77777777" w:rsidTr="006B2888">
        <w:trPr>
          <w:trHeight w:val="320"/>
        </w:trPr>
        <w:tc>
          <w:tcPr>
            <w:tcW w:w="2355" w:type="dxa"/>
            <w:tcBorders>
              <w:top w:val="nil"/>
              <w:left w:val="nil"/>
              <w:bottom w:val="nil"/>
              <w:right w:val="nil"/>
            </w:tcBorders>
            <w:shd w:val="clear" w:color="auto" w:fill="auto"/>
            <w:noWrap/>
            <w:vAlign w:val="center"/>
            <w:hideMark/>
          </w:tcPr>
          <w:p w14:paraId="1D45B4DA"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637C29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RB1531</w:t>
            </w:r>
          </w:p>
        </w:tc>
        <w:tc>
          <w:tcPr>
            <w:tcW w:w="1300" w:type="dxa"/>
            <w:tcBorders>
              <w:top w:val="nil"/>
              <w:left w:val="nil"/>
              <w:bottom w:val="nil"/>
              <w:right w:val="nil"/>
            </w:tcBorders>
            <w:shd w:val="clear" w:color="auto" w:fill="auto"/>
            <w:noWrap/>
            <w:vAlign w:val="center"/>
            <w:hideMark/>
          </w:tcPr>
          <w:p w14:paraId="7431324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1E62F80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55D218C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SAMN11038430</w:t>
            </w:r>
          </w:p>
        </w:tc>
      </w:tr>
      <w:tr w:rsidR="006B2888" w:rsidRPr="00AE525E" w14:paraId="50DBC59E" w14:textId="77777777" w:rsidTr="006B2888">
        <w:trPr>
          <w:trHeight w:val="320"/>
        </w:trPr>
        <w:tc>
          <w:tcPr>
            <w:tcW w:w="2355" w:type="dxa"/>
            <w:tcBorders>
              <w:top w:val="nil"/>
              <w:left w:val="nil"/>
              <w:bottom w:val="nil"/>
              <w:right w:val="nil"/>
            </w:tcBorders>
            <w:shd w:val="clear" w:color="auto" w:fill="auto"/>
            <w:noWrap/>
            <w:vAlign w:val="center"/>
            <w:hideMark/>
          </w:tcPr>
          <w:p w14:paraId="16733B5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5DB80AF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RB1532</w:t>
            </w:r>
          </w:p>
        </w:tc>
        <w:tc>
          <w:tcPr>
            <w:tcW w:w="1300" w:type="dxa"/>
            <w:tcBorders>
              <w:top w:val="nil"/>
              <w:left w:val="nil"/>
              <w:bottom w:val="nil"/>
              <w:right w:val="nil"/>
            </w:tcBorders>
            <w:shd w:val="clear" w:color="auto" w:fill="auto"/>
            <w:noWrap/>
            <w:vAlign w:val="center"/>
            <w:hideMark/>
          </w:tcPr>
          <w:p w14:paraId="78896C7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4B12D6B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CC3067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SAMN11038431</w:t>
            </w:r>
          </w:p>
        </w:tc>
      </w:tr>
      <w:tr w:rsidR="006B2888" w:rsidRPr="00AE525E" w14:paraId="6AE54EA8" w14:textId="77777777" w:rsidTr="006B2888">
        <w:trPr>
          <w:trHeight w:val="320"/>
        </w:trPr>
        <w:tc>
          <w:tcPr>
            <w:tcW w:w="2355" w:type="dxa"/>
            <w:tcBorders>
              <w:top w:val="nil"/>
              <w:left w:val="nil"/>
              <w:bottom w:val="nil"/>
              <w:right w:val="nil"/>
            </w:tcBorders>
            <w:shd w:val="clear" w:color="auto" w:fill="auto"/>
            <w:noWrap/>
            <w:vAlign w:val="center"/>
            <w:hideMark/>
          </w:tcPr>
          <w:p w14:paraId="1A3915B1"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B01F23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RB1533</w:t>
            </w:r>
          </w:p>
        </w:tc>
        <w:tc>
          <w:tcPr>
            <w:tcW w:w="1300" w:type="dxa"/>
            <w:tcBorders>
              <w:top w:val="nil"/>
              <w:left w:val="nil"/>
              <w:bottom w:val="nil"/>
              <w:right w:val="nil"/>
            </w:tcBorders>
            <w:shd w:val="clear" w:color="auto" w:fill="auto"/>
            <w:noWrap/>
            <w:vAlign w:val="center"/>
            <w:hideMark/>
          </w:tcPr>
          <w:p w14:paraId="34B68D7D"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5A5EB5E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7E7508F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SAMN11038432</w:t>
            </w:r>
          </w:p>
        </w:tc>
      </w:tr>
      <w:tr w:rsidR="006B2888" w:rsidRPr="00AE525E" w14:paraId="51EDE5F3" w14:textId="77777777" w:rsidTr="006B2888">
        <w:trPr>
          <w:trHeight w:val="320"/>
        </w:trPr>
        <w:tc>
          <w:tcPr>
            <w:tcW w:w="2355" w:type="dxa"/>
            <w:tcBorders>
              <w:top w:val="nil"/>
              <w:left w:val="nil"/>
              <w:bottom w:val="nil"/>
              <w:right w:val="nil"/>
            </w:tcBorders>
            <w:shd w:val="clear" w:color="auto" w:fill="auto"/>
            <w:noWrap/>
            <w:vAlign w:val="center"/>
            <w:hideMark/>
          </w:tcPr>
          <w:p w14:paraId="7A0770F3"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A85061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RB1534</w:t>
            </w:r>
          </w:p>
        </w:tc>
        <w:tc>
          <w:tcPr>
            <w:tcW w:w="1300" w:type="dxa"/>
            <w:tcBorders>
              <w:top w:val="nil"/>
              <w:left w:val="nil"/>
              <w:bottom w:val="nil"/>
              <w:right w:val="nil"/>
            </w:tcBorders>
            <w:shd w:val="clear" w:color="auto" w:fill="auto"/>
            <w:noWrap/>
            <w:vAlign w:val="center"/>
            <w:hideMark/>
          </w:tcPr>
          <w:p w14:paraId="2C47D59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SAL</w:t>
            </w:r>
          </w:p>
        </w:tc>
        <w:tc>
          <w:tcPr>
            <w:tcW w:w="1300" w:type="dxa"/>
            <w:tcBorders>
              <w:top w:val="nil"/>
              <w:left w:val="nil"/>
              <w:bottom w:val="nil"/>
              <w:right w:val="nil"/>
            </w:tcBorders>
            <w:shd w:val="clear" w:color="auto" w:fill="auto"/>
            <w:noWrap/>
            <w:vAlign w:val="center"/>
            <w:hideMark/>
          </w:tcPr>
          <w:p w14:paraId="5ADA840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0C090AB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SAMN11038433</w:t>
            </w:r>
          </w:p>
        </w:tc>
      </w:tr>
      <w:tr w:rsidR="006B2888" w:rsidRPr="00AE525E" w14:paraId="28B32318" w14:textId="77777777" w:rsidTr="006B2888">
        <w:trPr>
          <w:trHeight w:val="320"/>
        </w:trPr>
        <w:tc>
          <w:tcPr>
            <w:tcW w:w="2355" w:type="dxa"/>
            <w:tcBorders>
              <w:top w:val="nil"/>
              <w:left w:val="nil"/>
              <w:bottom w:val="nil"/>
              <w:right w:val="nil"/>
            </w:tcBorders>
            <w:shd w:val="clear" w:color="auto" w:fill="auto"/>
            <w:noWrap/>
            <w:vAlign w:val="center"/>
            <w:hideMark/>
          </w:tcPr>
          <w:p w14:paraId="2E9B8DB2"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2097A72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UMSNH16756</w:t>
            </w:r>
          </w:p>
        </w:tc>
        <w:tc>
          <w:tcPr>
            <w:tcW w:w="1300" w:type="dxa"/>
            <w:tcBorders>
              <w:top w:val="nil"/>
              <w:left w:val="nil"/>
              <w:bottom w:val="nil"/>
              <w:right w:val="nil"/>
            </w:tcBorders>
            <w:shd w:val="clear" w:color="auto" w:fill="auto"/>
            <w:noWrap/>
            <w:vAlign w:val="center"/>
            <w:hideMark/>
          </w:tcPr>
          <w:p w14:paraId="74F45390"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NUE    </w:t>
            </w:r>
          </w:p>
        </w:tc>
        <w:tc>
          <w:tcPr>
            <w:tcW w:w="1300" w:type="dxa"/>
            <w:tcBorders>
              <w:top w:val="nil"/>
              <w:left w:val="nil"/>
              <w:bottom w:val="nil"/>
              <w:right w:val="nil"/>
            </w:tcBorders>
            <w:shd w:val="clear" w:color="auto" w:fill="auto"/>
            <w:noWrap/>
            <w:vAlign w:val="center"/>
            <w:hideMark/>
          </w:tcPr>
          <w:p w14:paraId="5C36B7B1"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MK534325</w:t>
            </w:r>
          </w:p>
        </w:tc>
        <w:tc>
          <w:tcPr>
            <w:tcW w:w="2242" w:type="dxa"/>
            <w:tcBorders>
              <w:top w:val="nil"/>
              <w:left w:val="nil"/>
              <w:bottom w:val="nil"/>
              <w:right w:val="nil"/>
            </w:tcBorders>
            <w:shd w:val="clear" w:color="auto" w:fill="auto"/>
            <w:noWrap/>
            <w:vAlign w:val="bottom"/>
            <w:hideMark/>
          </w:tcPr>
          <w:p w14:paraId="3A31EF3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SAMN11038466</w:t>
            </w:r>
          </w:p>
        </w:tc>
      </w:tr>
      <w:tr w:rsidR="006B2888" w:rsidRPr="00AE525E" w14:paraId="6D160A7D" w14:textId="77777777" w:rsidTr="006B2888">
        <w:trPr>
          <w:trHeight w:val="320"/>
        </w:trPr>
        <w:tc>
          <w:tcPr>
            <w:tcW w:w="2355" w:type="dxa"/>
            <w:tcBorders>
              <w:top w:val="nil"/>
              <w:left w:val="nil"/>
              <w:bottom w:val="nil"/>
              <w:right w:val="nil"/>
            </w:tcBorders>
            <w:shd w:val="clear" w:color="auto" w:fill="auto"/>
            <w:noWrap/>
            <w:vAlign w:val="center"/>
            <w:hideMark/>
          </w:tcPr>
          <w:p w14:paraId="7B560AD5"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2EEA99A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UMSNH16996</w:t>
            </w:r>
          </w:p>
        </w:tc>
        <w:tc>
          <w:tcPr>
            <w:tcW w:w="1300" w:type="dxa"/>
            <w:tcBorders>
              <w:top w:val="nil"/>
              <w:left w:val="nil"/>
              <w:bottom w:val="nil"/>
              <w:right w:val="nil"/>
            </w:tcBorders>
            <w:shd w:val="clear" w:color="auto" w:fill="auto"/>
            <w:noWrap/>
            <w:vAlign w:val="center"/>
            <w:hideMark/>
          </w:tcPr>
          <w:p w14:paraId="791529F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NUE    </w:t>
            </w:r>
          </w:p>
        </w:tc>
        <w:tc>
          <w:tcPr>
            <w:tcW w:w="1300" w:type="dxa"/>
            <w:tcBorders>
              <w:top w:val="nil"/>
              <w:left w:val="nil"/>
              <w:bottom w:val="nil"/>
              <w:right w:val="nil"/>
            </w:tcBorders>
            <w:shd w:val="clear" w:color="auto" w:fill="auto"/>
            <w:noWrap/>
            <w:vAlign w:val="center"/>
            <w:hideMark/>
          </w:tcPr>
          <w:p w14:paraId="3BF8504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MK534324</w:t>
            </w:r>
          </w:p>
        </w:tc>
        <w:tc>
          <w:tcPr>
            <w:tcW w:w="2242" w:type="dxa"/>
            <w:tcBorders>
              <w:top w:val="nil"/>
              <w:left w:val="nil"/>
              <w:bottom w:val="nil"/>
              <w:right w:val="nil"/>
            </w:tcBorders>
            <w:shd w:val="clear" w:color="auto" w:fill="auto"/>
            <w:noWrap/>
            <w:vAlign w:val="bottom"/>
            <w:hideMark/>
          </w:tcPr>
          <w:p w14:paraId="402BD84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SAMN11038467</w:t>
            </w:r>
          </w:p>
        </w:tc>
      </w:tr>
      <w:tr w:rsidR="006B2888" w:rsidRPr="00AE525E" w14:paraId="35FBC541" w14:textId="77777777" w:rsidTr="006B2888">
        <w:trPr>
          <w:trHeight w:val="320"/>
        </w:trPr>
        <w:tc>
          <w:tcPr>
            <w:tcW w:w="2355" w:type="dxa"/>
            <w:tcBorders>
              <w:top w:val="nil"/>
              <w:left w:val="nil"/>
              <w:bottom w:val="nil"/>
              <w:right w:val="nil"/>
            </w:tcBorders>
            <w:shd w:val="clear" w:color="auto" w:fill="auto"/>
            <w:noWrap/>
            <w:vAlign w:val="center"/>
            <w:hideMark/>
          </w:tcPr>
          <w:p w14:paraId="019D5BAB"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CD2652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UMSNH16997</w:t>
            </w:r>
          </w:p>
        </w:tc>
        <w:tc>
          <w:tcPr>
            <w:tcW w:w="1300" w:type="dxa"/>
            <w:tcBorders>
              <w:top w:val="nil"/>
              <w:left w:val="nil"/>
              <w:bottom w:val="nil"/>
              <w:right w:val="nil"/>
            </w:tcBorders>
            <w:shd w:val="clear" w:color="auto" w:fill="auto"/>
            <w:noWrap/>
            <w:vAlign w:val="center"/>
            <w:hideMark/>
          </w:tcPr>
          <w:p w14:paraId="7E7F14D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 xml:space="preserve">NUE    </w:t>
            </w:r>
          </w:p>
        </w:tc>
        <w:tc>
          <w:tcPr>
            <w:tcW w:w="1300" w:type="dxa"/>
            <w:tcBorders>
              <w:top w:val="nil"/>
              <w:left w:val="nil"/>
              <w:bottom w:val="nil"/>
              <w:right w:val="nil"/>
            </w:tcBorders>
            <w:shd w:val="clear" w:color="auto" w:fill="auto"/>
            <w:noWrap/>
            <w:vAlign w:val="center"/>
            <w:hideMark/>
          </w:tcPr>
          <w:p w14:paraId="6C5007C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MK534326</w:t>
            </w:r>
          </w:p>
        </w:tc>
        <w:tc>
          <w:tcPr>
            <w:tcW w:w="2242" w:type="dxa"/>
            <w:tcBorders>
              <w:top w:val="nil"/>
              <w:left w:val="nil"/>
              <w:bottom w:val="nil"/>
              <w:right w:val="nil"/>
            </w:tcBorders>
            <w:shd w:val="clear" w:color="auto" w:fill="auto"/>
            <w:noWrap/>
            <w:vAlign w:val="bottom"/>
            <w:hideMark/>
          </w:tcPr>
          <w:p w14:paraId="554793B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SAMN11038468</w:t>
            </w:r>
          </w:p>
        </w:tc>
      </w:tr>
      <w:tr w:rsidR="006B2888" w:rsidRPr="00AE525E" w14:paraId="388ED64E" w14:textId="77777777" w:rsidTr="006B2888">
        <w:trPr>
          <w:trHeight w:val="320"/>
        </w:trPr>
        <w:tc>
          <w:tcPr>
            <w:tcW w:w="2355" w:type="dxa"/>
            <w:tcBorders>
              <w:top w:val="nil"/>
              <w:left w:val="nil"/>
              <w:bottom w:val="nil"/>
              <w:right w:val="nil"/>
            </w:tcBorders>
            <w:shd w:val="clear" w:color="auto" w:fill="auto"/>
            <w:noWrap/>
            <w:vAlign w:val="center"/>
            <w:hideMark/>
          </w:tcPr>
          <w:p w14:paraId="16CB114D"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076383C7"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VEN001</w:t>
            </w:r>
          </w:p>
        </w:tc>
        <w:tc>
          <w:tcPr>
            <w:tcW w:w="1300" w:type="dxa"/>
            <w:tcBorders>
              <w:top w:val="nil"/>
              <w:left w:val="nil"/>
              <w:bottom w:val="nil"/>
              <w:right w:val="nil"/>
            </w:tcBorders>
            <w:shd w:val="clear" w:color="auto" w:fill="auto"/>
            <w:noWrap/>
            <w:vAlign w:val="center"/>
            <w:hideMark/>
          </w:tcPr>
          <w:p w14:paraId="0FC323B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nil"/>
              <w:right w:val="nil"/>
            </w:tcBorders>
            <w:shd w:val="clear" w:color="auto" w:fill="auto"/>
            <w:noWrap/>
            <w:vAlign w:val="center"/>
            <w:hideMark/>
          </w:tcPr>
          <w:p w14:paraId="4C3ED73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1D30C6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SAMN11038471</w:t>
            </w:r>
          </w:p>
        </w:tc>
      </w:tr>
      <w:tr w:rsidR="006B2888" w:rsidRPr="00AE525E" w14:paraId="6D88A114" w14:textId="77777777" w:rsidTr="006B2888">
        <w:trPr>
          <w:trHeight w:val="320"/>
        </w:trPr>
        <w:tc>
          <w:tcPr>
            <w:tcW w:w="2355" w:type="dxa"/>
            <w:tcBorders>
              <w:top w:val="nil"/>
              <w:left w:val="nil"/>
              <w:bottom w:val="nil"/>
              <w:right w:val="nil"/>
            </w:tcBorders>
            <w:shd w:val="clear" w:color="auto" w:fill="auto"/>
            <w:noWrap/>
            <w:vAlign w:val="center"/>
            <w:hideMark/>
          </w:tcPr>
          <w:p w14:paraId="5AC04BD8"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E2A91A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VEN002</w:t>
            </w:r>
          </w:p>
        </w:tc>
        <w:tc>
          <w:tcPr>
            <w:tcW w:w="1300" w:type="dxa"/>
            <w:tcBorders>
              <w:top w:val="nil"/>
              <w:left w:val="nil"/>
              <w:bottom w:val="nil"/>
              <w:right w:val="nil"/>
            </w:tcBorders>
            <w:shd w:val="clear" w:color="auto" w:fill="auto"/>
            <w:noWrap/>
            <w:vAlign w:val="center"/>
            <w:hideMark/>
          </w:tcPr>
          <w:p w14:paraId="6223B5D9"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nil"/>
              <w:right w:val="nil"/>
            </w:tcBorders>
            <w:shd w:val="clear" w:color="auto" w:fill="auto"/>
            <w:noWrap/>
            <w:vAlign w:val="center"/>
            <w:hideMark/>
          </w:tcPr>
          <w:p w14:paraId="0F04266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D428F85"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SAMN11038472</w:t>
            </w:r>
          </w:p>
        </w:tc>
      </w:tr>
      <w:tr w:rsidR="006B2888" w:rsidRPr="00AE525E" w14:paraId="4F152802" w14:textId="77777777" w:rsidTr="006B2888">
        <w:trPr>
          <w:trHeight w:val="320"/>
        </w:trPr>
        <w:tc>
          <w:tcPr>
            <w:tcW w:w="2355" w:type="dxa"/>
            <w:tcBorders>
              <w:top w:val="nil"/>
              <w:left w:val="nil"/>
              <w:bottom w:val="nil"/>
              <w:right w:val="nil"/>
            </w:tcBorders>
            <w:shd w:val="clear" w:color="auto" w:fill="auto"/>
            <w:noWrap/>
            <w:vAlign w:val="center"/>
            <w:hideMark/>
          </w:tcPr>
          <w:p w14:paraId="2D986C3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4B7C157B"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VEN003</w:t>
            </w:r>
          </w:p>
        </w:tc>
        <w:tc>
          <w:tcPr>
            <w:tcW w:w="1300" w:type="dxa"/>
            <w:tcBorders>
              <w:top w:val="nil"/>
              <w:left w:val="nil"/>
              <w:bottom w:val="nil"/>
              <w:right w:val="nil"/>
            </w:tcBorders>
            <w:shd w:val="clear" w:color="auto" w:fill="auto"/>
            <w:noWrap/>
            <w:vAlign w:val="center"/>
            <w:hideMark/>
          </w:tcPr>
          <w:p w14:paraId="7250DC8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nil"/>
              <w:right w:val="nil"/>
            </w:tcBorders>
            <w:shd w:val="clear" w:color="auto" w:fill="auto"/>
            <w:noWrap/>
            <w:vAlign w:val="center"/>
            <w:hideMark/>
          </w:tcPr>
          <w:p w14:paraId="232A41B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27284614"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SAMN11038473</w:t>
            </w:r>
          </w:p>
        </w:tc>
      </w:tr>
      <w:tr w:rsidR="006B2888" w:rsidRPr="00AE525E" w14:paraId="11EF743B" w14:textId="77777777" w:rsidTr="006B2888">
        <w:trPr>
          <w:trHeight w:val="320"/>
        </w:trPr>
        <w:tc>
          <w:tcPr>
            <w:tcW w:w="2355" w:type="dxa"/>
            <w:tcBorders>
              <w:top w:val="nil"/>
              <w:left w:val="nil"/>
              <w:bottom w:val="nil"/>
              <w:right w:val="nil"/>
            </w:tcBorders>
            <w:shd w:val="clear" w:color="auto" w:fill="auto"/>
            <w:noWrap/>
            <w:vAlign w:val="center"/>
            <w:hideMark/>
          </w:tcPr>
          <w:p w14:paraId="79ACBE26"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7307A77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VEN004</w:t>
            </w:r>
          </w:p>
        </w:tc>
        <w:tc>
          <w:tcPr>
            <w:tcW w:w="1300" w:type="dxa"/>
            <w:tcBorders>
              <w:top w:val="nil"/>
              <w:left w:val="nil"/>
              <w:bottom w:val="nil"/>
              <w:right w:val="nil"/>
            </w:tcBorders>
            <w:shd w:val="clear" w:color="auto" w:fill="auto"/>
            <w:noWrap/>
            <w:vAlign w:val="center"/>
            <w:hideMark/>
          </w:tcPr>
          <w:p w14:paraId="07AFB322"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nil"/>
              <w:right w:val="nil"/>
            </w:tcBorders>
            <w:shd w:val="clear" w:color="auto" w:fill="auto"/>
            <w:noWrap/>
            <w:vAlign w:val="center"/>
            <w:hideMark/>
          </w:tcPr>
          <w:p w14:paraId="7A77D66C"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269DA7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SAMN11038474</w:t>
            </w:r>
          </w:p>
        </w:tc>
      </w:tr>
      <w:tr w:rsidR="006B2888" w:rsidRPr="00AE525E" w14:paraId="0C94B23B" w14:textId="77777777" w:rsidTr="006B2888">
        <w:trPr>
          <w:trHeight w:val="320"/>
        </w:trPr>
        <w:tc>
          <w:tcPr>
            <w:tcW w:w="2355" w:type="dxa"/>
            <w:tcBorders>
              <w:top w:val="nil"/>
              <w:left w:val="nil"/>
              <w:bottom w:val="nil"/>
              <w:right w:val="nil"/>
            </w:tcBorders>
            <w:shd w:val="clear" w:color="auto" w:fill="auto"/>
            <w:noWrap/>
            <w:vAlign w:val="center"/>
            <w:hideMark/>
          </w:tcPr>
          <w:p w14:paraId="2A4AC337"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nil"/>
              <w:right w:val="nil"/>
            </w:tcBorders>
            <w:shd w:val="clear" w:color="auto" w:fill="auto"/>
            <w:noWrap/>
            <w:vAlign w:val="center"/>
            <w:hideMark/>
          </w:tcPr>
          <w:p w14:paraId="112FEF46"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VEN005</w:t>
            </w:r>
          </w:p>
        </w:tc>
        <w:tc>
          <w:tcPr>
            <w:tcW w:w="1300" w:type="dxa"/>
            <w:tcBorders>
              <w:top w:val="nil"/>
              <w:left w:val="nil"/>
              <w:bottom w:val="nil"/>
              <w:right w:val="nil"/>
            </w:tcBorders>
            <w:shd w:val="clear" w:color="auto" w:fill="auto"/>
            <w:noWrap/>
            <w:vAlign w:val="center"/>
            <w:hideMark/>
          </w:tcPr>
          <w:p w14:paraId="76FAFF2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nil"/>
              <w:right w:val="nil"/>
            </w:tcBorders>
            <w:shd w:val="clear" w:color="auto" w:fill="auto"/>
            <w:noWrap/>
            <w:vAlign w:val="center"/>
            <w:hideMark/>
          </w:tcPr>
          <w:p w14:paraId="161C951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nil"/>
              <w:right w:val="nil"/>
            </w:tcBorders>
            <w:shd w:val="clear" w:color="auto" w:fill="auto"/>
            <w:noWrap/>
            <w:vAlign w:val="bottom"/>
            <w:hideMark/>
          </w:tcPr>
          <w:p w14:paraId="6190D6FE"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SAMN11038475</w:t>
            </w:r>
          </w:p>
        </w:tc>
      </w:tr>
      <w:tr w:rsidR="006B2888" w:rsidRPr="00AE525E" w14:paraId="09F15802" w14:textId="77777777" w:rsidTr="006B2888">
        <w:trPr>
          <w:trHeight w:val="340"/>
        </w:trPr>
        <w:tc>
          <w:tcPr>
            <w:tcW w:w="2355" w:type="dxa"/>
            <w:tcBorders>
              <w:top w:val="nil"/>
              <w:left w:val="nil"/>
              <w:bottom w:val="single" w:sz="8" w:space="0" w:color="auto"/>
              <w:right w:val="nil"/>
            </w:tcBorders>
            <w:shd w:val="clear" w:color="auto" w:fill="auto"/>
            <w:noWrap/>
            <w:vAlign w:val="center"/>
            <w:hideMark/>
          </w:tcPr>
          <w:p w14:paraId="3F8640C0" w14:textId="77777777" w:rsidR="006B2888" w:rsidRPr="00AE525E" w:rsidRDefault="006B2888" w:rsidP="00031031">
            <w:pPr>
              <w:rPr>
                <w:rFonts w:ascii="Times New Roman" w:eastAsia="Times New Roman" w:hAnsi="Times New Roman" w:cs="Times New Roman"/>
                <w:i/>
                <w:iCs/>
                <w:color w:val="000000"/>
                <w:sz w:val="16"/>
                <w:szCs w:val="16"/>
              </w:rPr>
            </w:pPr>
            <w:r w:rsidRPr="00AE525E">
              <w:rPr>
                <w:rFonts w:ascii="Times New Roman" w:eastAsia="Times New Roman" w:hAnsi="Times New Roman" w:cs="Times New Roman"/>
                <w:i/>
                <w:iCs/>
                <w:color w:val="000000"/>
                <w:sz w:val="16"/>
                <w:szCs w:val="16"/>
              </w:rPr>
              <w:t>Lutjanus purpureus</w:t>
            </w:r>
          </w:p>
        </w:tc>
        <w:tc>
          <w:tcPr>
            <w:tcW w:w="1533" w:type="dxa"/>
            <w:tcBorders>
              <w:top w:val="nil"/>
              <w:left w:val="nil"/>
              <w:bottom w:val="single" w:sz="8" w:space="0" w:color="auto"/>
              <w:right w:val="nil"/>
            </w:tcBorders>
            <w:shd w:val="clear" w:color="auto" w:fill="auto"/>
            <w:noWrap/>
            <w:vAlign w:val="center"/>
            <w:hideMark/>
          </w:tcPr>
          <w:p w14:paraId="1C6ECBE3"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VEN006</w:t>
            </w:r>
          </w:p>
        </w:tc>
        <w:tc>
          <w:tcPr>
            <w:tcW w:w="1300" w:type="dxa"/>
            <w:tcBorders>
              <w:top w:val="nil"/>
              <w:left w:val="nil"/>
              <w:bottom w:val="single" w:sz="8" w:space="0" w:color="auto"/>
              <w:right w:val="nil"/>
            </w:tcBorders>
            <w:shd w:val="clear" w:color="auto" w:fill="auto"/>
            <w:noWrap/>
            <w:vAlign w:val="center"/>
            <w:hideMark/>
          </w:tcPr>
          <w:p w14:paraId="6190778A"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VEN</w:t>
            </w:r>
          </w:p>
        </w:tc>
        <w:tc>
          <w:tcPr>
            <w:tcW w:w="1300" w:type="dxa"/>
            <w:tcBorders>
              <w:top w:val="nil"/>
              <w:left w:val="nil"/>
              <w:bottom w:val="single" w:sz="8" w:space="0" w:color="auto"/>
              <w:right w:val="nil"/>
            </w:tcBorders>
            <w:shd w:val="clear" w:color="auto" w:fill="auto"/>
            <w:noWrap/>
            <w:vAlign w:val="center"/>
            <w:hideMark/>
          </w:tcPr>
          <w:p w14:paraId="7E46CC2F"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w:t>
            </w:r>
          </w:p>
        </w:tc>
        <w:tc>
          <w:tcPr>
            <w:tcW w:w="2242" w:type="dxa"/>
            <w:tcBorders>
              <w:top w:val="nil"/>
              <w:left w:val="nil"/>
              <w:bottom w:val="single" w:sz="8" w:space="0" w:color="auto"/>
              <w:right w:val="nil"/>
            </w:tcBorders>
            <w:shd w:val="clear" w:color="auto" w:fill="auto"/>
            <w:noWrap/>
            <w:vAlign w:val="bottom"/>
            <w:hideMark/>
          </w:tcPr>
          <w:p w14:paraId="7D142C38" w14:textId="77777777" w:rsidR="006B2888" w:rsidRPr="00AE525E" w:rsidRDefault="006B2888" w:rsidP="00031031">
            <w:pPr>
              <w:rPr>
                <w:rFonts w:ascii="Times New Roman" w:eastAsia="Times New Roman" w:hAnsi="Times New Roman" w:cs="Times New Roman"/>
                <w:color w:val="000000"/>
                <w:sz w:val="16"/>
                <w:szCs w:val="16"/>
              </w:rPr>
            </w:pPr>
            <w:r w:rsidRPr="00AE525E">
              <w:rPr>
                <w:rFonts w:ascii="Times New Roman" w:eastAsia="Times New Roman" w:hAnsi="Times New Roman" w:cs="Times New Roman"/>
                <w:color w:val="000000"/>
                <w:sz w:val="16"/>
                <w:szCs w:val="16"/>
              </w:rPr>
              <w:t>SAMN11038476</w:t>
            </w:r>
          </w:p>
        </w:tc>
      </w:tr>
    </w:tbl>
    <w:p w14:paraId="51F6195A" w14:textId="4229B203" w:rsidR="006B2888" w:rsidRDefault="006B2888" w:rsidP="00AE525E">
      <w:pPr>
        <w:outlineLvl w:val="0"/>
        <w:rPr>
          <w:b/>
          <w:sz w:val="20"/>
          <w:szCs w:val="20"/>
        </w:rPr>
        <w:sectPr w:rsidR="006B2888" w:rsidSect="006B2888">
          <w:pgSz w:w="12240" w:h="15840"/>
          <w:pgMar w:top="1440" w:right="1440" w:bottom="1440" w:left="1440" w:header="708" w:footer="708" w:gutter="0"/>
          <w:pgNumType w:start="81"/>
          <w:cols w:space="708"/>
          <w:docGrid w:linePitch="360"/>
        </w:sectPr>
      </w:pPr>
    </w:p>
    <w:p w14:paraId="53DB31F1" w14:textId="77777777" w:rsidR="006B2888" w:rsidRPr="006B2888" w:rsidRDefault="006B2888" w:rsidP="006B2888">
      <w:pPr>
        <w:rPr>
          <w:rFonts w:ascii="Times New Roman" w:hAnsi="Times New Roman" w:cs="Times New Roman"/>
          <w:b/>
          <w:sz w:val="24"/>
          <w:szCs w:val="24"/>
        </w:rPr>
      </w:pPr>
      <w:r w:rsidRPr="006B2888">
        <w:rPr>
          <w:rFonts w:ascii="Times New Roman" w:hAnsi="Times New Roman" w:cs="Times New Roman"/>
          <w:b/>
          <w:sz w:val="24"/>
          <w:szCs w:val="24"/>
        </w:rPr>
        <w:lastRenderedPageBreak/>
        <w:t>Table S3. Accession numbers for sequences mined from GenBank (NCBI).</w:t>
      </w:r>
    </w:p>
    <w:p w14:paraId="7BB32C87" w14:textId="77777777" w:rsidR="006B2888" w:rsidRPr="00AE525E" w:rsidRDefault="006B2888" w:rsidP="006B2888">
      <w:pPr>
        <w:rPr>
          <w:rFonts w:ascii="Times New Roman" w:hAnsi="Times New Roman" w:cs="Times New Roman"/>
          <w:b/>
        </w:rPr>
      </w:pPr>
    </w:p>
    <w:tbl>
      <w:tblPr>
        <w:tblW w:w="8622" w:type="dxa"/>
        <w:tblInd w:w="108" w:type="dxa"/>
        <w:tblLayout w:type="fixed"/>
        <w:tblLook w:val="04A0" w:firstRow="1" w:lastRow="0" w:firstColumn="1" w:lastColumn="0" w:noHBand="0" w:noVBand="1"/>
      </w:tblPr>
      <w:tblGrid>
        <w:gridCol w:w="1872"/>
        <w:gridCol w:w="2160"/>
        <w:gridCol w:w="1440"/>
        <w:gridCol w:w="3150"/>
      </w:tblGrid>
      <w:tr w:rsidR="006B2888" w:rsidRPr="00173F74" w14:paraId="59C18564" w14:textId="77777777" w:rsidTr="00173F74">
        <w:trPr>
          <w:trHeight w:val="320"/>
        </w:trPr>
        <w:tc>
          <w:tcPr>
            <w:tcW w:w="1872" w:type="dxa"/>
            <w:tcBorders>
              <w:top w:val="single" w:sz="12" w:space="0" w:color="auto"/>
              <w:left w:val="nil"/>
              <w:bottom w:val="single" w:sz="12" w:space="0" w:color="auto"/>
              <w:right w:val="nil"/>
            </w:tcBorders>
            <w:shd w:val="clear" w:color="auto" w:fill="auto"/>
            <w:noWrap/>
            <w:vAlign w:val="center"/>
            <w:hideMark/>
          </w:tcPr>
          <w:p w14:paraId="47499228" w14:textId="77777777" w:rsidR="006B2888" w:rsidRPr="00173F74" w:rsidRDefault="006B2888" w:rsidP="00031031">
            <w:pPr>
              <w:rPr>
                <w:rFonts w:ascii="Times New Roman" w:eastAsia="Times New Roman" w:hAnsi="Times New Roman" w:cs="Times New Roman"/>
                <w:bCs/>
                <w:color w:val="000000"/>
                <w:sz w:val="18"/>
                <w:szCs w:val="18"/>
              </w:rPr>
            </w:pPr>
            <w:r w:rsidRPr="00173F74">
              <w:rPr>
                <w:rFonts w:ascii="Times New Roman" w:eastAsia="Times New Roman" w:hAnsi="Times New Roman" w:cs="Times New Roman"/>
                <w:bCs/>
                <w:color w:val="000000"/>
                <w:sz w:val="18"/>
                <w:szCs w:val="18"/>
              </w:rPr>
              <w:t>Organism</w:t>
            </w:r>
          </w:p>
        </w:tc>
        <w:tc>
          <w:tcPr>
            <w:tcW w:w="2160" w:type="dxa"/>
            <w:tcBorders>
              <w:top w:val="single" w:sz="12" w:space="0" w:color="auto"/>
              <w:left w:val="nil"/>
              <w:bottom w:val="single" w:sz="12" w:space="0" w:color="auto"/>
              <w:right w:val="nil"/>
            </w:tcBorders>
            <w:shd w:val="clear" w:color="auto" w:fill="auto"/>
            <w:noWrap/>
            <w:vAlign w:val="center"/>
            <w:hideMark/>
          </w:tcPr>
          <w:p w14:paraId="6C78F074" w14:textId="77777777" w:rsidR="006B2888" w:rsidRPr="00173F74" w:rsidRDefault="006B2888" w:rsidP="00031031">
            <w:pPr>
              <w:rPr>
                <w:rFonts w:ascii="Times New Roman" w:eastAsia="Times New Roman" w:hAnsi="Times New Roman" w:cs="Times New Roman"/>
                <w:bCs/>
                <w:color w:val="000000"/>
                <w:sz w:val="18"/>
                <w:szCs w:val="18"/>
              </w:rPr>
            </w:pPr>
            <w:r w:rsidRPr="00173F74">
              <w:rPr>
                <w:rFonts w:ascii="Times New Roman" w:eastAsia="Times New Roman" w:hAnsi="Times New Roman" w:cs="Times New Roman"/>
                <w:bCs/>
                <w:color w:val="000000"/>
                <w:sz w:val="18"/>
                <w:szCs w:val="18"/>
              </w:rPr>
              <w:t>Region/Location information</w:t>
            </w:r>
          </w:p>
        </w:tc>
        <w:tc>
          <w:tcPr>
            <w:tcW w:w="1440" w:type="dxa"/>
            <w:tcBorders>
              <w:top w:val="single" w:sz="12" w:space="0" w:color="auto"/>
              <w:left w:val="nil"/>
              <w:bottom w:val="single" w:sz="12" w:space="0" w:color="auto"/>
              <w:right w:val="nil"/>
            </w:tcBorders>
            <w:shd w:val="clear" w:color="auto" w:fill="auto"/>
            <w:noWrap/>
            <w:vAlign w:val="center"/>
            <w:hideMark/>
          </w:tcPr>
          <w:p w14:paraId="76AD8FDE" w14:textId="77777777" w:rsidR="006B2888" w:rsidRPr="00173F74" w:rsidRDefault="006B2888" w:rsidP="00031031">
            <w:pPr>
              <w:rPr>
                <w:rFonts w:ascii="Times New Roman" w:eastAsia="Times New Roman" w:hAnsi="Times New Roman" w:cs="Times New Roman"/>
                <w:bCs/>
                <w:color w:val="000000"/>
                <w:sz w:val="18"/>
                <w:szCs w:val="18"/>
              </w:rPr>
            </w:pPr>
            <w:r w:rsidRPr="00173F74">
              <w:rPr>
                <w:rFonts w:ascii="Times New Roman" w:eastAsia="Times New Roman" w:hAnsi="Times New Roman" w:cs="Times New Roman"/>
                <w:bCs/>
                <w:color w:val="000000"/>
                <w:sz w:val="18"/>
                <w:szCs w:val="18"/>
              </w:rPr>
              <w:t>Genetic marker</w:t>
            </w:r>
          </w:p>
        </w:tc>
        <w:tc>
          <w:tcPr>
            <w:tcW w:w="3150" w:type="dxa"/>
            <w:tcBorders>
              <w:top w:val="single" w:sz="12" w:space="0" w:color="auto"/>
              <w:left w:val="nil"/>
              <w:bottom w:val="single" w:sz="12" w:space="0" w:color="auto"/>
              <w:right w:val="nil"/>
            </w:tcBorders>
            <w:shd w:val="clear" w:color="auto" w:fill="auto"/>
            <w:noWrap/>
            <w:vAlign w:val="center"/>
            <w:hideMark/>
          </w:tcPr>
          <w:p w14:paraId="7B75300E" w14:textId="77777777" w:rsidR="006B2888" w:rsidRPr="00173F74" w:rsidRDefault="006B2888" w:rsidP="00031031">
            <w:pPr>
              <w:rPr>
                <w:rFonts w:ascii="Times New Roman" w:eastAsia="Times New Roman" w:hAnsi="Times New Roman" w:cs="Times New Roman"/>
                <w:bCs/>
                <w:color w:val="000000"/>
                <w:sz w:val="18"/>
                <w:szCs w:val="18"/>
              </w:rPr>
            </w:pPr>
            <w:r w:rsidRPr="00173F74">
              <w:rPr>
                <w:rFonts w:ascii="Times New Roman" w:eastAsia="Times New Roman" w:hAnsi="Times New Roman" w:cs="Times New Roman"/>
                <w:bCs/>
                <w:color w:val="000000"/>
                <w:sz w:val="18"/>
                <w:szCs w:val="18"/>
              </w:rPr>
              <w:t>GenBank accession no.</w:t>
            </w:r>
          </w:p>
        </w:tc>
      </w:tr>
      <w:tr w:rsidR="006B2888" w:rsidRPr="00173F74" w14:paraId="5F0E7A87" w14:textId="77777777" w:rsidTr="00173F74">
        <w:trPr>
          <w:trHeight w:val="320"/>
        </w:trPr>
        <w:tc>
          <w:tcPr>
            <w:tcW w:w="1872" w:type="dxa"/>
            <w:tcBorders>
              <w:top w:val="single" w:sz="12" w:space="0" w:color="auto"/>
              <w:left w:val="nil"/>
              <w:bottom w:val="nil"/>
              <w:right w:val="nil"/>
            </w:tcBorders>
            <w:shd w:val="clear" w:color="auto" w:fill="auto"/>
            <w:noWrap/>
            <w:vAlign w:val="center"/>
            <w:hideMark/>
          </w:tcPr>
          <w:p w14:paraId="7027345A"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single" w:sz="12" w:space="0" w:color="auto"/>
              <w:left w:val="nil"/>
              <w:bottom w:val="nil"/>
              <w:right w:val="nil"/>
            </w:tcBorders>
            <w:shd w:val="clear" w:color="auto" w:fill="auto"/>
            <w:noWrap/>
            <w:vAlign w:val="center"/>
            <w:hideMark/>
          </w:tcPr>
          <w:p w14:paraId="2B105788"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Gulf of Mexico and Atlantic coast of Florida</w:t>
            </w:r>
          </w:p>
        </w:tc>
        <w:tc>
          <w:tcPr>
            <w:tcW w:w="1440" w:type="dxa"/>
            <w:tcBorders>
              <w:top w:val="single" w:sz="12" w:space="0" w:color="auto"/>
              <w:left w:val="nil"/>
              <w:bottom w:val="nil"/>
              <w:right w:val="nil"/>
            </w:tcBorders>
            <w:shd w:val="clear" w:color="auto" w:fill="auto"/>
            <w:noWrap/>
            <w:vAlign w:val="center"/>
            <w:hideMark/>
          </w:tcPr>
          <w:p w14:paraId="2CFAD98B"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D-loop</w:t>
            </w:r>
          </w:p>
        </w:tc>
        <w:tc>
          <w:tcPr>
            <w:tcW w:w="3150" w:type="dxa"/>
            <w:tcBorders>
              <w:top w:val="single" w:sz="12" w:space="0" w:color="auto"/>
              <w:left w:val="nil"/>
              <w:bottom w:val="nil"/>
              <w:right w:val="nil"/>
            </w:tcBorders>
            <w:shd w:val="clear" w:color="auto" w:fill="auto"/>
            <w:noWrap/>
            <w:vAlign w:val="center"/>
            <w:hideMark/>
          </w:tcPr>
          <w:p w14:paraId="2E787ADF"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AF356750-AF356776</w:t>
            </w:r>
          </w:p>
        </w:tc>
      </w:tr>
      <w:tr w:rsidR="006B2888" w:rsidRPr="00173F74" w14:paraId="0FD2EA32" w14:textId="77777777" w:rsidTr="00173F74">
        <w:trPr>
          <w:trHeight w:val="320"/>
        </w:trPr>
        <w:tc>
          <w:tcPr>
            <w:tcW w:w="1872" w:type="dxa"/>
            <w:tcBorders>
              <w:top w:val="nil"/>
              <w:left w:val="nil"/>
              <w:bottom w:val="nil"/>
              <w:right w:val="nil"/>
            </w:tcBorders>
            <w:shd w:val="clear" w:color="auto" w:fill="auto"/>
            <w:noWrap/>
            <w:vAlign w:val="center"/>
            <w:hideMark/>
          </w:tcPr>
          <w:p w14:paraId="497F6BC1"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3855955E"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US coast</w:t>
            </w:r>
          </w:p>
        </w:tc>
        <w:tc>
          <w:tcPr>
            <w:tcW w:w="1440" w:type="dxa"/>
            <w:tcBorders>
              <w:top w:val="nil"/>
              <w:left w:val="nil"/>
              <w:bottom w:val="nil"/>
              <w:right w:val="nil"/>
            </w:tcBorders>
            <w:shd w:val="clear" w:color="auto" w:fill="auto"/>
            <w:noWrap/>
            <w:vAlign w:val="center"/>
            <w:hideMark/>
          </w:tcPr>
          <w:p w14:paraId="46501136"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08B12B33"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EU752115</w:t>
            </w:r>
          </w:p>
        </w:tc>
      </w:tr>
      <w:tr w:rsidR="006B2888" w:rsidRPr="00173F74" w14:paraId="386EABEE" w14:textId="77777777" w:rsidTr="00173F74">
        <w:trPr>
          <w:trHeight w:val="320"/>
        </w:trPr>
        <w:tc>
          <w:tcPr>
            <w:tcW w:w="1872" w:type="dxa"/>
            <w:tcBorders>
              <w:top w:val="nil"/>
              <w:left w:val="nil"/>
              <w:bottom w:val="nil"/>
              <w:right w:val="nil"/>
            </w:tcBorders>
            <w:shd w:val="clear" w:color="auto" w:fill="auto"/>
            <w:noWrap/>
            <w:vAlign w:val="center"/>
            <w:hideMark/>
          </w:tcPr>
          <w:p w14:paraId="296F2927"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288A7E5B"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Florida</w:t>
            </w:r>
          </w:p>
        </w:tc>
        <w:tc>
          <w:tcPr>
            <w:tcW w:w="1440" w:type="dxa"/>
            <w:tcBorders>
              <w:top w:val="nil"/>
              <w:left w:val="nil"/>
              <w:bottom w:val="nil"/>
              <w:right w:val="nil"/>
            </w:tcBorders>
            <w:shd w:val="clear" w:color="auto" w:fill="auto"/>
            <w:noWrap/>
            <w:vAlign w:val="center"/>
            <w:hideMark/>
          </w:tcPr>
          <w:p w14:paraId="641E43F2"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7821816A"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FJ998466</w:t>
            </w:r>
          </w:p>
        </w:tc>
      </w:tr>
      <w:tr w:rsidR="006B2888" w:rsidRPr="00173F74" w14:paraId="518CF091" w14:textId="77777777" w:rsidTr="00173F74">
        <w:trPr>
          <w:trHeight w:val="320"/>
        </w:trPr>
        <w:tc>
          <w:tcPr>
            <w:tcW w:w="1872" w:type="dxa"/>
            <w:tcBorders>
              <w:top w:val="nil"/>
              <w:left w:val="nil"/>
              <w:bottom w:val="nil"/>
              <w:right w:val="nil"/>
            </w:tcBorders>
            <w:shd w:val="clear" w:color="auto" w:fill="auto"/>
            <w:noWrap/>
            <w:vAlign w:val="center"/>
            <w:hideMark/>
          </w:tcPr>
          <w:p w14:paraId="08C69D02"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46821D82"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Texas</w:t>
            </w:r>
          </w:p>
        </w:tc>
        <w:tc>
          <w:tcPr>
            <w:tcW w:w="1440" w:type="dxa"/>
            <w:tcBorders>
              <w:top w:val="nil"/>
              <w:left w:val="nil"/>
              <w:bottom w:val="nil"/>
              <w:right w:val="nil"/>
            </w:tcBorders>
            <w:shd w:val="clear" w:color="auto" w:fill="auto"/>
            <w:noWrap/>
            <w:vAlign w:val="center"/>
            <w:hideMark/>
          </w:tcPr>
          <w:p w14:paraId="08B2DE85"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510F4312"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HQ162371-HQ162373</w:t>
            </w:r>
          </w:p>
        </w:tc>
      </w:tr>
      <w:tr w:rsidR="006B2888" w:rsidRPr="00173F74" w14:paraId="4701B157" w14:textId="77777777" w:rsidTr="00173F74">
        <w:trPr>
          <w:trHeight w:val="320"/>
        </w:trPr>
        <w:tc>
          <w:tcPr>
            <w:tcW w:w="1872" w:type="dxa"/>
            <w:tcBorders>
              <w:top w:val="nil"/>
              <w:left w:val="nil"/>
              <w:bottom w:val="nil"/>
              <w:right w:val="nil"/>
            </w:tcBorders>
            <w:shd w:val="clear" w:color="auto" w:fill="auto"/>
            <w:noWrap/>
            <w:vAlign w:val="center"/>
            <w:hideMark/>
          </w:tcPr>
          <w:p w14:paraId="26F5BB27"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3C197DCB"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NA</w:t>
            </w:r>
          </w:p>
        </w:tc>
        <w:tc>
          <w:tcPr>
            <w:tcW w:w="1440" w:type="dxa"/>
            <w:tcBorders>
              <w:top w:val="nil"/>
              <w:left w:val="nil"/>
              <w:bottom w:val="nil"/>
              <w:right w:val="nil"/>
            </w:tcBorders>
            <w:shd w:val="clear" w:color="auto" w:fill="auto"/>
            <w:noWrap/>
            <w:vAlign w:val="center"/>
            <w:hideMark/>
          </w:tcPr>
          <w:p w14:paraId="38FB982F"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270A08D6"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JN021303</w:t>
            </w:r>
          </w:p>
        </w:tc>
      </w:tr>
      <w:tr w:rsidR="006B2888" w:rsidRPr="00173F74" w14:paraId="5726D1B4" w14:textId="77777777" w:rsidTr="00173F74">
        <w:trPr>
          <w:trHeight w:val="320"/>
        </w:trPr>
        <w:tc>
          <w:tcPr>
            <w:tcW w:w="1872" w:type="dxa"/>
            <w:tcBorders>
              <w:top w:val="nil"/>
              <w:left w:val="nil"/>
              <w:bottom w:val="nil"/>
              <w:right w:val="nil"/>
            </w:tcBorders>
            <w:shd w:val="clear" w:color="auto" w:fill="auto"/>
            <w:noWrap/>
            <w:vAlign w:val="center"/>
            <w:hideMark/>
          </w:tcPr>
          <w:p w14:paraId="26FD27E8"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58F0A5D4"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Alabama</w:t>
            </w:r>
          </w:p>
        </w:tc>
        <w:tc>
          <w:tcPr>
            <w:tcW w:w="1440" w:type="dxa"/>
            <w:tcBorders>
              <w:top w:val="nil"/>
              <w:left w:val="nil"/>
              <w:bottom w:val="nil"/>
              <w:right w:val="nil"/>
            </w:tcBorders>
            <w:shd w:val="clear" w:color="auto" w:fill="auto"/>
            <w:noWrap/>
            <w:vAlign w:val="center"/>
            <w:hideMark/>
          </w:tcPr>
          <w:p w14:paraId="231698D9"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34F286B6"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KF461194-KF461195</w:t>
            </w:r>
          </w:p>
        </w:tc>
      </w:tr>
      <w:tr w:rsidR="006B2888" w:rsidRPr="00173F74" w14:paraId="61079E24" w14:textId="77777777" w:rsidTr="00173F74">
        <w:trPr>
          <w:trHeight w:val="320"/>
        </w:trPr>
        <w:tc>
          <w:tcPr>
            <w:tcW w:w="1872" w:type="dxa"/>
            <w:tcBorders>
              <w:top w:val="nil"/>
              <w:left w:val="nil"/>
              <w:bottom w:val="nil"/>
              <w:right w:val="nil"/>
            </w:tcBorders>
            <w:shd w:val="clear" w:color="auto" w:fill="auto"/>
            <w:noWrap/>
            <w:vAlign w:val="center"/>
            <w:hideMark/>
          </w:tcPr>
          <w:p w14:paraId="0747BB37"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65E5D1C5"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NA</w:t>
            </w:r>
          </w:p>
        </w:tc>
        <w:tc>
          <w:tcPr>
            <w:tcW w:w="1440" w:type="dxa"/>
            <w:tcBorders>
              <w:top w:val="nil"/>
              <w:left w:val="nil"/>
              <w:bottom w:val="nil"/>
              <w:right w:val="nil"/>
            </w:tcBorders>
            <w:shd w:val="clear" w:color="auto" w:fill="auto"/>
            <w:noWrap/>
            <w:vAlign w:val="center"/>
            <w:hideMark/>
          </w:tcPr>
          <w:p w14:paraId="3CAD5386"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606A172A"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KX119461-KX119464</w:t>
            </w:r>
          </w:p>
        </w:tc>
      </w:tr>
      <w:tr w:rsidR="006B2888" w:rsidRPr="00173F74" w14:paraId="6219896A" w14:textId="77777777" w:rsidTr="00173F74">
        <w:trPr>
          <w:trHeight w:val="320"/>
        </w:trPr>
        <w:tc>
          <w:tcPr>
            <w:tcW w:w="1872" w:type="dxa"/>
            <w:tcBorders>
              <w:top w:val="nil"/>
              <w:left w:val="nil"/>
              <w:bottom w:val="nil"/>
              <w:right w:val="nil"/>
            </w:tcBorders>
            <w:shd w:val="clear" w:color="auto" w:fill="auto"/>
            <w:noWrap/>
            <w:vAlign w:val="center"/>
            <w:hideMark/>
          </w:tcPr>
          <w:p w14:paraId="7C4ABCE4"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5A3D73A8"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NA</w:t>
            </w:r>
          </w:p>
        </w:tc>
        <w:tc>
          <w:tcPr>
            <w:tcW w:w="1440" w:type="dxa"/>
            <w:tcBorders>
              <w:top w:val="nil"/>
              <w:left w:val="nil"/>
              <w:bottom w:val="nil"/>
              <w:right w:val="nil"/>
            </w:tcBorders>
            <w:shd w:val="clear" w:color="auto" w:fill="auto"/>
            <w:noWrap/>
            <w:vAlign w:val="center"/>
            <w:hideMark/>
          </w:tcPr>
          <w:p w14:paraId="028AE58D"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25950CD2"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KX119465</w:t>
            </w:r>
          </w:p>
        </w:tc>
      </w:tr>
      <w:tr w:rsidR="006B2888" w:rsidRPr="00173F74" w14:paraId="25969BAF" w14:textId="77777777" w:rsidTr="00173F74">
        <w:trPr>
          <w:trHeight w:val="320"/>
        </w:trPr>
        <w:tc>
          <w:tcPr>
            <w:tcW w:w="1872" w:type="dxa"/>
            <w:tcBorders>
              <w:top w:val="nil"/>
              <w:left w:val="nil"/>
              <w:bottom w:val="nil"/>
              <w:right w:val="nil"/>
            </w:tcBorders>
            <w:shd w:val="clear" w:color="auto" w:fill="auto"/>
            <w:noWrap/>
            <w:vAlign w:val="center"/>
            <w:hideMark/>
          </w:tcPr>
          <w:p w14:paraId="08B99009"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51D76BA8"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Gulf of Mexico</w:t>
            </w:r>
          </w:p>
        </w:tc>
        <w:tc>
          <w:tcPr>
            <w:tcW w:w="1440" w:type="dxa"/>
            <w:tcBorders>
              <w:top w:val="nil"/>
              <w:left w:val="nil"/>
              <w:bottom w:val="nil"/>
              <w:right w:val="nil"/>
            </w:tcBorders>
            <w:shd w:val="clear" w:color="auto" w:fill="auto"/>
            <w:noWrap/>
            <w:vAlign w:val="center"/>
            <w:hideMark/>
          </w:tcPr>
          <w:p w14:paraId="5049E352"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3DA2B215"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MF041054</w:t>
            </w:r>
          </w:p>
        </w:tc>
      </w:tr>
      <w:tr w:rsidR="006B2888" w:rsidRPr="00173F74" w14:paraId="6C5AE250" w14:textId="77777777" w:rsidTr="00173F74">
        <w:trPr>
          <w:trHeight w:val="320"/>
        </w:trPr>
        <w:tc>
          <w:tcPr>
            <w:tcW w:w="1872" w:type="dxa"/>
            <w:tcBorders>
              <w:top w:val="nil"/>
              <w:left w:val="nil"/>
              <w:bottom w:val="nil"/>
              <w:right w:val="nil"/>
            </w:tcBorders>
            <w:shd w:val="clear" w:color="auto" w:fill="auto"/>
            <w:noWrap/>
            <w:vAlign w:val="center"/>
            <w:hideMark/>
          </w:tcPr>
          <w:p w14:paraId="1DDF4A10"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1A291837"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Gulf of Mexico</w:t>
            </w:r>
          </w:p>
        </w:tc>
        <w:tc>
          <w:tcPr>
            <w:tcW w:w="1440" w:type="dxa"/>
            <w:tcBorders>
              <w:top w:val="nil"/>
              <w:left w:val="nil"/>
              <w:bottom w:val="nil"/>
              <w:right w:val="nil"/>
            </w:tcBorders>
            <w:shd w:val="clear" w:color="auto" w:fill="auto"/>
            <w:noWrap/>
            <w:vAlign w:val="center"/>
            <w:hideMark/>
          </w:tcPr>
          <w:p w14:paraId="3592A5A3"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55E925C5"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MF041257</w:t>
            </w:r>
          </w:p>
        </w:tc>
      </w:tr>
      <w:tr w:rsidR="006B2888" w:rsidRPr="00173F74" w14:paraId="763955E3" w14:textId="77777777" w:rsidTr="00173F74">
        <w:trPr>
          <w:trHeight w:val="320"/>
        </w:trPr>
        <w:tc>
          <w:tcPr>
            <w:tcW w:w="1872" w:type="dxa"/>
            <w:tcBorders>
              <w:top w:val="nil"/>
              <w:left w:val="nil"/>
              <w:bottom w:val="nil"/>
              <w:right w:val="nil"/>
            </w:tcBorders>
            <w:shd w:val="clear" w:color="auto" w:fill="auto"/>
            <w:noWrap/>
            <w:vAlign w:val="center"/>
            <w:hideMark/>
          </w:tcPr>
          <w:p w14:paraId="75A8F88B"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6E53D279"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Gulf of Mexico</w:t>
            </w:r>
          </w:p>
        </w:tc>
        <w:tc>
          <w:tcPr>
            <w:tcW w:w="1440" w:type="dxa"/>
            <w:tcBorders>
              <w:top w:val="nil"/>
              <w:left w:val="nil"/>
              <w:bottom w:val="nil"/>
              <w:right w:val="nil"/>
            </w:tcBorders>
            <w:shd w:val="clear" w:color="auto" w:fill="auto"/>
            <w:noWrap/>
            <w:vAlign w:val="center"/>
            <w:hideMark/>
          </w:tcPr>
          <w:p w14:paraId="20BE4E0A"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3FC4A6A1"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MF041562</w:t>
            </w:r>
          </w:p>
        </w:tc>
      </w:tr>
      <w:tr w:rsidR="006B2888" w:rsidRPr="00173F74" w14:paraId="1233390B" w14:textId="77777777" w:rsidTr="00173F74">
        <w:trPr>
          <w:trHeight w:val="320"/>
        </w:trPr>
        <w:tc>
          <w:tcPr>
            <w:tcW w:w="1872" w:type="dxa"/>
            <w:tcBorders>
              <w:top w:val="nil"/>
              <w:left w:val="nil"/>
              <w:bottom w:val="nil"/>
              <w:right w:val="nil"/>
            </w:tcBorders>
            <w:shd w:val="clear" w:color="auto" w:fill="auto"/>
            <w:noWrap/>
            <w:vAlign w:val="center"/>
            <w:hideMark/>
          </w:tcPr>
          <w:p w14:paraId="10A0D8C8"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05A9391E"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Gulf of Mexico</w:t>
            </w:r>
          </w:p>
        </w:tc>
        <w:tc>
          <w:tcPr>
            <w:tcW w:w="1440" w:type="dxa"/>
            <w:tcBorders>
              <w:top w:val="nil"/>
              <w:left w:val="nil"/>
              <w:bottom w:val="nil"/>
              <w:right w:val="nil"/>
            </w:tcBorders>
            <w:shd w:val="clear" w:color="auto" w:fill="auto"/>
            <w:noWrap/>
            <w:vAlign w:val="center"/>
            <w:hideMark/>
          </w:tcPr>
          <w:p w14:paraId="4800D9D0"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63B0D6F4"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MG856504</w:t>
            </w:r>
          </w:p>
        </w:tc>
      </w:tr>
      <w:tr w:rsidR="006B2888" w:rsidRPr="00173F74" w14:paraId="07548534" w14:textId="77777777" w:rsidTr="00173F74">
        <w:trPr>
          <w:trHeight w:val="320"/>
        </w:trPr>
        <w:tc>
          <w:tcPr>
            <w:tcW w:w="1872" w:type="dxa"/>
            <w:tcBorders>
              <w:top w:val="nil"/>
              <w:left w:val="nil"/>
              <w:bottom w:val="nil"/>
              <w:right w:val="nil"/>
            </w:tcBorders>
            <w:shd w:val="clear" w:color="auto" w:fill="auto"/>
            <w:noWrap/>
            <w:vAlign w:val="center"/>
            <w:hideMark/>
          </w:tcPr>
          <w:p w14:paraId="52200BC6"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campechanus</w:t>
            </w:r>
          </w:p>
        </w:tc>
        <w:tc>
          <w:tcPr>
            <w:tcW w:w="2160" w:type="dxa"/>
            <w:tcBorders>
              <w:top w:val="nil"/>
              <w:left w:val="nil"/>
              <w:bottom w:val="nil"/>
              <w:right w:val="nil"/>
            </w:tcBorders>
            <w:shd w:val="clear" w:color="auto" w:fill="auto"/>
            <w:noWrap/>
            <w:vAlign w:val="center"/>
            <w:hideMark/>
          </w:tcPr>
          <w:p w14:paraId="32708E49"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Gulf of Mexico</w:t>
            </w:r>
          </w:p>
        </w:tc>
        <w:tc>
          <w:tcPr>
            <w:tcW w:w="1440" w:type="dxa"/>
            <w:tcBorders>
              <w:top w:val="nil"/>
              <w:left w:val="nil"/>
              <w:bottom w:val="nil"/>
              <w:right w:val="nil"/>
            </w:tcBorders>
            <w:shd w:val="clear" w:color="auto" w:fill="auto"/>
            <w:noWrap/>
            <w:vAlign w:val="center"/>
            <w:hideMark/>
          </w:tcPr>
          <w:p w14:paraId="230F5AD1"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1F1BC4AB"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MF041450</w:t>
            </w:r>
          </w:p>
        </w:tc>
      </w:tr>
      <w:tr w:rsidR="006B2888" w:rsidRPr="00173F74" w14:paraId="30677CA5" w14:textId="77777777" w:rsidTr="00173F74">
        <w:trPr>
          <w:trHeight w:val="320"/>
        </w:trPr>
        <w:tc>
          <w:tcPr>
            <w:tcW w:w="1872" w:type="dxa"/>
            <w:tcBorders>
              <w:top w:val="nil"/>
              <w:left w:val="nil"/>
              <w:bottom w:val="nil"/>
              <w:right w:val="nil"/>
            </w:tcBorders>
            <w:shd w:val="clear" w:color="auto" w:fill="auto"/>
            <w:noWrap/>
            <w:vAlign w:val="center"/>
            <w:hideMark/>
          </w:tcPr>
          <w:p w14:paraId="5086CE64"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purpureus</w:t>
            </w:r>
          </w:p>
        </w:tc>
        <w:tc>
          <w:tcPr>
            <w:tcW w:w="2160" w:type="dxa"/>
            <w:tcBorders>
              <w:top w:val="nil"/>
              <w:left w:val="nil"/>
              <w:bottom w:val="nil"/>
              <w:right w:val="nil"/>
            </w:tcBorders>
            <w:shd w:val="clear" w:color="auto" w:fill="auto"/>
            <w:noWrap/>
            <w:vAlign w:val="bottom"/>
            <w:hideMark/>
          </w:tcPr>
          <w:p w14:paraId="5EA8BC80"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Brazilian coast</w:t>
            </w:r>
          </w:p>
        </w:tc>
        <w:tc>
          <w:tcPr>
            <w:tcW w:w="1440" w:type="dxa"/>
            <w:tcBorders>
              <w:top w:val="nil"/>
              <w:left w:val="nil"/>
              <w:bottom w:val="nil"/>
              <w:right w:val="nil"/>
            </w:tcBorders>
            <w:shd w:val="clear" w:color="auto" w:fill="auto"/>
            <w:noWrap/>
            <w:vAlign w:val="center"/>
            <w:hideMark/>
          </w:tcPr>
          <w:p w14:paraId="0A54631A"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D-loop</w:t>
            </w:r>
          </w:p>
        </w:tc>
        <w:tc>
          <w:tcPr>
            <w:tcW w:w="3150" w:type="dxa"/>
            <w:tcBorders>
              <w:top w:val="nil"/>
              <w:left w:val="nil"/>
              <w:bottom w:val="nil"/>
              <w:right w:val="nil"/>
            </w:tcBorders>
            <w:shd w:val="clear" w:color="auto" w:fill="auto"/>
            <w:noWrap/>
            <w:vAlign w:val="center"/>
            <w:hideMark/>
          </w:tcPr>
          <w:p w14:paraId="626AA5CC"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KC122929-KC123167</w:t>
            </w:r>
          </w:p>
        </w:tc>
      </w:tr>
      <w:tr w:rsidR="006B2888" w:rsidRPr="00173F74" w14:paraId="1674E358" w14:textId="77777777" w:rsidTr="00173F74">
        <w:trPr>
          <w:trHeight w:val="320"/>
        </w:trPr>
        <w:tc>
          <w:tcPr>
            <w:tcW w:w="1872" w:type="dxa"/>
            <w:tcBorders>
              <w:top w:val="nil"/>
              <w:left w:val="nil"/>
              <w:bottom w:val="nil"/>
              <w:right w:val="nil"/>
            </w:tcBorders>
            <w:shd w:val="clear" w:color="auto" w:fill="auto"/>
            <w:noWrap/>
            <w:vAlign w:val="center"/>
            <w:hideMark/>
          </w:tcPr>
          <w:p w14:paraId="0D25913F"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purpureus</w:t>
            </w:r>
          </w:p>
        </w:tc>
        <w:tc>
          <w:tcPr>
            <w:tcW w:w="2160" w:type="dxa"/>
            <w:tcBorders>
              <w:top w:val="nil"/>
              <w:left w:val="nil"/>
              <w:bottom w:val="nil"/>
              <w:right w:val="nil"/>
            </w:tcBorders>
            <w:shd w:val="clear" w:color="auto" w:fill="auto"/>
            <w:noWrap/>
            <w:vAlign w:val="center"/>
            <w:hideMark/>
          </w:tcPr>
          <w:p w14:paraId="7541E66A"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NA</w:t>
            </w:r>
          </w:p>
        </w:tc>
        <w:tc>
          <w:tcPr>
            <w:tcW w:w="1440" w:type="dxa"/>
            <w:tcBorders>
              <w:top w:val="nil"/>
              <w:left w:val="nil"/>
              <w:bottom w:val="nil"/>
              <w:right w:val="nil"/>
            </w:tcBorders>
            <w:shd w:val="clear" w:color="auto" w:fill="auto"/>
            <w:noWrap/>
            <w:vAlign w:val="center"/>
            <w:hideMark/>
          </w:tcPr>
          <w:p w14:paraId="7C316A1D"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nil"/>
              <w:right w:val="nil"/>
            </w:tcBorders>
            <w:shd w:val="clear" w:color="auto" w:fill="auto"/>
            <w:noWrap/>
            <w:vAlign w:val="center"/>
            <w:hideMark/>
          </w:tcPr>
          <w:p w14:paraId="0EC0D33F"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EU752118</w:t>
            </w:r>
          </w:p>
        </w:tc>
      </w:tr>
      <w:tr w:rsidR="006B2888" w:rsidRPr="00173F74" w14:paraId="42DE282A" w14:textId="77777777" w:rsidTr="00173F74">
        <w:trPr>
          <w:trHeight w:val="320"/>
        </w:trPr>
        <w:tc>
          <w:tcPr>
            <w:tcW w:w="1872" w:type="dxa"/>
            <w:tcBorders>
              <w:top w:val="nil"/>
              <w:left w:val="nil"/>
              <w:right w:val="nil"/>
            </w:tcBorders>
            <w:shd w:val="clear" w:color="auto" w:fill="auto"/>
            <w:noWrap/>
            <w:vAlign w:val="center"/>
            <w:hideMark/>
          </w:tcPr>
          <w:p w14:paraId="1D425713"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purpureus</w:t>
            </w:r>
          </w:p>
        </w:tc>
        <w:tc>
          <w:tcPr>
            <w:tcW w:w="2160" w:type="dxa"/>
            <w:tcBorders>
              <w:top w:val="nil"/>
              <w:left w:val="nil"/>
              <w:right w:val="nil"/>
            </w:tcBorders>
            <w:shd w:val="clear" w:color="auto" w:fill="auto"/>
            <w:noWrap/>
            <w:vAlign w:val="bottom"/>
            <w:hideMark/>
          </w:tcPr>
          <w:p w14:paraId="15133EE9"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Brazilian coast</w:t>
            </w:r>
          </w:p>
        </w:tc>
        <w:tc>
          <w:tcPr>
            <w:tcW w:w="1440" w:type="dxa"/>
            <w:tcBorders>
              <w:top w:val="nil"/>
              <w:left w:val="nil"/>
              <w:right w:val="nil"/>
            </w:tcBorders>
            <w:shd w:val="clear" w:color="auto" w:fill="auto"/>
            <w:noWrap/>
            <w:vAlign w:val="center"/>
            <w:hideMark/>
          </w:tcPr>
          <w:p w14:paraId="1E611D4E"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right w:val="nil"/>
            </w:tcBorders>
            <w:shd w:val="clear" w:color="auto" w:fill="auto"/>
            <w:noWrap/>
            <w:vAlign w:val="center"/>
            <w:hideMark/>
          </w:tcPr>
          <w:p w14:paraId="0EADF6B5"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KJ907265</w:t>
            </w:r>
          </w:p>
        </w:tc>
      </w:tr>
      <w:tr w:rsidR="006B2888" w:rsidRPr="00173F74" w14:paraId="29FB3CF3" w14:textId="77777777" w:rsidTr="00173F74">
        <w:trPr>
          <w:trHeight w:val="320"/>
        </w:trPr>
        <w:tc>
          <w:tcPr>
            <w:tcW w:w="1872" w:type="dxa"/>
            <w:tcBorders>
              <w:top w:val="nil"/>
              <w:left w:val="nil"/>
              <w:bottom w:val="single" w:sz="12" w:space="0" w:color="auto"/>
              <w:right w:val="nil"/>
            </w:tcBorders>
            <w:shd w:val="clear" w:color="auto" w:fill="auto"/>
            <w:noWrap/>
            <w:hideMark/>
          </w:tcPr>
          <w:p w14:paraId="5FB7A5C1" w14:textId="77777777" w:rsidR="006B2888" w:rsidRPr="00173F74" w:rsidRDefault="006B2888" w:rsidP="00031031">
            <w:pPr>
              <w:rPr>
                <w:rFonts w:ascii="Times New Roman" w:eastAsia="Times New Roman" w:hAnsi="Times New Roman" w:cs="Times New Roman"/>
                <w:i/>
                <w:color w:val="000000"/>
                <w:sz w:val="18"/>
                <w:szCs w:val="18"/>
              </w:rPr>
            </w:pPr>
            <w:r w:rsidRPr="00173F74">
              <w:rPr>
                <w:rFonts w:ascii="Times New Roman" w:eastAsia="Times New Roman" w:hAnsi="Times New Roman" w:cs="Times New Roman"/>
                <w:i/>
                <w:color w:val="000000"/>
                <w:sz w:val="18"/>
                <w:szCs w:val="18"/>
              </w:rPr>
              <w:t>Lutjanus purpureus</w:t>
            </w:r>
          </w:p>
        </w:tc>
        <w:tc>
          <w:tcPr>
            <w:tcW w:w="2160" w:type="dxa"/>
            <w:tcBorders>
              <w:top w:val="nil"/>
              <w:left w:val="nil"/>
              <w:bottom w:val="single" w:sz="12" w:space="0" w:color="auto"/>
              <w:right w:val="nil"/>
            </w:tcBorders>
            <w:shd w:val="clear" w:color="auto" w:fill="auto"/>
            <w:noWrap/>
            <w:hideMark/>
          </w:tcPr>
          <w:p w14:paraId="235EB66E"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Brazilian coast</w:t>
            </w:r>
          </w:p>
        </w:tc>
        <w:tc>
          <w:tcPr>
            <w:tcW w:w="1440" w:type="dxa"/>
            <w:tcBorders>
              <w:top w:val="nil"/>
              <w:left w:val="nil"/>
              <w:bottom w:val="single" w:sz="12" w:space="0" w:color="auto"/>
              <w:right w:val="nil"/>
            </w:tcBorders>
            <w:shd w:val="clear" w:color="auto" w:fill="auto"/>
            <w:noWrap/>
            <w:hideMark/>
          </w:tcPr>
          <w:p w14:paraId="03896139" w14:textId="77777777" w:rsidR="006B2888" w:rsidRPr="00173F74" w:rsidRDefault="006B2888" w:rsidP="00031031">
            <w:pPr>
              <w:jc w:val="cente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COI</w:t>
            </w:r>
          </w:p>
        </w:tc>
        <w:tc>
          <w:tcPr>
            <w:tcW w:w="3150" w:type="dxa"/>
            <w:tcBorders>
              <w:top w:val="nil"/>
              <w:left w:val="nil"/>
              <w:bottom w:val="single" w:sz="12" w:space="0" w:color="auto"/>
              <w:right w:val="nil"/>
            </w:tcBorders>
            <w:shd w:val="clear" w:color="auto" w:fill="auto"/>
            <w:noWrap/>
            <w:hideMark/>
          </w:tcPr>
          <w:p w14:paraId="48637138" w14:textId="77777777" w:rsidR="006B2888" w:rsidRPr="00173F74" w:rsidRDefault="006B2888" w:rsidP="00031031">
            <w:pPr>
              <w:rPr>
                <w:rFonts w:ascii="Times New Roman" w:eastAsia="Times New Roman" w:hAnsi="Times New Roman" w:cs="Times New Roman"/>
                <w:color w:val="000000"/>
                <w:sz w:val="18"/>
                <w:szCs w:val="18"/>
              </w:rPr>
            </w:pPr>
            <w:r w:rsidRPr="00173F74">
              <w:rPr>
                <w:rFonts w:ascii="Times New Roman" w:eastAsia="Times New Roman" w:hAnsi="Times New Roman" w:cs="Times New Roman"/>
                <w:color w:val="000000"/>
                <w:sz w:val="18"/>
                <w:szCs w:val="18"/>
              </w:rPr>
              <w:t>KU313736-KU313755</w:t>
            </w:r>
          </w:p>
        </w:tc>
      </w:tr>
    </w:tbl>
    <w:p w14:paraId="34EF2C6C" w14:textId="77777777" w:rsidR="00AE525E" w:rsidRPr="00AE525E" w:rsidRDefault="00AE525E" w:rsidP="00AE525E">
      <w:pPr>
        <w:rPr>
          <w:rFonts w:ascii="Times New Roman" w:hAnsi="Times New Roman" w:cs="Times New Roman"/>
          <w:b/>
        </w:rPr>
        <w:sectPr w:rsidR="00AE525E" w:rsidRPr="00AE525E" w:rsidSect="006B2888">
          <w:pgSz w:w="12240" w:h="15840"/>
          <w:pgMar w:top="1440" w:right="1440" w:bottom="1440" w:left="1440" w:header="708" w:footer="708" w:gutter="0"/>
          <w:pgNumType w:start="88"/>
          <w:cols w:space="708"/>
          <w:docGrid w:linePitch="360"/>
        </w:sectPr>
      </w:pPr>
    </w:p>
    <w:p w14:paraId="030D4414" w14:textId="77777777" w:rsidR="006B2888" w:rsidRPr="006B2888" w:rsidRDefault="006B2888" w:rsidP="006B2888">
      <w:pPr>
        <w:jc w:val="both"/>
        <w:rPr>
          <w:rFonts w:ascii="Times New Roman" w:hAnsi="Times New Roman" w:cs="Times New Roman"/>
          <w:b/>
          <w:sz w:val="24"/>
          <w:szCs w:val="24"/>
        </w:rPr>
      </w:pPr>
      <w:r w:rsidRPr="006B2888">
        <w:rPr>
          <w:rFonts w:ascii="Times New Roman" w:hAnsi="Times New Roman" w:cs="Times New Roman"/>
          <w:b/>
          <w:sz w:val="24"/>
          <w:szCs w:val="24"/>
        </w:rPr>
        <w:lastRenderedPageBreak/>
        <w:t>Table S4. Selected output datasets based on alternative population parameters.</w:t>
      </w:r>
      <w:r w:rsidRPr="006B2888">
        <w:rPr>
          <w:rFonts w:ascii="Times New Roman" w:hAnsi="Times New Roman" w:cs="Times New Roman"/>
          <w:sz w:val="24"/>
          <w:szCs w:val="24"/>
        </w:rPr>
        <w:t xml:space="preserve"> Missing percentage of SNPs ranged between 9 and 46 %, where the inclusion of more individuals was the driving factor affecting this value.</w:t>
      </w:r>
    </w:p>
    <w:p w14:paraId="4EA1FE64" w14:textId="77777777" w:rsidR="00AE525E" w:rsidRPr="00AE525E" w:rsidRDefault="00AE525E" w:rsidP="00AE525E">
      <w:pPr>
        <w:rPr>
          <w:rFonts w:ascii="Times New Roman" w:hAnsi="Times New Roman" w:cs="Times New Roman"/>
          <w:b/>
        </w:rPr>
      </w:pPr>
    </w:p>
    <w:tbl>
      <w:tblPr>
        <w:tblW w:w="8364" w:type="dxa"/>
        <w:jc w:val="center"/>
        <w:tblLayout w:type="fixed"/>
        <w:tblLook w:val="04A0" w:firstRow="1" w:lastRow="0" w:firstColumn="1" w:lastColumn="0" w:noHBand="0" w:noVBand="1"/>
      </w:tblPr>
      <w:tblGrid>
        <w:gridCol w:w="1277"/>
        <w:gridCol w:w="1134"/>
        <w:gridCol w:w="1275"/>
        <w:gridCol w:w="1276"/>
        <w:gridCol w:w="992"/>
        <w:gridCol w:w="993"/>
        <w:gridCol w:w="1417"/>
      </w:tblGrid>
      <w:tr w:rsidR="006B2888" w:rsidRPr="00AE525E" w14:paraId="75B51CD1" w14:textId="77777777" w:rsidTr="00031031">
        <w:trPr>
          <w:trHeight w:val="320"/>
          <w:jc w:val="center"/>
        </w:trPr>
        <w:tc>
          <w:tcPr>
            <w:tcW w:w="1277" w:type="dxa"/>
            <w:tcBorders>
              <w:top w:val="single" w:sz="12" w:space="0" w:color="auto"/>
              <w:bottom w:val="single" w:sz="12" w:space="0" w:color="000000" w:themeColor="text1"/>
            </w:tcBorders>
            <w:shd w:val="clear" w:color="auto" w:fill="auto"/>
            <w:noWrap/>
            <w:vAlign w:val="center"/>
            <w:hideMark/>
          </w:tcPr>
          <w:p w14:paraId="5DE750BC"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Dataset</w:t>
            </w:r>
          </w:p>
        </w:tc>
        <w:tc>
          <w:tcPr>
            <w:tcW w:w="1134" w:type="dxa"/>
            <w:tcBorders>
              <w:top w:val="single" w:sz="12" w:space="0" w:color="auto"/>
              <w:bottom w:val="single" w:sz="12" w:space="0" w:color="000000" w:themeColor="text1"/>
            </w:tcBorders>
            <w:shd w:val="clear" w:color="auto" w:fill="auto"/>
            <w:noWrap/>
            <w:vAlign w:val="center"/>
            <w:hideMark/>
          </w:tcPr>
          <w:p w14:paraId="0E1132D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Number of Individuals</w:t>
            </w:r>
          </w:p>
        </w:tc>
        <w:tc>
          <w:tcPr>
            <w:tcW w:w="1275" w:type="dxa"/>
            <w:tcBorders>
              <w:top w:val="single" w:sz="12" w:space="0" w:color="auto"/>
              <w:bottom w:val="single" w:sz="12" w:space="0" w:color="000000" w:themeColor="text1"/>
            </w:tcBorders>
            <w:shd w:val="clear" w:color="auto" w:fill="auto"/>
            <w:noWrap/>
            <w:vAlign w:val="center"/>
            <w:hideMark/>
          </w:tcPr>
          <w:p w14:paraId="44D7FCDB"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Min. sites</w:t>
            </w:r>
          </w:p>
        </w:tc>
        <w:tc>
          <w:tcPr>
            <w:tcW w:w="1276" w:type="dxa"/>
            <w:tcBorders>
              <w:top w:val="single" w:sz="12" w:space="0" w:color="auto"/>
              <w:bottom w:val="single" w:sz="12" w:space="0" w:color="000000" w:themeColor="text1"/>
            </w:tcBorders>
            <w:shd w:val="clear" w:color="auto" w:fill="auto"/>
            <w:noWrap/>
            <w:vAlign w:val="center"/>
            <w:hideMark/>
          </w:tcPr>
          <w:p w14:paraId="2D0C317B"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Number of Populations</w:t>
            </w:r>
          </w:p>
        </w:tc>
        <w:tc>
          <w:tcPr>
            <w:tcW w:w="992" w:type="dxa"/>
            <w:tcBorders>
              <w:top w:val="single" w:sz="12" w:space="0" w:color="auto"/>
              <w:bottom w:val="single" w:sz="12" w:space="0" w:color="000000" w:themeColor="text1"/>
            </w:tcBorders>
            <w:shd w:val="clear" w:color="auto" w:fill="auto"/>
            <w:noWrap/>
            <w:vAlign w:val="center"/>
            <w:hideMark/>
          </w:tcPr>
          <w:p w14:paraId="47D2FFF1"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Number of loci</w:t>
            </w:r>
          </w:p>
        </w:tc>
        <w:tc>
          <w:tcPr>
            <w:tcW w:w="993" w:type="dxa"/>
            <w:tcBorders>
              <w:top w:val="single" w:sz="12" w:space="0" w:color="auto"/>
              <w:bottom w:val="single" w:sz="12" w:space="0" w:color="000000" w:themeColor="text1"/>
            </w:tcBorders>
            <w:shd w:val="clear" w:color="auto" w:fill="auto"/>
            <w:noWrap/>
            <w:vAlign w:val="center"/>
            <w:hideMark/>
          </w:tcPr>
          <w:p w14:paraId="04B1AC9A"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SNPs</w:t>
            </w:r>
          </w:p>
        </w:tc>
        <w:tc>
          <w:tcPr>
            <w:tcW w:w="1417" w:type="dxa"/>
            <w:tcBorders>
              <w:top w:val="single" w:sz="12" w:space="0" w:color="auto"/>
              <w:bottom w:val="single" w:sz="12" w:space="0" w:color="000000" w:themeColor="text1"/>
            </w:tcBorders>
            <w:shd w:val="clear" w:color="auto" w:fill="auto"/>
            <w:noWrap/>
            <w:vAlign w:val="center"/>
            <w:hideMark/>
          </w:tcPr>
          <w:p w14:paraId="2F374093"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Missing percentage of SNPs</w:t>
            </w:r>
          </w:p>
        </w:tc>
      </w:tr>
      <w:tr w:rsidR="006B2888" w:rsidRPr="00AE525E" w14:paraId="373AC680" w14:textId="77777777" w:rsidTr="00031031">
        <w:trPr>
          <w:trHeight w:val="320"/>
          <w:jc w:val="center"/>
        </w:trPr>
        <w:tc>
          <w:tcPr>
            <w:tcW w:w="1277" w:type="dxa"/>
            <w:vMerge w:val="restart"/>
            <w:tcBorders>
              <w:top w:val="single" w:sz="12" w:space="0" w:color="000000" w:themeColor="text1"/>
            </w:tcBorders>
            <w:shd w:val="clear" w:color="auto" w:fill="auto"/>
            <w:noWrap/>
            <w:vAlign w:val="center"/>
            <w:hideMark/>
          </w:tcPr>
          <w:p w14:paraId="401F80D3"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p12r50</w:t>
            </w:r>
          </w:p>
        </w:tc>
        <w:tc>
          <w:tcPr>
            <w:tcW w:w="1134" w:type="dxa"/>
            <w:tcBorders>
              <w:top w:val="single" w:sz="12" w:space="0" w:color="000000" w:themeColor="text1"/>
            </w:tcBorders>
            <w:shd w:val="clear" w:color="auto" w:fill="auto"/>
            <w:noWrap/>
            <w:vAlign w:val="center"/>
            <w:hideMark/>
          </w:tcPr>
          <w:p w14:paraId="139E0515"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178</w:t>
            </w:r>
          </w:p>
        </w:tc>
        <w:tc>
          <w:tcPr>
            <w:tcW w:w="1275" w:type="dxa"/>
            <w:tcBorders>
              <w:top w:val="single" w:sz="12" w:space="0" w:color="000000" w:themeColor="text1"/>
            </w:tcBorders>
            <w:shd w:val="clear" w:color="auto" w:fill="auto"/>
            <w:noWrap/>
            <w:vAlign w:val="center"/>
            <w:hideMark/>
          </w:tcPr>
          <w:p w14:paraId="3035B5B8"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w:t>
            </w:r>
          </w:p>
        </w:tc>
        <w:tc>
          <w:tcPr>
            <w:tcW w:w="1276" w:type="dxa"/>
            <w:tcBorders>
              <w:top w:val="single" w:sz="12" w:space="0" w:color="000000" w:themeColor="text1"/>
            </w:tcBorders>
            <w:shd w:val="clear" w:color="auto" w:fill="auto"/>
            <w:noWrap/>
            <w:vAlign w:val="center"/>
            <w:hideMark/>
          </w:tcPr>
          <w:p w14:paraId="17892B70"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15</w:t>
            </w:r>
          </w:p>
        </w:tc>
        <w:tc>
          <w:tcPr>
            <w:tcW w:w="992" w:type="dxa"/>
            <w:tcBorders>
              <w:top w:val="single" w:sz="12" w:space="0" w:color="000000" w:themeColor="text1"/>
            </w:tcBorders>
            <w:shd w:val="clear" w:color="auto" w:fill="auto"/>
            <w:noWrap/>
            <w:vAlign w:val="center"/>
            <w:hideMark/>
          </w:tcPr>
          <w:p w14:paraId="04542821"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21431</w:t>
            </w:r>
          </w:p>
        </w:tc>
        <w:tc>
          <w:tcPr>
            <w:tcW w:w="993" w:type="dxa"/>
            <w:tcBorders>
              <w:top w:val="single" w:sz="12" w:space="0" w:color="000000" w:themeColor="text1"/>
            </w:tcBorders>
            <w:shd w:val="clear" w:color="auto" w:fill="auto"/>
            <w:noWrap/>
            <w:vAlign w:val="center"/>
            <w:hideMark/>
          </w:tcPr>
          <w:p w14:paraId="2B94358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15112</w:t>
            </w:r>
          </w:p>
        </w:tc>
        <w:tc>
          <w:tcPr>
            <w:tcW w:w="1417" w:type="dxa"/>
            <w:tcBorders>
              <w:top w:val="single" w:sz="12" w:space="0" w:color="000000" w:themeColor="text1"/>
            </w:tcBorders>
            <w:shd w:val="clear" w:color="auto" w:fill="auto"/>
            <w:noWrap/>
            <w:vAlign w:val="center"/>
            <w:hideMark/>
          </w:tcPr>
          <w:p w14:paraId="6FD771E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0.43</w:t>
            </w:r>
          </w:p>
        </w:tc>
      </w:tr>
      <w:tr w:rsidR="006B2888" w:rsidRPr="00AE525E" w14:paraId="47F31F3B" w14:textId="77777777" w:rsidTr="00031031">
        <w:trPr>
          <w:trHeight w:val="320"/>
          <w:jc w:val="center"/>
        </w:trPr>
        <w:tc>
          <w:tcPr>
            <w:tcW w:w="1277" w:type="dxa"/>
            <w:vMerge/>
            <w:shd w:val="clear" w:color="auto" w:fill="auto"/>
            <w:noWrap/>
            <w:vAlign w:val="center"/>
            <w:hideMark/>
          </w:tcPr>
          <w:p w14:paraId="64DDECE5"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30D60993"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*155</w:t>
            </w:r>
          </w:p>
        </w:tc>
        <w:tc>
          <w:tcPr>
            <w:tcW w:w="1275" w:type="dxa"/>
            <w:shd w:val="clear" w:color="auto" w:fill="auto"/>
            <w:noWrap/>
            <w:vAlign w:val="center"/>
            <w:hideMark/>
          </w:tcPr>
          <w:p w14:paraId="1E3A13F6"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0.05</w:t>
            </w:r>
          </w:p>
        </w:tc>
        <w:tc>
          <w:tcPr>
            <w:tcW w:w="1276" w:type="dxa"/>
            <w:shd w:val="clear" w:color="auto" w:fill="auto"/>
            <w:noWrap/>
            <w:vAlign w:val="center"/>
            <w:hideMark/>
          </w:tcPr>
          <w:p w14:paraId="351C89C0"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15</w:t>
            </w:r>
          </w:p>
        </w:tc>
        <w:tc>
          <w:tcPr>
            <w:tcW w:w="992" w:type="dxa"/>
            <w:shd w:val="clear" w:color="auto" w:fill="auto"/>
            <w:noWrap/>
            <w:vAlign w:val="center"/>
            <w:hideMark/>
          </w:tcPr>
          <w:p w14:paraId="22DD6C3C"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21431</w:t>
            </w:r>
          </w:p>
        </w:tc>
        <w:tc>
          <w:tcPr>
            <w:tcW w:w="993" w:type="dxa"/>
            <w:shd w:val="clear" w:color="auto" w:fill="auto"/>
            <w:noWrap/>
            <w:vAlign w:val="center"/>
            <w:hideMark/>
          </w:tcPr>
          <w:p w14:paraId="238DF957"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15112</w:t>
            </w:r>
          </w:p>
        </w:tc>
        <w:tc>
          <w:tcPr>
            <w:tcW w:w="1417" w:type="dxa"/>
            <w:shd w:val="clear" w:color="auto" w:fill="auto"/>
            <w:noWrap/>
            <w:vAlign w:val="center"/>
            <w:hideMark/>
          </w:tcPr>
          <w:p w14:paraId="18A33348"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0.35</w:t>
            </w:r>
          </w:p>
        </w:tc>
      </w:tr>
      <w:tr w:rsidR="006B2888" w:rsidRPr="00AE525E" w14:paraId="2B34726E" w14:textId="77777777" w:rsidTr="00031031">
        <w:trPr>
          <w:trHeight w:val="320"/>
          <w:jc w:val="center"/>
        </w:trPr>
        <w:tc>
          <w:tcPr>
            <w:tcW w:w="1277" w:type="dxa"/>
            <w:vMerge/>
            <w:shd w:val="clear" w:color="auto" w:fill="auto"/>
            <w:noWrap/>
            <w:vAlign w:val="center"/>
            <w:hideMark/>
          </w:tcPr>
          <w:p w14:paraId="5501FE9D"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4891A141" w14:textId="77777777" w:rsidR="006B2888" w:rsidRPr="00AE525E" w:rsidRDefault="006B2888" w:rsidP="00031031">
            <w:pPr>
              <w:rPr>
                <w:rFonts w:ascii="Times New Roman" w:eastAsia="Times New Roman" w:hAnsi="Times New Roman" w:cs="Times New Roman"/>
                <w:b/>
                <w:color w:val="000000" w:themeColor="text1"/>
                <w:sz w:val="20"/>
                <w:szCs w:val="20"/>
              </w:rPr>
            </w:pPr>
            <w:r w:rsidRPr="00AE525E">
              <w:rPr>
                <w:rFonts w:ascii="Times New Roman" w:eastAsia="Times New Roman" w:hAnsi="Times New Roman" w:cs="Times New Roman"/>
                <w:b/>
                <w:color w:val="000000" w:themeColor="text1"/>
                <w:sz w:val="20"/>
                <w:szCs w:val="20"/>
              </w:rPr>
              <w:t>122</w:t>
            </w:r>
          </w:p>
        </w:tc>
        <w:tc>
          <w:tcPr>
            <w:tcW w:w="1275" w:type="dxa"/>
            <w:shd w:val="clear" w:color="auto" w:fill="auto"/>
            <w:noWrap/>
            <w:vAlign w:val="center"/>
            <w:hideMark/>
          </w:tcPr>
          <w:p w14:paraId="15E41AC0" w14:textId="77777777" w:rsidR="006B2888" w:rsidRPr="00AE525E" w:rsidRDefault="006B2888" w:rsidP="00031031">
            <w:pPr>
              <w:rPr>
                <w:rFonts w:ascii="Times New Roman" w:eastAsia="Times New Roman" w:hAnsi="Times New Roman" w:cs="Times New Roman"/>
                <w:b/>
                <w:color w:val="000000" w:themeColor="text1"/>
                <w:sz w:val="20"/>
                <w:szCs w:val="20"/>
              </w:rPr>
            </w:pPr>
            <w:r w:rsidRPr="00AE525E">
              <w:rPr>
                <w:rFonts w:ascii="Times New Roman" w:eastAsia="Times New Roman" w:hAnsi="Times New Roman" w:cs="Times New Roman"/>
                <w:b/>
                <w:color w:val="000000" w:themeColor="text1"/>
                <w:sz w:val="20"/>
                <w:szCs w:val="20"/>
              </w:rPr>
              <w:t>0.25</w:t>
            </w:r>
          </w:p>
        </w:tc>
        <w:tc>
          <w:tcPr>
            <w:tcW w:w="1276" w:type="dxa"/>
            <w:shd w:val="clear" w:color="auto" w:fill="auto"/>
            <w:noWrap/>
            <w:vAlign w:val="center"/>
            <w:hideMark/>
          </w:tcPr>
          <w:p w14:paraId="6AE2ECF2" w14:textId="77777777" w:rsidR="006B2888" w:rsidRPr="00AE525E" w:rsidRDefault="006B2888" w:rsidP="00031031">
            <w:pPr>
              <w:rPr>
                <w:rFonts w:ascii="Times New Roman" w:eastAsia="Times New Roman" w:hAnsi="Times New Roman" w:cs="Times New Roman"/>
                <w:b/>
                <w:color w:val="000000" w:themeColor="text1"/>
                <w:sz w:val="20"/>
                <w:szCs w:val="20"/>
              </w:rPr>
            </w:pPr>
            <w:r w:rsidRPr="00AE525E">
              <w:rPr>
                <w:rFonts w:ascii="Times New Roman" w:eastAsia="Times New Roman" w:hAnsi="Times New Roman" w:cs="Times New Roman"/>
                <w:b/>
                <w:color w:val="000000" w:themeColor="text1"/>
                <w:sz w:val="20"/>
                <w:szCs w:val="20"/>
              </w:rPr>
              <w:t>14</w:t>
            </w:r>
          </w:p>
        </w:tc>
        <w:tc>
          <w:tcPr>
            <w:tcW w:w="992" w:type="dxa"/>
            <w:shd w:val="clear" w:color="auto" w:fill="auto"/>
            <w:noWrap/>
            <w:vAlign w:val="center"/>
            <w:hideMark/>
          </w:tcPr>
          <w:p w14:paraId="1EA8FEC5" w14:textId="77777777" w:rsidR="006B2888" w:rsidRPr="00AE525E" w:rsidRDefault="006B2888" w:rsidP="00031031">
            <w:pPr>
              <w:rPr>
                <w:rFonts w:ascii="Times New Roman" w:eastAsia="Times New Roman" w:hAnsi="Times New Roman" w:cs="Times New Roman"/>
                <w:b/>
                <w:color w:val="000000" w:themeColor="text1"/>
                <w:sz w:val="20"/>
                <w:szCs w:val="20"/>
              </w:rPr>
            </w:pPr>
            <w:r w:rsidRPr="00AE525E">
              <w:rPr>
                <w:rFonts w:ascii="Times New Roman" w:eastAsia="Times New Roman" w:hAnsi="Times New Roman" w:cs="Times New Roman"/>
                <w:b/>
                <w:color w:val="000000" w:themeColor="text1"/>
                <w:sz w:val="20"/>
                <w:szCs w:val="20"/>
              </w:rPr>
              <w:t>21431</w:t>
            </w:r>
          </w:p>
        </w:tc>
        <w:tc>
          <w:tcPr>
            <w:tcW w:w="993" w:type="dxa"/>
            <w:shd w:val="clear" w:color="auto" w:fill="auto"/>
            <w:noWrap/>
            <w:vAlign w:val="center"/>
            <w:hideMark/>
          </w:tcPr>
          <w:p w14:paraId="544292F9" w14:textId="77777777" w:rsidR="006B2888" w:rsidRPr="00AE525E" w:rsidRDefault="006B2888" w:rsidP="00031031">
            <w:pPr>
              <w:rPr>
                <w:rFonts w:ascii="Times New Roman" w:eastAsia="Times New Roman" w:hAnsi="Times New Roman" w:cs="Times New Roman"/>
                <w:b/>
                <w:color w:val="000000" w:themeColor="text1"/>
                <w:sz w:val="20"/>
                <w:szCs w:val="20"/>
              </w:rPr>
            </w:pPr>
            <w:r w:rsidRPr="00AE525E">
              <w:rPr>
                <w:rFonts w:ascii="Times New Roman" w:eastAsia="Times New Roman" w:hAnsi="Times New Roman" w:cs="Times New Roman"/>
                <w:b/>
                <w:color w:val="000000" w:themeColor="text1"/>
                <w:sz w:val="20"/>
                <w:szCs w:val="20"/>
              </w:rPr>
              <w:t>15112</w:t>
            </w:r>
          </w:p>
        </w:tc>
        <w:tc>
          <w:tcPr>
            <w:tcW w:w="1417" w:type="dxa"/>
            <w:shd w:val="clear" w:color="auto" w:fill="auto"/>
            <w:noWrap/>
            <w:vAlign w:val="center"/>
            <w:hideMark/>
          </w:tcPr>
          <w:p w14:paraId="190D3845" w14:textId="77777777" w:rsidR="006B2888" w:rsidRPr="00AE525E" w:rsidRDefault="006B2888" w:rsidP="00031031">
            <w:pPr>
              <w:rPr>
                <w:rFonts w:ascii="Times New Roman" w:eastAsia="Times New Roman" w:hAnsi="Times New Roman" w:cs="Times New Roman"/>
                <w:b/>
                <w:color w:val="000000" w:themeColor="text1"/>
                <w:sz w:val="20"/>
                <w:szCs w:val="20"/>
              </w:rPr>
            </w:pPr>
            <w:r w:rsidRPr="00AE525E">
              <w:rPr>
                <w:rFonts w:ascii="Times New Roman" w:eastAsia="Times New Roman" w:hAnsi="Times New Roman" w:cs="Times New Roman"/>
                <w:b/>
                <w:color w:val="000000" w:themeColor="text1"/>
                <w:sz w:val="20"/>
                <w:szCs w:val="20"/>
              </w:rPr>
              <w:t>0.2</w:t>
            </w:r>
          </w:p>
        </w:tc>
      </w:tr>
      <w:tr w:rsidR="006B2888" w:rsidRPr="00AE525E" w14:paraId="116352FC" w14:textId="77777777" w:rsidTr="00031031">
        <w:trPr>
          <w:trHeight w:val="320"/>
          <w:jc w:val="center"/>
        </w:trPr>
        <w:tc>
          <w:tcPr>
            <w:tcW w:w="1277" w:type="dxa"/>
            <w:vMerge/>
            <w:shd w:val="clear" w:color="auto" w:fill="auto"/>
            <w:noWrap/>
            <w:vAlign w:val="center"/>
            <w:hideMark/>
          </w:tcPr>
          <w:p w14:paraId="1616A4C1"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7DBB3BD4"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108</w:t>
            </w:r>
          </w:p>
        </w:tc>
        <w:tc>
          <w:tcPr>
            <w:tcW w:w="1275" w:type="dxa"/>
            <w:shd w:val="clear" w:color="auto" w:fill="auto"/>
            <w:noWrap/>
            <w:vAlign w:val="center"/>
            <w:hideMark/>
          </w:tcPr>
          <w:p w14:paraId="12F32B4E"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0.5</w:t>
            </w:r>
          </w:p>
        </w:tc>
        <w:tc>
          <w:tcPr>
            <w:tcW w:w="1276" w:type="dxa"/>
            <w:shd w:val="clear" w:color="auto" w:fill="auto"/>
            <w:noWrap/>
            <w:vAlign w:val="center"/>
            <w:hideMark/>
          </w:tcPr>
          <w:p w14:paraId="15D10969"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w:t>
            </w:r>
          </w:p>
        </w:tc>
        <w:tc>
          <w:tcPr>
            <w:tcW w:w="992" w:type="dxa"/>
            <w:shd w:val="clear" w:color="auto" w:fill="auto"/>
            <w:noWrap/>
            <w:vAlign w:val="center"/>
            <w:hideMark/>
          </w:tcPr>
          <w:p w14:paraId="0F62ABDB"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21431</w:t>
            </w:r>
          </w:p>
        </w:tc>
        <w:tc>
          <w:tcPr>
            <w:tcW w:w="993" w:type="dxa"/>
            <w:shd w:val="clear" w:color="auto" w:fill="auto"/>
            <w:noWrap/>
            <w:vAlign w:val="center"/>
            <w:hideMark/>
          </w:tcPr>
          <w:p w14:paraId="5767B890"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15112</w:t>
            </w:r>
          </w:p>
        </w:tc>
        <w:tc>
          <w:tcPr>
            <w:tcW w:w="1417" w:type="dxa"/>
            <w:shd w:val="clear" w:color="auto" w:fill="auto"/>
            <w:noWrap/>
            <w:vAlign w:val="center"/>
            <w:hideMark/>
          </w:tcPr>
          <w:p w14:paraId="41205B82"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0.15</w:t>
            </w:r>
          </w:p>
        </w:tc>
      </w:tr>
      <w:tr w:rsidR="006B2888" w:rsidRPr="00AE525E" w14:paraId="60276136" w14:textId="77777777" w:rsidTr="00031031">
        <w:trPr>
          <w:trHeight w:val="320"/>
          <w:jc w:val="center"/>
        </w:trPr>
        <w:tc>
          <w:tcPr>
            <w:tcW w:w="1277" w:type="dxa"/>
            <w:vMerge/>
            <w:tcBorders>
              <w:bottom w:val="single" w:sz="8" w:space="0" w:color="auto"/>
            </w:tcBorders>
            <w:shd w:val="clear" w:color="auto" w:fill="auto"/>
            <w:noWrap/>
            <w:vAlign w:val="center"/>
            <w:hideMark/>
          </w:tcPr>
          <w:p w14:paraId="2A734F56"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tcBorders>
              <w:bottom w:val="single" w:sz="8" w:space="0" w:color="auto"/>
            </w:tcBorders>
            <w:shd w:val="clear" w:color="auto" w:fill="auto"/>
            <w:noWrap/>
            <w:vAlign w:val="center"/>
            <w:hideMark/>
          </w:tcPr>
          <w:p w14:paraId="24B75C27"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89</w:t>
            </w:r>
          </w:p>
        </w:tc>
        <w:tc>
          <w:tcPr>
            <w:tcW w:w="1275" w:type="dxa"/>
            <w:tcBorders>
              <w:bottom w:val="single" w:sz="8" w:space="0" w:color="auto"/>
            </w:tcBorders>
            <w:shd w:val="clear" w:color="auto" w:fill="auto"/>
            <w:noWrap/>
            <w:vAlign w:val="center"/>
            <w:hideMark/>
          </w:tcPr>
          <w:p w14:paraId="295709B4"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0.75</w:t>
            </w:r>
          </w:p>
        </w:tc>
        <w:tc>
          <w:tcPr>
            <w:tcW w:w="1276" w:type="dxa"/>
            <w:tcBorders>
              <w:bottom w:val="single" w:sz="8" w:space="0" w:color="auto"/>
            </w:tcBorders>
            <w:shd w:val="clear" w:color="auto" w:fill="auto"/>
            <w:noWrap/>
            <w:vAlign w:val="center"/>
            <w:hideMark/>
          </w:tcPr>
          <w:p w14:paraId="0B1C0773"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12</w:t>
            </w:r>
          </w:p>
        </w:tc>
        <w:tc>
          <w:tcPr>
            <w:tcW w:w="992" w:type="dxa"/>
            <w:tcBorders>
              <w:bottom w:val="single" w:sz="8" w:space="0" w:color="auto"/>
            </w:tcBorders>
            <w:shd w:val="clear" w:color="auto" w:fill="auto"/>
            <w:noWrap/>
            <w:vAlign w:val="center"/>
            <w:hideMark/>
          </w:tcPr>
          <w:p w14:paraId="4D567E13"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21431</w:t>
            </w:r>
          </w:p>
        </w:tc>
        <w:tc>
          <w:tcPr>
            <w:tcW w:w="993" w:type="dxa"/>
            <w:tcBorders>
              <w:bottom w:val="single" w:sz="8" w:space="0" w:color="auto"/>
            </w:tcBorders>
            <w:shd w:val="clear" w:color="auto" w:fill="auto"/>
            <w:noWrap/>
            <w:vAlign w:val="center"/>
            <w:hideMark/>
          </w:tcPr>
          <w:p w14:paraId="0A2F7AB1"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15112</w:t>
            </w:r>
          </w:p>
        </w:tc>
        <w:tc>
          <w:tcPr>
            <w:tcW w:w="1417" w:type="dxa"/>
            <w:tcBorders>
              <w:bottom w:val="single" w:sz="8" w:space="0" w:color="auto"/>
            </w:tcBorders>
            <w:shd w:val="clear" w:color="auto" w:fill="auto"/>
            <w:noWrap/>
            <w:vAlign w:val="center"/>
            <w:hideMark/>
          </w:tcPr>
          <w:p w14:paraId="5A829F55"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0.1</w:t>
            </w:r>
          </w:p>
        </w:tc>
      </w:tr>
      <w:tr w:rsidR="006B2888" w:rsidRPr="00AE525E" w14:paraId="17BF34EE" w14:textId="77777777" w:rsidTr="00031031">
        <w:trPr>
          <w:trHeight w:val="320"/>
          <w:jc w:val="center"/>
        </w:trPr>
        <w:tc>
          <w:tcPr>
            <w:tcW w:w="1277" w:type="dxa"/>
            <w:vMerge w:val="restart"/>
            <w:tcBorders>
              <w:top w:val="single" w:sz="8" w:space="0" w:color="auto"/>
            </w:tcBorders>
            <w:shd w:val="clear" w:color="auto" w:fill="auto"/>
            <w:noWrap/>
            <w:vAlign w:val="center"/>
            <w:hideMark/>
          </w:tcPr>
          <w:p w14:paraId="61C92C95"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p11r50</w:t>
            </w:r>
          </w:p>
        </w:tc>
        <w:tc>
          <w:tcPr>
            <w:tcW w:w="1134" w:type="dxa"/>
            <w:tcBorders>
              <w:top w:val="single" w:sz="8" w:space="0" w:color="auto"/>
            </w:tcBorders>
            <w:shd w:val="clear" w:color="auto" w:fill="auto"/>
            <w:noWrap/>
            <w:vAlign w:val="center"/>
            <w:hideMark/>
          </w:tcPr>
          <w:p w14:paraId="7DC03368"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178</w:t>
            </w:r>
          </w:p>
        </w:tc>
        <w:tc>
          <w:tcPr>
            <w:tcW w:w="1275" w:type="dxa"/>
            <w:tcBorders>
              <w:top w:val="single" w:sz="8" w:space="0" w:color="auto"/>
            </w:tcBorders>
            <w:shd w:val="clear" w:color="auto" w:fill="auto"/>
            <w:noWrap/>
            <w:vAlign w:val="center"/>
            <w:hideMark/>
          </w:tcPr>
          <w:p w14:paraId="51811078"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w:t>
            </w:r>
          </w:p>
        </w:tc>
        <w:tc>
          <w:tcPr>
            <w:tcW w:w="1276" w:type="dxa"/>
            <w:tcBorders>
              <w:top w:val="single" w:sz="8" w:space="0" w:color="auto"/>
            </w:tcBorders>
            <w:shd w:val="clear" w:color="auto" w:fill="auto"/>
            <w:noWrap/>
            <w:vAlign w:val="center"/>
            <w:hideMark/>
          </w:tcPr>
          <w:p w14:paraId="5F61B6D1"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15</w:t>
            </w:r>
          </w:p>
        </w:tc>
        <w:tc>
          <w:tcPr>
            <w:tcW w:w="992" w:type="dxa"/>
            <w:tcBorders>
              <w:top w:val="single" w:sz="8" w:space="0" w:color="auto"/>
            </w:tcBorders>
            <w:shd w:val="clear" w:color="auto" w:fill="auto"/>
            <w:noWrap/>
            <w:vAlign w:val="center"/>
            <w:hideMark/>
          </w:tcPr>
          <w:p w14:paraId="42AF46FE"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40210</w:t>
            </w:r>
          </w:p>
        </w:tc>
        <w:tc>
          <w:tcPr>
            <w:tcW w:w="993" w:type="dxa"/>
            <w:tcBorders>
              <w:top w:val="single" w:sz="8" w:space="0" w:color="auto"/>
            </w:tcBorders>
            <w:shd w:val="clear" w:color="auto" w:fill="auto"/>
            <w:noWrap/>
            <w:vAlign w:val="center"/>
            <w:hideMark/>
          </w:tcPr>
          <w:p w14:paraId="59435AA9"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29798</w:t>
            </w:r>
          </w:p>
        </w:tc>
        <w:tc>
          <w:tcPr>
            <w:tcW w:w="1417" w:type="dxa"/>
            <w:tcBorders>
              <w:top w:val="single" w:sz="8" w:space="0" w:color="auto"/>
            </w:tcBorders>
            <w:shd w:val="clear" w:color="auto" w:fill="auto"/>
            <w:noWrap/>
            <w:vAlign w:val="center"/>
            <w:hideMark/>
          </w:tcPr>
          <w:p w14:paraId="07F9DDD0"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0.48</w:t>
            </w:r>
          </w:p>
        </w:tc>
      </w:tr>
      <w:tr w:rsidR="006B2888" w:rsidRPr="00AE525E" w14:paraId="26EFC7F1" w14:textId="77777777" w:rsidTr="00031031">
        <w:trPr>
          <w:trHeight w:val="320"/>
          <w:jc w:val="center"/>
        </w:trPr>
        <w:tc>
          <w:tcPr>
            <w:tcW w:w="1277" w:type="dxa"/>
            <w:vMerge/>
            <w:shd w:val="clear" w:color="auto" w:fill="auto"/>
            <w:noWrap/>
            <w:vAlign w:val="center"/>
            <w:hideMark/>
          </w:tcPr>
          <w:p w14:paraId="1D5E4310"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443F83EB"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149</w:t>
            </w:r>
          </w:p>
        </w:tc>
        <w:tc>
          <w:tcPr>
            <w:tcW w:w="1275" w:type="dxa"/>
            <w:shd w:val="clear" w:color="auto" w:fill="auto"/>
            <w:noWrap/>
            <w:vAlign w:val="center"/>
            <w:hideMark/>
          </w:tcPr>
          <w:p w14:paraId="53B4B6AC"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0.05</w:t>
            </w:r>
          </w:p>
        </w:tc>
        <w:tc>
          <w:tcPr>
            <w:tcW w:w="1276" w:type="dxa"/>
            <w:shd w:val="clear" w:color="auto" w:fill="auto"/>
            <w:noWrap/>
            <w:vAlign w:val="center"/>
            <w:hideMark/>
          </w:tcPr>
          <w:p w14:paraId="56D0B854"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15</w:t>
            </w:r>
          </w:p>
        </w:tc>
        <w:tc>
          <w:tcPr>
            <w:tcW w:w="992" w:type="dxa"/>
            <w:shd w:val="clear" w:color="auto" w:fill="auto"/>
            <w:noWrap/>
            <w:vAlign w:val="center"/>
            <w:hideMark/>
          </w:tcPr>
          <w:p w14:paraId="203C522C"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40210</w:t>
            </w:r>
          </w:p>
        </w:tc>
        <w:tc>
          <w:tcPr>
            <w:tcW w:w="993" w:type="dxa"/>
            <w:shd w:val="clear" w:color="auto" w:fill="auto"/>
            <w:noWrap/>
            <w:vAlign w:val="center"/>
            <w:hideMark/>
          </w:tcPr>
          <w:p w14:paraId="45292BCA"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29798</w:t>
            </w:r>
          </w:p>
        </w:tc>
        <w:tc>
          <w:tcPr>
            <w:tcW w:w="1417" w:type="dxa"/>
            <w:shd w:val="clear" w:color="auto" w:fill="auto"/>
            <w:noWrap/>
            <w:vAlign w:val="center"/>
            <w:hideMark/>
          </w:tcPr>
          <w:p w14:paraId="5781BB00"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0.38</w:t>
            </w:r>
          </w:p>
        </w:tc>
      </w:tr>
      <w:tr w:rsidR="006B2888" w:rsidRPr="00AE525E" w14:paraId="73B1B610" w14:textId="77777777" w:rsidTr="00031031">
        <w:trPr>
          <w:trHeight w:val="320"/>
          <w:jc w:val="center"/>
        </w:trPr>
        <w:tc>
          <w:tcPr>
            <w:tcW w:w="1277" w:type="dxa"/>
            <w:vMerge/>
            <w:shd w:val="clear" w:color="auto" w:fill="auto"/>
            <w:noWrap/>
            <w:vAlign w:val="center"/>
            <w:hideMark/>
          </w:tcPr>
          <w:p w14:paraId="57D63354"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4F7C01FE"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115</w:t>
            </w:r>
          </w:p>
        </w:tc>
        <w:tc>
          <w:tcPr>
            <w:tcW w:w="1275" w:type="dxa"/>
            <w:shd w:val="clear" w:color="auto" w:fill="auto"/>
            <w:noWrap/>
            <w:vAlign w:val="center"/>
            <w:hideMark/>
          </w:tcPr>
          <w:p w14:paraId="63655D5D"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0.25</w:t>
            </w:r>
          </w:p>
        </w:tc>
        <w:tc>
          <w:tcPr>
            <w:tcW w:w="1276" w:type="dxa"/>
            <w:shd w:val="clear" w:color="auto" w:fill="auto"/>
            <w:noWrap/>
            <w:vAlign w:val="center"/>
            <w:hideMark/>
          </w:tcPr>
          <w:p w14:paraId="42BBAECC"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w:t>
            </w:r>
          </w:p>
        </w:tc>
        <w:tc>
          <w:tcPr>
            <w:tcW w:w="992" w:type="dxa"/>
            <w:shd w:val="clear" w:color="auto" w:fill="auto"/>
            <w:noWrap/>
            <w:vAlign w:val="center"/>
            <w:hideMark/>
          </w:tcPr>
          <w:p w14:paraId="352DA52C"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40210</w:t>
            </w:r>
          </w:p>
        </w:tc>
        <w:tc>
          <w:tcPr>
            <w:tcW w:w="993" w:type="dxa"/>
            <w:shd w:val="clear" w:color="auto" w:fill="auto"/>
            <w:noWrap/>
            <w:vAlign w:val="center"/>
            <w:hideMark/>
          </w:tcPr>
          <w:p w14:paraId="33265364"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29798</w:t>
            </w:r>
          </w:p>
        </w:tc>
        <w:tc>
          <w:tcPr>
            <w:tcW w:w="1417" w:type="dxa"/>
            <w:shd w:val="clear" w:color="auto" w:fill="auto"/>
            <w:noWrap/>
            <w:vAlign w:val="center"/>
            <w:hideMark/>
          </w:tcPr>
          <w:p w14:paraId="6059E4F7"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0.23</w:t>
            </w:r>
          </w:p>
        </w:tc>
      </w:tr>
      <w:tr w:rsidR="006B2888" w:rsidRPr="00AE525E" w14:paraId="344FFD6D" w14:textId="77777777" w:rsidTr="00031031">
        <w:trPr>
          <w:trHeight w:val="320"/>
          <w:jc w:val="center"/>
        </w:trPr>
        <w:tc>
          <w:tcPr>
            <w:tcW w:w="1277" w:type="dxa"/>
            <w:vMerge/>
            <w:shd w:val="clear" w:color="auto" w:fill="auto"/>
            <w:noWrap/>
            <w:vAlign w:val="center"/>
            <w:hideMark/>
          </w:tcPr>
          <w:p w14:paraId="03A277F5"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0AE0941A"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97</w:t>
            </w:r>
          </w:p>
        </w:tc>
        <w:tc>
          <w:tcPr>
            <w:tcW w:w="1275" w:type="dxa"/>
            <w:shd w:val="clear" w:color="auto" w:fill="auto"/>
            <w:noWrap/>
            <w:vAlign w:val="center"/>
            <w:hideMark/>
          </w:tcPr>
          <w:p w14:paraId="649E4F5B"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0.5</w:t>
            </w:r>
          </w:p>
        </w:tc>
        <w:tc>
          <w:tcPr>
            <w:tcW w:w="1276" w:type="dxa"/>
            <w:shd w:val="clear" w:color="auto" w:fill="auto"/>
            <w:noWrap/>
            <w:vAlign w:val="center"/>
            <w:hideMark/>
          </w:tcPr>
          <w:p w14:paraId="285752D1"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12</w:t>
            </w:r>
          </w:p>
        </w:tc>
        <w:tc>
          <w:tcPr>
            <w:tcW w:w="992" w:type="dxa"/>
            <w:shd w:val="clear" w:color="auto" w:fill="auto"/>
            <w:noWrap/>
            <w:vAlign w:val="center"/>
            <w:hideMark/>
          </w:tcPr>
          <w:p w14:paraId="3910DFF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40210</w:t>
            </w:r>
          </w:p>
        </w:tc>
        <w:tc>
          <w:tcPr>
            <w:tcW w:w="993" w:type="dxa"/>
            <w:shd w:val="clear" w:color="auto" w:fill="auto"/>
            <w:noWrap/>
            <w:vAlign w:val="center"/>
            <w:hideMark/>
          </w:tcPr>
          <w:p w14:paraId="576CB782"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29798</w:t>
            </w:r>
          </w:p>
        </w:tc>
        <w:tc>
          <w:tcPr>
            <w:tcW w:w="1417" w:type="dxa"/>
            <w:shd w:val="clear" w:color="auto" w:fill="auto"/>
            <w:noWrap/>
            <w:vAlign w:val="center"/>
            <w:hideMark/>
          </w:tcPr>
          <w:p w14:paraId="00C8D99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0.16</w:t>
            </w:r>
          </w:p>
        </w:tc>
      </w:tr>
      <w:tr w:rsidR="006B2888" w:rsidRPr="00AE525E" w14:paraId="1C647192" w14:textId="77777777" w:rsidTr="00031031">
        <w:trPr>
          <w:trHeight w:val="349"/>
          <w:jc w:val="center"/>
        </w:trPr>
        <w:tc>
          <w:tcPr>
            <w:tcW w:w="1277" w:type="dxa"/>
            <w:vMerge/>
            <w:tcBorders>
              <w:bottom w:val="single" w:sz="8" w:space="0" w:color="auto"/>
            </w:tcBorders>
            <w:shd w:val="clear" w:color="auto" w:fill="auto"/>
            <w:noWrap/>
            <w:vAlign w:val="center"/>
            <w:hideMark/>
          </w:tcPr>
          <w:p w14:paraId="7BB9FF55"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tcBorders>
              <w:bottom w:val="single" w:sz="8" w:space="0" w:color="auto"/>
            </w:tcBorders>
            <w:shd w:val="clear" w:color="auto" w:fill="auto"/>
            <w:noWrap/>
            <w:vAlign w:val="center"/>
            <w:hideMark/>
          </w:tcPr>
          <w:p w14:paraId="29856930"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73</w:t>
            </w:r>
          </w:p>
        </w:tc>
        <w:tc>
          <w:tcPr>
            <w:tcW w:w="1275" w:type="dxa"/>
            <w:tcBorders>
              <w:bottom w:val="single" w:sz="8" w:space="0" w:color="auto"/>
            </w:tcBorders>
            <w:shd w:val="clear" w:color="auto" w:fill="auto"/>
            <w:noWrap/>
            <w:vAlign w:val="center"/>
            <w:hideMark/>
          </w:tcPr>
          <w:p w14:paraId="7E2117B2"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0.75</w:t>
            </w:r>
          </w:p>
        </w:tc>
        <w:tc>
          <w:tcPr>
            <w:tcW w:w="1276" w:type="dxa"/>
            <w:tcBorders>
              <w:bottom w:val="single" w:sz="8" w:space="0" w:color="auto"/>
            </w:tcBorders>
            <w:shd w:val="clear" w:color="auto" w:fill="auto"/>
            <w:noWrap/>
            <w:vAlign w:val="center"/>
            <w:hideMark/>
          </w:tcPr>
          <w:p w14:paraId="56970FE2"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10</w:t>
            </w:r>
          </w:p>
        </w:tc>
        <w:tc>
          <w:tcPr>
            <w:tcW w:w="992" w:type="dxa"/>
            <w:tcBorders>
              <w:bottom w:val="single" w:sz="8" w:space="0" w:color="auto"/>
            </w:tcBorders>
            <w:shd w:val="clear" w:color="auto" w:fill="auto"/>
            <w:noWrap/>
            <w:vAlign w:val="center"/>
            <w:hideMark/>
          </w:tcPr>
          <w:p w14:paraId="7C4933A1"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40210</w:t>
            </w:r>
          </w:p>
        </w:tc>
        <w:tc>
          <w:tcPr>
            <w:tcW w:w="993" w:type="dxa"/>
            <w:tcBorders>
              <w:bottom w:val="single" w:sz="8" w:space="0" w:color="auto"/>
            </w:tcBorders>
            <w:shd w:val="clear" w:color="auto" w:fill="auto"/>
            <w:noWrap/>
            <w:vAlign w:val="center"/>
            <w:hideMark/>
          </w:tcPr>
          <w:p w14:paraId="1F4EA239"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29798</w:t>
            </w:r>
          </w:p>
        </w:tc>
        <w:tc>
          <w:tcPr>
            <w:tcW w:w="1417" w:type="dxa"/>
            <w:tcBorders>
              <w:bottom w:val="single" w:sz="8" w:space="0" w:color="auto"/>
            </w:tcBorders>
            <w:shd w:val="clear" w:color="auto" w:fill="auto"/>
            <w:noWrap/>
            <w:vAlign w:val="center"/>
            <w:hideMark/>
          </w:tcPr>
          <w:p w14:paraId="26B22C91"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0.1</w:t>
            </w:r>
          </w:p>
        </w:tc>
      </w:tr>
      <w:tr w:rsidR="006B2888" w:rsidRPr="00AE525E" w14:paraId="15DCAD16" w14:textId="77777777" w:rsidTr="00031031">
        <w:trPr>
          <w:trHeight w:val="343"/>
          <w:jc w:val="center"/>
        </w:trPr>
        <w:tc>
          <w:tcPr>
            <w:tcW w:w="1277" w:type="dxa"/>
            <w:vMerge w:val="restart"/>
            <w:tcBorders>
              <w:top w:val="single" w:sz="8" w:space="0" w:color="auto"/>
            </w:tcBorders>
            <w:shd w:val="clear" w:color="auto" w:fill="auto"/>
            <w:noWrap/>
            <w:vAlign w:val="center"/>
            <w:hideMark/>
          </w:tcPr>
          <w:p w14:paraId="5465BF09"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p9r60</w:t>
            </w:r>
          </w:p>
        </w:tc>
        <w:tc>
          <w:tcPr>
            <w:tcW w:w="1134" w:type="dxa"/>
            <w:tcBorders>
              <w:top w:val="single" w:sz="8" w:space="0" w:color="auto"/>
            </w:tcBorders>
            <w:shd w:val="clear" w:color="auto" w:fill="auto"/>
            <w:noWrap/>
            <w:vAlign w:val="center"/>
            <w:hideMark/>
          </w:tcPr>
          <w:p w14:paraId="5E5EA3AB"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178</w:t>
            </w:r>
          </w:p>
        </w:tc>
        <w:tc>
          <w:tcPr>
            <w:tcW w:w="1275" w:type="dxa"/>
            <w:tcBorders>
              <w:top w:val="single" w:sz="8" w:space="0" w:color="auto"/>
            </w:tcBorders>
            <w:shd w:val="clear" w:color="auto" w:fill="auto"/>
            <w:noWrap/>
            <w:vAlign w:val="center"/>
            <w:hideMark/>
          </w:tcPr>
          <w:p w14:paraId="6FB9CA6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w:t>
            </w:r>
          </w:p>
        </w:tc>
        <w:tc>
          <w:tcPr>
            <w:tcW w:w="1276" w:type="dxa"/>
            <w:tcBorders>
              <w:top w:val="single" w:sz="8" w:space="0" w:color="auto"/>
            </w:tcBorders>
            <w:shd w:val="clear" w:color="auto" w:fill="auto"/>
            <w:noWrap/>
            <w:vAlign w:val="center"/>
            <w:hideMark/>
          </w:tcPr>
          <w:p w14:paraId="4597F311"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15</w:t>
            </w:r>
          </w:p>
        </w:tc>
        <w:tc>
          <w:tcPr>
            <w:tcW w:w="992" w:type="dxa"/>
            <w:tcBorders>
              <w:top w:val="single" w:sz="8" w:space="0" w:color="auto"/>
            </w:tcBorders>
            <w:shd w:val="clear" w:color="auto" w:fill="auto"/>
            <w:noWrap/>
            <w:vAlign w:val="center"/>
            <w:hideMark/>
          </w:tcPr>
          <w:p w14:paraId="7154BEF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30138</w:t>
            </w:r>
          </w:p>
        </w:tc>
        <w:tc>
          <w:tcPr>
            <w:tcW w:w="993" w:type="dxa"/>
            <w:tcBorders>
              <w:top w:val="single" w:sz="8" w:space="0" w:color="auto"/>
            </w:tcBorders>
            <w:shd w:val="clear" w:color="auto" w:fill="auto"/>
            <w:noWrap/>
            <w:vAlign w:val="center"/>
            <w:hideMark/>
          </w:tcPr>
          <w:p w14:paraId="5B30251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21850</w:t>
            </w:r>
          </w:p>
        </w:tc>
        <w:tc>
          <w:tcPr>
            <w:tcW w:w="1417" w:type="dxa"/>
            <w:tcBorders>
              <w:top w:val="single" w:sz="8" w:space="0" w:color="auto"/>
            </w:tcBorders>
            <w:shd w:val="clear" w:color="auto" w:fill="auto"/>
            <w:noWrap/>
            <w:vAlign w:val="center"/>
            <w:hideMark/>
          </w:tcPr>
          <w:p w14:paraId="610B9EEC"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0.56</w:t>
            </w:r>
          </w:p>
        </w:tc>
      </w:tr>
      <w:tr w:rsidR="006B2888" w:rsidRPr="00AE525E" w14:paraId="21978D65" w14:textId="77777777" w:rsidTr="00031031">
        <w:trPr>
          <w:trHeight w:val="320"/>
          <w:jc w:val="center"/>
        </w:trPr>
        <w:tc>
          <w:tcPr>
            <w:tcW w:w="1277" w:type="dxa"/>
            <w:vMerge/>
            <w:shd w:val="clear" w:color="auto" w:fill="auto"/>
            <w:noWrap/>
            <w:vAlign w:val="center"/>
            <w:hideMark/>
          </w:tcPr>
          <w:p w14:paraId="4DE8E74E"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7AFE6BA8"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136</w:t>
            </w:r>
          </w:p>
        </w:tc>
        <w:tc>
          <w:tcPr>
            <w:tcW w:w="1275" w:type="dxa"/>
            <w:shd w:val="clear" w:color="auto" w:fill="auto"/>
            <w:noWrap/>
            <w:vAlign w:val="center"/>
            <w:hideMark/>
          </w:tcPr>
          <w:p w14:paraId="0D750173"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0.05</w:t>
            </w:r>
          </w:p>
        </w:tc>
        <w:tc>
          <w:tcPr>
            <w:tcW w:w="1276" w:type="dxa"/>
            <w:shd w:val="clear" w:color="auto" w:fill="auto"/>
            <w:noWrap/>
            <w:vAlign w:val="center"/>
            <w:hideMark/>
          </w:tcPr>
          <w:p w14:paraId="5CC53E2A"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14</w:t>
            </w:r>
          </w:p>
        </w:tc>
        <w:tc>
          <w:tcPr>
            <w:tcW w:w="992" w:type="dxa"/>
            <w:shd w:val="clear" w:color="auto" w:fill="auto"/>
            <w:noWrap/>
            <w:vAlign w:val="center"/>
            <w:hideMark/>
          </w:tcPr>
          <w:p w14:paraId="15EEC39A"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30138</w:t>
            </w:r>
          </w:p>
        </w:tc>
        <w:tc>
          <w:tcPr>
            <w:tcW w:w="993" w:type="dxa"/>
            <w:shd w:val="clear" w:color="auto" w:fill="auto"/>
            <w:noWrap/>
            <w:vAlign w:val="center"/>
            <w:hideMark/>
          </w:tcPr>
          <w:p w14:paraId="03D2A578"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21850</w:t>
            </w:r>
          </w:p>
        </w:tc>
        <w:tc>
          <w:tcPr>
            <w:tcW w:w="1417" w:type="dxa"/>
            <w:shd w:val="clear" w:color="auto" w:fill="auto"/>
            <w:noWrap/>
            <w:vAlign w:val="center"/>
            <w:hideMark/>
          </w:tcPr>
          <w:p w14:paraId="43229AC0"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0.43</w:t>
            </w:r>
          </w:p>
        </w:tc>
      </w:tr>
      <w:tr w:rsidR="006B2888" w:rsidRPr="00AE525E" w14:paraId="036177B7" w14:textId="77777777" w:rsidTr="00031031">
        <w:trPr>
          <w:trHeight w:val="320"/>
          <w:jc w:val="center"/>
        </w:trPr>
        <w:tc>
          <w:tcPr>
            <w:tcW w:w="1277" w:type="dxa"/>
            <w:vMerge/>
            <w:shd w:val="clear" w:color="auto" w:fill="auto"/>
            <w:noWrap/>
            <w:vAlign w:val="center"/>
            <w:hideMark/>
          </w:tcPr>
          <w:p w14:paraId="4E1826C5"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0F942D8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97</w:t>
            </w:r>
          </w:p>
        </w:tc>
        <w:tc>
          <w:tcPr>
            <w:tcW w:w="1275" w:type="dxa"/>
            <w:shd w:val="clear" w:color="auto" w:fill="auto"/>
            <w:noWrap/>
            <w:vAlign w:val="center"/>
            <w:hideMark/>
          </w:tcPr>
          <w:p w14:paraId="42A48032"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0.25</w:t>
            </w:r>
          </w:p>
        </w:tc>
        <w:tc>
          <w:tcPr>
            <w:tcW w:w="1276" w:type="dxa"/>
            <w:shd w:val="clear" w:color="auto" w:fill="auto"/>
            <w:noWrap/>
            <w:vAlign w:val="center"/>
            <w:hideMark/>
          </w:tcPr>
          <w:p w14:paraId="3BD6CF50"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11</w:t>
            </w:r>
          </w:p>
        </w:tc>
        <w:tc>
          <w:tcPr>
            <w:tcW w:w="992" w:type="dxa"/>
            <w:shd w:val="clear" w:color="auto" w:fill="auto"/>
            <w:noWrap/>
            <w:vAlign w:val="center"/>
            <w:hideMark/>
          </w:tcPr>
          <w:p w14:paraId="3ADBFF0A"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30138</w:t>
            </w:r>
          </w:p>
        </w:tc>
        <w:tc>
          <w:tcPr>
            <w:tcW w:w="993" w:type="dxa"/>
            <w:shd w:val="clear" w:color="auto" w:fill="auto"/>
            <w:noWrap/>
            <w:vAlign w:val="center"/>
            <w:hideMark/>
          </w:tcPr>
          <w:p w14:paraId="24D3E758"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21850</w:t>
            </w:r>
          </w:p>
        </w:tc>
        <w:tc>
          <w:tcPr>
            <w:tcW w:w="1417" w:type="dxa"/>
            <w:shd w:val="clear" w:color="auto" w:fill="auto"/>
            <w:noWrap/>
            <w:vAlign w:val="center"/>
            <w:hideMark/>
          </w:tcPr>
          <w:p w14:paraId="705EE419"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0.25</w:t>
            </w:r>
          </w:p>
        </w:tc>
      </w:tr>
      <w:tr w:rsidR="006B2888" w:rsidRPr="00AE525E" w14:paraId="339454A8" w14:textId="77777777" w:rsidTr="00031031">
        <w:trPr>
          <w:trHeight w:val="320"/>
          <w:jc w:val="center"/>
        </w:trPr>
        <w:tc>
          <w:tcPr>
            <w:tcW w:w="1277" w:type="dxa"/>
            <w:vMerge/>
            <w:shd w:val="clear" w:color="auto" w:fill="auto"/>
            <w:noWrap/>
            <w:vAlign w:val="center"/>
            <w:hideMark/>
          </w:tcPr>
          <w:p w14:paraId="4D3A58DC"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526FBE4C"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76</w:t>
            </w:r>
          </w:p>
        </w:tc>
        <w:tc>
          <w:tcPr>
            <w:tcW w:w="1275" w:type="dxa"/>
            <w:shd w:val="clear" w:color="auto" w:fill="auto"/>
            <w:noWrap/>
            <w:vAlign w:val="center"/>
            <w:hideMark/>
          </w:tcPr>
          <w:p w14:paraId="23E4434D"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0.5</w:t>
            </w:r>
          </w:p>
        </w:tc>
        <w:tc>
          <w:tcPr>
            <w:tcW w:w="1276" w:type="dxa"/>
            <w:shd w:val="clear" w:color="auto" w:fill="auto"/>
            <w:noWrap/>
            <w:vAlign w:val="center"/>
            <w:hideMark/>
          </w:tcPr>
          <w:p w14:paraId="06F6A4B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9</w:t>
            </w:r>
          </w:p>
        </w:tc>
        <w:tc>
          <w:tcPr>
            <w:tcW w:w="992" w:type="dxa"/>
            <w:shd w:val="clear" w:color="auto" w:fill="auto"/>
            <w:noWrap/>
            <w:vAlign w:val="center"/>
            <w:hideMark/>
          </w:tcPr>
          <w:p w14:paraId="3F199563"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30138</w:t>
            </w:r>
          </w:p>
        </w:tc>
        <w:tc>
          <w:tcPr>
            <w:tcW w:w="993" w:type="dxa"/>
            <w:shd w:val="clear" w:color="auto" w:fill="auto"/>
            <w:noWrap/>
            <w:vAlign w:val="center"/>
            <w:hideMark/>
          </w:tcPr>
          <w:p w14:paraId="5384C471"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21850</w:t>
            </w:r>
          </w:p>
        </w:tc>
        <w:tc>
          <w:tcPr>
            <w:tcW w:w="1417" w:type="dxa"/>
            <w:shd w:val="clear" w:color="auto" w:fill="auto"/>
            <w:noWrap/>
            <w:vAlign w:val="center"/>
            <w:hideMark/>
          </w:tcPr>
          <w:p w14:paraId="2770F5D9"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0.13</w:t>
            </w:r>
          </w:p>
        </w:tc>
      </w:tr>
      <w:tr w:rsidR="006B2888" w:rsidRPr="00AE525E" w14:paraId="28881B51" w14:textId="77777777" w:rsidTr="00031031">
        <w:trPr>
          <w:trHeight w:val="320"/>
          <w:jc w:val="center"/>
        </w:trPr>
        <w:tc>
          <w:tcPr>
            <w:tcW w:w="1277" w:type="dxa"/>
            <w:vMerge/>
            <w:tcBorders>
              <w:bottom w:val="single" w:sz="8" w:space="0" w:color="auto"/>
            </w:tcBorders>
            <w:shd w:val="clear" w:color="auto" w:fill="auto"/>
            <w:noWrap/>
            <w:vAlign w:val="center"/>
            <w:hideMark/>
          </w:tcPr>
          <w:p w14:paraId="5C808E2A"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tcBorders>
              <w:bottom w:val="single" w:sz="8" w:space="0" w:color="auto"/>
            </w:tcBorders>
            <w:shd w:val="clear" w:color="auto" w:fill="auto"/>
            <w:noWrap/>
            <w:vAlign w:val="center"/>
            <w:hideMark/>
          </w:tcPr>
          <w:p w14:paraId="4ADAD8FE"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67</w:t>
            </w:r>
          </w:p>
        </w:tc>
        <w:tc>
          <w:tcPr>
            <w:tcW w:w="1275" w:type="dxa"/>
            <w:tcBorders>
              <w:bottom w:val="single" w:sz="8" w:space="0" w:color="auto"/>
            </w:tcBorders>
            <w:shd w:val="clear" w:color="auto" w:fill="auto"/>
            <w:noWrap/>
            <w:vAlign w:val="center"/>
            <w:hideMark/>
          </w:tcPr>
          <w:p w14:paraId="48C36C27"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0.75</w:t>
            </w:r>
          </w:p>
        </w:tc>
        <w:tc>
          <w:tcPr>
            <w:tcW w:w="1276" w:type="dxa"/>
            <w:tcBorders>
              <w:bottom w:val="single" w:sz="8" w:space="0" w:color="auto"/>
            </w:tcBorders>
            <w:shd w:val="clear" w:color="auto" w:fill="auto"/>
            <w:noWrap/>
            <w:vAlign w:val="center"/>
            <w:hideMark/>
          </w:tcPr>
          <w:p w14:paraId="0C18F2E1"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9</w:t>
            </w:r>
          </w:p>
        </w:tc>
        <w:tc>
          <w:tcPr>
            <w:tcW w:w="992" w:type="dxa"/>
            <w:tcBorders>
              <w:bottom w:val="single" w:sz="8" w:space="0" w:color="auto"/>
            </w:tcBorders>
            <w:shd w:val="clear" w:color="auto" w:fill="auto"/>
            <w:noWrap/>
            <w:vAlign w:val="center"/>
            <w:hideMark/>
          </w:tcPr>
          <w:p w14:paraId="342A6BFE"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30138</w:t>
            </w:r>
          </w:p>
        </w:tc>
        <w:tc>
          <w:tcPr>
            <w:tcW w:w="993" w:type="dxa"/>
            <w:tcBorders>
              <w:bottom w:val="single" w:sz="8" w:space="0" w:color="auto"/>
            </w:tcBorders>
            <w:shd w:val="clear" w:color="auto" w:fill="auto"/>
            <w:noWrap/>
            <w:vAlign w:val="center"/>
            <w:hideMark/>
          </w:tcPr>
          <w:p w14:paraId="5A7DC956"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21850</w:t>
            </w:r>
          </w:p>
        </w:tc>
        <w:tc>
          <w:tcPr>
            <w:tcW w:w="1417" w:type="dxa"/>
            <w:tcBorders>
              <w:bottom w:val="single" w:sz="8" w:space="0" w:color="auto"/>
            </w:tcBorders>
            <w:shd w:val="clear" w:color="auto" w:fill="auto"/>
            <w:noWrap/>
            <w:vAlign w:val="center"/>
            <w:hideMark/>
          </w:tcPr>
          <w:p w14:paraId="26A1CED2"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0.1</w:t>
            </w:r>
          </w:p>
        </w:tc>
      </w:tr>
      <w:tr w:rsidR="006B2888" w:rsidRPr="00AE525E" w14:paraId="79F359BF" w14:textId="77777777" w:rsidTr="00031031">
        <w:trPr>
          <w:trHeight w:val="320"/>
          <w:jc w:val="center"/>
        </w:trPr>
        <w:tc>
          <w:tcPr>
            <w:tcW w:w="1277" w:type="dxa"/>
            <w:vMerge w:val="restart"/>
            <w:tcBorders>
              <w:top w:val="single" w:sz="8" w:space="0" w:color="auto"/>
            </w:tcBorders>
            <w:shd w:val="clear" w:color="auto" w:fill="auto"/>
            <w:noWrap/>
            <w:vAlign w:val="center"/>
            <w:hideMark/>
          </w:tcPr>
          <w:p w14:paraId="088CC1C7"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p8r60</w:t>
            </w:r>
          </w:p>
        </w:tc>
        <w:tc>
          <w:tcPr>
            <w:tcW w:w="1134" w:type="dxa"/>
            <w:tcBorders>
              <w:top w:val="single" w:sz="8" w:space="0" w:color="auto"/>
            </w:tcBorders>
            <w:shd w:val="clear" w:color="auto" w:fill="auto"/>
            <w:noWrap/>
            <w:vAlign w:val="center"/>
            <w:hideMark/>
          </w:tcPr>
          <w:p w14:paraId="1AF2B07C"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178</w:t>
            </w:r>
          </w:p>
        </w:tc>
        <w:tc>
          <w:tcPr>
            <w:tcW w:w="1275" w:type="dxa"/>
            <w:tcBorders>
              <w:top w:val="single" w:sz="8" w:space="0" w:color="auto"/>
            </w:tcBorders>
            <w:shd w:val="clear" w:color="auto" w:fill="auto"/>
            <w:noWrap/>
            <w:vAlign w:val="center"/>
            <w:hideMark/>
          </w:tcPr>
          <w:p w14:paraId="6B693992"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w:t>
            </w:r>
          </w:p>
        </w:tc>
        <w:tc>
          <w:tcPr>
            <w:tcW w:w="1276" w:type="dxa"/>
            <w:tcBorders>
              <w:top w:val="single" w:sz="8" w:space="0" w:color="auto"/>
            </w:tcBorders>
            <w:shd w:val="clear" w:color="auto" w:fill="auto"/>
            <w:noWrap/>
            <w:vAlign w:val="center"/>
            <w:hideMark/>
          </w:tcPr>
          <w:p w14:paraId="3ED27C8B"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15</w:t>
            </w:r>
          </w:p>
        </w:tc>
        <w:tc>
          <w:tcPr>
            <w:tcW w:w="992" w:type="dxa"/>
            <w:tcBorders>
              <w:top w:val="single" w:sz="8" w:space="0" w:color="auto"/>
            </w:tcBorders>
            <w:shd w:val="clear" w:color="auto" w:fill="auto"/>
            <w:noWrap/>
            <w:vAlign w:val="center"/>
            <w:hideMark/>
          </w:tcPr>
          <w:p w14:paraId="2C00A68E"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55795</w:t>
            </w:r>
          </w:p>
        </w:tc>
        <w:tc>
          <w:tcPr>
            <w:tcW w:w="993" w:type="dxa"/>
            <w:tcBorders>
              <w:top w:val="single" w:sz="8" w:space="0" w:color="auto"/>
            </w:tcBorders>
            <w:shd w:val="clear" w:color="auto" w:fill="auto"/>
            <w:noWrap/>
            <w:vAlign w:val="center"/>
            <w:hideMark/>
          </w:tcPr>
          <w:p w14:paraId="3002690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42406</w:t>
            </w:r>
          </w:p>
        </w:tc>
        <w:tc>
          <w:tcPr>
            <w:tcW w:w="1417" w:type="dxa"/>
            <w:tcBorders>
              <w:top w:val="single" w:sz="8" w:space="0" w:color="auto"/>
            </w:tcBorders>
            <w:shd w:val="clear" w:color="auto" w:fill="auto"/>
            <w:noWrap/>
            <w:vAlign w:val="center"/>
            <w:hideMark/>
          </w:tcPr>
          <w:p w14:paraId="67852543"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0.61</w:t>
            </w:r>
          </w:p>
        </w:tc>
      </w:tr>
      <w:tr w:rsidR="006B2888" w:rsidRPr="00AE525E" w14:paraId="78B5A71D" w14:textId="77777777" w:rsidTr="00031031">
        <w:trPr>
          <w:trHeight w:val="320"/>
          <w:jc w:val="center"/>
        </w:trPr>
        <w:tc>
          <w:tcPr>
            <w:tcW w:w="1277" w:type="dxa"/>
            <w:vMerge/>
            <w:shd w:val="clear" w:color="auto" w:fill="auto"/>
            <w:noWrap/>
            <w:vAlign w:val="center"/>
            <w:hideMark/>
          </w:tcPr>
          <w:p w14:paraId="07C6EF7F"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75DE9F65"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125</w:t>
            </w:r>
          </w:p>
        </w:tc>
        <w:tc>
          <w:tcPr>
            <w:tcW w:w="1275" w:type="dxa"/>
            <w:shd w:val="clear" w:color="auto" w:fill="auto"/>
            <w:noWrap/>
            <w:vAlign w:val="center"/>
            <w:hideMark/>
          </w:tcPr>
          <w:p w14:paraId="7895D1BC"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0.05</w:t>
            </w:r>
          </w:p>
        </w:tc>
        <w:tc>
          <w:tcPr>
            <w:tcW w:w="1276" w:type="dxa"/>
            <w:shd w:val="clear" w:color="auto" w:fill="auto"/>
            <w:noWrap/>
            <w:vAlign w:val="center"/>
            <w:hideMark/>
          </w:tcPr>
          <w:p w14:paraId="269C16CE"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13</w:t>
            </w:r>
          </w:p>
        </w:tc>
        <w:tc>
          <w:tcPr>
            <w:tcW w:w="992" w:type="dxa"/>
            <w:shd w:val="clear" w:color="auto" w:fill="auto"/>
            <w:noWrap/>
            <w:vAlign w:val="center"/>
            <w:hideMark/>
          </w:tcPr>
          <w:p w14:paraId="4D2399E7"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55795</w:t>
            </w:r>
          </w:p>
        </w:tc>
        <w:tc>
          <w:tcPr>
            <w:tcW w:w="993" w:type="dxa"/>
            <w:shd w:val="clear" w:color="auto" w:fill="auto"/>
            <w:noWrap/>
            <w:vAlign w:val="center"/>
            <w:hideMark/>
          </w:tcPr>
          <w:p w14:paraId="69D40E2E"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42406</w:t>
            </w:r>
          </w:p>
        </w:tc>
        <w:tc>
          <w:tcPr>
            <w:tcW w:w="1417" w:type="dxa"/>
            <w:shd w:val="clear" w:color="auto" w:fill="auto"/>
            <w:noWrap/>
            <w:vAlign w:val="center"/>
            <w:hideMark/>
          </w:tcPr>
          <w:p w14:paraId="0730DDB2"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0.46</w:t>
            </w:r>
          </w:p>
        </w:tc>
      </w:tr>
      <w:tr w:rsidR="006B2888" w:rsidRPr="00AE525E" w14:paraId="00D701D4" w14:textId="77777777" w:rsidTr="00031031">
        <w:trPr>
          <w:trHeight w:val="320"/>
          <w:jc w:val="center"/>
        </w:trPr>
        <w:tc>
          <w:tcPr>
            <w:tcW w:w="1277" w:type="dxa"/>
            <w:vMerge/>
            <w:shd w:val="clear" w:color="auto" w:fill="auto"/>
            <w:noWrap/>
            <w:vAlign w:val="center"/>
            <w:hideMark/>
          </w:tcPr>
          <w:p w14:paraId="6BD8FF3D"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7EC4C32A"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81</w:t>
            </w:r>
          </w:p>
        </w:tc>
        <w:tc>
          <w:tcPr>
            <w:tcW w:w="1275" w:type="dxa"/>
            <w:shd w:val="clear" w:color="auto" w:fill="auto"/>
            <w:noWrap/>
            <w:vAlign w:val="center"/>
            <w:hideMark/>
          </w:tcPr>
          <w:p w14:paraId="5D8013C6"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0.25</w:t>
            </w:r>
          </w:p>
        </w:tc>
        <w:tc>
          <w:tcPr>
            <w:tcW w:w="1276" w:type="dxa"/>
            <w:shd w:val="clear" w:color="auto" w:fill="auto"/>
            <w:noWrap/>
            <w:vAlign w:val="center"/>
            <w:hideMark/>
          </w:tcPr>
          <w:p w14:paraId="158373F7"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9</w:t>
            </w:r>
          </w:p>
        </w:tc>
        <w:tc>
          <w:tcPr>
            <w:tcW w:w="992" w:type="dxa"/>
            <w:shd w:val="clear" w:color="auto" w:fill="auto"/>
            <w:noWrap/>
            <w:vAlign w:val="center"/>
            <w:hideMark/>
          </w:tcPr>
          <w:p w14:paraId="6F0486D2"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55795</w:t>
            </w:r>
          </w:p>
        </w:tc>
        <w:tc>
          <w:tcPr>
            <w:tcW w:w="993" w:type="dxa"/>
            <w:shd w:val="clear" w:color="auto" w:fill="auto"/>
            <w:noWrap/>
            <w:vAlign w:val="center"/>
            <w:hideMark/>
          </w:tcPr>
          <w:p w14:paraId="1BB51A0E"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42406</w:t>
            </w:r>
          </w:p>
        </w:tc>
        <w:tc>
          <w:tcPr>
            <w:tcW w:w="1417" w:type="dxa"/>
            <w:shd w:val="clear" w:color="auto" w:fill="auto"/>
            <w:noWrap/>
            <w:vAlign w:val="center"/>
            <w:hideMark/>
          </w:tcPr>
          <w:p w14:paraId="0DB556FE"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0.23</w:t>
            </w:r>
          </w:p>
        </w:tc>
      </w:tr>
      <w:tr w:rsidR="006B2888" w:rsidRPr="00AE525E" w14:paraId="17F7C0A9" w14:textId="77777777" w:rsidTr="00031031">
        <w:trPr>
          <w:trHeight w:val="320"/>
          <w:jc w:val="center"/>
        </w:trPr>
        <w:tc>
          <w:tcPr>
            <w:tcW w:w="1277" w:type="dxa"/>
            <w:vMerge/>
            <w:shd w:val="clear" w:color="auto" w:fill="auto"/>
            <w:noWrap/>
            <w:vAlign w:val="center"/>
            <w:hideMark/>
          </w:tcPr>
          <w:p w14:paraId="536DD44B"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shd w:val="clear" w:color="auto" w:fill="auto"/>
            <w:noWrap/>
            <w:vAlign w:val="center"/>
            <w:hideMark/>
          </w:tcPr>
          <w:p w14:paraId="37761684"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73</w:t>
            </w:r>
          </w:p>
        </w:tc>
        <w:tc>
          <w:tcPr>
            <w:tcW w:w="1275" w:type="dxa"/>
            <w:shd w:val="clear" w:color="auto" w:fill="auto"/>
            <w:noWrap/>
            <w:vAlign w:val="center"/>
            <w:hideMark/>
          </w:tcPr>
          <w:p w14:paraId="484AA004"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0.5</w:t>
            </w:r>
          </w:p>
        </w:tc>
        <w:tc>
          <w:tcPr>
            <w:tcW w:w="1276" w:type="dxa"/>
            <w:shd w:val="clear" w:color="auto" w:fill="auto"/>
            <w:noWrap/>
            <w:vAlign w:val="center"/>
            <w:hideMark/>
          </w:tcPr>
          <w:p w14:paraId="71E9A007"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9</w:t>
            </w:r>
          </w:p>
        </w:tc>
        <w:tc>
          <w:tcPr>
            <w:tcW w:w="992" w:type="dxa"/>
            <w:shd w:val="clear" w:color="auto" w:fill="auto"/>
            <w:noWrap/>
            <w:vAlign w:val="center"/>
            <w:hideMark/>
          </w:tcPr>
          <w:p w14:paraId="2AAD1FEF"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55795</w:t>
            </w:r>
          </w:p>
        </w:tc>
        <w:tc>
          <w:tcPr>
            <w:tcW w:w="993" w:type="dxa"/>
            <w:shd w:val="clear" w:color="auto" w:fill="auto"/>
            <w:noWrap/>
            <w:vAlign w:val="center"/>
            <w:hideMark/>
          </w:tcPr>
          <w:p w14:paraId="4EAEE32C"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42406</w:t>
            </w:r>
          </w:p>
        </w:tc>
        <w:tc>
          <w:tcPr>
            <w:tcW w:w="1417" w:type="dxa"/>
            <w:shd w:val="clear" w:color="auto" w:fill="auto"/>
            <w:noWrap/>
            <w:vAlign w:val="center"/>
            <w:hideMark/>
          </w:tcPr>
          <w:p w14:paraId="264DF68A"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0.1</w:t>
            </w:r>
          </w:p>
        </w:tc>
      </w:tr>
      <w:tr w:rsidR="006B2888" w:rsidRPr="00AE525E" w14:paraId="60D676B4" w14:textId="77777777" w:rsidTr="00031031">
        <w:trPr>
          <w:trHeight w:val="335"/>
          <w:jc w:val="center"/>
        </w:trPr>
        <w:tc>
          <w:tcPr>
            <w:tcW w:w="1277" w:type="dxa"/>
            <w:vMerge/>
            <w:tcBorders>
              <w:bottom w:val="single" w:sz="12" w:space="0" w:color="auto"/>
            </w:tcBorders>
            <w:shd w:val="clear" w:color="auto" w:fill="auto"/>
            <w:noWrap/>
            <w:vAlign w:val="center"/>
            <w:hideMark/>
          </w:tcPr>
          <w:p w14:paraId="16A6D389" w14:textId="77777777" w:rsidR="006B2888" w:rsidRPr="00AE525E" w:rsidRDefault="006B2888" w:rsidP="00031031">
            <w:pPr>
              <w:rPr>
                <w:rFonts w:ascii="Times New Roman" w:eastAsia="Times New Roman" w:hAnsi="Times New Roman" w:cs="Times New Roman"/>
                <w:color w:val="000000"/>
                <w:sz w:val="20"/>
                <w:szCs w:val="20"/>
              </w:rPr>
            </w:pPr>
          </w:p>
        </w:tc>
        <w:tc>
          <w:tcPr>
            <w:tcW w:w="1134" w:type="dxa"/>
            <w:tcBorders>
              <w:bottom w:val="single" w:sz="12" w:space="0" w:color="auto"/>
            </w:tcBorders>
            <w:shd w:val="clear" w:color="auto" w:fill="auto"/>
            <w:noWrap/>
            <w:vAlign w:val="center"/>
            <w:hideMark/>
          </w:tcPr>
          <w:p w14:paraId="190DF4D5"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44</w:t>
            </w:r>
          </w:p>
        </w:tc>
        <w:tc>
          <w:tcPr>
            <w:tcW w:w="1275" w:type="dxa"/>
            <w:tcBorders>
              <w:bottom w:val="single" w:sz="12" w:space="0" w:color="auto"/>
            </w:tcBorders>
            <w:shd w:val="clear" w:color="auto" w:fill="auto"/>
            <w:noWrap/>
            <w:vAlign w:val="center"/>
            <w:hideMark/>
          </w:tcPr>
          <w:p w14:paraId="47763C7C"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0.75</w:t>
            </w:r>
          </w:p>
        </w:tc>
        <w:tc>
          <w:tcPr>
            <w:tcW w:w="1276" w:type="dxa"/>
            <w:tcBorders>
              <w:bottom w:val="single" w:sz="12" w:space="0" w:color="auto"/>
            </w:tcBorders>
            <w:shd w:val="clear" w:color="auto" w:fill="auto"/>
            <w:noWrap/>
            <w:vAlign w:val="center"/>
            <w:hideMark/>
          </w:tcPr>
          <w:p w14:paraId="1DFB483A"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8</w:t>
            </w:r>
          </w:p>
        </w:tc>
        <w:tc>
          <w:tcPr>
            <w:tcW w:w="992" w:type="dxa"/>
            <w:tcBorders>
              <w:bottom w:val="single" w:sz="12" w:space="0" w:color="auto"/>
            </w:tcBorders>
            <w:shd w:val="clear" w:color="auto" w:fill="auto"/>
            <w:noWrap/>
            <w:vAlign w:val="center"/>
            <w:hideMark/>
          </w:tcPr>
          <w:p w14:paraId="4C0E911E"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55795</w:t>
            </w:r>
          </w:p>
        </w:tc>
        <w:tc>
          <w:tcPr>
            <w:tcW w:w="993" w:type="dxa"/>
            <w:tcBorders>
              <w:bottom w:val="single" w:sz="12" w:space="0" w:color="auto"/>
            </w:tcBorders>
            <w:shd w:val="clear" w:color="auto" w:fill="auto"/>
            <w:noWrap/>
            <w:vAlign w:val="center"/>
            <w:hideMark/>
          </w:tcPr>
          <w:p w14:paraId="65E200A4"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42406</w:t>
            </w:r>
          </w:p>
        </w:tc>
        <w:tc>
          <w:tcPr>
            <w:tcW w:w="1417" w:type="dxa"/>
            <w:tcBorders>
              <w:bottom w:val="single" w:sz="12" w:space="0" w:color="auto"/>
            </w:tcBorders>
            <w:shd w:val="clear" w:color="auto" w:fill="auto"/>
            <w:noWrap/>
            <w:vAlign w:val="center"/>
            <w:hideMark/>
          </w:tcPr>
          <w:p w14:paraId="2A3F7E21" w14:textId="77777777" w:rsidR="006B2888" w:rsidRPr="00AE525E" w:rsidRDefault="006B2888" w:rsidP="00031031">
            <w:pPr>
              <w:rPr>
                <w:rFonts w:ascii="Times New Roman" w:eastAsia="Times New Roman" w:hAnsi="Times New Roman" w:cs="Times New Roman"/>
                <w:b/>
                <w:color w:val="000000"/>
                <w:sz w:val="20"/>
                <w:szCs w:val="20"/>
              </w:rPr>
            </w:pPr>
            <w:r w:rsidRPr="00AE525E">
              <w:rPr>
                <w:rFonts w:ascii="Times New Roman" w:eastAsia="Times New Roman" w:hAnsi="Times New Roman" w:cs="Times New Roman"/>
                <w:b/>
                <w:color w:val="000000"/>
                <w:sz w:val="20"/>
                <w:szCs w:val="20"/>
              </w:rPr>
              <w:t>0.09</w:t>
            </w:r>
          </w:p>
        </w:tc>
      </w:tr>
      <w:tr w:rsidR="006B2888" w:rsidRPr="00AE525E" w14:paraId="4990D3E8" w14:textId="77777777" w:rsidTr="00031031">
        <w:trPr>
          <w:trHeight w:val="710"/>
          <w:jc w:val="center"/>
        </w:trPr>
        <w:tc>
          <w:tcPr>
            <w:tcW w:w="8364" w:type="dxa"/>
            <w:gridSpan w:val="7"/>
            <w:tcBorders>
              <w:top w:val="single" w:sz="12" w:space="0" w:color="auto"/>
            </w:tcBorders>
            <w:shd w:val="clear" w:color="auto" w:fill="auto"/>
            <w:noWrap/>
            <w:vAlign w:val="center"/>
          </w:tcPr>
          <w:p w14:paraId="1E94B281" w14:textId="77777777" w:rsidR="006B2888" w:rsidRPr="00AE525E" w:rsidRDefault="006B2888"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i/>
                <w:color w:val="000000"/>
                <w:sz w:val="20"/>
                <w:szCs w:val="20"/>
              </w:rPr>
              <w:t>p</w:t>
            </w:r>
            <w:r w:rsidRPr="00AE525E">
              <w:rPr>
                <w:rFonts w:ascii="Times New Roman" w:eastAsia="Times New Roman" w:hAnsi="Times New Roman" w:cs="Times New Roman"/>
                <w:color w:val="000000"/>
                <w:sz w:val="20"/>
                <w:szCs w:val="20"/>
              </w:rPr>
              <w:t xml:space="preserve"> denotes the minimum number of populations where each locus must be present in order to be selected; </w:t>
            </w:r>
            <w:r w:rsidRPr="00AE525E">
              <w:rPr>
                <w:rFonts w:ascii="Times New Roman" w:eastAsia="Times New Roman" w:hAnsi="Times New Roman" w:cs="Times New Roman"/>
                <w:i/>
                <w:color w:val="000000"/>
                <w:sz w:val="20"/>
                <w:szCs w:val="20"/>
              </w:rPr>
              <w:t>r</w:t>
            </w:r>
            <w:r w:rsidRPr="00AE525E">
              <w:rPr>
                <w:rFonts w:ascii="Times New Roman" w:eastAsia="Times New Roman" w:hAnsi="Times New Roman" w:cs="Times New Roman"/>
                <w:color w:val="000000"/>
                <w:sz w:val="20"/>
                <w:szCs w:val="20"/>
              </w:rPr>
              <w:t xml:space="preserve"> denotes the minimum </w:t>
            </w:r>
            <w:r w:rsidRPr="00AE525E">
              <w:rPr>
                <w:rFonts w:ascii="Times New Roman" w:eastAsia="Times New Roman" w:hAnsi="Times New Roman" w:cs="Times New Roman"/>
                <w:color w:val="000000" w:themeColor="text1"/>
                <w:sz w:val="20"/>
                <w:szCs w:val="20"/>
              </w:rPr>
              <w:t>percentage</w:t>
            </w:r>
            <w:r w:rsidRPr="00AE525E">
              <w:rPr>
                <w:rFonts w:ascii="Times New Roman" w:eastAsia="Times New Roman" w:hAnsi="Times New Roman" w:cs="Times New Roman"/>
                <w:color w:val="000000"/>
                <w:sz w:val="20"/>
                <w:szCs w:val="20"/>
              </w:rPr>
              <w:t xml:space="preserve"> of individuals within a population where a locus must be present to be selected. *final selected matrixes used in downstream analyses.</w:t>
            </w:r>
          </w:p>
        </w:tc>
      </w:tr>
    </w:tbl>
    <w:p w14:paraId="6C545EAE" w14:textId="77777777" w:rsidR="00AE525E" w:rsidRPr="00AE525E" w:rsidRDefault="00AE525E" w:rsidP="00AE525E">
      <w:pPr>
        <w:rPr>
          <w:rFonts w:ascii="Times New Roman" w:hAnsi="Times New Roman" w:cs="Times New Roman"/>
          <w:b/>
        </w:rPr>
      </w:pPr>
    </w:p>
    <w:p w14:paraId="76CF3D1C" w14:textId="77777777" w:rsidR="00AE525E" w:rsidRPr="00AE525E" w:rsidRDefault="00AE525E" w:rsidP="00AE525E">
      <w:pPr>
        <w:rPr>
          <w:rFonts w:ascii="Times New Roman" w:hAnsi="Times New Roman" w:cs="Times New Roman"/>
          <w:b/>
        </w:rPr>
      </w:pPr>
    </w:p>
    <w:p w14:paraId="07684CD8" w14:textId="77777777" w:rsidR="00AE525E" w:rsidRPr="00AE525E" w:rsidRDefault="00AE525E" w:rsidP="00AE525E">
      <w:pPr>
        <w:rPr>
          <w:rFonts w:ascii="Times New Roman" w:hAnsi="Times New Roman" w:cs="Times New Roman"/>
          <w:b/>
        </w:rPr>
      </w:pPr>
    </w:p>
    <w:p w14:paraId="47589CB6" w14:textId="700136D2" w:rsidR="00AE525E" w:rsidRPr="006B2888" w:rsidRDefault="006B2888" w:rsidP="006B2888">
      <w:pPr>
        <w:jc w:val="both"/>
        <w:rPr>
          <w:rFonts w:ascii="Times New Roman" w:hAnsi="Times New Roman" w:cs="Times New Roman"/>
          <w:b/>
          <w:sz w:val="24"/>
          <w:szCs w:val="24"/>
        </w:rPr>
      </w:pPr>
      <w:r w:rsidRPr="006B2888">
        <w:rPr>
          <w:rFonts w:ascii="Times New Roman" w:eastAsia="Times New Roman" w:hAnsi="Times New Roman" w:cs="Times New Roman"/>
          <w:b/>
          <w:color w:val="000000" w:themeColor="text1"/>
          <w:sz w:val="24"/>
          <w:szCs w:val="24"/>
        </w:rPr>
        <w:lastRenderedPageBreak/>
        <w:t xml:space="preserve">Table S5. Results of Bayes factor delimitation (BFD*) analyses for WA red snappers using three SNP datasets. </w:t>
      </w:r>
      <w:r w:rsidRPr="006B2888">
        <w:rPr>
          <w:rFonts w:ascii="Times New Roman" w:eastAsia="Times New Roman" w:hAnsi="Times New Roman" w:cs="Times New Roman"/>
          <w:color w:val="000000" w:themeColor="text1"/>
          <w:sz w:val="24"/>
          <w:szCs w:val="24"/>
        </w:rPr>
        <w:t xml:space="preserve">BF values were estimated with three subsets assembled from 12 populations (filtered from the </w:t>
      </w:r>
      <w:r w:rsidRPr="006B2888">
        <w:rPr>
          <w:rFonts w:ascii="Times New Roman" w:hAnsi="Times New Roman" w:cs="Times New Roman"/>
          <w:color w:val="000000" w:themeColor="text1"/>
          <w:sz w:val="24"/>
          <w:szCs w:val="24"/>
        </w:rPr>
        <w:t>p12r50 dataset)</w:t>
      </w:r>
      <w:r w:rsidRPr="006B2888">
        <w:rPr>
          <w:rFonts w:ascii="Times New Roman" w:eastAsia="Times New Roman" w:hAnsi="Times New Roman" w:cs="Times New Roman"/>
          <w:color w:val="000000" w:themeColor="text1"/>
          <w:sz w:val="24"/>
          <w:szCs w:val="24"/>
        </w:rPr>
        <w:t xml:space="preserve">. Positive BF values (calculated as 2 x (MLE of base model - MLE of alternative model)) indicate in all cases overwhelming support in favor of the traditional, two-species delimitation (base) model (BF scale: 0 &lt; BF &lt; 2, non-significant; 2 &lt; BF &lt; 6, positive evidence; 6 &lt; BF &lt; 10, strong support; BF &gt; 10, decisive support; </w:t>
      </w:r>
      <w:r w:rsidRPr="006B2888">
        <w:rPr>
          <w:rFonts w:ascii="Times New Roman" w:eastAsia="Times New Roman" w:hAnsi="Times New Roman" w:cs="Times New Roman"/>
          <w:color w:val="000000" w:themeColor="text1"/>
          <w:sz w:val="24"/>
          <w:szCs w:val="24"/>
        </w:rPr>
        <w:fldChar w:fldCharType="begin" w:fldLock="1"/>
      </w:r>
      <w:r w:rsidRPr="006B2888">
        <w:rPr>
          <w:rFonts w:ascii="Times New Roman" w:eastAsia="Times New Roman" w:hAnsi="Times New Roman" w:cs="Times New Roman"/>
          <w:color w:val="000000" w:themeColor="text1"/>
          <w:sz w:val="24"/>
          <w:szCs w:val="24"/>
        </w:rPr>
        <w:instrText>ADDIN CSL_CITATION {"citationItems":[{"id":"ITEM-1","itemData":{"author":[{"dropping-particle":"","family":"Kass","given":"Robert E","non-dropping-particle":"","parse-names":false,"suffix":""},{"dropping-particle":"","family":"Raftery","given":"Adrian E","non-dropping-particle":"","parse-names":false,"suffix":""}],"container-title":"Journal of the American Statistical Association","id":"ITEM-1","issue":"340","issued":{"date-parts":[["2012"]]},"page":"773-795","title":"Bayes Factors","type":"article-journal","volume":"90"},"uris":["http://www.mendeley.com/documents/?uuid=98ac8fbb-8432-4591-aebc-ad7c9b2adc35"]}],"mendeley":{"formattedCitation":"[6]","plainTextFormattedCitation":"[6]","previouslyFormattedCitation":"[6]"},"properties":{"noteIndex":0},"schema":"https://github.com/citation-style-language/schema/raw/master/csl-citation.json"}</w:instrText>
      </w:r>
      <w:r w:rsidRPr="006B2888">
        <w:rPr>
          <w:rFonts w:ascii="Times New Roman" w:eastAsia="Times New Roman" w:hAnsi="Times New Roman" w:cs="Times New Roman"/>
          <w:color w:val="000000" w:themeColor="text1"/>
          <w:sz w:val="24"/>
          <w:szCs w:val="24"/>
        </w:rPr>
        <w:fldChar w:fldCharType="separate"/>
      </w:r>
      <w:r w:rsidRPr="006B2888">
        <w:rPr>
          <w:rFonts w:ascii="Times New Roman" w:eastAsia="Times New Roman" w:hAnsi="Times New Roman" w:cs="Times New Roman"/>
          <w:noProof/>
          <w:color w:val="000000" w:themeColor="text1"/>
          <w:sz w:val="24"/>
          <w:szCs w:val="24"/>
        </w:rPr>
        <w:t>[6]</w:t>
      </w:r>
      <w:r w:rsidRPr="006B2888">
        <w:rPr>
          <w:rFonts w:ascii="Times New Roman" w:eastAsia="Times New Roman" w:hAnsi="Times New Roman" w:cs="Times New Roman"/>
          <w:color w:val="000000" w:themeColor="text1"/>
          <w:sz w:val="24"/>
          <w:szCs w:val="24"/>
        </w:rPr>
        <w:fldChar w:fldCharType="end"/>
      </w:r>
      <w:r w:rsidRPr="006B2888">
        <w:rPr>
          <w:rFonts w:ascii="Times New Roman" w:eastAsia="Times New Roman" w:hAnsi="Times New Roman" w:cs="Times New Roman"/>
          <w:color w:val="000000" w:themeColor="text1"/>
          <w:sz w:val="24"/>
          <w:szCs w:val="24"/>
        </w:rPr>
        <w:t>. MLE: marginal likelihood estimates.</w:t>
      </w:r>
    </w:p>
    <w:tbl>
      <w:tblPr>
        <w:tblW w:w="9303" w:type="dxa"/>
        <w:tblLayout w:type="fixed"/>
        <w:tblLook w:val="04A0" w:firstRow="1" w:lastRow="0" w:firstColumn="1" w:lastColumn="0" w:noHBand="0" w:noVBand="1"/>
      </w:tblPr>
      <w:tblGrid>
        <w:gridCol w:w="1119"/>
        <w:gridCol w:w="1291"/>
        <w:gridCol w:w="756"/>
        <w:gridCol w:w="2414"/>
        <w:gridCol w:w="2491"/>
        <w:gridCol w:w="1232"/>
      </w:tblGrid>
      <w:tr w:rsidR="006B2888" w:rsidRPr="00AE525E" w14:paraId="11E81B71" w14:textId="77777777" w:rsidTr="00031031">
        <w:trPr>
          <w:trHeight w:val="290"/>
        </w:trPr>
        <w:tc>
          <w:tcPr>
            <w:tcW w:w="1119" w:type="dxa"/>
            <w:tcBorders>
              <w:top w:val="nil"/>
              <w:left w:val="nil"/>
              <w:bottom w:val="single" w:sz="4" w:space="0" w:color="auto"/>
              <w:right w:val="nil"/>
            </w:tcBorders>
            <w:shd w:val="clear" w:color="auto" w:fill="auto"/>
            <w:noWrap/>
            <w:vAlign w:val="bottom"/>
            <w:hideMark/>
          </w:tcPr>
          <w:p w14:paraId="48D713B3"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1291" w:type="dxa"/>
            <w:tcBorders>
              <w:top w:val="nil"/>
              <w:left w:val="nil"/>
              <w:bottom w:val="single" w:sz="4" w:space="0" w:color="auto"/>
              <w:right w:val="nil"/>
            </w:tcBorders>
            <w:shd w:val="clear" w:color="auto" w:fill="auto"/>
            <w:noWrap/>
            <w:vAlign w:val="bottom"/>
            <w:hideMark/>
          </w:tcPr>
          <w:p w14:paraId="7E1B9523"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756" w:type="dxa"/>
            <w:tcBorders>
              <w:top w:val="nil"/>
              <w:left w:val="nil"/>
              <w:bottom w:val="single" w:sz="4" w:space="0" w:color="auto"/>
              <w:right w:val="nil"/>
            </w:tcBorders>
            <w:shd w:val="clear" w:color="auto" w:fill="auto"/>
            <w:noWrap/>
            <w:vAlign w:val="bottom"/>
            <w:hideMark/>
          </w:tcPr>
          <w:p w14:paraId="03355B20"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2414" w:type="dxa"/>
            <w:tcBorders>
              <w:top w:val="nil"/>
              <w:left w:val="nil"/>
              <w:bottom w:val="single" w:sz="4" w:space="0" w:color="auto"/>
              <w:right w:val="nil"/>
            </w:tcBorders>
            <w:shd w:val="clear" w:color="auto" w:fill="auto"/>
            <w:noWrap/>
            <w:vAlign w:val="bottom"/>
            <w:hideMark/>
          </w:tcPr>
          <w:p w14:paraId="30F59465"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2491" w:type="dxa"/>
            <w:tcBorders>
              <w:top w:val="nil"/>
              <w:left w:val="nil"/>
              <w:bottom w:val="single" w:sz="4" w:space="0" w:color="auto"/>
              <w:right w:val="nil"/>
            </w:tcBorders>
            <w:shd w:val="clear" w:color="auto" w:fill="auto"/>
            <w:noWrap/>
            <w:vAlign w:val="bottom"/>
            <w:hideMark/>
          </w:tcPr>
          <w:p w14:paraId="584AC241"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1232" w:type="dxa"/>
            <w:tcBorders>
              <w:top w:val="nil"/>
              <w:left w:val="nil"/>
              <w:bottom w:val="single" w:sz="4" w:space="0" w:color="auto"/>
              <w:right w:val="nil"/>
            </w:tcBorders>
            <w:shd w:val="clear" w:color="auto" w:fill="auto"/>
            <w:noWrap/>
            <w:vAlign w:val="bottom"/>
            <w:hideMark/>
          </w:tcPr>
          <w:p w14:paraId="470B271B"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r>
      <w:tr w:rsidR="006B2888" w:rsidRPr="00AE525E" w14:paraId="10EE09F4" w14:textId="77777777" w:rsidTr="00031031">
        <w:trPr>
          <w:trHeight w:val="290"/>
        </w:trPr>
        <w:tc>
          <w:tcPr>
            <w:tcW w:w="1119" w:type="dxa"/>
            <w:tcBorders>
              <w:top w:val="nil"/>
              <w:left w:val="nil"/>
              <w:bottom w:val="single" w:sz="4" w:space="0" w:color="auto"/>
              <w:right w:val="nil"/>
            </w:tcBorders>
            <w:shd w:val="clear" w:color="auto" w:fill="auto"/>
            <w:noWrap/>
            <w:vAlign w:val="bottom"/>
            <w:hideMark/>
          </w:tcPr>
          <w:p w14:paraId="10716F5B"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1291" w:type="dxa"/>
            <w:tcBorders>
              <w:top w:val="nil"/>
              <w:left w:val="nil"/>
              <w:bottom w:val="single" w:sz="4" w:space="0" w:color="auto"/>
              <w:right w:val="nil"/>
            </w:tcBorders>
            <w:shd w:val="clear" w:color="auto" w:fill="auto"/>
            <w:noWrap/>
            <w:vAlign w:val="bottom"/>
            <w:hideMark/>
          </w:tcPr>
          <w:p w14:paraId="6AC9BD77"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Individuals</w:t>
            </w:r>
          </w:p>
        </w:tc>
        <w:tc>
          <w:tcPr>
            <w:tcW w:w="756" w:type="dxa"/>
            <w:tcBorders>
              <w:top w:val="nil"/>
              <w:left w:val="nil"/>
              <w:bottom w:val="single" w:sz="4" w:space="0" w:color="auto"/>
              <w:right w:val="nil"/>
            </w:tcBorders>
            <w:shd w:val="clear" w:color="auto" w:fill="auto"/>
            <w:noWrap/>
            <w:vAlign w:val="bottom"/>
            <w:hideMark/>
          </w:tcPr>
          <w:p w14:paraId="58765C0A"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SNPs</w:t>
            </w:r>
          </w:p>
        </w:tc>
        <w:tc>
          <w:tcPr>
            <w:tcW w:w="2414" w:type="dxa"/>
            <w:tcBorders>
              <w:top w:val="nil"/>
              <w:left w:val="nil"/>
              <w:bottom w:val="single" w:sz="4" w:space="0" w:color="auto"/>
              <w:right w:val="nil"/>
            </w:tcBorders>
            <w:shd w:val="clear" w:color="auto" w:fill="auto"/>
            <w:noWrap/>
            <w:vAlign w:val="bottom"/>
          </w:tcPr>
          <w:p w14:paraId="4FB5D55B"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MLE – 2 species (base – traditional taxonomy)</w:t>
            </w:r>
          </w:p>
        </w:tc>
        <w:tc>
          <w:tcPr>
            <w:tcW w:w="2491" w:type="dxa"/>
            <w:tcBorders>
              <w:top w:val="nil"/>
              <w:left w:val="nil"/>
              <w:bottom w:val="single" w:sz="4" w:space="0" w:color="auto"/>
              <w:right w:val="nil"/>
            </w:tcBorders>
            <w:shd w:val="clear" w:color="auto" w:fill="auto"/>
            <w:noWrap/>
            <w:vAlign w:val="bottom"/>
          </w:tcPr>
          <w:p w14:paraId="0DC6E937"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MLE – 1 species (alternative – mtDNA)</w:t>
            </w:r>
          </w:p>
        </w:tc>
        <w:tc>
          <w:tcPr>
            <w:tcW w:w="1232" w:type="dxa"/>
            <w:tcBorders>
              <w:top w:val="nil"/>
              <w:left w:val="nil"/>
              <w:bottom w:val="single" w:sz="4" w:space="0" w:color="auto"/>
              <w:right w:val="nil"/>
            </w:tcBorders>
            <w:shd w:val="clear" w:color="auto" w:fill="auto"/>
            <w:noWrap/>
            <w:vAlign w:val="bottom"/>
            <w:hideMark/>
          </w:tcPr>
          <w:p w14:paraId="22ED9EB3"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BF</w:t>
            </w:r>
          </w:p>
        </w:tc>
      </w:tr>
      <w:tr w:rsidR="006B2888" w:rsidRPr="00AE525E" w14:paraId="4E00D9C4" w14:textId="77777777" w:rsidTr="00031031">
        <w:trPr>
          <w:trHeight w:val="290"/>
        </w:trPr>
        <w:tc>
          <w:tcPr>
            <w:tcW w:w="1119" w:type="dxa"/>
            <w:tcBorders>
              <w:top w:val="nil"/>
              <w:left w:val="nil"/>
              <w:bottom w:val="nil"/>
              <w:right w:val="nil"/>
            </w:tcBorders>
            <w:shd w:val="clear" w:color="auto" w:fill="auto"/>
            <w:noWrap/>
            <w:vAlign w:val="bottom"/>
            <w:hideMark/>
          </w:tcPr>
          <w:p w14:paraId="17008FB6"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Subset 1</w:t>
            </w:r>
          </w:p>
        </w:tc>
        <w:tc>
          <w:tcPr>
            <w:tcW w:w="1291" w:type="dxa"/>
            <w:tcBorders>
              <w:top w:val="nil"/>
              <w:left w:val="nil"/>
              <w:bottom w:val="nil"/>
              <w:right w:val="nil"/>
            </w:tcBorders>
            <w:shd w:val="clear" w:color="auto" w:fill="auto"/>
            <w:noWrap/>
            <w:vAlign w:val="bottom"/>
            <w:hideMark/>
          </w:tcPr>
          <w:p w14:paraId="0B960A31"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58</w:t>
            </w:r>
          </w:p>
        </w:tc>
        <w:tc>
          <w:tcPr>
            <w:tcW w:w="756" w:type="dxa"/>
            <w:tcBorders>
              <w:top w:val="nil"/>
              <w:left w:val="nil"/>
              <w:bottom w:val="nil"/>
              <w:right w:val="nil"/>
            </w:tcBorders>
            <w:shd w:val="clear" w:color="auto" w:fill="auto"/>
            <w:noWrap/>
            <w:vAlign w:val="bottom"/>
            <w:hideMark/>
          </w:tcPr>
          <w:p w14:paraId="1611C1CF"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149</w:t>
            </w:r>
          </w:p>
        </w:tc>
        <w:tc>
          <w:tcPr>
            <w:tcW w:w="2414" w:type="dxa"/>
            <w:tcBorders>
              <w:top w:val="nil"/>
              <w:left w:val="nil"/>
              <w:bottom w:val="nil"/>
              <w:right w:val="nil"/>
            </w:tcBorders>
            <w:shd w:val="clear" w:color="auto" w:fill="auto"/>
            <w:noWrap/>
            <w:vAlign w:val="bottom"/>
          </w:tcPr>
          <w:p w14:paraId="4244EB08"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-6,537.45</w:t>
            </w:r>
          </w:p>
        </w:tc>
        <w:tc>
          <w:tcPr>
            <w:tcW w:w="2491" w:type="dxa"/>
            <w:tcBorders>
              <w:top w:val="nil"/>
              <w:left w:val="nil"/>
              <w:bottom w:val="nil"/>
              <w:right w:val="nil"/>
            </w:tcBorders>
            <w:shd w:val="clear" w:color="auto" w:fill="auto"/>
            <w:noWrap/>
            <w:vAlign w:val="bottom"/>
          </w:tcPr>
          <w:p w14:paraId="68F95AA9"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-7,692.59</w:t>
            </w:r>
          </w:p>
        </w:tc>
        <w:tc>
          <w:tcPr>
            <w:tcW w:w="1232" w:type="dxa"/>
            <w:tcBorders>
              <w:top w:val="nil"/>
              <w:left w:val="nil"/>
              <w:bottom w:val="nil"/>
              <w:right w:val="nil"/>
            </w:tcBorders>
            <w:shd w:val="clear" w:color="auto" w:fill="auto"/>
            <w:noWrap/>
            <w:vAlign w:val="bottom"/>
            <w:hideMark/>
          </w:tcPr>
          <w:p w14:paraId="4117ED8C"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2,310.28</w:t>
            </w:r>
          </w:p>
        </w:tc>
      </w:tr>
      <w:tr w:rsidR="006B2888" w:rsidRPr="00AE525E" w14:paraId="7DDAA66E" w14:textId="77777777" w:rsidTr="00031031">
        <w:trPr>
          <w:trHeight w:val="290"/>
        </w:trPr>
        <w:tc>
          <w:tcPr>
            <w:tcW w:w="1119" w:type="dxa"/>
            <w:tcBorders>
              <w:top w:val="nil"/>
              <w:left w:val="nil"/>
              <w:bottom w:val="nil"/>
              <w:right w:val="nil"/>
            </w:tcBorders>
            <w:shd w:val="clear" w:color="auto" w:fill="auto"/>
            <w:noWrap/>
            <w:vAlign w:val="bottom"/>
            <w:hideMark/>
          </w:tcPr>
          <w:p w14:paraId="11AF201A"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Subset 2</w:t>
            </w:r>
          </w:p>
        </w:tc>
        <w:tc>
          <w:tcPr>
            <w:tcW w:w="1291" w:type="dxa"/>
            <w:tcBorders>
              <w:top w:val="nil"/>
              <w:left w:val="nil"/>
              <w:bottom w:val="nil"/>
              <w:right w:val="nil"/>
            </w:tcBorders>
            <w:shd w:val="clear" w:color="auto" w:fill="auto"/>
            <w:noWrap/>
            <w:vAlign w:val="bottom"/>
            <w:hideMark/>
          </w:tcPr>
          <w:p w14:paraId="066F4E81"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58</w:t>
            </w:r>
          </w:p>
        </w:tc>
        <w:tc>
          <w:tcPr>
            <w:tcW w:w="756" w:type="dxa"/>
            <w:tcBorders>
              <w:top w:val="nil"/>
              <w:left w:val="nil"/>
              <w:bottom w:val="nil"/>
              <w:right w:val="nil"/>
            </w:tcBorders>
            <w:shd w:val="clear" w:color="auto" w:fill="auto"/>
            <w:noWrap/>
            <w:vAlign w:val="bottom"/>
            <w:hideMark/>
          </w:tcPr>
          <w:p w14:paraId="77236228"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938</w:t>
            </w:r>
          </w:p>
        </w:tc>
        <w:tc>
          <w:tcPr>
            <w:tcW w:w="2414" w:type="dxa"/>
            <w:tcBorders>
              <w:top w:val="nil"/>
              <w:left w:val="nil"/>
              <w:bottom w:val="nil"/>
              <w:right w:val="nil"/>
            </w:tcBorders>
            <w:shd w:val="clear" w:color="auto" w:fill="auto"/>
            <w:noWrap/>
            <w:vAlign w:val="bottom"/>
          </w:tcPr>
          <w:p w14:paraId="23799AAF"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rPr>
              <w:t>-40,948.80</w:t>
            </w:r>
          </w:p>
        </w:tc>
        <w:tc>
          <w:tcPr>
            <w:tcW w:w="2491" w:type="dxa"/>
            <w:tcBorders>
              <w:top w:val="nil"/>
              <w:left w:val="nil"/>
              <w:bottom w:val="nil"/>
              <w:right w:val="nil"/>
            </w:tcBorders>
            <w:shd w:val="clear" w:color="auto" w:fill="auto"/>
            <w:noWrap/>
            <w:vAlign w:val="bottom"/>
          </w:tcPr>
          <w:p w14:paraId="0B2FF2AF" w14:textId="77777777" w:rsidR="006B2888" w:rsidRPr="00AE525E" w:rsidRDefault="006B2888" w:rsidP="00031031">
            <w:pPr>
              <w:rPr>
                <w:rFonts w:ascii="Times New Roman" w:eastAsia="Times New Roman" w:hAnsi="Times New Roman" w:cs="Times New Roman"/>
              </w:rPr>
            </w:pPr>
            <w:r w:rsidRPr="00AE525E">
              <w:rPr>
                <w:rFonts w:ascii="Times New Roman" w:eastAsia="Times New Roman" w:hAnsi="Times New Roman" w:cs="Times New Roman"/>
                <w:color w:val="000000"/>
              </w:rPr>
              <w:t>-47,287.26</w:t>
            </w:r>
          </w:p>
        </w:tc>
        <w:tc>
          <w:tcPr>
            <w:tcW w:w="1232" w:type="dxa"/>
            <w:tcBorders>
              <w:top w:val="nil"/>
              <w:left w:val="nil"/>
              <w:bottom w:val="nil"/>
              <w:right w:val="nil"/>
            </w:tcBorders>
            <w:shd w:val="clear" w:color="auto" w:fill="auto"/>
            <w:noWrap/>
            <w:vAlign w:val="bottom"/>
            <w:hideMark/>
          </w:tcPr>
          <w:p w14:paraId="497DE583" w14:textId="77777777" w:rsidR="006B2888" w:rsidRPr="00AE525E" w:rsidRDefault="006B2888" w:rsidP="00031031">
            <w:pPr>
              <w:rPr>
                <w:rFonts w:ascii="Times New Roman" w:eastAsia="Times New Roman" w:hAnsi="Times New Roman" w:cs="Times New Roman"/>
                <w:highlight w:val="yellow"/>
              </w:rPr>
            </w:pPr>
            <w:r w:rsidRPr="00AE525E">
              <w:rPr>
                <w:rFonts w:ascii="Times New Roman" w:eastAsia="Times New Roman" w:hAnsi="Times New Roman" w:cs="Times New Roman"/>
              </w:rPr>
              <w:t>12,676.92</w:t>
            </w:r>
          </w:p>
        </w:tc>
      </w:tr>
      <w:tr w:rsidR="006B2888" w:rsidRPr="00AE525E" w14:paraId="1F9560E0" w14:textId="77777777" w:rsidTr="00031031">
        <w:trPr>
          <w:trHeight w:val="290"/>
        </w:trPr>
        <w:tc>
          <w:tcPr>
            <w:tcW w:w="1119" w:type="dxa"/>
            <w:tcBorders>
              <w:top w:val="nil"/>
              <w:left w:val="nil"/>
              <w:bottom w:val="single" w:sz="4" w:space="0" w:color="auto"/>
              <w:right w:val="nil"/>
            </w:tcBorders>
            <w:shd w:val="clear" w:color="auto" w:fill="auto"/>
            <w:noWrap/>
            <w:vAlign w:val="bottom"/>
            <w:hideMark/>
          </w:tcPr>
          <w:p w14:paraId="482FD3FB"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Subset 3</w:t>
            </w:r>
          </w:p>
        </w:tc>
        <w:tc>
          <w:tcPr>
            <w:tcW w:w="1291" w:type="dxa"/>
            <w:tcBorders>
              <w:top w:val="nil"/>
              <w:left w:val="nil"/>
              <w:bottom w:val="single" w:sz="4" w:space="0" w:color="auto"/>
              <w:right w:val="nil"/>
            </w:tcBorders>
            <w:shd w:val="clear" w:color="auto" w:fill="auto"/>
            <w:noWrap/>
            <w:vAlign w:val="bottom"/>
            <w:hideMark/>
          </w:tcPr>
          <w:p w14:paraId="6DE40E23"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108</w:t>
            </w:r>
          </w:p>
        </w:tc>
        <w:tc>
          <w:tcPr>
            <w:tcW w:w="756" w:type="dxa"/>
            <w:tcBorders>
              <w:top w:val="nil"/>
              <w:left w:val="nil"/>
              <w:bottom w:val="single" w:sz="4" w:space="0" w:color="auto"/>
              <w:right w:val="nil"/>
            </w:tcBorders>
            <w:shd w:val="clear" w:color="auto" w:fill="auto"/>
            <w:noWrap/>
            <w:vAlign w:val="bottom"/>
            <w:hideMark/>
          </w:tcPr>
          <w:p w14:paraId="60FF3944"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957</w:t>
            </w:r>
          </w:p>
        </w:tc>
        <w:tc>
          <w:tcPr>
            <w:tcW w:w="2414" w:type="dxa"/>
            <w:tcBorders>
              <w:top w:val="nil"/>
              <w:left w:val="nil"/>
              <w:bottom w:val="single" w:sz="4" w:space="0" w:color="auto"/>
              <w:right w:val="nil"/>
            </w:tcBorders>
            <w:shd w:val="clear" w:color="auto" w:fill="auto"/>
            <w:noWrap/>
            <w:vAlign w:val="bottom"/>
            <w:hideMark/>
          </w:tcPr>
          <w:p w14:paraId="3A44DCEA"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-67285.99</w:t>
            </w:r>
          </w:p>
        </w:tc>
        <w:tc>
          <w:tcPr>
            <w:tcW w:w="2491" w:type="dxa"/>
            <w:tcBorders>
              <w:top w:val="nil"/>
              <w:left w:val="nil"/>
              <w:bottom w:val="single" w:sz="4" w:space="0" w:color="auto"/>
              <w:right w:val="nil"/>
            </w:tcBorders>
            <w:shd w:val="clear" w:color="auto" w:fill="auto"/>
            <w:noWrap/>
            <w:vAlign w:val="bottom"/>
            <w:hideMark/>
          </w:tcPr>
          <w:p w14:paraId="7EDBD678"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-78,464.10</w:t>
            </w:r>
          </w:p>
        </w:tc>
        <w:tc>
          <w:tcPr>
            <w:tcW w:w="1232" w:type="dxa"/>
            <w:tcBorders>
              <w:top w:val="nil"/>
              <w:left w:val="nil"/>
              <w:bottom w:val="single" w:sz="4" w:space="0" w:color="auto"/>
              <w:right w:val="nil"/>
            </w:tcBorders>
            <w:shd w:val="clear" w:color="auto" w:fill="auto"/>
            <w:noWrap/>
            <w:vAlign w:val="bottom"/>
            <w:hideMark/>
          </w:tcPr>
          <w:p w14:paraId="52BFB526" w14:textId="77777777" w:rsidR="006B2888" w:rsidRPr="00AE525E" w:rsidRDefault="006B2888"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22,356.22</w:t>
            </w:r>
          </w:p>
        </w:tc>
      </w:tr>
    </w:tbl>
    <w:p w14:paraId="2D80CC55" w14:textId="77777777" w:rsidR="00AE525E" w:rsidRPr="00AE525E" w:rsidRDefault="00AE525E" w:rsidP="00AE525E">
      <w:pPr>
        <w:rPr>
          <w:rFonts w:ascii="Times New Roman" w:hAnsi="Times New Roman" w:cs="Times New Roman"/>
          <w:b/>
        </w:rPr>
      </w:pPr>
    </w:p>
    <w:p w14:paraId="412BA708" w14:textId="77777777" w:rsidR="00AE525E" w:rsidRPr="00AE525E" w:rsidRDefault="00AE525E" w:rsidP="00AE525E">
      <w:pPr>
        <w:rPr>
          <w:rFonts w:ascii="Times New Roman" w:hAnsi="Times New Roman" w:cs="Times New Roman"/>
          <w:sz w:val="20"/>
          <w:szCs w:val="20"/>
        </w:rPr>
      </w:pPr>
    </w:p>
    <w:p w14:paraId="42B3A2B1" w14:textId="77777777" w:rsidR="00AE525E" w:rsidRPr="00AE525E" w:rsidRDefault="00AE525E" w:rsidP="00AE525E">
      <w:pPr>
        <w:rPr>
          <w:rFonts w:ascii="Times New Roman" w:hAnsi="Times New Roman" w:cs="Times New Roman"/>
          <w:sz w:val="20"/>
          <w:szCs w:val="20"/>
        </w:rPr>
      </w:pPr>
    </w:p>
    <w:p w14:paraId="00753067" w14:textId="77777777" w:rsidR="00AE525E" w:rsidRPr="00AE525E" w:rsidRDefault="00AE525E" w:rsidP="00AE525E">
      <w:pPr>
        <w:rPr>
          <w:rFonts w:ascii="Times New Roman" w:hAnsi="Times New Roman" w:cs="Times New Roman"/>
          <w:b/>
        </w:rPr>
        <w:sectPr w:rsidR="00AE525E" w:rsidRPr="00AE525E" w:rsidSect="006B2888">
          <w:pgSz w:w="12240" w:h="15840"/>
          <w:pgMar w:top="1440" w:right="1440" w:bottom="1440" w:left="1440" w:header="708" w:footer="708" w:gutter="0"/>
          <w:pgNumType w:start="89"/>
          <w:cols w:space="708"/>
          <w:docGrid w:linePitch="360"/>
        </w:sectPr>
      </w:pPr>
    </w:p>
    <w:p w14:paraId="784E52F6" w14:textId="77777777" w:rsidR="006B2888" w:rsidRPr="006B2888" w:rsidRDefault="006B2888" w:rsidP="006B2888">
      <w:pPr>
        <w:jc w:val="both"/>
        <w:rPr>
          <w:rFonts w:ascii="Times New Roman" w:hAnsi="Times New Roman" w:cs="Times New Roman"/>
          <w:color w:val="000000" w:themeColor="text1"/>
          <w:sz w:val="21"/>
          <w:szCs w:val="21"/>
        </w:rPr>
      </w:pPr>
      <w:r w:rsidRPr="006B2888">
        <w:rPr>
          <w:rFonts w:ascii="Times New Roman" w:eastAsia="Times New Roman" w:hAnsi="Times New Roman" w:cs="Times New Roman"/>
          <w:b/>
          <w:color w:val="000000" w:themeColor="text1"/>
          <w:sz w:val="24"/>
          <w:szCs w:val="24"/>
        </w:rPr>
        <w:lastRenderedPageBreak/>
        <w:t xml:space="preserve">Table S6. List of character transformations (SNPs) that differentiate populations of </w:t>
      </w:r>
      <w:r w:rsidRPr="006B2888">
        <w:rPr>
          <w:rFonts w:ascii="Times New Roman" w:eastAsia="Times New Roman" w:hAnsi="Times New Roman" w:cs="Times New Roman"/>
          <w:b/>
          <w:i/>
          <w:color w:val="000000" w:themeColor="text1"/>
          <w:sz w:val="24"/>
          <w:szCs w:val="24"/>
        </w:rPr>
        <w:t>L. campechanus</w:t>
      </w:r>
      <w:r w:rsidRPr="006B2888">
        <w:rPr>
          <w:rFonts w:ascii="Times New Roman" w:eastAsia="Times New Roman" w:hAnsi="Times New Roman" w:cs="Times New Roman"/>
          <w:b/>
          <w:color w:val="000000" w:themeColor="text1"/>
          <w:sz w:val="24"/>
          <w:szCs w:val="24"/>
        </w:rPr>
        <w:t xml:space="preserve"> from </w:t>
      </w:r>
      <w:r w:rsidRPr="006B2888">
        <w:rPr>
          <w:rFonts w:ascii="Times New Roman" w:eastAsia="Times New Roman" w:hAnsi="Times New Roman" w:cs="Times New Roman"/>
          <w:b/>
          <w:i/>
          <w:color w:val="000000" w:themeColor="text1"/>
          <w:sz w:val="24"/>
          <w:szCs w:val="24"/>
        </w:rPr>
        <w:t>L. purpureus</w:t>
      </w:r>
      <w:r w:rsidRPr="006B2888">
        <w:rPr>
          <w:rFonts w:ascii="Times New Roman" w:eastAsia="Times New Roman" w:hAnsi="Times New Roman" w:cs="Times New Roman"/>
          <w:color w:val="000000" w:themeColor="text1"/>
          <w:sz w:val="24"/>
          <w:szCs w:val="24"/>
        </w:rPr>
        <w:t xml:space="preserve">. Alignment site indicates the position of the diagnostic SNP in the concatenated nexus file (available from Dryad). Although there are no unambiguous SNPs differentiating all individuals of </w:t>
      </w:r>
      <w:r w:rsidRPr="006B2888">
        <w:rPr>
          <w:rFonts w:ascii="Times New Roman" w:eastAsia="Times New Roman" w:hAnsi="Times New Roman" w:cs="Times New Roman"/>
          <w:i/>
          <w:color w:val="000000" w:themeColor="text1"/>
          <w:sz w:val="24"/>
          <w:szCs w:val="24"/>
        </w:rPr>
        <w:t>L. campechanus</w:t>
      </w:r>
      <w:r w:rsidRPr="006B2888">
        <w:rPr>
          <w:rFonts w:ascii="Times New Roman" w:eastAsia="Times New Roman" w:hAnsi="Times New Roman" w:cs="Times New Roman"/>
          <w:color w:val="000000" w:themeColor="text1"/>
          <w:sz w:val="24"/>
          <w:szCs w:val="24"/>
        </w:rPr>
        <w:t xml:space="preserve"> from </w:t>
      </w:r>
      <w:r w:rsidRPr="006B2888">
        <w:rPr>
          <w:rFonts w:ascii="Times New Roman" w:eastAsia="Times New Roman" w:hAnsi="Times New Roman" w:cs="Times New Roman"/>
          <w:i/>
          <w:color w:val="000000" w:themeColor="text1"/>
          <w:sz w:val="24"/>
          <w:szCs w:val="24"/>
        </w:rPr>
        <w:t>L. purpureus</w:t>
      </w:r>
      <w:r w:rsidRPr="006B2888">
        <w:rPr>
          <w:rFonts w:ascii="Times New Roman" w:eastAsia="Times New Roman" w:hAnsi="Times New Roman" w:cs="Times New Roman"/>
          <w:color w:val="000000" w:themeColor="text1"/>
          <w:sz w:val="24"/>
          <w:szCs w:val="24"/>
        </w:rPr>
        <w:t>, a combination of SNP sites can be used for diagnostic purposes; for instance, by designing PCR primers from the flanking sites in the nexus and fasta files provided</w:t>
      </w:r>
      <w:r w:rsidRPr="006B2888">
        <w:rPr>
          <w:rFonts w:ascii="Times New Roman" w:eastAsia="Times New Roman" w:hAnsi="Times New Roman" w:cs="Times New Roman"/>
          <w:color w:val="000000" w:themeColor="text1"/>
          <w:sz w:val="21"/>
          <w:szCs w:val="21"/>
        </w:rPr>
        <w:t>.</w:t>
      </w:r>
      <w:r w:rsidRPr="006B2888">
        <w:rPr>
          <w:rFonts w:ascii="Times New Roman" w:hAnsi="Times New Roman" w:cs="Times New Roman"/>
          <w:color w:val="000000" w:themeColor="text1"/>
          <w:sz w:val="21"/>
          <w:szCs w:val="21"/>
        </w:rPr>
        <w:t xml:space="preserve"> </w:t>
      </w:r>
    </w:p>
    <w:tbl>
      <w:tblPr>
        <w:tblW w:w="8665" w:type="dxa"/>
        <w:tblInd w:w="93" w:type="dxa"/>
        <w:tblLayout w:type="fixed"/>
        <w:tblLook w:val="04A0" w:firstRow="1" w:lastRow="0" w:firstColumn="1" w:lastColumn="0" w:noHBand="0" w:noVBand="1"/>
      </w:tblPr>
      <w:tblGrid>
        <w:gridCol w:w="1455"/>
        <w:gridCol w:w="2800"/>
        <w:gridCol w:w="1520"/>
        <w:gridCol w:w="2890"/>
      </w:tblGrid>
      <w:tr w:rsidR="00050D4A" w:rsidRPr="00AE525E" w14:paraId="71E0C2DF" w14:textId="77777777" w:rsidTr="00050D4A">
        <w:trPr>
          <w:trHeight w:val="20"/>
        </w:trPr>
        <w:tc>
          <w:tcPr>
            <w:tcW w:w="1455" w:type="dxa"/>
            <w:tcBorders>
              <w:top w:val="nil"/>
              <w:left w:val="nil"/>
              <w:bottom w:val="single" w:sz="8" w:space="0" w:color="auto"/>
              <w:right w:val="nil"/>
            </w:tcBorders>
            <w:shd w:val="clear" w:color="auto" w:fill="auto"/>
            <w:noWrap/>
            <w:hideMark/>
          </w:tcPr>
          <w:p w14:paraId="0E30ADD2" w14:textId="77777777" w:rsidR="00050D4A" w:rsidRPr="00AE525E" w:rsidRDefault="00050D4A"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2800" w:type="dxa"/>
            <w:tcBorders>
              <w:top w:val="nil"/>
              <w:left w:val="nil"/>
              <w:bottom w:val="single" w:sz="8" w:space="0" w:color="auto"/>
              <w:right w:val="nil"/>
            </w:tcBorders>
            <w:shd w:val="clear" w:color="auto" w:fill="auto"/>
            <w:noWrap/>
            <w:hideMark/>
          </w:tcPr>
          <w:p w14:paraId="7C89164B" w14:textId="77777777" w:rsidR="00050D4A" w:rsidRPr="00AE525E" w:rsidRDefault="00050D4A"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1520" w:type="dxa"/>
            <w:tcBorders>
              <w:top w:val="nil"/>
              <w:left w:val="nil"/>
              <w:bottom w:val="single" w:sz="8" w:space="0" w:color="auto"/>
              <w:right w:val="nil"/>
            </w:tcBorders>
            <w:shd w:val="clear" w:color="auto" w:fill="auto"/>
            <w:noWrap/>
            <w:hideMark/>
          </w:tcPr>
          <w:p w14:paraId="3229469D" w14:textId="77777777" w:rsidR="00050D4A" w:rsidRPr="00AE525E" w:rsidRDefault="00050D4A"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c>
          <w:tcPr>
            <w:tcW w:w="2890" w:type="dxa"/>
            <w:tcBorders>
              <w:top w:val="nil"/>
              <w:left w:val="nil"/>
              <w:bottom w:val="single" w:sz="8" w:space="0" w:color="auto"/>
              <w:right w:val="nil"/>
            </w:tcBorders>
            <w:shd w:val="clear" w:color="auto" w:fill="auto"/>
            <w:noWrap/>
            <w:hideMark/>
          </w:tcPr>
          <w:p w14:paraId="7486C92D" w14:textId="77777777" w:rsidR="00050D4A" w:rsidRPr="00AE525E" w:rsidRDefault="00050D4A" w:rsidP="00031031">
            <w:pPr>
              <w:rPr>
                <w:rFonts w:ascii="Times New Roman" w:eastAsia="Times New Roman" w:hAnsi="Times New Roman" w:cs="Times New Roman"/>
                <w:color w:val="000000"/>
              </w:rPr>
            </w:pPr>
            <w:r w:rsidRPr="00AE525E">
              <w:rPr>
                <w:rFonts w:ascii="Times New Roman" w:eastAsia="Times New Roman" w:hAnsi="Times New Roman" w:cs="Times New Roman"/>
                <w:color w:val="000000"/>
              </w:rPr>
              <w:t> </w:t>
            </w:r>
          </w:p>
        </w:tc>
      </w:tr>
      <w:tr w:rsidR="00050D4A" w:rsidRPr="00AE525E" w14:paraId="15DDEF11" w14:textId="77777777" w:rsidTr="00050D4A">
        <w:trPr>
          <w:trHeight w:val="20"/>
        </w:trPr>
        <w:tc>
          <w:tcPr>
            <w:tcW w:w="1455" w:type="dxa"/>
            <w:tcBorders>
              <w:top w:val="nil"/>
              <w:left w:val="nil"/>
              <w:bottom w:val="single" w:sz="8" w:space="0" w:color="auto"/>
              <w:right w:val="nil"/>
            </w:tcBorders>
            <w:shd w:val="clear" w:color="auto" w:fill="auto"/>
            <w:noWrap/>
            <w:hideMark/>
          </w:tcPr>
          <w:p w14:paraId="56A0EB35" w14:textId="77777777" w:rsidR="00050D4A" w:rsidRPr="00AE525E" w:rsidRDefault="00050D4A" w:rsidP="00031031">
            <w:pPr>
              <w:rPr>
                <w:rFonts w:ascii="Times New Roman" w:eastAsia="Times New Roman" w:hAnsi="Times New Roman" w:cs="Times New Roman"/>
                <w:b/>
                <w:bCs/>
                <w:color w:val="000000"/>
                <w:sz w:val="20"/>
                <w:szCs w:val="20"/>
              </w:rPr>
            </w:pPr>
            <w:r w:rsidRPr="00AE525E">
              <w:rPr>
                <w:rFonts w:ascii="Times New Roman" w:eastAsia="Times New Roman" w:hAnsi="Times New Roman" w:cs="Times New Roman"/>
                <w:b/>
                <w:bCs/>
                <w:color w:val="000000"/>
                <w:sz w:val="20"/>
                <w:szCs w:val="20"/>
              </w:rPr>
              <w:t>Alignment site</w:t>
            </w:r>
          </w:p>
        </w:tc>
        <w:tc>
          <w:tcPr>
            <w:tcW w:w="2800" w:type="dxa"/>
            <w:tcBorders>
              <w:top w:val="nil"/>
              <w:left w:val="nil"/>
              <w:bottom w:val="single" w:sz="8" w:space="0" w:color="auto"/>
              <w:right w:val="nil"/>
            </w:tcBorders>
            <w:shd w:val="clear" w:color="auto" w:fill="auto"/>
            <w:noWrap/>
            <w:hideMark/>
          </w:tcPr>
          <w:p w14:paraId="766C3661" w14:textId="77777777" w:rsidR="00050D4A" w:rsidRPr="00AE525E" w:rsidRDefault="00050D4A" w:rsidP="00031031">
            <w:pPr>
              <w:rPr>
                <w:rFonts w:ascii="Times New Roman" w:eastAsia="Times New Roman" w:hAnsi="Times New Roman" w:cs="Times New Roman"/>
                <w:b/>
                <w:bCs/>
                <w:color w:val="000000"/>
                <w:sz w:val="20"/>
                <w:szCs w:val="20"/>
              </w:rPr>
            </w:pPr>
            <w:r w:rsidRPr="00AE525E">
              <w:rPr>
                <w:rFonts w:ascii="Times New Roman" w:eastAsia="Times New Roman" w:hAnsi="Times New Roman" w:cs="Times New Roman"/>
                <w:b/>
                <w:bCs/>
                <w:color w:val="000000"/>
                <w:sz w:val="20"/>
                <w:szCs w:val="20"/>
              </w:rPr>
              <w:t>Character state transformation</w:t>
            </w:r>
          </w:p>
        </w:tc>
        <w:tc>
          <w:tcPr>
            <w:tcW w:w="1520" w:type="dxa"/>
            <w:tcBorders>
              <w:top w:val="nil"/>
              <w:left w:val="single" w:sz="4" w:space="0" w:color="auto"/>
              <w:bottom w:val="single" w:sz="8" w:space="0" w:color="auto"/>
              <w:right w:val="nil"/>
            </w:tcBorders>
            <w:shd w:val="clear" w:color="auto" w:fill="auto"/>
            <w:noWrap/>
            <w:hideMark/>
          </w:tcPr>
          <w:p w14:paraId="306F172F" w14:textId="77777777" w:rsidR="00050D4A" w:rsidRPr="00AE525E" w:rsidRDefault="00050D4A" w:rsidP="00031031">
            <w:pPr>
              <w:rPr>
                <w:rFonts w:ascii="Times New Roman" w:eastAsia="Times New Roman" w:hAnsi="Times New Roman" w:cs="Times New Roman"/>
                <w:b/>
                <w:bCs/>
                <w:color w:val="000000"/>
                <w:sz w:val="20"/>
                <w:szCs w:val="20"/>
              </w:rPr>
            </w:pPr>
            <w:r w:rsidRPr="00AE525E">
              <w:rPr>
                <w:rFonts w:ascii="Times New Roman" w:eastAsia="Times New Roman" w:hAnsi="Times New Roman" w:cs="Times New Roman"/>
                <w:b/>
                <w:bCs/>
                <w:color w:val="000000"/>
                <w:sz w:val="20"/>
                <w:szCs w:val="20"/>
              </w:rPr>
              <w:t>Alignment site</w:t>
            </w:r>
          </w:p>
        </w:tc>
        <w:tc>
          <w:tcPr>
            <w:tcW w:w="2890" w:type="dxa"/>
            <w:tcBorders>
              <w:top w:val="nil"/>
              <w:left w:val="nil"/>
              <w:bottom w:val="single" w:sz="8" w:space="0" w:color="auto"/>
              <w:right w:val="nil"/>
            </w:tcBorders>
            <w:shd w:val="clear" w:color="auto" w:fill="auto"/>
            <w:noWrap/>
            <w:hideMark/>
          </w:tcPr>
          <w:p w14:paraId="30D927F0" w14:textId="77777777" w:rsidR="00050D4A" w:rsidRPr="00AE525E" w:rsidRDefault="00050D4A" w:rsidP="00031031">
            <w:pPr>
              <w:rPr>
                <w:rFonts w:ascii="Times New Roman" w:eastAsia="Times New Roman" w:hAnsi="Times New Roman" w:cs="Times New Roman"/>
                <w:b/>
                <w:bCs/>
                <w:color w:val="000000"/>
                <w:sz w:val="20"/>
                <w:szCs w:val="20"/>
              </w:rPr>
            </w:pPr>
            <w:r w:rsidRPr="00AE525E">
              <w:rPr>
                <w:rFonts w:ascii="Times New Roman" w:eastAsia="Times New Roman" w:hAnsi="Times New Roman" w:cs="Times New Roman"/>
                <w:b/>
                <w:bCs/>
                <w:color w:val="000000"/>
                <w:sz w:val="20"/>
                <w:szCs w:val="20"/>
              </w:rPr>
              <w:t>Character state transformation</w:t>
            </w:r>
          </w:p>
        </w:tc>
      </w:tr>
      <w:tr w:rsidR="00050D4A" w:rsidRPr="00AE525E" w14:paraId="479A34AC" w14:textId="77777777" w:rsidTr="00050D4A">
        <w:trPr>
          <w:trHeight w:val="20"/>
        </w:trPr>
        <w:tc>
          <w:tcPr>
            <w:tcW w:w="1455" w:type="dxa"/>
            <w:tcBorders>
              <w:top w:val="nil"/>
              <w:left w:val="nil"/>
              <w:bottom w:val="nil"/>
              <w:right w:val="nil"/>
            </w:tcBorders>
            <w:shd w:val="clear" w:color="auto" w:fill="auto"/>
            <w:noWrap/>
            <w:hideMark/>
          </w:tcPr>
          <w:p w14:paraId="7E292096"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1059</w:t>
            </w:r>
          </w:p>
        </w:tc>
        <w:tc>
          <w:tcPr>
            <w:tcW w:w="2800" w:type="dxa"/>
            <w:tcBorders>
              <w:top w:val="nil"/>
              <w:left w:val="nil"/>
              <w:bottom w:val="nil"/>
              <w:right w:val="nil"/>
            </w:tcBorders>
            <w:shd w:val="clear" w:color="auto" w:fill="auto"/>
            <w:noWrap/>
            <w:hideMark/>
          </w:tcPr>
          <w:p w14:paraId="0AD40A4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c>
          <w:tcPr>
            <w:tcW w:w="1520" w:type="dxa"/>
            <w:tcBorders>
              <w:top w:val="nil"/>
              <w:left w:val="single" w:sz="4" w:space="0" w:color="auto"/>
              <w:bottom w:val="nil"/>
              <w:right w:val="nil"/>
            </w:tcBorders>
            <w:shd w:val="clear" w:color="auto" w:fill="auto"/>
            <w:noWrap/>
            <w:hideMark/>
          </w:tcPr>
          <w:p w14:paraId="039B6CA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836965</w:t>
            </w:r>
          </w:p>
        </w:tc>
        <w:tc>
          <w:tcPr>
            <w:tcW w:w="2890" w:type="dxa"/>
            <w:tcBorders>
              <w:top w:val="nil"/>
              <w:left w:val="nil"/>
              <w:bottom w:val="nil"/>
              <w:right w:val="nil"/>
            </w:tcBorders>
            <w:shd w:val="clear" w:color="auto" w:fill="auto"/>
            <w:noWrap/>
            <w:hideMark/>
          </w:tcPr>
          <w:p w14:paraId="7CA45693"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 --&gt; G</w:t>
            </w:r>
          </w:p>
        </w:tc>
      </w:tr>
      <w:tr w:rsidR="00050D4A" w:rsidRPr="00AE525E" w14:paraId="3C727850" w14:textId="77777777" w:rsidTr="00050D4A">
        <w:trPr>
          <w:trHeight w:val="20"/>
        </w:trPr>
        <w:tc>
          <w:tcPr>
            <w:tcW w:w="1455" w:type="dxa"/>
            <w:tcBorders>
              <w:top w:val="nil"/>
              <w:left w:val="nil"/>
              <w:bottom w:val="nil"/>
              <w:right w:val="nil"/>
            </w:tcBorders>
            <w:shd w:val="clear" w:color="auto" w:fill="auto"/>
            <w:noWrap/>
            <w:hideMark/>
          </w:tcPr>
          <w:p w14:paraId="01E37A4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41919</w:t>
            </w:r>
          </w:p>
        </w:tc>
        <w:tc>
          <w:tcPr>
            <w:tcW w:w="2800" w:type="dxa"/>
            <w:tcBorders>
              <w:top w:val="nil"/>
              <w:left w:val="nil"/>
              <w:bottom w:val="nil"/>
              <w:right w:val="nil"/>
            </w:tcBorders>
            <w:shd w:val="clear" w:color="auto" w:fill="auto"/>
            <w:noWrap/>
            <w:hideMark/>
          </w:tcPr>
          <w:p w14:paraId="0ED70728"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c>
          <w:tcPr>
            <w:tcW w:w="1520" w:type="dxa"/>
            <w:tcBorders>
              <w:top w:val="nil"/>
              <w:left w:val="single" w:sz="4" w:space="0" w:color="auto"/>
              <w:bottom w:val="nil"/>
              <w:right w:val="nil"/>
            </w:tcBorders>
            <w:shd w:val="clear" w:color="auto" w:fill="auto"/>
            <w:noWrap/>
            <w:hideMark/>
          </w:tcPr>
          <w:p w14:paraId="6A3A4BB1"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850906</w:t>
            </w:r>
          </w:p>
        </w:tc>
        <w:tc>
          <w:tcPr>
            <w:tcW w:w="2890" w:type="dxa"/>
            <w:tcBorders>
              <w:top w:val="nil"/>
              <w:left w:val="nil"/>
              <w:bottom w:val="nil"/>
              <w:right w:val="nil"/>
            </w:tcBorders>
            <w:shd w:val="clear" w:color="auto" w:fill="auto"/>
            <w:noWrap/>
            <w:hideMark/>
          </w:tcPr>
          <w:p w14:paraId="5976C50D"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 --&gt; C</w:t>
            </w:r>
          </w:p>
        </w:tc>
      </w:tr>
      <w:tr w:rsidR="00050D4A" w:rsidRPr="00AE525E" w14:paraId="6E6DA0EA" w14:textId="77777777" w:rsidTr="00050D4A">
        <w:trPr>
          <w:trHeight w:val="20"/>
        </w:trPr>
        <w:tc>
          <w:tcPr>
            <w:tcW w:w="1455" w:type="dxa"/>
            <w:tcBorders>
              <w:top w:val="nil"/>
              <w:left w:val="nil"/>
              <w:bottom w:val="nil"/>
              <w:right w:val="nil"/>
            </w:tcBorders>
            <w:shd w:val="clear" w:color="auto" w:fill="auto"/>
            <w:noWrap/>
            <w:hideMark/>
          </w:tcPr>
          <w:p w14:paraId="0E7E60D1"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45777</w:t>
            </w:r>
          </w:p>
        </w:tc>
        <w:tc>
          <w:tcPr>
            <w:tcW w:w="2800" w:type="dxa"/>
            <w:tcBorders>
              <w:top w:val="nil"/>
              <w:left w:val="nil"/>
              <w:bottom w:val="nil"/>
              <w:right w:val="nil"/>
            </w:tcBorders>
            <w:shd w:val="clear" w:color="auto" w:fill="auto"/>
            <w:noWrap/>
            <w:hideMark/>
          </w:tcPr>
          <w:p w14:paraId="2154FDE8"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c>
          <w:tcPr>
            <w:tcW w:w="1520" w:type="dxa"/>
            <w:tcBorders>
              <w:top w:val="nil"/>
              <w:left w:val="single" w:sz="4" w:space="0" w:color="auto"/>
              <w:bottom w:val="nil"/>
              <w:right w:val="nil"/>
            </w:tcBorders>
            <w:shd w:val="clear" w:color="auto" w:fill="auto"/>
            <w:noWrap/>
            <w:hideMark/>
          </w:tcPr>
          <w:p w14:paraId="549D67CD"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886936</w:t>
            </w:r>
          </w:p>
        </w:tc>
        <w:tc>
          <w:tcPr>
            <w:tcW w:w="2890" w:type="dxa"/>
            <w:tcBorders>
              <w:top w:val="nil"/>
              <w:left w:val="nil"/>
              <w:bottom w:val="nil"/>
              <w:right w:val="nil"/>
            </w:tcBorders>
            <w:shd w:val="clear" w:color="auto" w:fill="auto"/>
            <w:noWrap/>
            <w:hideMark/>
          </w:tcPr>
          <w:p w14:paraId="35A3F7FE"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C</w:t>
            </w:r>
          </w:p>
        </w:tc>
      </w:tr>
      <w:tr w:rsidR="00050D4A" w:rsidRPr="00AE525E" w14:paraId="53558463" w14:textId="77777777" w:rsidTr="00050D4A">
        <w:trPr>
          <w:trHeight w:val="20"/>
        </w:trPr>
        <w:tc>
          <w:tcPr>
            <w:tcW w:w="1455" w:type="dxa"/>
            <w:tcBorders>
              <w:top w:val="nil"/>
              <w:left w:val="nil"/>
              <w:bottom w:val="nil"/>
              <w:right w:val="nil"/>
            </w:tcBorders>
            <w:shd w:val="clear" w:color="auto" w:fill="auto"/>
            <w:noWrap/>
            <w:hideMark/>
          </w:tcPr>
          <w:p w14:paraId="7EC32272"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53139</w:t>
            </w:r>
          </w:p>
        </w:tc>
        <w:tc>
          <w:tcPr>
            <w:tcW w:w="2800" w:type="dxa"/>
            <w:tcBorders>
              <w:top w:val="nil"/>
              <w:left w:val="nil"/>
              <w:bottom w:val="nil"/>
              <w:right w:val="nil"/>
            </w:tcBorders>
            <w:shd w:val="clear" w:color="auto" w:fill="auto"/>
            <w:noWrap/>
            <w:hideMark/>
          </w:tcPr>
          <w:p w14:paraId="1F0D6FEB"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A</w:t>
            </w:r>
          </w:p>
        </w:tc>
        <w:tc>
          <w:tcPr>
            <w:tcW w:w="1520" w:type="dxa"/>
            <w:tcBorders>
              <w:top w:val="nil"/>
              <w:left w:val="single" w:sz="4" w:space="0" w:color="auto"/>
              <w:bottom w:val="nil"/>
              <w:right w:val="nil"/>
            </w:tcBorders>
            <w:shd w:val="clear" w:color="auto" w:fill="auto"/>
            <w:noWrap/>
            <w:hideMark/>
          </w:tcPr>
          <w:p w14:paraId="618B51A0"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975574</w:t>
            </w:r>
          </w:p>
        </w:tc>
        <w:tc>
          <w:tcPr>
            <w:tcW w:w="2890" w:type="dxa"/>
            <w:tcBorders>
              <w:top w:val="nil"/>
              <w:left w:val="nil"/>
              <w:bottom w:val="nil"/>
              <w:right w:val="nil"/>
            </w:tcBorders>
            <w:shd w:val="clear" w:color="auto" w:fill="auto"/>
            <w:noWrap/>
            <w:hideMark/>
          </w:tcPr>
          <w:p w14:paraId="38C75D5D"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 --&gt; C</w:t>
            </w:r>
          </w:p>
        </w:tc>
      </w:tr>
      <w:tr w:rsidR="00050D4A" w:rsidRPr="00AE525E" w14:paraId="681C8AE7" w14:textId="77777777" w:rsidTr="00050D4A">
        <w:trPr>
          <w:trHeight w:val="20"/>
        </w:trPr>
        <w:tc>
          <w:tcPr>
            <w:tcW w:w="1455" w:type="dxa"/>
            <w:tcBorders>
              <w:top w:val="nil"/>
              <w:left w:val="nil"/>
              <w:bottom w:val="nil"/>
              <w:right w:val="nil"/>
            </w:tcBorders>
            <w:shd w:val="clear" w:color="auto" w:fill="auto"/>
            <w:noWrap/>
            <w:hideMark/>
          </w:tcPr>
          <w:p w14:paraId="12C4AE5F"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68641</w:t>
            </w:r>
          </w:p>
        </w:tc>
        <w:tc>
          <w:tcPr>
            <w:tcW w:w="2800" w:type="dxa"/>
            <w:tcBorders>
              <w:top w:val="nil"/>
              <w:left w:val="nil"/>
              <w:bottom w:val="nil"/>
              <w:right w:val="nil"/>
            </w:tcBorders>
            <w:shd w:val="clear" w:color="auto" w:fill="auto"/>
            <w:noWrap/>
            <w:hideMark/>
          </w:tcPr>
          <w:p w14:paraId="1E623546"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c>
          <w:tcPr>
            <w:tcW w:w="1520" w:type="dxa"/>
            <w:tcBorders>
              <w:top w:val="nil"/>
              <w:left w:val="single" w:sz="4" w:space="0" w:color="auto"/>
              <w:bottom w:val="nil"/>
              <w:right w:val="nil"/>
            </w:tcBorders>
            <w:shd w:val="clear" w:color="auto" w:fill="auto"/>
            <w:noWrap/>
            <w:hideMark/>
          </w:tcPr>
          <w:p w14:paraId="38A29233"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987321</w:t>
            </w:r>
          </w:p>
        </w:tc>
        <w:tc>
          <w:tcPr>
            <w:tcW w:w="2890" w:type="dxa"/>
            <w:tcBorders>
              <w:top w:val="nil"/>
              <w:left w:val="nil"/>
              <w:bottom w:val="nil"/>
              <w:right w:val="nil"/>
            </w:tcBorders>
            <w:shd w:val="clear" w:color="auto" w:fill="auto"/>
            <w:noWrap/>
            <w:hideMark/>
          </w:tcPr>
          <w:p w14:paraId="4FCF8B37"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 --&gt; C</w:t>
            </w:r>
          </w:p>
        </w:tc>
      </w:tr>
      <w:tr w:rsidR="00050D4A" w:rsidRPr="00AE525E" w14:paraId="1BCE3F4C" w14:textId="77777777" w:rsidTr="00050D4A">
        <w:trPr>
          <w:trHeight w:val="20"/>
        </w:trPr>
        <w:tc>
          <w:tcPr>
            <w:tcW w:w="1455" w:type="dxa"/>
            <w:tcBorders>
              <w:top w:val="nil"/>
              <w:left w:val="nil"/>
              <w:bottom w:val="nil"/>
              <w:right w:val="nil"/>
            </w:tcBorders>
            <w:shd w:val="clear" w:color="auto" w:fill="auto"/>
            <w:noWrap/>
            <w:hideMark/>
          </w:tcPr>
          <w:p w14:paraId="2A09BC86"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88992</w:t>
            </w:r>
          </w:p>
        </w:tc>
        <w:tc>
          <w:tcPr>
            <w:tcW w:w="2800" w:type="dxa"/>
            <w:tcBorders>
              <w:top w:val="nil"/>
              <w:left w:val="nil"/>
              <w:bottom w:val="nil"/>
              <w:right w:val="nil"/>
            </w:tcBorders>
            <w:shd w:val="clear" w:color="auto" w:fill="auto"/>
            <w:noWrap/>
            <w:hideMark/>
          </w:tcPr>
          <w:p w14:paraId="52923D24"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c>
          <w:tcPr>
            <w:tcW w:w="1520" w:type="dxa"/>
            <w:tcBorders>
              <w:top w:val="nil"/>
              <w:left w:val="single" w:sz="4" w:space="0" w:color="auto"/>
              <w:bottom w:val="nil"/>
              <w:right w:val="nil"/>
            </w:tcBorders>
            <w:shd w:val="clear" w:color="auto" w:fill="auto"/>
            <w:noWrap/>
            <w:hideMark/>
          </w:tcPr>
          <w:p w14:paraId="4F406D76"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1041916</w:t>
            </w:r>
          </w:p>
        </w:tc>
        <w:tc>
          <w:tcPr>
            <w:tcW w:w="2890" w:type="dxa"/>
            <w:tcBorders>
              <w:top w:val="nil"/>
              <w:left w:val="nil"/>
              <w:bottom w:val="nil"/>
              <w:right w:val="nil"/>
            </w:tcBorders>
            <w:shd w:val="clear" w:color="auto" w:fill="auto"/>
            <w:noWrap/>
            <w:hideMark/>
          </w:tcPr>
          <w:p w14:paraId="75B42A78"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 --&gt; G</w:t>
            </w:r>
          </w:p>
        </w:tc>
      </w:tr>
      <w:tr w:rsidR="00050D4A" w:rsidRPr="00AE525E" w14:paraId="0BF30C5E" w14:textId="77777777" w:rsidTr="00050D4A">
        <w:trPr>
          <w:trHeight w:val="20"/>
        </w:trPr>
        <w:tc>
          <w:tcPr>
            <w:tcW w:w="1455" w:type="dxa"/>
            <w:tcBorders>
              <w:top w:val="nil"/>
              <w:left w:val="nil"/>
              <w:bottom w:val="nil"/>
              <w:right w:val="nil"/>
            </w:tcBorders>
            <w:shd w:val="clear" w:color="auto" w:fill="auto"/>
            <w:noWrap/>
            <w:hideMark/>
          </w:tcPr>
          <w:p w14:paraId="525F0A45"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207540</w:t>
            </w:r>
          </w:p>
        </w:tc>
        <w:tc>
          <w:tcPr>
            <w:tcW w:w="2800" w:type="dxa"/>
            <w:tcBorders>
              <w:top w:val="nil"/>
              <w:left w:val="nil"/>
              <w:bottom w:val="nil"/>
              <w:right w:val="nil"/>
            </w:tcBorders>
            <w:shd w:val="clear" w:color="auto" w:fill="auto"/>
            <w:noWrap/>
            <w:hideMark/>
          </w:tcPr>
          <w:p w14:paraId="2319D3BB"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 --&gt; G</w:t>
            </w:r>
          </w:p>
        </w:tc>
        <w:tc>
          <w:tcPr>
            <w:tcW w:w="1520" w:type="dxa"/>
            <w:tcBorders>
              <w:top w:val="nil"/>
              <w:left w:val="single" w:sz="4" w:space="0" w:color="auto"/>
              <w:bottom w:val="nil"/>
              <w:right w:val="nil"/>
            </w:tcBorders>
            <w:shd w:val="clear" w:color="auto" w:fill="auto"/>
            <w:noWrap/>
            <w:hideMark/>
          </w:tcPr>
          <w:p w14:paraId="30DC7E88"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1144840</w:t>
            </w:r>
          </w:p>
        </w:tc>
        <w:tc>
          <w:tcPr>
            <w:tcW w:w="2890" w:type="dxa"/>
            <w:tcBorders>
              <w:top w:val="nil"/>
              <w:left w:val="nil"/>
              <w:bottom w:val="nil"/>
              <w:right w:val="nil"/>
            </w:tcBorders>
            <w:shd w:val="clear" w:color="auto" w:fill="auto"/>
            <w:noWrap/>
            <w:hideMark/>
          </w:tcPr>
          <w:p w14:paraId="15EEF9D5"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 --&gt; C</w:t>
            </w:r>
          </w:p>
        </w:tc>
      </w:tr>
      <w:tr w:rsidR="00050D4A" w:rsidRPr="00AE525E" w14:paraId="41E2081B" w14:textId="77777777" w:rsidTr="00050D4A">
        <w:trPr>
          <w:trHeight w:val="20"/>
        </w:trPr>
        <w:tc>
          <w:tcPr>
            <w:tcW w:w="1455" w:type="dxa"/>
            <w:tcBorders>
              <w:top w:val="nil"/>
              <w:left w:val="nil"/>
              <w:bottom w:val="nil"/>
              <w:right w:val="nil"/>
            </w:tcBorders>
            <w:shd w:val="clear" w:color="auto" w:fill="auto"/>
            <w:noWrap/>
            <w:hideMark/>
          </w:tcPr>
          <w:p w14:paraId="062E172B"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214748</w:t>
            </w:r>
          </w:p>
        </w:tc>
        <w:tc>
          <w:tcPr>
            <w:tcW w:w="2800" w:type="dxa"/>
            <w:tcBorders>
              <w:top w:val="nil"/>
              <w:left w:val="nil"/>
              <w:bottom w:val="nil"/>
              <w:right w:val="nil"/>
            </w:tcBorders>
            <w:shd w:val="clear" w:color="auto" w:fill="auto"/>
            <w:noWrap/>
            <w:hideMark/>
          </w:tcPr>
          <w:p w14:paraId="313B75C2"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 --&gt; C</w:t>
            </w:r>
          </w:p>
        </w:tc>
        <w:tc>
          <w:tcPr>
            <w:tcW w:w="1520" w:type="dxa"/>
            <w:tcBorders>
              <w:top w:val="nil"/>
              <w:left w:val="single" w:sz="4" w:space="0" w:color="auto"/>
              <w:bottom w:val="nil"/>
              <w:right w:val="nil"/>
            </w:tcBorders>
            <w:shd w:val="clear" w:color="auto" w:fill="auto"/>
            <w:noWrap/>
            <w:hideMark/>
          </w:tcPr>
          <w:p w14:paraId="5121629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1192851</w:t>
            </w:r>
          </w:p>
        </w:tc>
        <w:tc>
          <w:tcPr>
            <w:tcW w:w="2890" w:type="dxa"/>
            <w:tcBorders>
              <w:top w:val="nil"/>
              <w:left w:val="nil"/>
              <w:bottom w:val="nil"/>
              <w:right w:val="nil"/>
            </w:tcBorders>
            <w:shd w:val="clear" w:color="auto" w:fill="auto"/>
            <w:noWrap/>
            <w:hideMark/>
          </w:tcPr>
          <w:p w14:paraId="08D08098"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r>
      <w:tr w:rsidR="00050D4A" w:rsidRPr="00AE525E" w14:paraId="06288C33" w14:textId="77777777" w:rsidTr="00050D4A">
        <w:trPr>
          <w:trHeight w:val="20"/>
        </w:trPr>
        <w:tc>
          <w:tcPr>
            <w:tcW w:w="1455" w:type="dxa"/>
            <w:tcBorders>
              <w:top w:val="nil"/>
              <w:left w:val="nil"/>
              <w:bottom w:val="nil"/>
              <w:right w:val="nil"/>
            </w:tcBorders>
            <w:shd w:val="clear" w:color="auto" w:fill="auto"/>
            <w:noWrap/>
            <w:hideMark/>
          </w:tcPr>
          <w:p w14:paraId="175DD930"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239812</w:t>
            </w:r>
          </w:p>
        </w:tc>
        <w:tc>
          <w:tcPr>
            <w:tcW w:w="2800" w:type="dxa"/>
            <w:tcBorders>
              <w:top w:val="nil"/>
              <w:left w:val="nil"/>
              <w:bottom w:val="nil"/>
              <w:right w:val="nil"/>
            </w:tcBorders>
            <w:shd w:val="clear" w:color="auto" w:fill="auto"/>
            <w:noWrap/>
            <w:hideMark/>
          </w:tcPr>
          <w:p w14:paraId="0661D710"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c>
          <w:tcPr>
            <w:tcW w:w="1520" w:type="dxa"/>
            <w:tcBorders>
              <w:top w:val="nil"/>
              <w:left w:val="single" w:sz="4" w:space="0" w:color="auto"/>
              <w:bottom w:val="nil"/>
              <w:right w:val="nil"/>
            </w:tcBorders>
            <w:shd w:val="clear" w:color="auto" w:fill="auto"/>
            <w:noWrap/>
            <w:hideMark/>
          </w:tcPr>
          <w:p w14:paraId="7284455E"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1198134</w:t>
            </w:r>
          </w:p>
        </w:tc>
        <w:tc>
          <w:tcPr>
            <w:tcW w:w="2890" w:type="dxa"/>
            <w:tcBorders>
              <w:top w:val="nil"/>
              <w:left w:val="nil"/>
              <w:bottom w:val="nil"/>
              <w:right w:val="nil"/>
            </w:tcBorders>
            <w:shd w:val="clear" w:color="auto" w:fill="auto"/>
            <w:noWrap/>
            <w:hideMark/>
          </w:tcPr>
          <w:p w14:paraId="57662F11"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 --&gt; G</w:t>
            </w:r>
          </w:p>
        </w:tc>
      </w:tr>
      <w:tr w:rsidR="00050D4A" w:rsidRPr="00AE525E" w14:paraId="74ADD5C1" w14:textId="77777777" w:rsidTr="00050D4A">
        <w:trPr>
          <w:trHeight w:val="20"/>
        </w:trPr>
        <w:tc>
          <w:tcPr>
            <w:tcW w:w="1455" w:type="dxa"/>
            <w:tcBorders>
              <w:top w:val="nil"/>
              <w:left w:val="nil"/>
              <w:bottom w:val="nil"/>
              <w:right w:val="nil"/>
            </w:tcBorders>
            <w:shd w:val="clear" w:color="auto" w:fill="auto"/>
            <w:noWrap/>
            <w:hideMark/>
          </w:tcPr>
          <w:p w14:paraId="5C973F04"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248229</w:t>
            </w:r>
          </w:p>
        </w:tc>
        <w:tc>
          <w:tcPr>
            <w:tcW w:w="2800" w:type="dxa"/>
            <w:tcBorders>
              <w:top w:val="nil"/>
              <w:left w:val="nil"/>
              <w:bottom w:val="nil"/>
              <w:right w:val="nil"/>
            </w:tcBorders>
            <w:shd w:val="clear" w:color="auto" w:fill="auto"/>
            <w:noWrap/>
            <w:hideMark/>
          </w:tcPr>
          <w:p w14:paraId="31596907"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c>
          <w:tcPr>
            <w:tcW w:w="1520" w:type="dxa"/>
            <w:tcBorders>
              <w:top w:val="nil"/>
              <w:left w:val="single" w:sz="4" w:space="0" w:color="auto"/>
              <w:bottom w:val="nil"/>
              <w:right w:val="nil"/>
            </w:tcBorders>
            <w:shd w:val="clear" w:color="auto" w:fill="auto"/>
            <w:noWrap/>
            <w:hideMark/>
          </w:tcPr>
          <w:p w14:paraId="4E1EEC96"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1202462</w:t>
            </w:r>
          </w:p>
        </w:tc>
        <w:tc>
          <w:tcPr>
            <w:tcW w:w="2890" w:type="dxa"/>
            <w:tcBorders>
              <w:top w:val="nil"/>
              <w:left w:val="nil"/>
              <w:bottom w:val="nil"/>
              <w:right w:val="nil"/>
            </w:tcBorders>
            <w:shd w:val="clear" w:color="auto" w:fill="auto"/>
            <w:noWrap/>
            <w:hideMark/>
          </w:tcPr>
          <w:p w14:paraId="1367156E"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r>
      <w:tr w:rsidR="00050D4A" w:rsidRPr="00AE525E" w14:paraId="3B210B41" w14:textId="77777777" w:rsidTr="00050D4A">
        <w:trPr>
          <w:trHeight w:val="20"/>
        </w:trPr>
        <w:tc>
          <w:tcPr>
            <w:tcW w:w="1455" w:type="dxa"/>
            <w:tcBorders>
              <w:top w:val="nil"/>
              <w:left w:val="nil"/>
              <w:bottom w:val="nil"/>
              <w:right w:val="nil"/>
            </w:tcBorders>
            <w:shd w:val="clear" w:color="auto" w:fill="auto"/>
            <w:noWrap/>
            <w:hideMark/>
          </w:tcPr>
          <w:p w14:paraId="4BEE412D"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257027</w:t>
            </w:r>
          </w:p>
        </w:tc>
        <w:tc>
          <w:tcPr>
            <w:tcW w:w="2800" w:type="dxa"/>
            <w:tcBorders>
              <w:top w:val="nil"/>
              <w:left w:val="nil"/>
              <w:bottom w:val="nil"/>
              <w:right w:val="nil"/>
            </w:tcBorders>
            <w:shd w:val="clear" w:color="auto" w:fill="auto"/>
            <w:noWrap/>
            <w:hideMark/>
          </w:tcPr>
          <w:p w14:paraId="0E474320"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c>
          <w:tcPr>
            <w:tcW w:w="1520" w:type="dxa"/>
            <w:tcBorders>
              <w:top w:val="nil"/>
              <w:left w:val="single" w:sz="4" w:space="0" w:color="auto"/>
              <w:bottom w:val="nil"/>
              <w:right w:val="nil"/>
            </w:tcBorders>
            <w:shd w:val="clear" w:color="auto" w:fill="auto"/>
            <w:noWrap/>
            <w:hideMark/>
          </w:tcPr>
          <w:p w14:paraId="5EE6EC0E"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1228440</w:t>
            </w:r>
          </w:p>
        </w:tc>
        <w:tc>
          <w:tcPr>
            <w:tcW w:w="2890" w:type="dxa"/>
            <w:tcBorders>
              <w:top w:val="nil"/>
              <w:left w:val="nil"/>
              <w:bottom w:val="nil"/>
              <w:right w:val="nil"/>
            </w:tcBorders>
            <w:shd w:val="clear" w:color="auto" w:fill="auto"/>
            <w:noWrap/>
            <w:hideMark/>
          </w:tcPr>
          <w:p w14:paraId="5BFAAF39"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r>
      <w:tr w:rsidR="00050D4A" w:rsidRPr="00AE525E" w14:paraId="7EE2AE01" w14:textId="77777777" w:rsidTr="00050D4A">
        <w:trPr>
          <w:trHeight w:val="20"/>
        </w:trPr>
        <w:tc>
          <w:tcPr>
            <w:tcW w:w="1455" w:type="dxa"/>
            <w:tcBorders>
              <w:top w:val="nil"/>
              <w:left w:val="nil"/>
              <w:bottom w:val="nil"/>
              <w:right w:val="nil"/>
            </w:tcBorders>
            <w:shd w:val="clear" w:color="auto" w:fill="auto"/>
            <w:noWrap/>
            <w:hideMark/>
          </w:tcPr>
          <w:p w14:paraId="7DB98584"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270080</w:t>
            </w:r>
          </w:p>
        </w:tc>
        <w:tc>
          <w:tcPr>
            <w:tcW w:w="2800" w:type="dxa"/>
            <w:tcBorders>
              <w:top w:val="nil"/>
              <w:left w:val="nil"/>
              <w:bottom w:val="nil"/>
              <w:right w:val="nil"/>
            </w:tcBorders>
            <w:shd w:val="clear" w:color="auto" w:fill="auto"/>
            <w:noWrap/>
            <w:hideMark/>
          </w:tcPr>
          <w:p w14:paraId="51440F0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c>
          <w:tcPr>
            <w:tcW w:w="1520" w:type="dxa"/>
            <w:tcBorders>
              <w:top w:val="nil"/>
              <w:left w:val="single" w:sz="4" w:space="0" w:color="auto"/>
              <w:bottom w:val="nil"/>
              <w:right w:val="nil"/>
            </w:tcBorders>
            <w:shd w:val="clear" w:color="auto" w:fill="auto"/>
            <w:noWrap/>
            <w:hideMark/>
          </w:tcPr>
          <w:p w14:paraId="3B01D6A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1248434</w:t>
            </w:r>
          </w:p>
        </w:tc>
        <w:tc>
          <w:tcPr>
            <w:tcW w:w="2890" w:type="dxa"/>
            <w:tcBorders>
              <w:top w:val="nil"/>
              <w:left w:val="nil"/>
              <w:bottom w:val="nil"/>
              <w:right w:val="nil"/>
            </w:tcBorders>
            <w:shd w:val="clear" w:color="auto" w:fill="auto"/>
            <w:noWrap/>
            <w:hideMark/>
          </w:tcPr>
          <w:p w14:paraId="5094FE0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r>
      <w:tr w:rsidR="00050D4A" w:rsidRPr="00AE525E" w14:paraId="3D0327F3" w14:textId="77777777" w:rsidTr="00050D4A">
        <w:trPr>
          <w:trHeight w:val="20"/>
        </w:trPr>
        <w:tc>
          <w:tcPr>
            <w:tcW w:w="1455" w:type="dxa"/>
            <w:tcBorders>
              <w:top w:val="nil"/>
              <w:left w:val="nil"/>
              <w:bottom w:val="nil"/>
              <w:right w:val="nil"/>
            </w:tcBorders>
            <w:shd w:val="clear" w:color="auto" w:fill="auto"/>
            <w:noWrap/>
            <w:hideMark/>
          </w:tcPr>
          <w:p w14:paraId="593A5D8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270830</w:t>
            </w:r>
          </w:p>
        </w:tc>
        <w:tc>
          <w:tcPr>
            <w:tcW w:w="2800" w:type="dxa"/>
            <w:tcBorders>
              <w:top w:val="nil"/>
              <w:left w:val="nil"/>
              <w:bottom w:val="nil"/>
              <w:right w:val="nil"/>
            </w:tcBorders>
            <w:shd w:val="clear" w:color="auto" w:fill="auto"/>
            <w:noWrap/>
            <w:hideMark/>
          </w:tcPr>
          <w:p w14:paraId="2F2356AB"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c>
          <w:tcPr>
            <w:tcW w:w="1520" w:type="dxa"/>
            <w:tcBorders>
              <w:top w:val="nil"/>
              <w:left w:val="single" w:sz="4" w:space="0" w:color="auto"/>
              <w:bottom w:val="nil"/>
              <w:right w:val="nil"/>
            </w:tcBorders>
            <w:shd w:val="clear" w:color="auto" w:fill="auto"/>
            <w:noWrap/>
            <w:hideMark/>
          </w:tcPr>
          <w:p w14:paraId="79C0A84C"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1274734</w:t>
            </w:r>
          </w:p>
        </w:tc>
        <w:tc>
          <w:tcPr>
            <w:tcW w:w="2890" w:type="dxa"/>
            <w:tcBorders>
              <w:top w:val="nil"/>
              <w:left w:val="nil"/>
              <w:bottom w:val="nil"/>
              <w:right w:val="nil"/>
            </w:tcBorders>
            <w:shd w:val="clear" w:color="auto" w:fill="auto"/>
            <w:noWrap/>
            <w:hideMark/>
          </w:tcPr>
          <w:p w14:paraId="6F056511"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r>
      <w:tr w:rsidR="00050D4A" w:rsidRPr="00AE525E" w14:paraId="37BF1C15" w14:textId="77777777" w:rsidTr="00050D4A">
        <w:trPr>
          <w:trHeight w:val="20"/>
        </w:trPr>
        <w:tc>
          <w:tcPr>
            <w:tcW w:w="1455" w:type="dxa"/>
            <w:tcBorders>
              <w:top w:val="nil"/>
              <w:left w:val="nil"/>
              <w:bottom w:val="nil"/>
              <w:right w:val="nil"/>
            </w:tcBorders>
            <w:shd w:val="clear" w:color="auto" w:fill="auto"/>
            <w:noWrap/>
            <w:hideMark/>
          </w:tcPr>
          <w:p w14:paraId="3D2068F9"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288972</w:t>
            </w:r>
          </w:p>
        </w:tc>
        <w:tc>
          <w:tcPr>
            <w:tcW w:w="2800" w:type="dxa"/>
            <w:tcBorders>
              <w:top w:val="nil"/>
              <w:left w:val="nil"/>
              <w:bottom w:val="nil"/>
              <w:right w:val="nil"/>
            </w:tcBorders>
            <w:shd w:val="clear" w:color="auto" w:fill="auto"/>
            <w:noWrap/>
            <w:hideMark/>
          </w:tcPr>
          <w:p w14:paraId="1F67EE2D"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c>
          <w:tcPr>
            <w:tcW w:w="1520" w:type="dxa"/>
            <w:tcBorders>
              <w:top w:val="nil"/>
              <w:left w:val="single" w:sz="4" w:space="0" w:color="auto"/>
              <w:bottom w:val="nil"/>
              <w:right w:val="nil"/>
            </w:tcBorders>
            <w:shd w:val="clear" w:color="auto" w:fill="auto"/>
            <w:noWrap/>
            <w:hideMark/>
          </w:tcPr>
          <w:p w14:paraId="71290664"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1278851</w:t>
            </w:r>
          </w:p>
        </w:tc>
        <w:tc>
          <w:tcPr>
            <w:tcW w:w="2890" w:type="dxa"/>
            <w:tcBorders>
              <w:top w:val="nil"/>
              <w:left w:val="nil"/>
              <w:bottom w:val="nil"/>
              <w:right w:val="nil"/>
            </w:tcBorders>
            <w:shd w:val="clear" w:color="auto" w:fill="auto"/>
            <w:noWrap/>
            <w:hideMark/>
          </w:tcPr>
          <w:p w14:paraId="4DE7268F"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 --&gt; G</w:t>
            </w:r>
          </w:p>
        </w:tc>
      </w:tr>
      <w:tr w:rsidR="00050D4A" w:rsidRPr="00AE525E" w14:paraId="281D6D28" w14:textId="77777777" w:rsidTr="00050D4A">
        <w:trPr>
          <w:trHeight w:val="20"/>
        </w:trPr>
        <w:tc>
          <w:tcPr>
            <w:tcW w:w="1455" w:type="dxa"/>
            <w:tcBorders>
              <w:top w:val="nil"/>
              <w:left w:val="nil"/>
              <w:bottom w:val="nil"/>
              <w:right w:val="nil"/>
            </w:tcBorders>
            <w:shd w:val="clear" w:color="auto" w:fill="auto"/>
            <w:noWrap/>
            <w:hideMark/>
          </w:tcPr>
          <w:p w14:paraId="39A52D31"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328042</w:t>
            </w:r>
          </w:p>
        </w:tc>
        <w:tc>
          <w:tcPr>
            <w:tcW w:w="2800" w:type="dxa"/>
            <w:tcBorders>
              <w:top w:val="nil"/>
              <w:left w:val="nil"/>
              <w:bottom w:val="nil"/>
              <w:right w:val="nil"/>
            </w:tcBorders>
            <w:shd w:val="clear" w:color="auto" w:fill="auto"/>
            <w:noWrap/>
            <w:hideMark/>
          </w:tcPr>
          <w:p w14:paraId="10C3894B"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c>
          <w:tcPr>
            <w:tcW w:w="1520" w:type="dxa"/>
            <w:tcBorders>
              <w:top w:val="nil"/>
              <w:left w:val="single" w:sz="4" w:space="0" w:color="auto"/>
              <w:bottom w:val="nil"/>
              <w:right w:val="nil"/>
            </w:tcBorders>
            <w:shd w:val="clear" w:color="auto" w:fill="auto"/>
            <w:noWrap/>
            <w:hideMark/>
          </w:tcPr>
          <w:p w14:paraId="3876C994"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1283521</w:t>
            </w:r>
          </w:p>
        </w:tc>
        <w:tc>
          <w:tcPr>
            <w:tcW w:w="2890" w:type="dxa"/>
            <w:tcBorders>
              <w:top w:val="nil"/>
              <w:left w:val="nil"/>
              <w:bottom w:val="nil"/>
              <w:right w:val="nil"/>
            </w:tcBorders>
            <w:shd w:val="clear" w:color="auto" w:fill="auto"/>
            <w:noWrap/>
            <w:hideMark/>
          </w:tcPr>
          <w:p w14:paraId="4020099C"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G</w:t>
            </w:r>
          </w:p>
        </w:tc>
      </w:tr>
      <w:tr w:rsidR="00050D4A" w:rsidRPr="00AE525E" w14:paraId="4E7B2D34" w14:textId="77777777" w:rsidTr="00050D4A">
        <w:trPr>
          <w:trHeight w:val="20"/>
        </w:trPr>
        <w:tc>
          <w:tcPr>
            <w:tcW w:w="1455" w:type="dxa"/>
            <w:tcBorders>
              <w:top w:val="nil"/>
              <w:left w:val="nil"/>
              <w:bottom w:val="nil"/>
              <w:right w:val="nil"/>
            </w:tcBorders>
            <w:shd w:val="clear" w:color="auto" w:fill="auto"/>
            <w:noWrap/>
            <w:hideMark/>
          </w:tcPr>
          <w:p w14:paraId="0BF155F3"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459746</w:t>
            </w:r>
          </w:p>
        </w:tc>
        <w:tc>
          <w:tcPr>
            <w:tcW w:w="2800" w:type="dxa"/>
            <w:tcBorders>
              <w:top w:val="nil"/>
              <w:left w:val="nil"/>
              <w:bottom w:val="nil"/>
              <w:right w:val="nil"/>
            </w:tcBorders>
            <w:shd w:val="clear" w:color="auto" w:fill="auto"/>
            <w:noWrap/>
            <w:hideMark/>
          </w:tcPr>
          <w:p w14:paraId="447B0A84"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c>
          <w:tcPr>
            <w:tcW w:w="1520" w:type="dxa"/>
            <w:tcBorders>
              <w:top w:val="nil"/>
              <w:left w:val="single" w:sz="4" w:space="0" w:color="auto"/>
              <w:bottom w:val="nil"/>
              <w:right w:val="nil"/>
            </w:tcBorders>
            <w:shd w:val="clear" w:color="auto" w:fill="auto"/>
            <w:noWrap/>
            <w:hideMark/>
          </w:tcPr>
          <w:p w14:paraId="3F4F4F7B"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1317037</w:t>
            </w:r>
          </w:p>
        </w:tc>
        <w:tc>
          <w:tcPr>
            <w:tcW w:w="2890" w:type="dxa"/>
            <w:tcBorders>
              <w:top w:val="nil"/>
              <w:left w:val="nil"/>
              <w:bottom w:val="nil"/>
              <w:right w:val="nil"/>
            </w:tcBorders>
            <w:shd w:val="clear" w:color="auto" w:fill="auto"/>
            <w:noWrap/>
            <w:hideMark/>
          </w:tcPr>
          <w:p w14:paraId="60A9003E"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r>
      <w:tr w:rsidR="00050D4A" w:rsidRPr="00AE525E" w14:paraId="2769C224" w14:textId="77777777" w:rsidTr="00050D4A">
        <w:trPr>
          <w:trHeight w:val="20"/>
        </w:trPr>
        <w:tc>
          <w:tcPr>
            <w:tcW w:w="1455" w:type="dxa"/>
            <w:tcBorders>
              <w:top w:val="nil"/>
              <w:left w:val="nil"/>
              <w:bottom w:val="nil"/>
              <w:right w:val="nil"/>
            </w:tcBorders>
            <w:shd w:val="clear" w:color="auto" w:fill="auto"/>
            <w:noWrap/>
            <w:hideMark/>
          </w:tcPr>
          <w:p w14:paraId="66820632"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510028</w:t>
            </w:r>
          </w:p>
        </w:tc>
        <w:tc>
          <w:tcPr>
            <w:tcW w:w="2800" w:type="dxa"/>
            <w:tcBorders>
              <w:top w:val="nil"/>
              <w:left w:val="nil"/>
              <w:bottom w:val="nil"/>
              <w:right w:val="nil"/>
            </w:tcBorders>
            <w:shd w:val="clear" w:color="auto" w:fill="auto"/>
            <w:noWrap/>
            <w:hideMark/>
          </w:tcPr>
          <w:p w14:paraId="253491FE"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T</w:t>
            </w:r>
          </w:p>
        </w:tc>
        <w:tc>
          <w:tcPr>
            <w:tcW w:w="1520" w:type="dxa"/>
            <w:tcBorders>
              <w:top w:val="nil"/>
              <w:left w:val="single" w:sz="4" w:space="0" w:color="auto"/>
              <w:bottom w:val="nil"/>
              <w:right w:val="nil"/>
            </w:tcBorders>
            <w:shd w:val="clear" w:color="auto" w:fill="auto"/>
            <w:noWrap/>
            <w:hideMark/>
          </w:tcPr>
          <w:p w14:paraId="6CD19157"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1358528</w:t>
            </w:r>
          </w:p>
        </w:tc>
        <w:tc>
          <w:tcPr>
            <w:tcW w:w="2890" w:type="dxa"/>
            <w:tcBorders>
              <w:top w:val="nil"/>
              <w:left w:val="nil"/>
              <w:bottom w:val="nil"/>
              <w:right w:val="nil"/>
            </w:tcBorders>
            <w:shd w:val="clear" w:color="auto" w:fill="auto"/>
            <w:noWrap/>
            <w:hideMark/>
          </w:tcPr>
          <w:p w14:paraId="3EC1AF2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C</w:t>
            </w:r>
          </w:p>
        </w:tc>
      </w:tr>
      <w:tr w:rsidR="00050D4A" w:rsidRPr="00AE525E" w14:paraId="5CF2C59C" w14:textId="77777777" w:rsidTr="00050D4A">
        <w:trPr>
          <w:trHeight w:val="20"/>
        </w:trPr>
        <w:tc>
          <w:tcPr>
            <w:tcW w:w="1455" w:type="dxa"/>
            <w:tcBorders>
              <w:top w:val="nil"/>
              <w:left w:val="nil"/>
              <w:bottom w:val="nil"/>
              <w:right w:val="nil"/>
            </w:tcBorders>
            <w:shd w:val="clear" w:color="auto" w:fill="auto"/>
            <w:noWrap/>
            <w:hideMark/>
          </w:tcPr>
          <w:p w14:paraId="1F49976D"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521086</w:t>
            </w:r>
          </w:p>
        </w:tc>
        <w:tc>
          <w:tcPr>
            <w:tcW w:w="2800" w:type="dxa"/>
            <w:tcBorders>
              <w:top w:val="nil"/>
              <w:left w:val="nil"/>
              <w:bottom w:val="nil"/>
              <w:right w:val="nil"/>
            </w:tcBorders>
            <w:shd w:val="clear" w:color="auto" w:fill="auto"/>
            <w:noWrap/>
            <w:hideMark/>
          </w:tcPr>
          <w:p w14:paraId="6542FAD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c>
          <w:tcPr>
            <w:tcW w:w="1520" w:type="dxa"/>
            <w:tcBorders>
              <w:top w:val="nil"/>
              <w:left w:val="single" w:sz="4" w:space="0" w:color="auto"/>
              <w:bottom w:val="nil"/>
              <w:right w:val="nil"/>
            </w:tcBorders>
            <w:shd w:val="clear" w:color="auto" w:fill="auto"/>
            <w:noWrap/>
            <w:hideMark/>
          </w:tcPr>
          <w:p w14:paraId="559E5742"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1379595</w:t>
            </w:r>
          </w:p>
        </w:tc>
        <w:tc>
          <w:tcPr>
            <w:tcW w:w="2890" w:type="dxa"/>
            <w:tcBorders>
              <w:top w:val="nil"/>
              <w:left w:val="nil"/>
              <w:bottom w:val="nil"/>
              <w:right w:val="nil"/>
            </w:tcBorders>
            <w:shd w:val="clear" w:color="auto" w:fill="auto"/>
            <w:noWrap/>
            <w:hideMark/>
          </w:tcPr>
          <w:p w14:paraId="3686658E"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T</w:t>
            </w:r>
          </w:p>
        </w:tc>
      </w:tr>
      <w:tr w:rsidR="00050D4A" w:rsidRPr="00AE525E" w14:paraId="13781EEB" w14:textId="77777777" w:rsidTr="00050D4A">
        <w:trPr>
          <w:trHeight w:val="20"/>
        </w:trPr>
        <w:tc>
          <w:tcPr>
            <w:tcW w:w="1455" w:type="dxa"/>
            <w:tcBorders>
              <w:top w:val="nil"/>
              <w:left w:val="nil"/>
              <w:bottom w:val="nil"/>
              <w:right w:val="nil"/>
            </w:tcBorders>
            <w:shd w:val="clear" w:color="auto" w:fill="auto"/>
            <w:noWrap/>
            <w:hideMark/>
          </w:tcPr>
          <w:p w14:paraId="6893E762"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532482</w:t>
            </w:r>
          </w:p>
        </w:tc>
        <w:tc>
          <w:tcPr>
            <w:tcW w:w="2800" w:type="dxa"/>
            <w:tcBorders>
              <w:top w:val="nil"/>
              <w:left w:val="nil"/>
              <w:bottom w:val="nil"/>
              <w:right w:val="nil"/>
            </w:tcBorders>
            <w:shd w:val="clear" w:color="auto" w:fill="auto"/>
            <w:noWrap/>
            <w:hideMark/>
          </w:tcPr>
          <w:p w14:paraId="0D208228"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c>
          <w:tcPr>
            <w:tcW w:w="1520" w:type="dxa"/>
            <w:tcBorders>
              <w:top w:val="nil"/>
              <w:left w:val="single" w:sz="4" w:space="0" w:color="auto"/>
              <w:bottom w:val="nil"/>
              <w:right w:val="nil"/>
            </w:tcBorders>
            <w:shd w:val="clear" w:color="auto" w:fill="auto"/>
            <w:noWrap/>
            <w:hideMark/>
          </w:tcPr>
          <w:p w14:paraId="332DED0F"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1387126</w:t>
            </w:r>
          </w:p>
        </w:tc>
        <w:tc>
          <w:tcPr>
            <w:tcW w:w="2890" w:type="dxa"/>
            <w:tcBorders>
              <w:top w:val="nil"/>
              <w:left w:val="nil"/>
              <w:bottom w:val="nil"/>
              <w:right w:val="nil"/>
            </w:tcBorders>
            <w:shd w:val="clear" w:color="auto" w:fill="auto"/>
            <w:noWrap/>
            <w:hideMark/>
          </w:tcPr>
          <w:p w14:paraId="03EC1898"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A</w:t>
            </w:r>
          </w:p>
        </w:tc>
      </w:tr>
      <w:tr w:rsidR="00050D4A" w:rsidRPr="00AE525E" w14:paraId="29D9F4AA" w14:textId="77777777" w:rsidTr="00050D4A">
        <w:trPr>
          <w:trHeight w:val="20"/>
        </w:trPr>
        <w:tc>
          <w:tcPr>
            <w:tcW w:w="1455" w:type="dxa"/>
            <w:tcBorders>
              <w:top w:val="nil"/>
              <w:left w:val="nil"/>
              <w:bottom w:val="nil"/>
              <w:right w:val="nil"/>
            </w:tcBorders>
            <w:shd w:val="clear" w:color="auto" w:fill="auto"/>
            <w:noWrap/>
            <w:hideMark/>
          </w:tcPr>
          <w:p w14:paraId="0246CA7B"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629127</w:t>
            </w:r>
          </w:p>
        </w:tc>
        <w:tc>
          <w:tcPr>
            <w:tcW w:w="2800" w:type="dxa"/>
            <w:tcBorders>
              <w:top w:val="nil"/>
              <w:left w:val="nil"/>
              <w:bottom w:val="nil"/>
              <w:right w:val="nil"/>
            </w:tcBorders>
            <w:shd w:val="clear" w:color="auto" w:fill="auto"/>
            <w:noWrap/>
            <w:hideMark/>
          </w:tcPr>
          <w:p w14:paraId="70D2917E"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c>
          <w:tcPr>
            <w:tcW w:w="1520" w:type="dxa"/>
            <w:tcBorders>
              <w:top w:val="nil"/>
              <w:left w:val="single" w:sz="4" w:space="0" w:color="auto"/>
              <w:bottom w:val="nil"/>
              <w:right w:val="nil"/>
            </w:tcBorders>
            <w:shd w:val="clear" w:color="auto" w:fill="auto"/>
            <w:noWrap/>
            <w:hideMark/>
          </w:tcPr>
          <w:p w14:paraId="5924938C"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1510047</w:t>
            </w:r>
          </w:p>
        </w:tc>
        <w:tc>
          <w:tcPr>
            <w:tcW w:w="2890" w:type="dxa"/>
            <w:tcBorders>
              <w:top w:val="nil"/>
              <w:left w:val="nil"/>
              <w:bottom w:val="nil"/>
              <w:right w:val="nil"/>
            </w:tcBorders>
            <w:shd w:val="clear" w:color="auto" w:fill="auto"/>
            <w:noWrap/>
            <w:hideMark/>
          </w:tcPr>
          <w:p w14:paraId="6B3D4DAE"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T</w:t>
            </w:r>
          </w:p>
        </w:tc>
      </w:tr>
      <w:tr w:rsidR="00050D4A" w:rsidRPr="00AE525E" w14:paraId="7E07007A" w14:textId="77777777" w:rsidTr="00050D4A">
        <w:trPr>
          <w:trHeight w:val="20"/>
        </w:trPr>
        <w:tc>
          <w:tcPr>
            <w:tcW w:w="1455" w:type="dxa"/>
            <w:tcBorders>
              <w:top w:val="nil"/>
              <w:left w:val="nil"/>
              <w:bottom w:val="nil"/>
              <w:right w:val="nil"/>
            </w:tcBorders>
            <w:shd w:val="clear" w:color="auto" w:fill="auto"/>
            <w:noWrap/>
            <w:hideMark/>
          </w:tcPr>
          <w:p w14:paraId="298BD954"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644504</w:t>
            </w:r>
          </w:p>
        </w:tc>
        <w:tc>
          <w:tcPr>
            <w:tcW w:w="2800" w:type="dxa"/>
            <w:tcBorders>
              <w:top w:val="nil"/>
              <w:left w:val="nil"/>
              <w:bottom w:val="nil"/>
              <w:right w:val="nil"/>
            </w:tcBorders>
            <w:shd w:val="clear" w:color="auto" w:fill="auto"/>
            <w:noWrap/>
            <w:hideMark/>
          </w:tcPr>
          <w:p w14:paraId="751D2E80"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 --&gt; G</w:t>
            </w:r>
          </w:p>
        </w:tc>
        <w:tc>
          <w:tcPr>
            <w:tcW w:w="1520" w:type="dxa"/>
            <w:tcBorders>
              <w:top w:val="nil"/>
              <w:left w:val="single" w:sz="4" w:space="0" w:color="auto"/>
              <w:bottom w:val="nil"/>
              <w:right w:val="nil"/>
            </w:tcBorders>
            <w:shd w:val="clear" w:color="auto" w:fill="auto"/>
            <w:noWrap/>
            <w:hideMark/>
          </w:tcPr>
          <w:p w14:paraId="7B8DCD2C"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1534354</w:t>
            </w:r>
          </w:p>
        </w:tc>
        <w:tc>
          <w:tcPr>
            <w:tcW w:w="2890" w:type="dxa"/>
            <w:tcBorders>
              <w:top w:val="nil"/>
              <w:left w:val="nil"/>
              <w:bottom w:val="nil"/>
              <w:right w:val="nil"/>
            </w:tcBorders>
            <w:shd w:val="clear" w:color="auto" w:fill="auto"/>
            <w:noWrap/>
            <w:hideMark/>
          </w:tcPr>
          <w:p w14:paraId="0A0507C0"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 --&gt; C</w:t>
            </w:r>
          </w:p>
        </w:tc>
      </w:tr>
      <w:tr w:rsidR="00050D4A" w:rsidRPr="00AE525E" w14:paraId="14AECF46" w14:textId="77777777" w:rsidTr="00050D4A">
        <w:trPr>
          <w:trHeight w:val="20"/>
        </w:trPr>
        <w:tc>
          <w:tcPr>
            <w:tcW w:w="1455" w:type="dxa"/>
            <w:tcBorders>
              <w:top w:val="nil"/>
              <w:left w:val="nil"/>
              <w:bottom w:val="nil"/>
              <w:right w:val="nil"/>
            </w:tcBorders>
            <w:shd w:val="clear" w:color="auto" w:fill="auto"/>
            <w:noWrap/>
            <w:hideMark/>
          </w:tcPr>
          <w:p w14:paraId="6DAA3D35"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648340</w:t>
            </w:r>
          </w:p>
        </w:tc>
        <w:tc>
          <w:tcPr>
            <w:tcW w:w="2800" w:type="dxa"/>
            <w:tcBorders>
              <w:top w:val="nil"/>
              <w:left w:val="nil"/>
              <w:bottom w:val="nil"/>
              <w:right w:val="nil"/>
            </w:tcBorders>
            <w:shd w:val="clear" w:color="auto" w:fill="auto"/>
            <w:noWrap/>
            <w:hideMark/>
          </w:tcPr>
          <w:p w14:paraId="36FB01E1"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 --&gt; G</w:t>
            </w:r>
          </w:p>
        </w:tc>
        <w:tc>
          <w:tcPr>
            <w:tcW w:w="1520" w:type="dxa"/>
            <w:tcBorders>
              <w:top w:val="nil"/>
              <w:left w:val="single" w:sz="4" w:space="0" w:color="auto"/>
              <w:bottom w:val="nil"/>
              <w:right w:val="nil"/>
            </w:tcBorders>
            <w:shd w:val="clear" w:color="auto" w:fill="auto"/>
            <w:noWrap/>
            <w:hideMark/>
          </w:tcPr>
          <w:p w14:paraId="5683F6AB"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1600837</w:t>
            </w:r>
          </w:p>
        </w:tc>
        <w:tc>
          <w:tcPr>
            <w:tcW w:w="2890" w:type="dxa"/>
            <w:tcBorders>
              <w:top w:val="nil"/>
              <w:left w:val="nil"/>
              <w:bottom w:val="nil"/>
              <w:right w:val="nil"/>
            </w:tcBorders>
            <w:shd w:val="clear" w:color="auto" w:fill="auto"/>
            <w:noWrap/>
            <w:hideMark/>
          </w:tcPr>
          <w:p w14:paraId="1F9AE779"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 --&gt; C</w:t>
            </w:r>
          </w:p>
        </w:tc>
      </w:tr>
      <w:tr w:rsidR="00050D4A" w:rsidRPr="00AE525E" w14:paraId="51FF5F3E" w14:textId="77777777" w:rsidTr="00050D4A">
        <w:trPr>
          <w:trHeight w:val="20"/>
        </w:trPr>
        <w:tc>
          <w:tcPr>
            <w:tcW w:w="1455" w:type="dxa"/>
            <w:tcBorders>
              <w:top w:val="nil"/>
              <w:left w:val="nil"/>
              <w:bottom w:val="nil"/>
              <w:right w:val="nil"/>
            </w:tcBorders>
            <w:shd w:val="clear" w:color="auto" w:fill="auto"/>
            <w:noWrap/>
            <w:hideMark/>
          </w:tcPr>
          <w:p w14:paraId="11525A65"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668691</w:t>
            </w:r>
          </w:p>
        </w:tc>
        <w:tc>
          <w:tcPr>
            <w:tcW w:w="2800" w:type="dxa"/>
            <w:tcBorders>
              <w:top w:val="nil"/>
              <w:left w:val="nil"/>
              <w:bottom w:val="nil"/>
              <w:right w:val="nil"/>
            </w:tcBorders>
            <w:shd w:val="clear" w:color="auto" w:fill="auto"/>
            <w:noWrap/>
            <w:hideMark/>
          </w:tcPr>
          <w:p w14:paraId="1F627D61"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 --&gt; C</w:t>
            </w:r>
          </w:p>
        </w:tc>
        <w:tc>
          <w:tcPr>
            <w:tcW w:w="1520" w:type="dxa"/>
            <w:tcBorders>
              <w:top w:val="nil"/>
              <w:left w:val="single" w:sz="4" w:space="0" w:color="auto"/>
              <w:bottom w:val="nil"/>
              <w:right w:val="nil"/>
            </w:tcBorders>
            <w:shd w:val="clear" w:color="auto" w:fill="auto"/>
            <w:noWrap/>
            <w:hideMark/>
          </w:tcPr>
          <w:p w14:paraId="2070BDEB"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1638177</w:t>
            </w:r>
          </w:p>
        </w:tc>
        <w:tc>
          <w:tcPr>
            <w:tcW w:w="2890" w:type="dxa"/>
            <w:tcBorders>
              <w:top w:val="nil"/>
              <w:left w:val="nil"/>
              <w:bottom w:val="nil"/>
              <w:right w:val="nil"/>
            </w:tcBorders>
            <w:shd w:val="clear" w:color="auto" w:fill="auto"/>
            <w:noWrap/>
            <w:hideMark/>
          </w:tcPr>
          <w:p w14:paraId="2032A562"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 --&gt; G</w:t>
            </w:r>
          </w:p>
        </w:tc>
      </w:tr>
      <w:tr w:rsidR="00050D4A" w:rsidRPr="00AE525E" w14:paraId="25986C95" w14:textId="77777777" w:rsidTr="00050D4A">
        <w:trPr>
          <w:trHeight w:val="20"/>
        </w:trPr>
        <w:tc>
          <w:tcPr>
            <w:tcW w:w="1455" w:type="dxa"/>
            <w:tcBorders>
              <w:top w:val="nil"/>
              <w:left w:val="nil"/>
              <w:bottom w:val="nil"/>
              <w:right w:val="nil"/>
            </w:tcBorders>
            <w:shd w:val="clear" w:color="auto" w:fill="auto"/>
            <w:noWrap/>
            <w:hideMark/>
          </w:tcPr>
          <w:p w14:paraId="4CF5A1AB"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681224</w:t>
            </w:r>
          </w:p>
        </w:tc>
        <w:tc>
          <w:tcPr>
            <w:tcW w:w="2800" w:type="dxa"/>
            <w:tcBorders>
              <w:top w:val="nil"/>
              <w:left w:val="nil"/>
              <w:bottom w:val="nil"/>
              <w:right w:val="nil"/>
            </w:tcBorders>
            <w:shd w:val="clear" w:color="auto" w:fill="auto"/>
            <w:noWrap/>
            <w:hideMark/>
          </w:tcPr>
          <w:p w14:paraId="0647F64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 --&gt; C</w:t>
            </w:r>
          </w:p>
        </w:tc>
        <w:tc>
          <w:tcPr>
            <w:tcW w:w="1520" w:type="dxa"/>
            <w:tcBorders>
              <w:top w:val="nil"/>
              <w:left w:val="single" w:sz="4" w:space="0" w:color="auto"/>
              <w:bottom w:val="nil"/>
              <w:right w:val="nil"/>
            </w:tcBorders>
            <w:shd w:val="clear" w:color="auto" w:fill="auto"/>
            <w:noWrap/>
            <w:hideMark/>
          </w:tcPr>
          <w:p w14:paraId="11C02E35"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1697315</w:t>
            </w:r>
          </w:p>
        </w:tc>
        <w:tc>
          <w:tcPr>
            <w:tcW w:w="2890" w:type="dxa"/>
            <w:tcBorders>
              <w:top w:val="nil"/>
              <w:left w:val="nil"/>
              <w:bottom w:val="nil"/>
              <w:right w:val="nil"/>
            </w:tcBorders>
            <w:shd w:val="clear" w:color="auto" w:fill="auto"/>
            <w:noWrap/>
            <w:hideMark/>
          </w:tcPr>
          <w:p w14:paraId="14B95902"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 --&gt; G</w:t>
            </w:r>
          </w:p>
        </w:tc>
      </w:tr>
      <w:tr w:rsidR="00050D4A" w:rsidRPr="00AE525E" w14:paraId="63EE90F4" w14:textId="77777777" w:rsidTr="00050D4A">
        <w:trPr>
          <w:trHeight w:val="20"/>
        </w:trPr>
        <w:tc>
          <w:tcPr>
            <w:tcW w:w="1455" w:type="dxa"/>
            <w:tcBorders>
              <w:top w:val="nil"/>
              <w:left w:val="nil"/>
              <w:bottom w:val="nil"/>
              <w:right w:val="nil"/>
            </w:tcBorders>
            <w:shd w:val="clear" w:color="auto" w:fill="auto"/>
            <w:noWrap/>
            <w:hideMark/>
          </w:tcPr>
          <w:p w14:paraId="638A5536"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lastRenderedPageBreak/>
              <w:t>690051</w:t>
            </w:r>
          </w:p>
        </w:tc>
        <w:tc>
          <w:tcPr>
            <w:tcW w:w="2800" w:type="dxa"/>
            <w:tcBorders>
              <w:top w:val="nil"/>
              <w:left w:val="nil"/>
              <w:bottom w:val="nil"/>
              <w:right w:val="nil"/>
            </w:tcBorders>
            <w:shd w:val="clear" w:color="auto" w:fill="auto"/>
            <w:noWrap/>
            <w:hideMark/>
          </w:tcPr>
          <w:p w14:paraId="4CF3E497"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G --&gt; A</w:t>
            </w:r>
          </w:p>
        </w:tc>
        <w:tc>
          <w:tcPr>
            <w:tcW w:w="1520" w:type="dxa"/>
            <w:tcBorders>
              <w:top w:val="nil"/>
              <w:left w:val="single" w:sz="4" w:space="0" w:color="auto"/>
              <w:bottom w:val="nil"/>
              <w:right w:val="nil"/>
            </w:tcBorders>
            <w:shd w:val="clear" w:color="auto" w:fill="auto"/>
            <w:noWrap/>
            <w:hideMark/>
          </w:tcPr>
          <w:p w14:paraId="439544E1"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1772989</w:t>
            </w:r>
          </w:p>
        </w:tc>
        <w:tc>
          <w:tcPr>
            <w:tcW w:w="2890" w:type="dxa"/>
            <w:tcBorders>
              <w:top w:val="nil"/>
              <w:left w:val="nil"/>
              <w:bottom w:val="nil"/>
              <w:right w:val="nil"/>
            </w:tcBorders>
            <w:shd w:val="clear" w:color="auto" w:fill="auto"/>
            <w:noWrap/>
            <w:hideMark/>
          </w:tcPr>
          <w:p w14:paraId="50804547"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r>
      <w:tr w:rsidR="00050D4A" w:rsidRPr="00AE525E" w14:paraId="6A731314" w14:textId="77777777" w:rsidTr="00050D4A">
        <w:trPr>
          <w:trHeight w:val="20"/>
        </w:trPr>
        <w:tc>
          <w:tcPr>
            <w:tcW w:w="1455" w:type="dxa"/>
            <w:tcBorders>
              <w:top w:val="nil"/>
              <w:left w:val="nil"/>
              <w:bottom w:val="nil"/>
              <w:right w:val="nil"/>
            </w:tcBorders>
            <w:shd w:val="clear" w:color="auto" w:fill="auto"/>
            <w:noWrap/>
            <w:hideMark/>
          </w:tcPr>
          <w:p w14:paraId="523BCA83"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769005</w:t>
            </w:r>
          </w:p>
        </w:tc>
        <w:tc>
          <w:tcPr>
            <w:tcW w:w="2800" w:type="dxa"/>
            <w:tcBorders>
              <w:top w:val="nil"/>
              <w:left w:val="nil"/>
              <w:bottom w:val="nil"/>
              <w:right w:val="nil"/>
            </w:tcBorders>
            <w:shd w:val="clear" w:color="auto" w:fill="auto"/>
            <w:noWrap/>
            <w:hideMark/>
          </w:tcPr>
          <w:p w14:paraId="5AD4F6AE"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A --&gt; C</w:t>
            </w:r>
          </w:p>
        </w:tc>
        <w:tc>
          <w:tcPr>
            <w:tcW w:w="1520" w:type="dxa"/>
            <w:tcBorders>
              <w:top w:val="nil"/>
              <w:left w:val="single" w:sz="4" w:space="0" w:color="auto"/>
              <w:bottom w:val="nil"/>
              <w:right w:val="nil"/>
            </w:tcBorders>
            <w:shd w:val="clear" w:color="auto" w:fill="auto"/>
            <w:noWrap/>
            <w:hideMark/>
          </w:tcPr>
          <w:p w14:paraId="37084B0D"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1805758</w:t>
            </w:r>
          </w:p>
        </w:tc>
        <w:tc>
          <w:tcPr>
            <w:tcW w:w="2890" w:type="dxa"/>
            <w:tcBorders>
              <w:top w:val="nil"/>
              <w:left w:val="nil"/>
              <w:bottom w:val="nil"/>
              <w:right w:val="nil"/>
            </w:tcBorders>
            <w:shd w:val="clear" w:color="auto" w:fill="auto"/>
            <w:noWrap/>
            <w:hideMark/>
          </w:tcPr>
          <w:p w14:paraId="54340365"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T --&gt; C</w:t>
            </w:r>
          </w:p>
        </w:tc>
      </w:tr>
      <w:tr w:rsidR="00050D4A" w:rsidRPr="00AE525E" w14:paraId="0847587A" w14:textId="77777777" w:rsidTr="00050D4A">
        <w:trPr>
          <w:trHeight w:val="20"/>
        </w:trPr>
        <w:tc>
          <w:tcPr>
            <w:tcW w:w="1455" w:type="dxa"/>
            <w:tcBorders>
              <w:top w:val="nil"/>
              <w:left w:val="nil"/>
              <w:bottom w:val="single" w:sz="8" w:space="0" w:color="auto"/>
              <w:right w:val="nil"/>
            </w:tcBorders>
            <w:shd w:val="clear" w:color="auto" w:fill="auto"/>
            <w:noWrap/>
            <w:hideMark/>
          </w:tcPr>
          <w:p w14:paraId="5BAFDAD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833330</w:t>
            </w:r>
          </w:p>
        </w:tc>
        <w:tc>
          <w:tcPr>
            <w:tcW w:w="2800" w:type="dxa"/>
            <w:tcBorders>
              <w:top w:val="nil"/>
              <w:left w:val="nil"/>
              <w:bottom w:val="single" w:sz="8" w:space="0" w:color="auto"/>
              <w:right w:val="nil"/>
            </w:tcBorders>
            <w:shd w:val="clear" w:color="auto" w:fill="auto"/>
            <w:noWrap/>
            <w:hideMark/>
          </w:tcPr>
          <w:p w14:paraId="046BCF51"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C --&gt; T</w:t>
            </w:r>
          </w:p>
        </w:tc>
        <w:tc>
          <w:tcPr>
            <w:tcW w:w="1520" w:type="dxa"/>
            <w:tcBorders>
              <w:top w:val="nil"/>
              <w:left w:val="single" w:sz="4" w:space="0" w:color="auto"/>
              <w:bottom w:val="single" w:sz="8" w:space="0" w:color="auto"/>
              <w:right w:val="nil"/>
            </w:tcBorders>
            <w:shd w:val="clear" w:color="auto" w:fill="auto"/>
            <w:noWrap/>
            <w:hideMark/>
          </w:tcPr>
          <w:p w14:paraId="36FCFC0A"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 </w:t>
            </w:r>
          </w:p>
        </w:tc>
        <w:tc>
          <w:tcPr>
            <w:tcW w:w="2890" w:type="dxa"/>
            <w:tcBorders>
              <w:top w:val="nil"/>
              <w:left w:val="nil"/>
              <w:bottom w:val="single" w:sz="8" w:space="0" w:color="auto"/>
              <w:right w:val="nil"/>
            </w:tcBorders>
            <w:shd w:val="clear" w:color="auto" w:fill="auto"/>
            <w:noWrap/>
            <w:hideMark/>
          </w:tcPr>
          <w:p w14:paraId="225DEC84" w14:textId="77777777" w:rsidR="00050D4A" w:rsidRPr="00AE525E" w:rsidRDefault="00050D4A" w:rsidP="00031031">
            <w:pPr>
              <w:rPr>
                <w:rFonts w:ascii="Times New Roman" w:eastAsia="Times New Roman" w:hAnsi="Times New Roman" w:cs="Times New Roman"/>
                <w:color w:val="000000"/>
                <w:sz w:val="20"/>
                <w:szCs w:val="20"/>
              </w:rPr>
            </w:pPr>
            <w:r w:rsidRPr="00AE525E">
              <w:rPr>
                <w:rFonts w:ascii="Times New Roman" w:eastAsia="Times New Roman" w:hAnsi="Times New Roman" w:cs="Times New Roman"/>
                <w:color w:val="000000"/>
                <w:sz w:val="20"/>
                <w:szCs w:val="20"/>
              </w:rPr>
              <w:t> </w:t>
            </w:r>
          </w:p>
        </w:tc>
      </w:tr>
    </w:tbl>
    <w:p w14:paraId="52E6015B" w14:textId="77777777" w:rsidR="00AE525E" w:rsidRDefault="00AE525E" w:rsidP="00AE525E">
      <w:pPr>
        <w:rPr>
          <w:rFonts w:ascii="Times New Roman" w:hAnsi="Times New Roman" w:cs="Times New Roman"/>
          <w:sz w:val="20"/>
          <w:szCs w:val="20"/>
        </w:rPr>
      </w:pPr>
    </w:p>
    <w:p w14:paraId="13F2AD1C" w14:textId="77777777" w:rsidR="00050D4A" w:rsidRPr="00AE525E" w:rsidRDefault="00050D4A" w:rsidP="00AE525E">
      <w:pPr>
        <w:rPr>
          <w:rFonts w:ascii="Times New Roman" w:hAnsi="Times New Roman" w:cs="Times New Roman"/>
          <w:sz w:val="20"/>
          <w:szCs w:val="20"/>
        </w:rPr>
      </w:pPr>
    </w:p>
    <w:p w14:paraId="2BBCBE7C" w14:textId="77777777" w:rsidR="00050D4A" w:rsidRPr="00050D4A" w:rsidRDefault="00050D4A" w:rsidP="00050D4A">
      <w:pPr>
        <w:rPr>
          <w:rFonts w:ascii="Times New Roman" w:hAnsi="Times New Roman" w:cs="Times New Roman"/>
          <w:b/>
          <w:sz w:val="28"/>
          <w:szCs w:val="28"/>
        </w:rPr>
      </w:pPr>
      <w:r w:rsidRPr="00050D4A">
        <w:rPr>
          <w:rFonts w:ascii="Times New Roman" w:hAnsi="Times New Roman" w:cs="Times New Roman"/>
          <w:b/>
          <w:sz w:val="28"/>
          <w:szCs w:val="28"/>
        </w:rPr>
        <w:t>Supplementary References</w:t>
      </w:r>
    </w:p>
    <w:p w14:paraId="02E462AF" w14:textId="77777777" w:rsidR="00050D4A" w:rsidRPr="00AE525E" w:rsidRDefault="00050D4A" w:rsidP="00050D4A">
      <w:pPr>
        <w:rPr>
          <w:rFonts w:ascii="Times New Roman" w:hAnsi="Times New Roman" w:cs="Times New Roman"/>
          <w:b/>
        </w:rPr>
      </w:pPr>
    </w:p>
    <w:p w14:paraId="0EAA7991" w14:textId="77777777" w:rsidR="00050D4A" w:rsidRPr="00050D4A" w:rsidRDefault="00050D4A" w:rsidP="00050D4A">
      <w:pPr>
        <w:widowControl w:val="0"/>
        <w:autoSpaceDE w:val="0"/>
        <w:autoSpaceDN w:val="0"/>
        <w:adjustRightInd w:val="0"/>
        <w:ind w:left="640" w:hanging="640"/>
        <w:jc w:val="both"/>
        <w:rPr>
          <w:rFonts w:ascii="Times New Roman" w:eastAsia="Times New Roman" w:hAnsi="Times New Roman" w:cs="Times New Roman"/>
          <w:noProof/>
          <w:sz w:val="24"/>
          <w:szCs w:val="32"/>
        </w:rPr>
      </w:pPr>
      <w:r w:rsidRPr="00050D4A">
        <w:rPr>
          <w:rFonts w:ascii="Times New Roman" w:hAnsi="Times New Roman" w:cs="Times New Roman"/>
          <w:sz w:val="24"/>
          <w:szCs w:val="24"/>
        </w:rPr>
        <w:fldChar w:fldCharType="begin" w:fldLock="1"/>
      </w:r>
      <w:r w:rsidRPr="00050D4A">
        <w:rPr>
          <w:rFonts w:ascii="Times New Roman" w:hAnsi="Times New Roman" w:cs="Times New Roman"/>
          <w:sz w:val="24"/>
          <w:szCs w:val="24"/>
        </w:rPr>
        <w:instrText xml:space="preserve">ADDIN Mendeley Bibliography CSL_BIBLIOGRAPHY </w:instrText>
      </w:r>
      <w:r w:rsidRPr="00050D4A">
        <w:rPr>
          <w:rFonts w:ascii="Times New Roman" w:hAnsi="Times New Roman" w:cs="Times New Roman"/>
          <w:sz w:val="24"/>
          <w:szCs w:val="24"/>
        </w:rPr>
        <w:fldChar w:fldCharType="separate"/>
      </w:r>
      <w:r w:rsidRPr="00050D4A">
        <w:rPr>
          <w:rFonts w:ascii="Times New Roman" w:eastAsia="Times New Roman" w:hAnsi="Times New Roman" w:cs="Times New Roman"/>
          <w:noProof/>
          <w:sz w:val="24"/>
          <w:szCs w:val="32"/>
        </w:rPr>
        <w:t>1.</w:t>
      </w:r>
      <w:r w:rsidRPr="00050D4A">
        <w:rPr>
          <w:rFonts w:ascii="Times New Roman" w:eastAsia="Times New Roman" w:hAnsi="Times New Roman" w:cs="Times New Roman"/>
          <w:noProof/>
          <w:sz w:val="24"/>
          <w:szCs w:val="32"/>
        </w:rPr>
        <w:tab/>
        <w:t xml:space="preserve">Peterson BK, Weber JN, Kay EH, Fisher HS, Hoekstra HE. 2012 Double digest RADseq: An inexpensive method for de novo SNP discovery and genotyping in model and non-model species. </w:t>
      </w:r>
      <w:r w:rsidRPr="00050D4A">
        <w:rPr>
          <w:rFonts w:ascii="Times New Roman" w:eastAsia="Times New Roman" w:hAnsi="Times New Roman" w:cs="Times New Roman"/>
          <w:i/>
          <w:iCs/>
          <w:noProof/>
          <w:sz w:val="24"/>
          <w:szCs w:val="32"/>
        </w:rPr>
        <w:t>PLoS One</w:t>
      </w:r>
      <w:r w:rsidRPr="00050D4A">
        <w:rPr>
          <w:rFonts w:ascii="Times New Roman" w:eastAsia="Times New Roman" w:hAnsi="Times New Roman" w:cs="Times New Roman"/>
          <w:noProof/>
          <w:sz w:val="24"/>
          <w:szCs w:val="32"/>
        </w:rPr>
        <w:t xml:space="preserve"> </w:t>
      </w:r>
      <w:r w:rsidRPr="00050D4A">
        <w:rPr>
          <w:rFonts w:ascii="Times New Roman" w:eastAsia="Times New Roman" w:hAnsi="Times New Roman" w:cs="Times New Roman"/>
          <w:b/>
          <w:bCs/>
          <w:noProof/>
          <w:sz w:val="24"/>
          <w:szCs w:val="32"/>
        </w:rPr>
        <w:t>7</w:t>
      </w:r>
      <w:r w:rsidRPr="00050D4A">
        <w:rPr>
          <w:rFonts w:ascii="Times New Roman" w:eastAsia="Times New Roman" w:hAnsi="Times New Roman" w:cs="Times New Roman"/>
          <w:noProof/>
          <w:sz w:val="24"/>
          <w:szCs w:val="32"/>
        </w:rPr>
        <w:t>. (doi:10.1371/journal.pone.0037135)</w:t>
      </w:r>
    </w:p>
    <w:p w14:paraId="3D0666AD" w14:textId="77777777" w:rsidR="00050D4A" w:rsidRPr="00050D4A" w:rsidRDefault="00050D4A" w:rsidP="00050D4A">
      <w:pPr>
        <w:widowControl w:val="0"/>
        <w:autoSpaceDE w:val="0"/>
        <w:autoSpaceDN w:val="0"/>
        <w:adjustRightInd w:val="0"/>
        <w:ind w:left="640" w:hanging="640"/>
        <w:jc w:val="both"/>
        <w:rPr>
          <w:rFonts w:ascii="Times New Roman" w:eastAsia="Times New Roman" w:hAnsi="Times New Roman" w:cs="Times New Roman"/>
          <w:noProof/>
          <w:sz w:val="24"/>
          <w:szCs w:val="32"/>
        </w:rPr>
      </w:pPr>
      <w:r w:rsidRPr="00050D4A">
        <w:rPr>
          <w:rFonts w:ascii="Times New Roman" w:eastAsia="Times New Roman" w:hAnsi="Times New Roman" w:cs="Times New Roman"/>
          <w:noProof/>
          <w:sz w:val="24"/>
          <w:szCs w:val="32"/>
        </w:rPr>
        <w:t>2.</w:t>
      </w:r>
      <w:r w:rsidRPr="00050D4A">
        <w:rPr>
          <w:rFonts w:ascii="Times New Roman" w:eastAsia="Times New Roman" w:hAnsi="Times New Roman" w:cs="Times New Roman"/>
          <w:noProof/>
          <w:sz w:val="24"/>
          <w:szCs w:val="32"/>
        </w:rPr>
        <w:tab/>
        <w:t xml:space="preserve">Catchen JM, Hohenlohe PA, Bassham S, Amores A, Cresko WA. 2013 Stacks: an analysis tool set for population genomics. </w:t>
      </w:r>
      <w:r w:rsidRPr="00050D4A">
        <w:rPr>
          <w:rFonts w:ascii="Times New Roman" w:eastAsia="Times New Roman" w:hAnsi="Times New Roman" w:cs="Times New Roman"/>
          <w:i/>
          <w:iCs/>
          <w:noProof/>
          <w:sz w:val="24"/>
          <w:szCs w:val="32"/>
        </w:rPr>
        <w:t>Mol. Ecol.</w:t>
      </w:r>
      <w:r w:rsidRPr="00050D4A">
        <w:rPr>
          <w:rFonts w:ascii="Times New Roman" w:eastAsia="Times New Roman" w:hAnsi="Times New Roman" w:cs="Times New Roman"/>
          <w:noProof/>
          <w:sz w:val="24"/>
          <w:szCs w:val="32"/>
        </w:rPr>
        <w:t xml:space="preserve"> </w:t>
      </w:r>
      <w:r w:rsidRPr="00050D4A">
        <w:rPr>
          <w:rFonts w:ascii="Times New Roman" w:eastAsia="Times New Roman" w:hAnsi="Times New Roman" w:cs="Times New Roman"/>
          <w:b/>
          <w:bCs/>
          <w:noProof/>
          <w:sz w:val="24"/>
          <w:szCs w:val="32"/>
        </w:rPr>
        <w:t>22</w:t>
      </w:r>
      <w:r w:rsidRPr="00050D4A">
        <w:rPr>
          <w:rFonts w:ascii="Times New Roman" w:eastAsia="Times New Roman" w:hAnsi="Times New Roman" w:cs="Times New Roman"/>
          <w:noProof/>
          <w:sz w:val="24"/>
          <w:szCs w:val="32"/>
        </w:rPr>
        <w:t>, 3124–3140. (doi:10.1111/mec.12354.Stacks)</w:t>
      </w:r>
    </w:p>
    <w:p w14:paraId="399DD1C4" w14:textId="77777777" w:rsidR="00050D4A" w:rsidRPr="00050D4A" w:rsidRDefault="00050D4A" w:rsidP="00050D4A">
      <w:pPr>
        <w:widowControl w:val="0"/>
        <w:autoSpaceDE w:val="0"/>
        <w:autoSpaceDN w:val="0"/>
        <w:adjustRightInd w:val="0"/>
        <w:ind w:left="640" w:hanging="640"/>
        <w:jc w:val="both"/>
        <w:rPr>
          <w:rFonts w:ascii="Times New Roman" w:eastAsia="Times New Roman" w:hAnsi="Times New Roman" w:cs="Times New Roman"/>
          <w:noProof/>
          <w:sz w:val="24"/>
          <w:szCs w:val="32"/>
        </w:rPr>
      </w:pPr>
      <w:r w:rsidRPr="00050D4A">
        <w:rPr>
          <w:rFonts w:ascii="Times New Roman" w:eastAsia="Times New Roman" w:hAnsi="Times New Roman" w:cs="Times New Roman"/>
          <w:noProof/>
          <w:sz w:val="24"/>
          <w:szCs w:val="32"/>
        </w:rPr>
        <w:t>3.</w:t>
      </w:r>
      <w:r w:rsidRPr="00050D4A">
        <w:rPr>
          <w:rFonts w:ascii="Times New Roman" w:eastAsia="Times New Roman" w:hAnsi="Times New Roman" w:cs="Times New Roman"/>
          <w:noProof/>
          <w:sz w:val="24"/>
          <w:szCs w:val="32"/>
        </w:rPr>
        <w:tab/>
        <w:t xml:space="preserve">Mastretta-Yanes A, Arrigo N, Alvarez N, Jorgensen TH, Piñeros D, Emerson BC. 2015 Restriction site-associated DNA sequencing, genotyping error estimation and de novo assembly optimization for population genetic inference. </w:t>
      </w:r>
      <w:r w:rsidRPr="00050D4A">
        <w:rPr>
          <w:rFonts w:ascii="Times New Roman" w:eastAsia="Times New Roman" w:hAnsi="Times New Roman" w:cs="Times New Roman"/>
          <w:i/>
          <w:iCs/>
          <w:noProof/>
          <w:sz w:val="24"/>
          <w:szCs w:val="32"/>
        </w:rPr>
        <w:t>Mol. Ecol.</w:t>
      </w:r>
      <w:r w:rsidRPr="00050D4A">
        <w:rPr>
          <w:rFonts w:ascii="Times New Roman" w:eastAsia="Times New Roman" w:hAnsi="Times New Roman" w:cs="Times New Roman"/>
          <w:noProof/>
          <w:sz w:val="24"/>
          <w:szCs w:val="32"/>
        </w:rPr>
        <w:t xml:space="preserve"> , 28–41. (doi:10.1111/1755-0998.12291)</w:t>
      </w:r>
    </w:p>
    <w:p w14:paraId="76851AA6" w14:textId="77777777" w:rsidR="00050D4A" w:rsidRPr="00050D4A" w:rsidRDefault="00050D4A" w:rsidP="00050D4A">
      <w:pPr>
        <w:widowControl w:val="0"/>
        <w:autoSpaceDE w:val="0"/>
        <w:autoSpaceDN w:val="0"/>
        <w:adjustRightInd w:val="0"/>
        <w:ind w:left="640" w:hanging="640"/>
        <w:jc w:val="both"/>
        <w:rPr>
          <w:rFonts w:ascii="Times New Roman" w:eastAsia="Times New Roman" w:hAnsi="Times New Roman" w:cs="Times New Roman"/>
          <w:noProof/>
          <w:sz w:val="24"/>
          <w:szCs w:val="32"/>
        </w:rPr>
      </w:pPr>
      <w:r w:rsidRPr="00050D4A">
        <w:rPr>
          <w:rFonts w:ascii="Times New Roman" w:eastAsia="Times New Roman" w:hAnsi="Times New Roman" w:cs="Times New Roman"/>
          <w:noProof/>
          <w:sz w:val="24"/>
          <w:szCs w:val="32"/>
        </w:rPr>
        <w:t>4.</w:t>
      </w:r>
      <w:r w:rsidRPr="00050D4A">
        <w:rPr>
          <w:rFonts w:ascii="Times New Roman" w:eastAsia="Times New Roman" w:hAnsi="Times New Roman" w:cs="Times New Roman"/>
          <w:noProof/>
          <w:sz w:val="24"/>
          <w:szCs w:val="32"/>
        </w:rPr>
        <w:tab/>
        <w:t xml:space="preserve">Bradbury PJ, Zhang Z, Kroon DE, Casstevens TM, Ramdoss Y, Buckler ES. 2007 TASSEL: Software for association mapping of complex traits in diverse samples. </w:t>
      </w:r>
      <w:r w:rsidRPr="00050D4A">
        <w:rPr>
          <w:rFonts w:ascii="Times New Roman" w:eastAsia="Times New Roman" w:hAnsi="Times New Roman" w:cs="Times New Roman"/>
          <w:i/>
          <w:iCs/>
          <w:noProof/>
          <w:sz w:val="24"/>
          <w:szCs w:val="32"/>
        </w:rPr>
        <w:t>Bioinformatics</w:t>
      </w:r>
      <w:r w:rsidRPr="00050D4A">
        <w:rPr>
          <w:rFonts w:ascii="Times New Roman" w:eastAsia="Times New Roman" w:hAnsi="Times New Roman" w:cs="Times New Roman"/>
          <w:noProof/>
          <w:sz w:val="24"/>
          <w:szCs w:val="32"/>
        </w:rPr>
        <w:t xml:space="preserve"> </w:t>
      </w:r>
      <w:r w:rsidRPr="00050D4A">
        <w:rPr>
          <w:rFonts w:ascii="Times New Roman" w:eastAsia="Times New Roman" w:hAnsi="Times New Roman" w:cs="Times New Roman"/>
          <w:b/>
          <w:bCs/>
          <w:noProof/>
          <w:sz w:val="24"/>
          <w:szCs w:val="32"/>
        </w:rPr>
        <w:t>23</w:t>
      </w:r>
      <w:r w:rsidRPr="00050D4A">
        <w:rPr>
          <w:rFonts w:ascii="Times New Roman" w:eastAsia="Times New Roman" w:hAnsi="Times New Roman" w:cs="Times New Roman"/>
          <w:noProof/>
          <w:sz w:val="24"/>
          <w:szCs w:val="32"/>
        </w:rPr>
        <w:t>, 2633–2635. (doi:10.1093/bioinformatics/btm308)</w:t>
      </w:r>
    </w:p>
    <w:p w14:paraId="6B5C5953" w14:textId="77777777" w:rsidR="00050D4A" w:rsidRPr="00050D4A" w:rsidRDefault="00050D4A" w:rsidP="00050D4A">
      <w:pPr>
        <w:widowControl w:val="0"/>
        <w:autoSpaceDE w:val="0"/>
        <w:autoSpaceDN w:val="0"/>
        <w:adjustRightInd w:val="0"/>
        <w:ind w:left="640" w:hanging="640"/>
        <w:jc w:val="both"/>
        <w:rPr>
          <w:rFonts w:ascii="Times New Roman" w:eastAsia="Times New Roman" w:hAnsi="Times New Roman" w:cs="Times New Roman"/>
          <w:noProof/>
          <w:sz w:val="24"/>
          <w:szCs w:val="32"/>
        </w:rPr>
      </w:pPr>
      <w:r w:rsidRPr="00050D4A">
        <w:rPr>
          <w:rFonts w:ascii="Times New Roman" w:eastAsia="Times New Roman" w:hAnsi="Times New Roman" w:cs="Times New Roman"/>
          <w:noProof/>
          <w:sz w:val="24"/>
          <w:szCs w:val="32"/>
        </w:rPr>
        <w:t>5.</w:t>
      </w:r>
      <w:r w:rsidRPr="00050D4A">
        <w:rPr>
          <w:rFonts w:ascii="Times New Roman" w:eastAsia="Times New Roman" w:hAnsi="Times New Roman" w:cs="Times New Roman"/>
          <w:noProof/>
          <w:sz w:val="24"/>
          <w:szCs w:val="32"/>
        </w:rPr>
        <w:tab/>
        <w:t xml:space="preserve">Danecek P </w:t>
      </w:r>
      <w:r w:rsidRPr="00050D4A">
        <w:rPr>
          <w:rFonts w:ascii="Times New Roman" w:eastAsia="Times New Roman" w:hAnsi="Times New Roman" w:cs="Times New Roman"/>
          <w:i/>
          <w:iCs/>
          <w:noProof/>
          <w:sz w:val="24"/>
          <w:szCs w:val="32"/>
        </w:rPr>
        <w:t>et al.</w:t>
      </w:r>
      <w:r w:rsidRPr="00050D4A">
        <w:rPr>
          <w:rFonts w:ascii="Times New Roman" w:eastAsia="Times New Roman" w:hAnsi="Times New Roman" w:cs="Times New Roman"/>
          <w:noProof/>
          <w:sz w:val="24"/>
          <w:szCs w:val="32"/>
        </w:rPr>
        <w:t xml:space="preserve"> 2011 The variant call format and VCFtools. </w:t>
      </w:r>
      <w:r w:rsidRPr="00050D4A">
        <w:rPr>
          <w:rFonts w:ascii="Times New Roman" w:eastAsia="Times New Roman" w:hAnsi="Times New Roman" w:cs="Times New Roman"/>
          <w:i/>
          <w:iCs/>
          <w:noProof/>
          <w:sz w:val="24"/>
          <w:szCs w:val="32"/>
        </w:rPr>
        <w:t>Bioinformatics</w:t>
      </w:r>
      <w:r w:rsidRPr="00050D4A">
        <w:rPr>
          <w:rFonts w:ascii="Times New Roman" w:eastAsia="Times New Roman" w:hAnsi="Times New Roman" w:cs="Times New Roman"/>
          <w:noProof/>
          <w:sz w:val="24"/>
          <w:szCs w:val="32"/>
        </w:rPr>
        <w:t xml:space="preserve"> </w:t>
      </w:r>
      <w:r w:rsidRPr="00050D4A">
        <w:rPr>
          <w:rFonts w:ascii="Times New Roman" w:eastAsia="Times New Roman" w:hAnsi="Times New Roman" w:cs="Times New Roman"/>
          <w:b/>
          <w:bCs/>
          <w:noProof/>
          <w:sz w:val="24"/>
          <w:szCs w:val="32"/>
        </w:rPr>
        <w:t>27</w:t>
      </w:r>
      <w:r w:rsidRPr="00050D4A">
        <w:rPr>
          <w:rFonts w:ascii="Times New Roman" w:eastAsia="Times New Roman" w:hAnsi="Times New Roman" w:cs="Times New Roman"/>
          <w:noProof/>
          <w:sz w:val="24"/>
          <w:szCs w:val="32"/>
        </w:rPr>
        <w:t>, 2156–2158. (doi:10.1093/bioinformatics/btr330)</w:t>
      </w:r>
    </w:p>
    <w:p w14:paraId="50DBAB47" w14:textId="77777777" w:rsidR="00050D4A" w:rsidRPr="00050D4A" w:rsidRDefault="00050D4A" w:rsidP="00050D4A">
      <w:pPr>
        <w:widowControl w:val="0"/>
        <w:autoSpaceDE w:val="0"/>
        <w:autoSpaceDN w:val="0"/>
        <w:adjustRightInd w:val="0"/>
        <w:ind w:left="640" w:hanging="640"/>
        <w:jc w:val="both"/>
        <w:rPr>
          <w:rFonts w:ascii="Times New Roman" w:hAnsi="Times New Roman" w:cs="Times New Roman"/>
          <w:noProof/>
          <w:sz w:val="24"/>
          <w:szCs w:val="32"/>
        </w:rPr>
      </w:pPr>
      <w:r w:rsidRPr="00050D4A">
        <w:rPr>
          <w:rFonts w:ascii="Times New Roman" w:eastAsia="Times New Roman" w:hAnsi="Times New Roman" w:cs="Times New Roman"/>
          <w:noProof/>
          <w:sz w:val="24"/>
          <w:szCs w:val="32"/>
        </w:rPr>
        <w:t>6.</w:t>
      </w:r>
      <w:r w:rsidRPr="00050D4A">
        <w:rPr>
          <w:rFonts w:ascii="Times New Roman" w:eastAsia="Times New Roman" w:hAnsi="Times New Roman" w:cs="Times New Roman"/>
          <w:noProof/>
          <w:sz w:val="24"/>
          <w:szCs w:val="32"/>
        </w:rPr>
        <w:tab/>
        <w:t xml:space="preserve">Kass RE, Raftery AE. 2012 Bayes Factors. </w:t>
      </w:r>
      <w:r w:rsidRPr="00050D4A">
        <w:rPr>
          <w:rFonts w:ascii="Times New Roman" w:eastAsia="Times New Roman" w:hAnsi="Times New Roman" w:cs="Times New Roman"/>
          <w:i/>
          <w:iCs/>
          <w:noProof/>
          <w:sz w:val="24"/>
          <w:szCs w:val="32"/>
        </w:rPr>
        <w:t>J. Am. Stat. Assoc.</w:t>
      </w:r>
      <w:r w:rsidRPr="00050D4A">
        <w:rPr>
          <w:rFonts w:ascii="Times New Roman" w:eastAsia="Times New Roman" w:hAnsi="Times New Roman" w:cs="Times New Roman"/>
          <w:noProof/>
          <w:sz w:val="24"/>
          <w:szCs w:val="32"/>
        </w:rPr>
        <w:t xml:space="preserve"> </w:t>
      </w:r>
      <w:r w:rsidRPr="00050D4A">
        <w:rPr>
          <w:rFonts w:ascii="Times New Roman" w:eastAsia="Times New Roman" w:hAnsi="Times New Roman" w:cs="Times New Roman"/>
          <w:b/>
          <w:bCs/>
          <w:noProof/>
          <w:sz w:val="24"/>
          <w:szCs w:val="32"/>
        </w:rPr>
        <w:t>90</w:t>
      </w:r>
      <w:r w:rsidRPr="00050D4A">
        <w:rPr>
          <w:rFonts w:ascii="Times New Roman" w:eastAsia="Times New Roman" w:hAnsi="Times New Roman" w:cs="Times New Roman"/>
          <w:noProof/>
          <w:sz w:val="24"/>
          <w:szCs w:val="32"/>
        </w:rPr>
        <w:t>, 773–795.</w:t>
      </w:r>
    </w:p>
    <w:p w14:paraId="5CCECF72" w14:textId="1646B2D0" w:rsidR="00AE525E" w:rsidRPr="00AE525E" w:rsidRDefault="00050D4A" w:rsidP="00050D4A">
      <w:pPr>
        <w:jc w:val="both"/>
        <w:rPr>
          <w:rFonts w:ascii="Times New Roman" w:hAnsi="Times New Roman" w:cs="Times New Roman"/>
          <w:sz w:val="20"/>
          <w:szCs w:val="20"/>
        </w:rPr>
      </w:pPr>
      <w:r w:rsidRPr="00050D4A">
        <w:rPr>
          <w:rFonts w:ascii="Times New Roman" w:hAnsi="Times New Roman" w:cs="Times New Roman"/>
          <w:sz w:val="24"/>
          <w:szCs w:val="24"/>
        </w:rPr>
        <w:fldChar w:fldCharType="end"/>
      </w:r>
    </w:p>
    <w:p w14:paraId="04F9203C" w14:textId="77777777" w:rsidR="00AE525E" w:rsidRPr="00AE525E" w:rsidRDefault="00AE525E" w:rsidP="00AE525E">
      <w:pPr>
        <w:rPr>
          <w:rFonts w:ascii="Times New Roman" w:hAnsi="Times New Roman" w:cs="Times New Roman"/>
          <w:sz w:val="20"/>
          <w:szCs w:val="20"/>
        </w:rPr>
      </w:pPr>
    </w:p>
    <w:p w14:paraId="4B0C3640" w14:textId="77777777" w:rsidR="00AE525E" w:rsidRPr="00AE525E" w:rsidRDefault="00AE525E" w:rsidP="00AE525E">
      <w:pPr>
        <w:rPr>
          <w:rFonts w:ascii="Times New Roman" w:hAnsi="Times New Roman" w:cs="Times New Roman"/>
          <w:sz w:val="20"/>
          <w:szCs w:val="20"/>
        </w:rPr>
      </w:pPr>
    </w:p>
    <w:p w14:paraId="2E8A20D9" w14:textId="1F8B0469" w:rsidR="00AE525E" w:rsidRPr="00AE525E" w:rsidRDefault="00AE525E" w:rsidP="00AE525E">
      <w:pPr>
        <w:rPr>
          <w:rFonts w:ascii="Times New Roman" w:eastAsia="Times New Roman" w:hAnsi="Times New Roman" w:cs="Times New Roman"/>
          <w:b/>
          <w:color w:val="0432FF"/>
        </w:rPr>
        <w:sectPr w:rsidR="00AE525E" w:rsidRPr="00AE525E" w:rsidSect="000A0A64">
          <w:pgSz w:w="12240" w:h="15840"/>
          <w:pgMar w:top="1440" w:right="1440" w:bottom="1440" w:left="1440" w:header="708" w:footer="708" w:gutter="0"/>
          <w:pgNumType w:start="91"/>
          <w:cols w:space="708"/>
          <w:docGrid w:linePitch="360"/>
        </w:sectPr>
      </w:pPr>
    </w:p>
    <w:p w14:paraId="05FDB78D" w14:textId="13F1717D" w:rsidR="00774072" w:rsidRDefault="00774072" w:rsidP="00774072">
      <w:pPr>
        <w:rPr>
          <w:rFonts w:asciiTheme="majorBidi" w:hAnsiTheme="majorBidi" w:cstheme="majorBidi"/>
          <w:b/>
          <w:bCs/>
          <w:sz w:val="56"/>
          <w:szCs w:val="56"/>
        </w:rPr>
      </w:pPr>
      <w:r>
        <w:rPr>
          <w:rFonts w:asciiTheme="majorBidi" w:hAnsiTheme="majorBidi" w:cstheme="majorBidi"/>
          <w:b/>
          <w:bCs/>
          <w:sz w:val="56"/>
          <w:szCs w:val="56"/>
        </w:rPr>
        <w:lastRenderedPageBreak/>
        <w:t>Appendix B</w:t>
      </w:r>
    </w:p>
    <w:p w14:paraId="7177443B" w14:textId="77777777" w:rsidR="00774072" w:rsidRDefault="00774072" w:rsidP="00774072">
      <w:pPr>
        <w:rPr>
          <w:rFonts w:asciiTheme="majorBidi" w:hAnsiTheme="majorBidi" w:cstheme="majorBidi"/>
          <w:b/>
          <w:bCs/>
          <w:sz w:val="56"/>
          <w:szCs w:val="56"/>
        </w:rPr>
      </w:pPr>
    </w:p>
    <w:p w14:paraId="07818B7D" w14:textId="4EC8B09D" w:rsidR="00774072" w:rsidRDefault="00774072" w:rsidP="00774072">
      <w:pPr>
        <w:rPr>
          <w:rFonts w:asciiTheme="majorBidi" w:hAnsiTheme="majorBidi" w:cstheme="majorBidi"/>
          <w:b/>
          <w:bCs/>
          <w:sz w:val="56"/>
          <w:szCs w:val="56"/>
        </w:rPr>
      </w:pPr>
      <w:r>
        <w:rPr>
          <w:rFonts w:asciiTheme="majorBidi" w:hAnsiTheme="majorBidi" w:cstheme="majorBidi"/>
          <w:b/>
          <w:bCs/>
          <w:sz w:val="56"/>
          <w:szCs w:val="56"/>
        </w:rPr>
        <w:t>Supplementary Material for Genome-wide species delimitation analyses of a silverside fish species complex in central Mexico indicate taxonomic over-splitting</w:t>
      </w:r>
    </w:p>
    <w:p w14:paraId="041AF862" w14:textId="10CBA838" w:rsidR="00AE525E" w:rsidRPr="00AE525E" w:rsidRDefault="00AE525E" w:rsidP="00AE525E">
      <w:pPr>
        <w:rPr>
          <w:rFonts w:ascii="Times New Roman" w:eastAsia="Times New Roman" w:hAnsi="Times New Roman" w:cs="Times New Roman"/>
          <w:color w:val="000000" w:themeColor="text1"/>
        </w:rPr>
      </w:pPr>
    </w:p>
    <w:p w14:paraId="18713FD0" w14:textId="77777777" w:rsidR="008D3929" w:rsidRPr="001F1BE9" w:rsidRDefault="008D3929" w:rsidP="008D3929">
      <w:pPr>
        <w:pStyle w:val="paragraph"/>
        <w:spacing w:line="480" w:lineRule="auto"/>
        <w:contextualSpacing/>
        <w:textAlignment w:val="baseline"/>
        <w:rPr>
          <w:rStyle w:val="normaltextrun"/>
          <w:b/>
          <w:bCs/>
        </w:rPr>
      </w:pPr>
    </w:p>
    <w:p w14:paraId="4BA9C389" w14:textId="77777777" w:rsidR="008D3929" w:rsidRPr="008D3929" w:rsidRDefault="008D3929" w:rsidP="008D3929">
      <w:pPr>
        <w:pStyle w:val="paragraph"/>
        <w:spacing w:line="480" w:lineRule="auto"/>
        <w:contextualSpacing/>
        <w:textAlignment w:val="baseline"/>
        <w:rPr>
          <w:rStyle w:val="normaltextrun"/>
          <w:b/>
          <w:bCs/>
          <w:sz w:val="28"/>
          <w:szCs w:val="28"/>
          <w:lang w:val="en-US"/>
        </w:rPr>
      </w:pPr>
      <w:r w:rsidRPr="008D3929">
        <w:rPr>
          <w:rStyle w:val="normaltextrun"/>
          <w:b/>
          <w:bCs/>
          <w:sz w:val="28"/>
          <w:szCs w:val="28"/>
          <w:lang w:val="en-US"/>
        </w:rPr>
        <w:t>Supporting Methods</w:t>
      </w:r>
    </w:p>
    <w:p w14:paraId="4ABF48B8" w14:textId="77777777" w:rsidR="008D3929" w:rsidRPr="008D3929" w:rsidRDefault="008D3929" w:rsidP="008D3929">
      <w:pPr>
        <w:pStyle w:val="paragraph"/>
        <w:spacing w:line="480" w:lineRule="auto"/>
        <w:contextualSpacing/>
        <w:textAlignment w:val="baseline"/>
        <w:rPr>
          <w:rStyle w:val="normaltextrun"/>
          <w:b/>
          <w:bCs/>
          <w:sz w:val="28"/>
          <w:szCs w:val="28"/>
          <w:lang w:val="en-US"/>
        </w:rPr>
      </w:pPr>
      <w:r w:rsidRPr="008D3929">
        <w:rPr>
          <w:rStyle w:val="normaltextrun"/>
          <w:b/>
          <w:bCs/>
          <w:sz w:val="28"/>
          <w:szCs w:val="28"/>
          <w:lang w:val="en-US"/>
        </w:rPr>
        <w:t>Supplementary Figures</w:t>
      </w:r>
    </w:p>
    <w:p w14:paraId="27558E8A" w14:textId="77777777" w:rsidR="008D3929" w:rsidRPr="008D3929" w:rsidRDefault="008D3929" w:rsidP="008D3929">
      <w:pPr>
        <w:pStyle w:val="paragraph"/>
        <w:spacing w:line="480" w:lineRule="auto"/>
        <w:contextualSpacing/>
        <w:textAlignment w:val="baseline"/>
        <w:rPr>
          <w:rStyle w:val="normaltextrun"/>
          <w:b/>
          <w:bCs/>
          <w:sz w:val="28"/>
          <w:szCs w:val="28"/>
          <w:lang w:val="en-US"/>
        </w:rPr>
      </w:pPr>
      <w:r w:rsidRPr="008D3929">
        <w:rPr>
          <w:rStyle w:val="normaltextrun"/>
          <w:b/>
          <w:bCs/>
          <w:sz w:val="28"/>
          <w:szCs w:val="28"/>
          <w:lang w:val="en-US"/>
        </w:rPr>
        <w:t>Supplementary References</w:t>
      </w:r>
    </w:p>
    <w:p w14:paraId="184A19DB" w14:textId="77777777" w:rsidR="008D3929" w:rsidRPr="001F1BE9" w:rsidRDefault="008D3929" w:rsidP="008D3929">
      <w:pPr>
        <w:pStyle w:val="paragraph"/>
        <w:spacing w:line="480" w:lineRule="auto"/>
        <w:contextualSpacing/>
        <w:textAlignment w:val="baseline"/>
        <w:rPr>
          <w:rStyle w:val="normaltextrun"/>
          <w:b/>
          <w:bCs/>
          <w:lang w:val="en-US"/>
        </w:rPr>
      </w:pPr>
    </w:p>
    <w:p w14:paraId="6DCE923D" w14:textId="77777777" w:rsidR="008D3929" w:rsidRPr="008D3929" w:rsidRDefault="008D3929" w:rsidP="008D3929">
      <w:pPr>
        <w:pStyle w:val="paragraph"/>
        <w:spacing w:line="480" w:lineRule="auto"/>
        <w:contextualSpacing/>
        <w:textAlignment w:val="baseline"/>
        <w:rPr>
          <w:rStyle w:val="normaltextrun"/>
          <w:b/>
          <w:bCs/>
          <w:sz w:val="28"/>
          <w:szCs w:val="28"/>
          <w:lang w:val="en-US"/>
        </w:rPr>
      </w:pPr>
      <w:r w:rsidRPr="008D3929">
        <w:rPr>
          <w:rStyle w:val="normaltextrun"/>
          <w:b/>
          <w:bCs/>
          <w:sz w:val="28"/>
          <w:szCs w:val="28"/>
          <w:lang w:val="en-US"/>
        </w:rPr>
        <w:t xml:space="preserve">Supporting Methods: </w:t>
      </w:r>
    </w:p>
    <w:p w14:paraId="6DB7A0B0" w14:textId="77777777" w:rsidR="008D3929" w:rsidRDefault="008D3929" w:rsidP="008D3929">
      <w:pPr>
        <w:pStyle w:val="paragraph"/>
        <w:adjustRightInd w:val="0"/>
        <w:spacing w:before="0" w:beforeAutospacing="0" w:after="160" w:afterAutospacing="0" w:line="259" w:lineRule="auto"/>
        <w:jc w:val="both"/>
        <w:textAlignment w:val="baseline"/>
        <w:rPr>
          <w:rStyle w:val="normaltextrun"/>
          <w:b/>
          <w:bCs/>
          <w:sz w:val="28"/>
          <w:szCs w:val="28"/>
          <w:lang w:val="en-US"/>
        </w:rPr>
      </w:pPr>
      <w:r w:rsidRPr="008D3929">
        <w:rPr>
          <w:rStyle w:val="normaltextrun"/>
          <w:b/>
          <w:bCs/>
          <w:sz w:val="28"/>
          <w:szCs w:val="28"/>
          <w:lang w:val="en-US"/>
        </w:rPr>
        <w:t>Molecular protocols and SNP genotyping.</w:t>
      </w:r>
    </w:p>
    <w:p w14:paraId="28CD2A65" w14:textId="2E6EDA40" w:rsidR="008D3929" w:rsidRPr="001F1BE9" w:rsidRDefault="008D3929" w:rsidP="008D3929">
      <w:pPr>
        <w:pStyle w:val="paragraph"/>
        <w:adjustRightInd w:val="0"/>
        <w:spacing w:before="0" w:beforeAutospacing="0" w:after="160" w:afterAutospacing="0" w:line="259" w:lineRule="auto"/>
        <w:jc w:val="both"/>
        <w:textAlignment w:val="baseline"/>
        <w:rPr>
          <w:rStyle w:val="normaltextrun"/>
          <w:lang w:val="en-US"/>
        </w:rPr>
      </w:pPr>
      <w:r w:rsidRPr="001F1BE9">
        <w:rPr>
          <w:rStyle w:val="normaltextrun"/>
          <w:lang w:val="en-US"/>
        </w:rPr>
        <w:t xml:space="preserve">We extracted DNA from fin clips of 77 individuals of the nine nominal species of the </w:t>
      </w:r>
      <w:r w:rsidRPr="001F1BE9">
        <w:rPr>
          <w:rStyle w:val="normaltextrun"/>
          <w:i/>
          <w:iCs/>
          <w:lang w:val="en-US"/>
        </w:rPr>
        <w:t>humboldtianum</w:t>
      </w:r>
      <w:r w:rsidRPr="001F1BE9">
        <w:rPr>
          <w:rStyle w:val="normaltextrun"/>
          <w:lang w:val="en-US"/>
        </w:rPr>
        <w:t xml:space="preserve"> group (</w:t>
      </w:r>
      <w:r w:rsidRPr="001F1BE9">
        <w:rPr>
          <w:rStyle w:val="normaltextrun"/>
          <w:i/>
          <w:iCs/>
          <w:lang w:val="en-US"/>
        </w:rPr>
        <w:t>sensu</w:t>
      </w:r>
      <w:r w:rsidRPr="001F1BE9">
        <w:rPr>
          <w:rStyle w:val="normaltextrun"/>
          <w:lang w:val="en-US"/>
        </w:rPr>
        <w:t xml:space="preserve"> </w:t>
      </w:r>
      <w:r w:rsidRPr="001F1BE9">
        <w:rPr>
          <w:rStyle w:val="normaltextrun"/>
          <w:lang w:val="en-US"/>
        </w:rPr>
        <w:fldChar w:fldCharType="begin" w:fldLock="1"/>
      </w:r>
      <w:r w:rsidRPr="001F1BE9">
        <w:rPr>
          <w:rStyle w:val="normaltextrun"/>
          <w:lang w:val="en-US"/>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Atherinidae)","type":"article-journal","volume":"18"},"uris":["http://www.mendeley.com/documents/?uuid=5ae7b2f8-3c62-418e-8ebf-c77decd522ca"]}],"mendeley":{"formattedCitation":"[1]","manualFormatting":"Barbour 1973)","plainTextFormattedCitation":"[1]","previouslyFormattedCitation":"[1]"},"properties":{"noteIndex":0},"schema":"https://github.com/citation-style-language/schema/raw/master/csl-citation.json"}</w:instrText>
      </w:r>
      <w:r w:rsidRPr="001F1BE9">
        <w:rPr>
          <w:rStyle w:val="normaltextrun"/>
          <w:lang w:val="en-US"/>
        </w:rPr>
        <w:fldChar w:fldCharType="separate"/>
      </w:r>
      <w:r w:rsidRPr="001F1BE9">
        <w:rPr>
          <w:rStyle w:val="normaltextrun"/>
          <w:noProof/>
          <w:lang w:val="en-US"/>
        </w:rPr>
        <w:t>Barbour 1973)</w:t>
      </w:r>
      <w:r w:rsidRPr="001F1BE9">
        <w:rPr>
          <w:rStyle w:val="normaltextrun"/>
          <w:lang w:val="en-US"/>
        </w:rPr>
        <w:fldChar w:fldCharType="end"/>
      </w:r>
      <w:r w:rsidRPr="001F1BE9">
        <w:rPr>
          <w:rStyle w:val="normaltextrun"/>
          <w:lang w:val="en-US"/>
        </w:rPr>
        <w:t xml:space="preserve">, using the Qiagen </w:t>
      </w:r>
      <w:r w:rsidRPr="001F1BE9">
        <w:rPr>
          <w:rStyle w:val="spellingerror"/>
          <w:lang w:val="en-US"/>
        </w:rPr>
        <w:t>DNeasy</w:t>
      </w:r>
      <w:r w:rsidRPr="001F1BE9">
        <w:rPr>
          <w:rStyle w:val="normaltextrun"/>
          <w:lang w:val="en-US"/>
        </w:rPr>
        <w:t xml:space="preserve"> Blood and Tissue kit (Qiagen, Inc.) following the manufacturer's protocol. We also included two specimens of </w:t>
      </w:r>
      <w:r w:rsidRPr="001F1BE9">
        <w:rPr>
          <w:rStyle w:val="normaltextrun"/>
          <w:i/>
          <w:iCs/>
          <w:lang w:val="en-US"/>
        </w:rPr>
        <w:t xml:space="preserve">Chirostoma jordani </w:t>
      </w:r>
      <w:r w:rsidRPr="001F1BE9">
        <w:rPr>
          <w:rStyle w:val="normaltextrun"/>
          <w:lang w:val="en-US"/>
        </w:rPr>
        <w:t xml:space="preserve">and one of </w:t>
      </w:r>
      <w:r w:rsidRPr="001F1BE9">
        <w:rPr>
          <w:rStyle w:val="normaltextrun"/>
          <w:i/>
          <w:iCs/>
          <w:lang w:val="en-US"/>
        </w:rPr>
        <w:t>Chirostoma attenuatum</w:t>
      </w:r>
      <w:r w:rsidRPr="001F1BE9">
        <w:rPr>
          <w:rStyle w:val="normaltextrun"/>
          <w:lang w:val="en-US"/>
        </w:rPr>
        <w:t xml:space="preserve"> as outgroups. We prepared the ddRADseq libraries at the Sequencing and Genotyping Facility (SGF) at the University of Puerto Rico - Río Piedras (UPR-RP) using the protocol of </w:t>
      </w:r>
      <w:r w:rsidRPr="001F1BE9">
        <w:rPr>
          <w:rStyle w:val="normaltextrun"/>
          <w:lang w:val="en-US"/>
        </w:rPr>
        <w:fldChar w:fldCharType="begin" w:fldLock="1"/>
      </w:r>
      <w:r w:rsidRPr="001F1BE9">
        <w:rPr>
          <w:rStyle w:val="normaltextrun"/>
          <w:lang w:val="en-US"/>
        </w:rPr>
        <w:instrText>ADDIN CSL_CITATION {"citationItems":[{"id":"ITEM-1","itemData":{"DOI":"10.1371/journal.pone.0037135","ISBN":"10.1371/journal.pone.0037135","ISSN":"19326203","PMID":"22675423","abstract":"The ability to efficiently and accurately determine genotypes is a keystone technology in modern genetics, crucial to studies ranging from clinical diagnostics, to genotype-phenotype association, to reconstruction of ancestry and the detection of selection. To date, high capacity, low cost genotyping has been largely achieved via \"SNP chip\" microarray-based platforms which require substantial prior knowledge of both genome sequence and variability, and once designed are suitable only for those targeted variable nucleotide sites. This method introduces substantial ascertainment bias and inherently precludes detection of rare or population-specific variants, a major source of information for both population history and genotype-phenotype association. Recent developments in reduced-representation genome sequencing experiments on massively parallel sequencers (commonly referred to as RAD-tag or RADseq) have brought direct sequencing to the problem of population genotyping, but increased cost and procedural and analytical complexity have limited their widespread adoption. Here, we describe a complete laboratory protocol, including a custom combinatorial indexing method, and accompanying software tools to facilitate genotyping across large numbers (hundreds or more) of individuals for a range of markers (hundreds to hundreds of thousands). Our method requires no prior genomic knowledge and achieves per-site and per-individual costs below that of current SNP chip technology, while requiring similar hands-on time investment, comparable amounts of input DNA, and downstream analysis times on the order of hours. Finally, we provide empirical results from the application of this method to both genotyping in a laboratory cross and in wild populations. Because of its flexibility, this modified RADseq approach promises to be applicable to a diversity of biological questions in a wide range of organisms.","author":[{"dropping-particle":"","family":"Peterson","given":"Brant K.","non-dropping-particle":"","parse-names":false,"suffix":""},{"dropping-particle":"","family":"Weber","given":"Jesse N.","non-dropping-particle":"","parse-names":false,"suffix":""},{"dropping-particle":"","family":"Kay","given":"Emily H.","non-dropping-particle":"","parse-names":false,"suffix":""},{"dropping-particle":"","family":"Fisher","given":"Heidi S.","non-dropping-particle":"","parse-names":false,"suffix":""},{"dropping-particle":"","family":"Hoekstra","given":"Hopi E.","non-dropping-particle":"","parse-names":false,"suffix":""}],"container-title":"PLoS ONE","id":"ITEM-1","issue":"5","issued":{"date-parts":[["2012"]]},"title":"Double digest RADseq: An inexpensive method for de novo SNP discovery and genotyping in model and non-model species","type":"article-journal","volume":"7"},"uris":["http://www.mendeley.com/documents/?uuid=308140b9-40af-47c8-b039-3e9a06813643"]}],"mendeley":{"formattedCitation":"[2]","manualFormatting":"Peterson et al. (2012)","plainTextFormattedCitation":"[2]","previouslyFormattedCitation":"[2]"},"properties":{"noteIndex":0},"schema":"https://github.com/citation-style-language/schema/raw/master/csl-citation.json"}</w:instrText>
      </w:r>
      <w:r w:rsidRPr="001F1BE9">
        <w:rPr>
          <w:rStyle w:val="normaltextrun"/>
          <w:lang w:val="en-US"/>
        </w:rPr>
        <w:fldChar w:fldCharType="separate"/>
      </w:r>
      <w:r w:rsidRPr="001F1BE9">
        <w:rPr>
          <w:rStyle w:val="normaltextrun"/>
          <w:noProof/>
          <w:lang w:val="en-US"/>
        </w:rPr>
        <w:t xml:space="preserve">Peterson </w:t>
      </w:r>
      <w:r w:rsidRPr="001F1BE9">
        <w:rPr>
          <w:rStyle w:val="normaltextrun"/>
          <w:i/>
          <w:noProof/>
          <w:lang w:val="en-US"/>
        </w:rPr>
        <w:t>et al.</w:t>
      </w:r>
      <w:r w:rsidRPr="001F1BE9">
        <w:rPr>
          <w:rStyle w:val="normaltextrun"/>
          <w:noProof/>
          <w:lang w:val="en-US"/>
        </w:rPr>
        <w:t xml:space="preserve"> (2012)</w:t>
      </w:r>
      <w:r w:rsidRPr="001F1BE9">
        <w:rPr>
          <w:rStyle w:val="normaltextrun"/>
          <w:lang w:val="en-US"/>
        </w:rPr>
        <w:fldChar w:fldCharType="end"/>
      </w:r>
      <w:r w:rsidRPr="001F1BE9">
        <w:rPr>
          <w:rStyle w:val="normaltextrun"/>
          <w:lang w:val="en-US"/>
        </w:rPr>
        <w:t xml:space="preserve">. To this end, we used the restriction enzymes </w:t>
      </w:r>
      <w:r w:rsidRPr="001F1BE9">
        <w:rPr>
          <w:rStyle w:val="spellingerror"/>
          <w:i/>
          <w:iCs/>
          <w:lang w:val="en-US"/>
        </w:rPr>
        <w:t>PstI</w:t>
      </w:r>
      <w:r w:rsidRPr="001F1BE9">
        <w:rPr>
          <w:rStyle w:val="normaltextrun"/>
          <w:i/>
          <w:iCs/>
          <w:lang w:val="en-US"/>
        </w:rPr>
        <w:t xml:space="preserve"> </w:t>
      </w:r>
      <w:r w:rsidRPr="001F1BE9">
        <w:rPr>
          <w:rStyle w:val="normaltextrun"/>
          <w:lang w:val="en-US"/>
        </w:rPr>
        <w:t xml:space="preserve">and </w:t>
      </w:r>
      <w:r w:rsidRPr="001F1BE9">
        <w:rPr>
          <w:rStyle w:val="spellingerror"/>
          <w:i/>
          <w:iCs/>
          <w:lang w:val="en-US"/>
        </w:rPr>
        <w:t>MseI</w:t>
      </w:r>
      <w:r w:rsidRPr="001F1BE9">
        <w:rPr>
          <w:rStyle w:val="normaltextrun"/>
          <w:lang w:val="en-US"/>
        </w:rPr>
        <w:t>, and a size selection window of 300</w:t>
      </w:r>
      <w:r w:rsidRPr="001F1BE9">
        <w:rPr>
          <w:rFonts w:eastAsiaTheme="minorHAnsi"/>
          <w:color w:val="231F20"/>
          <w:lang w:val="en-US"/>
        </w:rPr>
        <w:t>–</w:t>
      </w:r>
      <w:r w:rsidRPr="001F1BE9">
        <w:rPr>
          <w:rStyle w:val="normaltextrun"/>
          <w:lang w:val="en-US"/>
        </w:rPr>
        <w:t xml:space="preserve">600 bp. We included 20 individuals per library using a set of six base-pairs barcodes in combinatorial schemes to index each individual. We sequenced the resulting libraries in one Illumina </w:t>
      </w:r>
      <w:r w:rsidRPr="001F1BE9">
        <w:rPr>
          <w:rStyle w:val="spellingerror"/>
          <w:lang w:val="en-US"/>
        </w:rPr>
        <w:t>HiSeq</w:t>
      </w:r>
      <w:r w:rsidRPr="001F1BE9">
        <w:rPr>
          <w:rStyle w:val="normaltextrun"/>
          <w:lang w:val="en-US"/>
        </w:rPr>
        <w:t xml:space="preserve"> 4000 lane using 100 base pair-ended </w:t>
      </w:r>
      <w:r w:rsidRPr="001F1BE9">
        <w:rPr>
          <w:rStyle w:val="normaltextrun"/>
          <w:lang w:val="en-US"/>
        </w:rPr>
        <w:lastRenderedPageBreak/>
        <w:t>sequencing at the Knapp Center of Biomedical Discovery (KCBD) Genomics Facility at the University of Chicago.</w:t>
      </w:r>
    </w:p>
    <w:p w14:paraId="61E01E76"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rStyle w:val="normaltextrun"/>
          <w:lang w:val="en-US"/>
        </w:rPr>
      </w:pPr>
      <w:r w:rsidRPr="001F1BE9">
        <w:rPr>
          <w:rStyle w:val="normaltextrun"/>
          <w:lang w:val="en-US"/>
        </w:rPr>
        <w:t xml:space="preserve">We checked the quality of a total of 358,591,878 raw reads with FASTQ 0.11.5 (www.bioinformatics.babraham.ac.uk/projects/fastqc). We used the </w:t>
      </w:r>
      <w:r w:rsidRPr="001F1BE9">
        <w:rPr>
          <w:rStyle w:val="spellingerror"/>
          <w:i/>
          <w:iCs/>
          <w:lang w:val="en-US"/>
        </w:rPr>
        <w:t>process_radtags</w:t>
      </w:r>
      <w:r w:rsidRPr="001F1BE9">
        <w:rPr>
          <w:rStyle w:val="normaltextrun"/>
          <w:lang w:val="en-US"/>
        </w:rPr>
        <w:t xml:space="preserve"> pipeline available in Stacks v2.4 </w:t>
      </w:r>
      <w:r w:rsidRPr="001F1BE9">
        <w:rPr>
          <w:rStyle w:val="normaltextrun"/>
          <w:lang w:val="en-US"/>
        </w:rPr>
        <w:fldChar w:fldCharType="begin" w:fldLock="1"/>
      </w:r>
      <w:r w:rsidRPr="001F1BE9">
        <w:rPr>
          <w:rStyle w:val="normaltextrun"/>
          <w:lang w:val="en-US"/>
        </w:rPr>
        <w:instrText>ADDIN CSL_CITATION {"citationItems":[{"id":"ITEM-1","itemData":{"DOI":"10.1111/mec.12354.Stacks","author":[{"dropping-particle":"","family":"Catchen","given":"Julian M.","non-dropping-particle":"","parse-names":false,"suffix":""},{"dropping-particle":"","family":"Hohenlohe","given":"Paul A.","non-dropping-particle":"","parse-names":false,"suffix":""},{"dropping-particle":"","family":"Bassham","given":"Susan","non-dropping-particle":"","parse-names":false,"suffix":""},{"dropping-particle":"","family":"Amores","given":"Angel","non-dropping-particle":"","parse-names":false,"suffix":""},{"dropping-particle":"","family":"Cresko","given":"William A.","non-dropping-particle":"","parse-names":false,"suffix":""}],"container-title":"Molecular Ecology","id":"ITEM-1","issue":"11","issued":{"date-parts":[["2013"]]},"page":"3124-3140","title":"Stacks: an analysis tool set for population genomics","type":"article-journal","volume":"22"},"uris":["http://www.mendeley.com/documents/?uuid=508cf26b-45a4-4e03-91b5-8e4b0d1d311f"]},{"id":"ITEM-2","itemData":{"DOI":"10.1534/g3.111.000240","author":[{"dropping-particle":"","family":"Catchen","given":"Julian M","non-dropping-particle":"","parse-names":false,"suffix":""},{"dropping-particle":"","family":"Amores","given":"Angel","non-dropping-particle":"","parse-names":false,"suffix":""},{"dropping-particle":"","family":"Hohenlohe","given":"Paul","non-dropping-particle":"","parse-names":false,"suffix":""},{"dropping-particle":"","family":"Cresko","given":"William","non-dropping-particle":"","parse-names":false,"suffix":""},{"dropping-particle":"","family":"Postlethwait","given":"John H","non-dropping-particle":"","parse-names":false,"suffix":""}],"container-title":"Genes, Genomes","id":"ITEM-2","issue":"August","issued":{"date-parts":[["2011"]]},"page":"171-182","title":"Stacks : Building and Genotyping Loci De Novo From Short-Read Sequences","type":"article-journal","volume":"1"},"uris":["http://www.mendeley.com/documents/?uuid=194ede90-fde4-47aa-891c-e414bc7cff4d"]}],"mendeley":{"formattedCitation":"[3, 4]","plainTextFormattedCitation":"[3, 4]","previouslyFormattedCitation":"[3, 4]"},"properties":{"noteIndex":0},"schema":"https://github.com/citation-style-language/schema/raw/master/csl-citation.json"}</w:instrText>
      </w:r>
      <w:r w:rsidRPr="001F1BE9">
        <w:rPr>
          <w:rStyle w:val="normaltextrun"/>
          <w:lang w:val="en-US"/>
        </w:rPr>
        <w:fldChar w:fldCharType="separate"/>
      </w:r>
      <w:r w:rsidRPr="001F1BE9">
        <w:rPr>
          <w:rStyle w:val="normaltextrun"/>
          <w:noProof/>
          <w:lang w:val="en-US"/>
        </w:rPr>
        <w:t>[3, 4]</w:t>
      </w:r>
      <w:r w:rsidRPr="001F1BE9">
        <w:rPr>
          <w:rStyle w:val="normaltextrun"/>
          <w:lang w:val="en-US"/>
        </w:rPr>
        <w:fldChar w:fldCharType="end"/>
      </w:r>
      <w:r w:rsidRPr="001F1BE9">
        <w:rPr>
          <w:rStyle w:val="normaltextrun"/>
          <w:lang w:val="en-US"/>
        </w:rPr>
        <w:t xml:space="preserve"> to demultiplex our </w:t>
      </w:r>
      <w:r w:rsidRPr="001F1BE9">
        <w:rPr>
          <w:rStyle w:val="spellingerror"/>
          <w:lang w:val="en-US"/>
        </w:rPr>
        <w:t>ddRADseq</w:t>
      </w:r>
      <w:r w:rsidRPr="001F1BE9">
        <w:rPr>
          <w:rStyle w:val="normaltextrun"/>
          <w:lang w:val="en-US"/>
        </w:rPr>
        <w:t xml:space="preserve"> libraries. We applied a quality control </w:t>
      </w:r>
      <w:r w:rsidRPr="001F1BE9">
        <w:rPr>
          <w:rStyle w:val="spellingerror"/>
          <w:lang w:val="en-US"/>
        </w:rPr>
        <w:t>Phred</w:t>
      </w:r>
      <w:r w:rsidRPr="001F1BE9">
        <w:rPr>
          <w:rStyle w:val="normaltextrun"/>
          <w:lang w:val="en-US"/>
        </w:rPr>
        <w:t xml:space="preserve"> score of 33 to filter demultiplexed reads and trimmed the sequences to 86 bp after removing the enzyme's overhangs. We used a total of 349,891,799 reads that passed the filters (97.6%) to assemble putative loci.</w:t>
      </w:r>
    </w:p>
    <w:p w14:paraId="6DFD706D"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rStyle w:val="normaltextrun"/>
          <w:lang w:val="en-US"/>
        </w:rPr>
      </w:pPr>
      <w:r w:rsidRPr="001F1BE9">
        <w:rPr>
          <w:rStyle w:val="normaltextrun"/>
          <w:lang w:val="en-US"/>
        </w:rPr>
        <w:t xml:space="preserve">We conducted a </w:t>
      </w:r>
      <w:r w:rsidRPr="001F1BE9">
        <w:rPr>
          <w:rStyle w:val="normaltextrun"/>
          <w:i/>
          <w:iCs/>
          <w:lang w:val="en-US"/>
        </w:rPr>
        <w:t xml:space="preserve">de novo </w:t>
      </w:r>
      <w:r w:rsidRPr="001F1BE9">
        <w:rPr>
          <w:rStyle w:val="normaltextrun"/>
          <w:lang w:val="en-US"/>
        </w:rPr>
        <w:t xml:space="preserve">assembly pilot run using </w:t>
      </w:r>
      <w:r w:rsidRPr="001F1BE9">
        <w:rPr>
          <w:rStyle w:val="normaltextrun"/>
          <w:i/>
          <w:iCs/>
          <w:lang w:val="en-US"/>
        </w:rPr>
        <w:t>denovo.pl</w:t>
      </w:r>
      <w:r w:rsidRPr="001F1BE9">
        <w:rPr>
          <w:rStyle w:val="normaltextrun"/>
          <w:lang w:val="en-US"/>
        </w:rPr>
        <w:t xml:space="preserve"> program and default parameters in Stacks on all 80 individuals. As the selection of key parameters for </w:t>
      </w:r>
      <w:r w:rsidRPr="001F1BE9">
        <w:rPr>
          <w:rStyle w:val="normaltextrun"/>
          <w:i/>
          <w:iCs/>
          <w:lang w:val="en-US"/>
        </w:rPr>
        <w:t>de novo</w:t>
      </w:r>
      <w:r w:rsidRPr="001F1BE9">
        <w:rPr>
          <w:rStyle w:val="normaltextrun"/>
          <w:lang w:val="en-US"/>
        </w:rPr>
        <w:t xml:space="preserve"> assembly (</w:t>
      </w:r>
      <w:r w:rsidRPr="001F1BE9">
        <w:rPr>
          <w:rStyle w:val="normaltextrun"/>
          <w:i/>
          <w:iCs/>
          <w:lang w:val="en-US"/>
        </w:rPr>
        <w:t>m</w:t>
      </w:r>
      <w:r w:rsidRPr="001F1BE9">
        <w:rPr>
          <w:rStyle w:val="normaltextrun"/>
          <w:lang w:val="en-US"/>
        </w:rPr>
        <w:t xml:space="preserve"> = minimum raw reads required to form a stack, </w:t>
      </w:r>
      <w:r w:rsidRPr="001F1BE9">
        <w:rPr>
          <w:rStyle w:val="normaltextrun"/>
          <w:i/>
          <w:iCs/>
          <w:lang w:val="en-US"/>
        </w:rPr>
        <w:t>M</w:t>
      </w:r>
      <w:r w:rsidRPr="001F1BE9">
        <w:rPr>
          <w:rStyle w:val="normaltextrun"/>
          <w:lang w:val="en-US"/>
        </w:rPr>
        <w:t xml:space="preserve"> = maximum mismatches between stacks, and </w:t>
      </w:r>
      <w:r w:rsidRPr="001F1BE9">
        <w:rPr>
          <w:rStyle w:val="normaltextrun"/>
          <w:i/>
          <w:iCs/>
          <w:lang w:val="en-US"/>
        </w:rPr>
        <w:t>n</w:t>
      </w:r>
      <w:r w:rsidRPr="001F1BE9">
        <w:rPr>
          <w:rStyle w:val="normaltextrun"/>
          <w:lang w:val="en-US"/>
        </w:rPr>
        <w:t xml:space="preserve"> = mismatches between loci of different individuals) greatly influences the quality and formation of putative loci </w:t>
      </w:r>
      <w:r w:rsidRPr="001F1BE9">
        <w:rPr>
          <w:rStyle w:val="normaltextrun"/>
          <w:lang w:val="en-US"/>
        </w:rPr>
        <w:fldChar w:fldCharType="begin" w:fldLock="1"/>
      </w:r>
      <w:r w:rsidRPr="001F1BE9">
        <w:rPr>
          <w:rStyle w:val="normaltextrun"/>
          <w:lang w:val="en-US"/>
        </w:rPr>
        <w:instrText>ADDIN CSL_CITATION {"citationItems":[{"id":"ITEM-1","itemData":{"DOI":"10.1111/ijlh.12426","ISBN":"0000000247986","author":[{"dropping-particle":"","family":"Paris","given":"J. R.","non-dropping-particle":"","parse-names":false,"suffix":""},{"dropping-particle":"","family":"Stevens","given":"J.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885d9eb1-2be2-4ebd-950d-a53682e469e4"]}],"mendeley":{"formattedCitation":"[5]","plainTextFormattedCitation":"[5]","previouslyFormattedCitation":"[5]"},"properties":{"noteIndex":0},"schema":"https://github.com/citation-style-language/schema/raw/master/csl-citation.json"}</w:instrText>
      </w:r>
      <w:r w:rsidRPr="001F1BE9">
        <w:rPr>
          <w:rStyle w:val="normaltextrun"/>
          <w:lang w:val="en-US"/>
        </w:rPr>
        <w:fldChar w:fldCharType="separate"/>
      </w:r>
      <w:r w:rsidRPr="001F1BE9">
        <w:rPr>
          <w:rStyle w:val="normaltextrun"/>
          <w:noProof/>
          <w:lang w:val="en-US"/>
        </w:rPr>
        <w:t>[5]</w:t>
      </w:r>
      <w:r w:rsidRPr="001F1BE9">
        <w:rPr>
          <w:rStyle w:val="normaltextrun"/>
          <w:lang w:val="en-US"/>
        </w:rPr>
        <w:fldChar w:fldCharType="end"/>
      </w:r>
      <w:r w:rsidRPr="001F1BE9">
        <w:rPr>
          <w:rStyle w:val="normaltextrun"/>
          <w:lang w:val="en-US"/>
        </w:rPr>
        <w:t xml:space="preserve">, we selected a subset of 15 samples (including individuals of each nominal species that presented the highest coverage values) to optimize the assembly parameters that best fit our data. We followed a combination of the protocols used by </w:t>
      </w:r>
      <w:r w:rsidRPr="001F1BE9">
        <w:rPr>
          <w:rStyle w:val="normaltextrun"/>
          <w:lang w:val="en-US"/>
        </w:rPr>
        <w:fldChar w:fldCharType="begin" w:fldLock="1"/>
      </w:r>
      <w:r w:rsidRPr="001F1BE9">
        <w:rPr>
          <w:rStyle w:val="normaltextrun"/>
          <w:lang w:val="en-US"/>
        </w:rPr>
        <w:instrText>ADDIN CSL_CITATION {"citationItems":[{"id":"ITEM-1","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Ecology","id":"ITEM-1","issue":"15","issued":{"date-parts":[["2015"]]},"page":"28-41","title":"Restriction site-associated DNA sequencing, genotyping error estimation and de novo assembly optimization for population genetic inference","type":"article-journal"},"uris":["http://www.mendeley.com/documents/?uuid=7b2dfb57-5591-41a3-ad23-e056fe0822f1"]}],"mendeley":{"formattedCitation":"[6]","manualFormatting":"Mastretta-Yanes et al. (2015)","plainTextFormattedCitation":"[6]","previouslyFormattedCitation":"[6]"},"properties":{"noteIndex":0},"schema":"https://github.com/citation-style-language/schema/raw/master/csl-citation.json"}</w:instrText>
      </w:r>
      <w:r w:rsidRPr="001F1BE9">
        <w:rPr>
          <w:rStyle w:val="normaltextrun"/>
          <w:lang w:val="en-US"/>
        </w:rPr>
        <w:fldChar w:fldCharType="separate"/>
      </w:r>
      <w:r w:rsidRPr="001F1BE9">
        <w:rPr>
          <w:rStyle w:val="normaltextrun"/>
          <w:noProof/>
          <w:lang w:val="en-US"/>
        </w:rPr>
        <w:t xml:space="preserve">Mastretta-Yanes </w:t>
      </w:r>
      <w:r w:rsidRPr="001F1BE9">
        <w:rPr>
          <w:rStyle w:val="normaltextrun"/>
          <w:i/>
          <w:noProof/>
          <w:lang w:val="en-US"/>
        </w:rPr>
        <w:t>et al.</w:t>
      </w:r>
      <w:r w:rsidRPr="001F1BE9">
        <w:rPr>
          <w:rStyle w:val="normaltextrun"/>
          <w:noProof/>
          <w:lang w:val="en-US"/>
        </w:rPr>
        <w:t xml:space="preserve"> (2015)</w:t>
      </w:r>
      <w:r w:rsidRPr="001F1BE9">
        <w:rPr>
          <w:rStyle w:val="normaltextrun"/>
          <w:lang w:val="en-US"/>
        </w:rPr>
        <w:fldChar w:fldCharType="end"/>
      </w:r>
      <w:r w:rsidRPr="001F1BE9">
        <w:rPr>
          <w:rStyle w:val="normaltextrun"/>
          <w:lang w:val="en-US"/>
        </w:rPr>
        <w:t xml:space="preserve">, </w:t>
      </w:r>
      <w:r w:rsidRPr="001F1BE9">
        <w:rPr>
          <w:rStyle w:val="normaltextrun"/>
          <w:lang w:val="en-US"/>
        </w:rPr>
        <w:fldChar w:fldCharType="begin" w:fldLock="1"/>
      </w:r>
      <w:r w:rsidRPr="001F1BE9">
        <w:rPr>
          <w:rStyle w:val="normaltextrun"/>
          <w:lang w:val="en-US"/>
        </w:rPr>
        <w:instrText>ADDIN CSL_CITATION {"citationItems":[{"id":"ITEM-1","itemData":{"DOI":"10.1111/ijlh.12426","ISBN":"0000000247986","author":[{"dropping-particle":"","family":"Paris","given":"J. R.","non-dropping-particle":"","parse-names":false,"suffix":""},{"dropping-particle":"","family":"Stevens","given":"J.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Stacks","type":"article-journal","volume":"8"},"uris":["http://www.mendeley.com/documents/?uuid=885d9eb1-2be2-4ebd-950d-a53682e469e4"]}],"mendeley":{"formattedCitation":"[5]","manualFormatting":"Paris et al. (2017)","plainTextFormattedCitation":"[5]","previouslyFormattedCitation":"[5]"},"properties":{"noteIndex":0},"schema":"https://github.com/citation-style-language/schema/raw/master/csl-citation.json"}</w:instrText>
      </w:r>
      <w:r w:rsidRPr="001F1BE9">
        <w:rPr>
          <w:rStyle w:val="normaltextrun"/>
          <w:lang w:val="en-US"/>
        </w:rPr>
        <w:fldChar w:fldCharType="separate"/>
      </w:r>
      <w:r w:rsidRPr="001F1BE9">
        <w:rPr>
          <w:rStyle w:val="normaltextrun"/>
          <w:noProof/>
          <w:lang w:val="en-US"/>
        </w:rPr>
        <w:t xml:space="preserve">Paris </w:t>
      </w:r>
      <w:r w:rsidRPr="001F1BE9">
        <w:rPr>
          <w:rStyle w:val="normaltextrun"/>
          <w:i/>
          <w:noProof/>
          <w:lang w:val="en-US"/>
        </w:rPr>
        <w:t>et al.</w:t>
      </w:r>
      <w:r w:rsidRPr="001F1BE9">
        <w:rPr>
          <w:rStyle w:val="normaltextrun"/>
          <w:noProof/>
          <w:lang w:val="en-US"/>
        </w:rPr>
        <w:t xml:space="preserve"> (2017)</w:t>
      </w:r>
      <w:r w:rsidRPr="001F1BE9">
        <w:rPr>
          <w:rStyle w:val="normaltextrun"/>
          <w:lang w:val="en-US"/>
        </w:rPr>
        <w:fldChar w:fldCharType="end"/>
      </w:r>
      <w:r w:rsidRPr="001F1BE9">
        <w:rPr>
          <w:rStyle w:val="normaltextrun"/>
          <w:lang w:val="en-US"/>
        </w:rPr>
        <w:t xml:space="preserve">, and </w:t>
      </w:r>
      <w:r w:rsidRPr="001F1BE9">
        <w:rPr>
          <w:rStyle w:val="normaltextrun"/>
          <w:lang w:val="en-US"/>
        </w:rPr>
        <w:fldChar w:fldCharType="begin" w:fldLock="1"/>
      </w:r>
      <w:r w:rsidRPr="001F1BE9">
        <w:rPr>
          <w:rStyle w:val="normaltextrun"/>
          <w:lang w:val="en-US"/>
        </w:rPr>
        <w:instrText>ADDIN CSL_CITATION {"citationItems":[{"id":"ITEM-1","itemData":{"DOI":"10.1098/rspb.2018.2924","ISSN":"14712954","PMID":"30940064","abstract":"Species delimitation is a major quest in biology and is essential for adequate management of the organismal diversity. A challenging example comprises the fish species of red snappers in the Western Atlantic. Red snappers have been traditionally recognized as two separate species based on morphology: Lutjanus campechanus (northern red snapper) and L. purpureus (southern red snapper). Recent genetic studies using mitochondrial markers, however, failed to delineate these nominal species, leading to the current lumping of the northern and southern populations into a single species (L. campechanus). This decision carries broad implications for conservation and management as red snappers have been commercially over-exploited across the Western Atlantic and are currently listed as vulnerable. To address this conflict, we examine genome-wide data collected throughout the range of the two species. Population genomics, phylogenetic and coalescent analyses favour the existence of two independent evolutionary lineages, a result that confirms the morphology-based delimitation scenario in agreement with conventional taxonomy. Despite finding evidence of introgression in geographically neighbouring populations in northern South America, our genomic analyses strongly support isolation and differentiation of these species, suggesting that the northern and southern red snappers should be treated as distinct taxonomic entities.","author":[{"dropping-particle":"","family":"Pedraza-Marrón","given":"Carmen R.","non-dropping-particle":"Del","parse-names":false,"suffix":""},{"dropping-particle":"","family":"Silva","given":"Raimundo","non-dropping-particle":"","parse-names":false,"suffix":""},{"dropping-particle":"","family":"Deeds","given":"Jonathan","non-dropping-particle":"","parse-names":false,"suffix":""},{"dropping-particle":"","family":"Belleghem","given":"Steven M.","non-dropping-particle":"Van","parse-names":false,"suffix":""},{"dropping-particle":"","family":"Mastretta-Yanes","given":"Alicia","non-dropping-particle":"","parse-names":false,"suffix":""},{"dropping-particle":"","family":"Domínguez-Domínguez","given":"Omar","non-dropping-particle":"","parse-names":false,"suffix":""},{"dropping-particle":"","family":"Rivero-Vega","given":"Rafael A.","non-dropping-particle":"","parse-names":false,"suffix":""},{"dropping-particle":"","family":"Lutackas","given":"Loretta","non-dropping-particle":"","parse-names":false,"suffix":""},{"dropping-particle":"","family":"Murie","given":"Debra","non-dropping-particle":"","parse-names":false,"suffix":""},{"dropping-particle":"","family":"Parkyn","given":"Daryl","non-dropping-particle":"","parse-names":false,"suffix":""},{"dropping-particle":"","family":"Bullock","given":"Lewis H.","non-dropping-particle":"","parse-names":false,"suffix":""},{"dropping-particle":"","family":"Foss","given":"Kristin","non-dropping-particle":"","parse-names":false,"suffix":""},{"dropping-particle":"","family":"Ortiz-Zuazaga","given":"Humberto","non-dropping-particle":"","parse-names":false,"suffix":""},{"dropping-particle":"","family":"Narváez-Barandica","given":"Juan","non-dropping-particle":"","parse-names":false,"suffix":""},{"dropping-particle":"","family":"Acero","given":"Arturo","non-dropping-particle":"","parse-names":false,"suffix":""},{"dropping-particle":"","family":"Gomes","given":"Grazielle","non-dropping-particle":"","parse-names":false,"suffix":""},{"dropping-particle":"","family":"Betancur-R","given":"Ricardo","non-dropping-particle":"","parse-names":false,"suffix":""}],"container-title":"Proceedings of the Royal Society B: Biological Sciences","id":"ITEM-1","issue":"1900","issued":{"date-parts":[["2019"]]},"title":"Genomics overrules mitochondrial DNA, siding with morphology on a controversial case of species delimitation","type":"article-journal","volume":"286"},"uris":["http://www.mendeley.com/documents/?uuid=21169bc0-927a-48dd-8971-42e957822d49"]}],"mendeley":{"formattedCitation":"[7]","manualFormatting":"Del Pedraza-Marrón et al. (2019)","plainTextFormattedCitation":"[7]","previouslyFormattedCitation":"[7]"},"properties":{"noteIndex":0},"schema":"https://github.com/citation-style-language/schema/raw/master/csl-citation.json"}</w:instrText>
      </w:r>
      <w:r w:rsidRPr="001F1BE9">
        <w:rPr>
          <w:rStyle w:val="normaltextrun"/>
          <w:lang w:val="en-US"/>
        </w:rPr>
        <w:fldChar w:fldCharType="separate"/>
      </w:r>
      <w:r w:rsidRPr="001F1BE9">
        <w:rPr>
          <w:rStyle w:val="normaltextrun"/>
          <w:noProof/>
          <w:lang w:val="en-US"/>
        </w:rPr>
        <w:t xml:space="preserve">Del Pedraza-Marrón </w:t>
      </w:r>
      <w:r w:rsidRPr="001F1BE9">
        <w:rPr>
          <w:rStyle w:val="normaltextrun"/>
          <w:i/>
          <w:noProof/>
          <w:lang w:val="en-US"/>
        </w:rPr>
        <w:t>et al.</w:t>
      </w:r>
      <w:r w:rsidRPr="001F1BE9">
        <w:rPr>
          <w:rStyle w:val="normaltextrun"/>
          <w:noProof/>
          <w:lang w:val="en-US"/>
        </w:rPr>
        <w:t xml:space="preserve"> (2019)</w:t>
      </w:r>
      <w:r w:rsidRPr="001F1BE9">
        <w:rPr>
          <w:rStyle w:val="normaltextrun"/>
          <w:lang w:val="en-US"/>
        </w:rPr>
        <w:fldChar w:fldCharType="end"/>
      </w:r>
      <w:r w:rsidRPr="001F1BE9">
        <w:rPr>
          <w:rStyle w:val="normaltextrun"/>
          <w:lang w:val="en-US"/>
        </w:rPr>
        <w:t>, by varying one parameter at the time (</w:t>
      </w:r>
      <w:r w:rsidRPr="001F1BE9">
        <w:rPr>
          <w:rStyle w:val="normaltextrun"/>
          <w:i/>
          <w:iCs/>
          <w:lang w:val="en-US"/>
        </w:rPr>
        <w:t>m</w:t>
      </w:r>
      <w:r w:rsidRPr="001F1BE9">
        <w:rPr>
          <w:rStyle w:val="normaltextrun"/>
          <w:lang w:val="en-US"/>
        </w:rPr>
        <w:t xml:space="preserve"> = 2</w:t>
      </w:r>
      <w:r w:rsidRPr="001F1BE9">
        <w:rPr>
          <w:rFonts w:eastAsiaTheme="minorHAnsi"/>
          <w:color w:val="231F20"/>
          <w:lang w:val="en-US"/>
        </w:rPr>
        <w:t>–</w:t>
      </w:r>
      <w:r w:rsidRPr="001F1BE9">
        <w:rPr>
          <w:rStyle w:val="normaltextrun"/>
          <w:lang w:val="en-US"/>
        </w:rPr>
        <w:t xml:space="preserve">6, </w:t>
      </w:r>
      <w:r w:rsidRPr="001F1BE9">
        <w:rPr>
          <w:rStyle w:val="normaltextrun"/>
          <w:i/>
          <w:iCs/>
          <w:lang w:val="en-US"/>
        </w:rPr>
        <w:t>M</w:t>
      </w:r>
      <w:r w:rsidRPr="001F1BE9">
        <w:rPr>
          <w:rStyle w:val="normaltextrun"/>
          <w:lang w:val="en-US"/>
        </w:rPr>
        <w:t xml:space="preserve"> = 0</w:t>
      </w:r>
      <w:r w:rsidRPr="001F1BE9">
        <w:rPr>
          <w:rFonts w:eastAsiaTheme="minorHAnsi"/>
          <w:color w:val="231F20"/>
          <w:lang w:val="en-US"/>
        </w:rPr>
        <w:t>–</w:t>
      </w:r>
      <w:r w:rsidRPr="001F1BE9">
        <w:rPr>
          <w:rStyle w:val="normaltextrun"/>
          <w:lang w:val="en-US"/>
        </w:rPr>
        <w:t xml:space="preserve">6, and </w:t>
      </w:r>
      <w:r w:rsidRPr="001F1BE9">
        <w:rPr>
          <w:rStyle w:val="normaltextrun"/>
          <w:i/>
          <w:iCs/>
          <w:lang w:val="en-US"/>
        </w:rPr>
        <w:t>n</w:t>
      </w:r>
      <w:r w:rsidRPr="001F1BE9">
        <w:rPr>
          <w:rStyle w:val="normaltextrun"/>
          <w:lang w:val="en-US"/>
        </w:rPr>
        <w:t xml:space="preserve"> = 0</w:t>
      </w:r>
      <w:r w:rsidRPr="001F1BE9">
        <w:rPr>
          <w:rFonts w:eastAsiaTheme="minorHAnsi"/>
          <w:color w:val="231F20"/>
          <w:lang w:val="en-US"/>
        </w:rPr>
        <w:t>–</w:t>
      </w:r>
      <w:r w:rsidRPr="001F1BE9">
        <w:rPr>
          <w:rStyle w:val="normaltextrun"/>
          <w:lang w:val="en-US"/>
        </w:rPr>
        <w:t xml:space="preserve">11). We observed a common pattern of </w:t>
      </w:r>
      <w:r w:rsidRPr="001F1BE9">
        <w:rPr>
          <w:rStyle w:val="spellingerror"/>
          <w:lang w:val="en-US"/>
        </w:rPr>
        <w:t>RADseq</w:t>
      </w:r>
      <w:r w:rsidRPr="001F1BE9">
        <w:rPr>
          <w:rStyle w:val="normaltextrun"/>
          <w:lang w:val="en-US"/>
        </w:rPr>
        <w:t xml:space="preserve"> data in which higher values of </w:t>
      </w:r>
      <w:r w:rsidRPr="001F1BE9">
        <w:rPr>
          <w:rStyle w:val="normaltextrun"/>
          <w:i/>
          <w:iCs/>
          <w:lang w:val="en-US"/>
        </w:rPr>
        <w:t>m</w:t>
      </w:r>
      <w:r w:rsidRPr="001F1BE9">
        <w:rPr>
          <w:rStyle w:val="normaltextrun"/>
          <w:lang w:val="en-US"/>
        </w:rPr>
        <w:t xml:space="preserve"> increased the average sample coverage </w:t>
      </w:r>
      <w:r w:rsidRPr="001F1BE9">
        <w:rPr>
          <w:rStyle w:val="normaltextrun"/>
          <w:color w:val="000000" w:themeColor="text1"/>
          <w:lang w:val="en-US"/>
        </w:rPr>
        <w:t>(</w:t>
      </w:r>
      <w:r>
        <w:rPr>
          <w:rStyle w:val="normaltextrun"/>
          <w:color w:val="000000" w:themeColor="text1"/>
          <w:lang w:val="en-US"/>
        </w:rPr>
        <w:t>Figure</w:t>
      </w:r>
      <w:r w:rsidRPr="001F1BE9">
        <w:rPr>
          <w:rStyle w:val="normaltextrun"/>
          <w:color w:val="000000" w:themeColor="text1"/>
          <w:lang w:val="en-US"/>
        </w:rPr>
        <w:t xml:space="preserve"> S1) </w:t>
      </w:r>
      <w:r w:rsidRPr="001F1BE9">
        <w:rPr>
          <w:rStyle w:val="normaltextrun"/>
          <w:lang w:val="en-US"/>
        </w:rPr>
        <w:t xml:space="preserve">but decreased the number of putative loci </w:t>
      </w:r>
      <w:r w:rsidRPr="001F1BE9">
        <w:rPr>
          <w:rStyle w:val="normaltextrun"/>
          <w:color w:val="000000" w:themeColor="text1"/>
          <w:lang w:val="en-US"/>
        </w:rPr>
        <w:t>(</w:t>
      </w:r>
      <w:r>
        <w:rPr>
          <w:rStyle w:val="normaltextrun"/>
          <w:color w:val="000000" w:themeColor="text1"/>
          <w:lang w:val="en-US"/>
        </w:rPr>
        <w:t>Figure</w:t>
      </w:r>
      <w:r w:rsidRPr="001F1BE9">
        <w:rPr>
          <w:rStyle w:val="normaltextrun"/>
          <w:color w:val="000000" w:themeColor="text1"/>
          <w:lang w:val="en-US"/>
        </w:rPr>
        <w:t xml:space="preserve"> S2). </w:t>
      </w:r>
      <w:r w:rsidRPr="001F1BE9">
        <w:rPr>
          <w:rStyle w:val="normaltextrun"/>
          <w:lang w:val="en-US"/>
        </w:rPr>
        <w:t xml:space="preserve">Overall, increasing </w:t>
      </w:r>
      <w:r w:rsidRPr="001F1BE9">
        <w:rPr>
          <w:rStyle w:val="normaltextrun"/>
          <w:i/>
          <w:iCs/>
          <w:lang w:val="en-US"/>
        </w:rPr>
        <w:t>m</w:t>
      </w:r>
      <w:r w:rsidRPr="001F1BE9">
        <w:rPr>
          <w:rStyle w:val="normaltextrun"/>
          <w:lang w:val="en-US"/>
        </w:rPr>
        <w:t xml:space="preserve"> from three to six produced a lower number of putative loci. Based on these results, we selected a value of five, as higher values could exclude true alleles, underestimating the number of heterozygous loci in the dataset </w:t>
      </w:r>
      <w:r w:rsidRPr="001F1BE9">
        <w:rPr>
          <w:rStyle w:val="normaltextrun"/>
          <w:lang w:val="en-US"/>
        </w:rPr>
        <w:fldChar w:fldCharType="begin" w:fldLock="1"/>
      </w:r>
      <w:r w:rsidRPr="001F1BE9">
        <w:rPr>
          <w:rStyle w:val="normaltextrun"/>
          <w:lang w:val="en-US"/>
        </w:rPr>
        <w:instrText>ADDIN CSL_CITATION {"citationItems":[{"id":"ITEM-1","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Ecology","id":"ITEM-1","issue":"15","issued":{"date-parts":[["2015"]]},"page":"28-41","title":"Restriction site-associated DNA sequencing, genotyping error estimation and de novo assembly optimization for population genetic inference","type":"article-journal"},"uris":["http://www.mendeley.com/documents/?uuid=7b2dfb57-5591-41a3-ad23-e056fe0822f1"]}],"mendeley":{"formattedCitation":"[6]","plainTextFormattedCitation":"[6]","previouslyFormattedCitation":"[6]"},"properties":{"noteIndex":0},"schema":"https://github.com/citation-style-language/schema/raw/master/csl-citation.json"}</w:instrText>
      </w:r>
      <w:r w:rsidRPr="001F1BE9">
        <w:rPr>
          <w:rStyle w:val="normaltextrun"/>
          <w:lang w:val="en-US"/>
        </w:rPr>
        <w:fldChar w:fldCharType="separate"/>
      </w:r>
      <w:r w:rsidRPr="001F1BE9">
        <w:rPr>
          <w:rStyle w:val="normaltextrun"/>
          <w:noProof/>
          <w:lang w:val="en-US"/>
        </w:rPr>
        <w:t>[6]</w:t>
      </w:r>
      <w:r w:rsidRPr="001F1BE9">
        <w:rPr>
          <w:rStyle w:val="normaltextrun"/>
          <w:lang w:val="en-US"/>
        </w:rPr>
        <w:fldChar w:fldCharType="end"/>
      </w:r>
      <w:r w:rsidRPr="001F1BE9">
        <w:rPr>
          <w:rStyle w:val="normaltextrun"/>
          <w:lang w:val="en-US"/>
        </w:rPr>
        <w:t>. Finally, we assessed the variation of putative loci while constraining the selection to genetic information available of the individuals in a population (</w:t>
      </w:r>
      <w:r w:rsidRPr="001F1BE9">
        <w:rPr>
          <w:rStyle w:val="normaltextrun"/>
          <w:i/>
          <w:iCs/>
          <w:lang w:val="en-US"/>
        </w:rPr>
        <w:t>r</w:t>
      </w:r>
      <w:r w:rsidRPr="001F1BE9">
        <w:rPr>
          <w:rStyle w:val="normaltextrun"/>
          <w:lang w:val="en-US"/>
        </w:rPr>
        <w:t xml:space="preserve"> =40, 60, and 80) </w:t>
      </w:r>
      <w:r w:rsidRPr="001F1BE9">
        <w:rPr>
          <w:rStyle w:val="normaltextrun"/>
          <w:color w:val="000000" w:themeColor="text1"/>
          <w:lang w:val="en-US"/>
        </w:rPr>
        <w:t>(</w:t>
      </w:r>
      <w:r>
        <w:rPr>
          <w:rStyle w:val="normaltextrun"/>
          <w:color w:val="000000" w:themeColor="text1"/>
          <w:lang w:val="en-US"/>
        </w:rPr>
        <w:t>Figure</w:t>
      </w:r>
      <w:r w:rsidRPr="001F1BE9">
        <w:rPr>
          <w:rStyle w:val="normaltextrun"/>
          <w:color w:val="000000" w:themeColor="text1"/>
          <w:lang w:val="en-US"/>
        </w:rPr>
        <w:t xml:space="preserve"> S3). </w:t>
      </w:r>
      <w:r w:rsidRPr="001F1BE9">
        <w:rPr>
          <w:rStyle w:val="normaltextrun"/>
          <w:lang w:val="en-US"/>
        </w:rPr>
        <w:t>After a maximum of four mismatches between stacks (</w:t>
      </w:r>
      <w:r w:rsidRPr="001F1BE9">
        <w:rPr>
          <w:rStyle w:val="normaltextrun"/>
          <w:i/>
          <w:iCs/>
          <w:lang w:val="en-US"/>
        </w:rPr>
        <w:t>M</w:t>
      </w:r>
      <w:r w:rsidRPr="001F1BE9">
        <w:rPr>
          <w:rStyle w:val="normaltextrun"/>
          <w:lang w:val="en-US"/>
        </w:rPr>
        <w:t xml:space="preserve"> = 4) and five mismatches between loci of different individuals (</w:t>
      </w:r>
      <w:r w:rsidRPr="001F1BE9">
        <w:rPr>
          <w:rStyle w:val="normaltextrun"/>
          <w:i/>
          <w:iCs/>
          <w:lang w:val="en-US"/>
        </w:rPr>
        <w:t>n</w:t>
      </w:r>
      <w:r w:rsidRPr="001F1BE9">
        <w:rPr>
          <w:rStyle w:val="normaltextrun"/>
          <w:lang w:val="en-US"/>
        </w:rPr>
        <w:t xml:space="preserve"> = 5), the number of putative loci stops dropping drastically. Therefore, we selected a final combination of </w:t>
      </w:r>
      <w:r w:rsidRPr="001F1BE9">
        <w:rPr>
          <w:rStyle w:val="normaltextrun"/>
          <w:i/>
          <w:iCs/>
          <w:lang w:val="en-US"/>
        </w:rPr>
        <w:t>m</w:t>
      </w:r>
      <w:r w:rsidRPr="001F1BE9">
        <w:rPr>
          <w:rStyle w:val="normaltextrun"/>
          <w:lang w:val="en-US"/>
        </w:rPr>
        <w:t>5</w:t>
      </w:r>
      <w:r w:rsidRPr="001F1BE9">
        <w:rPr>
          <w:rStyle w:val="normaltextrun"/>
          <w:i/>
          <w:iCs/>
          <w:lang w:val="en-US"/>
        </w:rPr>
        <w:t>M</w:t>
      </w:r>
      <w:r w:rsidRPr="001F1BE9">
        <w:rPr>
          <w:rStyle w:val="normaltextrun"/>
          <w:lang w:val="en-US"/>
        </w:rPr>
        <w:t>4</w:t>
      </w:r>
      <w:r w:rsidRPr="001F1BE9">
        <w:rPr>
          <w:rStyle w:val="normaltextrun"/>
          <w:i/>
          <w:iCs/>
          <w:lang w:val="en-US"/>
        </w:rPr>
        <w:t>n</w:t>
      </w:r>
      <w:r w:rsidRPr="001F1BE9">
        <w:rPr>
          <w:rStyle w:val="normaltextrun"/>
          <w:lang w:val="en-US"/>
        </w:rPr>
        <w:t xml:space="preserve">5 to perform the </w:t>
      </w:r>
      <w:r w:rsidRPr="001F1BE9">
        <w:rPr>
          <w:rStyle w:val="normaltextrun"/>
          <w:i/>
          <w:iCs/>
          <w:lang w:val="en-US"/>
        </w:rPr>
        <w:t>de novo</w:t>
      </w:r>
      <w:r w:rsidRPr="001F1BE9">
        <w:rPr>
          <w:rStyle w:val="normaltextrun"/>
          <w:lang w:val="en-US"/>
        </w:rPr>
        <w:t xml:space="preserve"> assembly on the 80 individuals.</w:t>
      </w:r>
    </w:p>
    <w:p w14:paraId="2ECF0474"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rStyle w:val="normaltextrun"/>
          <w:lang w:val="en-US"/>
        </w:rPr>
      </w:pPr>
      <w:r w:rsidRPr="001F1BE9">
        <w:rPr>
          <w:rStyle w:val="normaltextrun"/>
          <w:lang w:val="en-US"/>
        </w:rPr>
        <w:t>Given the lack of a reference genome that guided the loci assembly, we conducted a series of quality filter steps to form the final datasets used in further analyses (</w:t>
      </w:r>
      <w:r>
        <w:rPr>
          <w:rStyle w:val="normaltextrun"/>
          <w:lang w:val="en-US"/>
        </w:rPr>
        <w:t>Figure</w:t>
      </w:r>
      <w:r w:rsidRPr="001F1BE9">
        <w:rPr>
          <w:rStyle w:val="normaltextrun"/>
          <w:lang w:val="en-US"/>
        </w:rPr>
        <w:t xml:space="preserve"> S4). </w:t>
      </w:r>
    </w:p>
    <w:p w14:paraId="56EA9D8C"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color w:val="000000" w:themeColor="text1"/>
          <w:lang w:val="en-US"/>
        </w:rPr>
      </w:pPr>
      <w:r w:rsidRPr="001F1BE9">
        <w:rPr>
          <w:i/>
          <w:iCs/>
          <w:color w:val="000000" w:themeColor="text1"/>
          <w:lang w:val="en-US"/>
        </w:rPr>
        <w:t>Step 1.</w:t>
      </w:r>
      <w:r w:rsidRPr="001F1BE9">
        <w:rPr>
          <w:color w:val="000000" w:themeColor="text1"/>
          <w:lang w:val="en-US"/>
        </w:rPr>
        <w:t xml:space="preserve"> We filtered biallelic loci using Stacks according to the number of populations (</w:t>
      </w:r>
      <w:r w:rsidRPr="001F1BE9">
        <w:rPr>
          <w:i/>
          <w:iCs/>
          <w:color w:val="000000" w:themeColor="text1"/>
          <w:lang w:val="en-US"/>
        </w:rPr>
        <w:t>p</w:t>
      </w:r>
      <w:r w:rsidRPr="001F1BE9">
        <w:rPr>
          <w:color w:val="000000" w:themeColor="text1"/>
          <w:lang w:val="en-US"/>
        </w:rPr>
        <w:t xml:space="preserve"> = minimum populations), individuals (</w:t>
      </w:r>
      <w:r w:rsidRPr="001F1BE9">
        <w:rPr>
          <w:i/>
          <w:iCs/>
          <w:color w:val="000000" w:themeColor="text1"/>
          <w:lang w:val="en-US"/>
        </w:rPr>
        <w:t>r</w:t>
      </w:r>
      <w:r w:rsidRPr="001F1BE9">
        <w:rPr>
          <w:color w:val="000000" w:themeColor="text1"/>
          <w:lang w:val="en-US"/>
        </w:rPr>
        <w:t xml:space="preserve"> = minimum percentage of individuals in a population), and samples (</w:t>
      </w:r>
      <w:r w:rsidRPr="001F1BE9">
        <w:rPr>
          <w:i/>
          <w:iCs/>
          <w:color w:val="000000" w:themeColor="text1"/>
          <w:lang w:val="en-US"/>
        </w:rPr>
        <w:t>R</w:t>
      </w:r>
      <w:r w:rsidRPr="001F1BE9">
        <w:rPr>
          <w:color w:val="000000" w:themeColor="text1"/>
          <w:lang w:val="en-US"/>
        </w:rPr>
        <w:t xml:space="preserve"> = minimum percentage of samples overall), selecting only the first single nucleotide polymorphism (SNP) per tag to avoid linkage between loci. We calculated the percentage of missing data for each dataset (Table S2) with VCFtools v0.1.15 </w:t>
      </w:r>
      <w:r w:rsidRPr="001F1BE9">
        <w:rPr>
          <w:color w:val="000000" w:themeColor="text1"/>
          <w:lang w:val="en-US"/>
        </w:rPr>
        <w:fldChar w:fldCharType="begin" w:fldLock="1"/>
      </w:r>
      <w:r w:rsidRPr="001F1BE9">
        <w:rPr>
          <w:color w:val="000000" w:themeColor="text1"/>
          <w:lang w:val="en-US"/>
        </w:rPr>
        <w:instrText>ADDIN CSL_CITATION {"citationItems":[{"id":"ITEM-1","itemData":{"DOI":"10.1093/bioinformatics/btr330","ISBN":"1367-4811 (Electronic)\\n1367-4803 (Linking)","ISSN":"13674803","PMID":"21653522","abstract":"SUMMARY: The variant call format (VCF) is a generic format for storing DNA polymorphism data such as SNPs, insertions, deletions and structural variants, together with rich annotations. VCF is usually stored in a compressed manner and can be indexed for fast data retrieval of variants from a range of positions on the reference genome. The format was developed for the 1000 Genomes Project, and has also been adopted by other projects such as UK10K, dbSNP and the NHLBI Exome Project. VCFtools is a software suite that implements various utilities for processing VCF files, including validation, merging, comparing and also provides a general Perl API.\\n\\nAVAILABILITY: http://vcftools.sourceforge.net","author":[{"dropping-particle":"","family":"Danecek","given":"Petr","non-dropping-particle":"","parse-names":false,"suffix":""},{"dropping-particle":"","family":"Auton","given":"Adam","non-dropping-particle":"","parse-names":false,"suffix":""},{"dropping-particle":"","family":"Abecasis","given":"Goncalo","non-dropping-particle":"","parse-names":false,"suffix":""},{"dropping-particle":"","family":"Albers","given":"Cornelis A.","non-dropping-particle":"","parse-names":false,"suffix":""},{"dropping-particle":"","family":"Banks","given":"Eric","non-dropping-particle":"","parse-names":false,"suffix":""},{"dropping-particle":"","family":"DePristo","given":"Mark A.","non-dropping-particle":"","parse-names":false,"suffix":""},{"dropping-particle":"","family":"Handsaker","given":"Robert E.","non-dropping-particle":"","parse-names":false,"suffix":""},{"dropping-particle":"","family":"Lunter","given":"Gerton","non-dropping-particle":"","parse-names":false,"suffix":""},{"dropping-particle":"","family":"Marth","given":"Gabor T.","non-dropping-particle":"","parse-names":false,"suffix":""},{"dropping-particle":"","family":"Sherry","given":"Stephen T.","non-dropping-particle":"","parse-names":false,"suffix":""},{"dropping-particle":"","family":"McVean","given":"Gilean","non-dropping-particle":"","parse-names":false,"suffix":""},{"dropping-particle":"","family":"Durbin","given":"Richard","non-dropping-particle":"","parse-names":false,"suffix":""}],"container-title":"Bioinformatics","id":"ITEM-1","issue":"15","issued":{"date-parts":[["2011"]]},"page":"2156-2158","title":"The variant call format and VCFtools","type":"article-journal","volume":"27"},"uris":["http://www.mendeley.com/documents/?uuid=7b524a8d-338c-45af-b10b-2cc39ba9cdbc"]}],"mendeley":{"formattedCitation":"[8]","plainTextFormattedCitation":"[8]","previouslyFormattedCitation":"[8]"},"properties":{"noteIndex":0},"schema":"https://github.com/citation-style-language/schema/raw/master/csl-citation.json"}</w:instrText>
      </w:r>
      <w:r w:rsidRPr="001F1BE9">
        <w:rPr>
          <w:color w:val="000000" w:themeColor="text1"/>
          <w:lang w:val="en-US"/>
        </w:rPr>
        <w:fldChar w:fldCharType="separate"/>
      </w:r>
      <w:r w:rsidRPr="001F1BE9">
        <w:rPr>
          <w:noProof/>
          <w:color w:val="000000" w:themeColor="text1"/>
          <w:lang w:val="en-US"/>
        </w:rPr>
        <w:t>[8]</w:t>
      </w:r>
      <w:r w:rsidRPr="001F1BE9">
        <w:rPr>
          <w:color w:val="000000" w:themeColor="text1"/>
          <w:lang w:val="en-US"/>
        </w:rPr>
        <w:fldChar w:fldCharType="end"/>
      </w:r>
      <w:r w:rsidRPr="001F1BE9">
        <w:rPr>
          <w:color w:val="000000" w:themeColor="text1"/>
          <w:lang w:val="en-US"/>
        </w:rPr>
        <w:t xml:space="preserve">, after which we selected four databases (pop_r80, pop10_r80, R80, and R85; Table S2) that included between ~1000 and ~105000 SNPs loci and 9.3 - 48.9% of missing data. </w:t>
      </w:r>
    </w:p>
    <w:p w14:paraId="01AAE1AC"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color w:val="000000" w:themeColor="text1"/>
          <w:lang w:val="en-US"/>
        </w:rPr>
      </w:pPr>
      <w:r w:rsidRPr="001F1BE9">
        <w:rPr>
          <w:i/>
          <w:iCs/>
          <w:color w:val="000000" w:themeColor="text1"/>
          <w:lang w:val="en-US"/>
        </w:rPr>
        <w:t>Step 2.</w:t>
      </w:r>
      <w:r w:rsidRPr="001F1BE9">
        <w:rPr>
          <w:color w:val="000000" w:themeColor="text1"/>
          <w:lang w:val="en-US"/>
        </w:rPr>
        <w:t xml:space="preserve"> To exclude low-frequency alleles and potential paralogous loci we removed sites with a minor allele frequency (</w:t>
      </w:r>
      <w:r w:rsidRPr="001F1BE9">
        <w:rPr>
          <w:i/>
          <w:iCs/>
          <w:color w:val="000000" w:themeColor="text1"/>
          <w:lang w:val="en-US"/>
        </w:rPr>
        <w:t>maf</w:t>
      </w:r>
      <w:r w:rsidRPr="001F1BE9">
        <w:rPr>
          <w:color w:val="000000" w:themeColor="text1"/>
          <w:lang w:val="en-US"/>
        </w:rPr>
        <w:t xml:space="preserve">) of 0.01 and 0.05. We created databases with two different </w:t>
      </w:r>
      <w:r w:rsidRPr="001F1BE9">
        <w:rPr>
          <w:i/>
          <w:iCs/>
          <w:color w:val="000000" w:themeColor="text1"/>
          <w:lang w:val="en-US"/>
        </w:rPr>
        <w:t xml:space="preserve">maf </w:t>
      </w:r>
      <w:r w:rsidRPr="001F1BE9">
        <w:rPr>
          <w:color w:val="000000" w:themeColor="text1"/>
          <w:lang w:val="en-US"/>
        </w:rPr>
        <w:t>thresholds as the selected cutoff can affect the population structure estimated by model-based (</w:t>
      </w:r>
      <w:r w:rsidRPr="001F1BE9">
        <w:rPr>
          <w:i/>
          <w:iCs/>
          <w:color w:val="000000" w:themeColor="text1"/>
          <w:lang w:val="en-US"/>
        </w:rPr>
        <w:t>e.g.</w:t>
      </w:r>
      <w:r w:rsidRPr="001F1BE9">
        <w:rPr>
          <w:color w:val="000000" w:themeColor="text1"/>
          <w:lang w:val="en-US"/>
        </w:rPr>
        <w:t>, admixture) or multivariate approaches (</w:t>
      </w:r>
      <w:r w:rsidRPr="001F1BE9">
        <w:rPr>
          <w:i/>
          <w:iCs/>
          <w:color w:val="000000" w:themeColor="text1"/>
          <w:lang w:val="en-US"/>
        </w:rPr>
        <w:t>e.g.</w:t>
      </w:r>
      <w:r w:rsidRPr="001F1BE9">
        <w:rPr>
          <w:color w:val="000000" w:themeColor="text1"/>
          <w:lang w:val="en-US"/>
        </w:rPr>
        <w:t xml:space="preserve">, PCA) </w:t>
      </w:r>
      <w:r w:rsidRPr="001F1BE9">
        <w:rPr>
          <w:color w:val="000000" w:themeColor="text1"/>
          <w:lang w:val="en-US"/>
        </w:rPr>
        <w:fldChar w:fldCharType="begin" w:fldLock="1"/>
      </w:r>
      <w:r w:rsidRPr="001F1BE9">
        <w:rPr>
          <w:color w:val="000000" w:themeColor="text1"/>
          <w:lang w:val="en-US"/>
        </w:rPr>
        <w:instrText>ADDIN CSL_CITATION {"citationItems":[{"id":"ITEM-1","itemData":{"DOI":"10.1111/1755-0998.12995","ISSN":"17550998","PMID":"30659755","abstract":"A common method of minimizing errors in large DNA sequence data sets is to drop variable sites with a minor allele frequency (MAF) below some specified threshold. Although widespread, this procedure has the potential to alter downstream population genetic inferences and has received relatively little rigorous analysis. Here we use simulations and an empirical single nucleotide polymorphism data set to demonstrate the impacts of MAF thresholds on inference of population structure—often the first step in analysis of population genomic data. We find that model-based inference of population structure is confounded when singletons are included in the alignment, and that both model-based and multivariate analyses infer less distinct clusters when more stringent MAF cutoffs are applied. We propose that this behaviour is caused by the combination of a drop in the total size of the data matrix and by correlations between allele frequencies and mutational age. We recommend a set of best practices for applying MAF filters in studies seeking to describe population structure with genomic data.","author":[{"dropping-particle":"","family":"Linck","given":"Ethan","non-dropping-particle":"","parse-names":false,"suffix":""},{"dropping-particle":"","family":"Battey","given":"C. J.","non-dropping-particle":"","parse-names":false,"suffix":""}],"container-title":"Molecular Ecology Resources","id":"ITEM-1","issue":"3","issued":{"date-parts":[["2019"]]},"page":"639-647","title":"Minor allele frequency thresholds strongly affect population structure inference with genomic data sets","type":"article-journal","volume":"19"},"uris":["http://www.mendeley.com/documents/?uuid=45f180ea-711c-417e-91be-bd6cda9d2296"]}],"mendeley":{"formattedCitation":"[9]","plainTextFormattedCitation":"[9]","previouslyFormattedCitation":"[9]"},"properties":{"noteIndex":0},"schema":"https://github.com/citation-style-language/schema/raw/master/csl-citation.json"}</w:instrText>
      </w:r>
      <w:r w:rsidRPr="001F1BE9">
        <w:rPr>
          <w:color w:val="000000" w:themeColor="text1"/>
          <w:lang w:val="en-US"/>
        </w:rPr>
        <w:fldChar w:fldCharType="separate"/>
      </w:r>
      <w:r w:rsidRPr="001F1BE9">
        <w:rPr>
          <w:noProof/>
          <w:color w:val="000000" w:themeColor="text1"/>
          <w:lang w:val="en-US"/>
        </w:rPr>
        <w:t>[9]</w:t>
      </w:r>
      <w:r w:rsidRPr="001F1BE9">
        <w:rPr>
          <w:color w:val="000000" w:themeColor="text1"/>
          <w:lang w:val="en-US"/>
        </w:rPr>
        <w:fldChar w:fldCharType="end"/>
      </w:r>
      <w:r w:rsidRPr="001F1BE9">
        <w:rPr>
          <w:lang w:val="en-US"/>
        </w:rPr>
        <w:t>.</w:t>
      </w:r>
    </w:p>
    <w:p w14:paraId="13A046D9"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color w:val="000000" w:themeColor="text1"/>
          <w:lang w:val="en-US"/>
        </w:rPr>
      </w:pPr>
      <w:r w:rsidRPr="001F1BE9">
        <w:rPr>
          <w:i/>
          <w:iCs/>
          <w:color w:val="000000" w:themeColor="text1"/>
          <w:lang w:val="en-US"/>
        </w:rPr>
        <w:lastRenderedPageBreak/>
        <w:t xml:space="preserve">Step 3. </w:t>
      </w:r>
      <w:r w:rsidRPr="001F1BE9">
        <w:rPr>
          <w:lang w:val="en-US"/>
        </w:rPr>
        <w:t>To remove sites with different tolerance for missing data we applied the ‘min. sites’ filter (0.05, 0.25, 0.50, and 0.75).</w:t>
      </w:r>
    </w:p>
    <w:p w14:paraId="06CAB1A1"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lang w:val="en-US"/>
        </w:rPr>
      </w:pPr>
      <w:r w:rsidRPr="001F1BE9">
        <w:rPr>
          <w:i/>
          <w:iCs/>
          <w:lang w:val="en-US"/>
        </w:rPr>
        <w:t>Step 4</w:t>
      </w:r>
      <w:r w:rsidRPr="001F1BE9">
        <w:rPr>
          <w:lang w:val="en-US"/>
        </w:rPr>
        <w:t>. We implemented the taxa ‘min. sites’ filter to remove individuals with different thresholds for missing data (0.05–0.99).</w:t>
      </w:r>
    </w:p>
    <w:p w14:paraId="290D19D9"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color w:val="000000" w:themeColor="text1"/>
          <w:lang w:val="en-US"/>
        </w:rPr>
      </w:pPr>
      <w:r w:rsidRPr="001F1BE9">
        <w:rPr>
          <w:lang w:val="en-US"/>
        </w:rPr>
        <w:t>All these filters resulted in 24 datasets ranging among 1,887</w:t>
      </w:r>
      <w:r w:rsidRPr="001F1BE9">
        <w:rPr>
          <w:rFonts w:eastAsiaTheme="minorHAnsi"/>
          <w:color w:val="231F20"/>
          <w:lang w:val="en-US"/>
        </w:rPr>
        <w:t>–</w:t>
      </w:r>
      <w:r w:rsidRPr="001F1BE9">
        <w:rPr>
          <w:lang w:val="en-US"/>
        </w:rPr>
        <w:t>33,882 SNP loci, 0.3</w:t>
      </w:r>
      <w:r w:rsidRPr="001F1BE9">
        <w:rPr>
          <w:rFonts w:eastAsiaTheme="minorHAnsi"/>
          <w:color w:val="231F20"/>
          <w:lang w:val="en-US"/>
        </w:rPr>
        <w:t>–</w:t>
      </w:r>
      <w:r w:rsidRPr="001F1BE9">
        <w:rPr>
          <w:lang w:val="en-US"/>
        </w:rPr>
        <w:t>48% of missing data, 31</w:t>
      </w:r>
      <w:r w:rsidRPr="001F1BE9">
        <w:rPr>
          <w:rFonts w:eastAsiaTheme="minorHAnsi"/>
          <w:color w:val="231F20"/>
          <w:lang w:val="en-US"/>
        </w:rPr>
        <w:t>–</w:t>
      </w:r>
      <w:r w:rsidRPr="001F1BE9">
        <w:rPr>
          <w:lang w:val="en-US"/>
        </w:rPr>
        <w:t xml:space="preserve">72 individuals, and four to nine species of the </w:t>
      </w:r>
      <w:r w:rsidRPr="001F1BE9">
        <w:rPr>
          <w:i/>
          <w:iCs/>
          <w:lang w:val="en-US"/>
        </w:rPr>
        <w:t>humboldtianum</w:t>
      </w:r>
      <w:r w:rsidRPr="001F1BE9">
        <w:rPr>
          <w:lang w:val="en-US"/>
        </w:rPr>
        <w:t xml:space="preserve"> group (Table S3).</w:t>
      </w:r>
      <w:r w:rsidRPr="001F1BE9">
        <w:rPr>
          <w:color w:val="000000" w:themeColor="text1"/>
          <w:lang w:val="en-US"/>
        </w:rPr>
        <w:t xml:space="preserve"> All filters described in steps two to four were conducted using the software Tassel 5 v20210210 </w:t>
      </w:r>
      <w:r w:rsidRPr="001F1BE9">
        <w:rPr>
          <w:color w:val="000000" w:themeColor="text1"/>
          <w:lang w:val="en-US"/>
        </w:rPr>
        <w:fldChar w:fldCharType="begin" w:fldLock="1"/>
      </w:r>
      <w:r w:rsidRPr="001F1BE9">
        <w:rPr>
          <w:color w:val="000000" w:themeColor="text1"/>
          <w:lang w:val="en-US"/>
        </w:rPr>
        <w:instrText>ADDIN CSL_CITATION {"citationItems":[{"id":"ITEM-1","itemData":{"DOI":"10.1093/bioinformatics/btm308","ISBN":"13674803 (ISSN)","ISSN":"13674803","PMID":"17586829","abstract":"Association analyses that exploit the natural diversity of a genome to map at very high resolutions are becoming increasingly important. In most studies, however, researchers must contend with the confounding effects of both population and family structure. TASSEL (Trait Analysis by aSSociation, Evolution and Linkage) implements general linear model and mixed linear model approaches for controlling population and family structure. For result interpretation, the program allows for linkage disequilibrium statistics to be calculated and visualized graphically. Database browsing and data importation is facilitated by integrated middleware. Other features include analyzing insertions/deletions, calculating diversity statistics, integration of phenotypic and genotypic data, imputing missing data and calculating principal components.","author":[{"dropping-particle":"","family":"Bradbury","given":"Peter J.","non-dropping-particle":"","parse-names":false,"suffix":""},{"dropping-particle":"","family":"Zhang","given":"Zhiwu","non-dropping-particle":"","parse-names":false,"suffix":""},{"dropping-particle":"","family":"Kroon","given":"Dallas E.","non-dropping-particle":"","parse-names":false,"suffix":""},{"dropping-particle":"","family":"Casstevens","given":"Terry M.","non-dropping-particle":"","parse-names":false,"suffix":""},{"dropping-particle":"","family":"Ramdoss","given":"Yogesh","non-dropping-particle":"","parse-names":false,"suffix":""},{"dropping-particle":"","family":"Buckler","given":"Edward S.","non-dropping-particle":"","parse-names":false,"suffix":""}],"container-title":"Bioinformatics","id":"ITEM-1","issue":"19","issued":{"date-parts":[["2007"]]},"page":"2633-2635","title":"TASSEL: Software for association mapping of complex traits in diverse samples","type":"article-journal","volume":"23"},"uris":["http://www.mendeley.com/documents/?uuid=920ace6f-66d6-4b64-b11d-0d7f3b1a7b0c"]}],"mendeley":{"formattedCitation":"[10]","plainTextFormattedCitation":"[10]","previouslyFormattedCitation":"[10]"},"properties":{"noteIndex":0},"schema":"https://github.com/citation-style-language/schema/raw/master/csl-citation.json"}</w:instrText>
      </w:r>
      <w:r w:rsidRPr="001F1BE9">
        <w:rPr>
          <w:color w:val="000000" w:themeColor="text1"/>
          <w:lang w:val="en-US"/>
        </w:rPr>
        <w:fldChar w:fldCharType="separate"/>
      </w:r>
      <w:r w:rsidRPr="001F1BE9">
        <w:rPr>
          <w:noProof/>
          <w:color w:val="000000" w:themeColor="text1"/>
          <w:lang w:val="en-US"/>
        </w:rPr>
        <w:t>[10]</w:t>
      </w:r>
      <w:r w:rsidRPr="001F1BE9">
        <w:rPr>
          <w:color w:val="000000" w:themeColor="text1"/>
          <w:lang w:val="en-US"/>
        </w:rPr>
        <w:fldChar w:fldCharType="end"/>
      </w:r>
      <w:r w:rsidRPr="001F1BE9">
        <w:rPr>
          <w:lang w:val="en-US"/>
        </w:rPr>
        <w:t xml:space="preserve">. </w:t>
      </w:r>
      <w:r w:rsidRPr="001F1BE9">
        <w:rPr>
          <w:color w:val="000000" w:themeColor="text1"/>
          <w:lang w:val="en-US"/>
        </w:rPr>
        <w:t xml:space="preserve">We removed five samples (CPUM_35317 and CPUM_35306 of </w:t>
      </w:r>
      <w:r w:rsidRPr="001F1BE9">
        <w:rPr>
          <w:i/>
          <w:iCs/>
          <w:color w:val="000000" w:themeColor="text1"/>
          <w:lang w:val="en-US"/>
        </w:rPr>
        <w:t>C. consocium</w:t>
      </w:r>
      <w:r w:rsidRPr="001F1BE9">
        <w:rPr>
          <w:color w:val="000000" w:themeColor="text1"/>
          <w:lang w:val="en-US"/>
        </w:rPr>
        <w:t xml:space="preserve">; CPUM_35300 and CPUM_35305 of </w:t>
      </w:r>
      <w:r w:rsidRPr="001F1BE9">
        <w:rPr>
          <w:i/>
          <w:iCs/>
          <w:color w:val="000000" w:themeColor="text1"/>
          <w:lang w:val="en-US"/>
        </w:rPr>
        <w:t>C. lucius</w:t>
      </w:r>
      <w:r w:rsidRPr="001F1BE9">
        <w:rPr>
          <w:color w:val="000000" w:themeColor="text1"/>
          <w:lang w:val="en-US"/>
        </w:rPr>
        <w:t xml:space="preserve">; and CPUM_10617 of </w:t>
      </w:r>
      <w:r w:rsidRPr="001F1BE9">
        <w:rPr>
          <w:i/>
          <w:iCs/>
          <w:color w:val="000000" w:themeColor="text1"/>
          <w:lang w:val="en-US"/>
        </w:rPr>
        <w:t>C. estor</w:t>
      </w:r>
      <w:r w:rsidRPr="001F1BE9">
        <w:rPr>
          <w:color w:val="000000" w:themeColor="text1"/>
          <w:lang w:val="en-US"/>
        </w:rPr>
        <w:t xml:space="preserve">) from the analyses because preliminary results showed their genotypes mixed with </w:t>
      </w:r>
      <w:r w:rsidRPr="001F1BE9">
        <w:rPr>
          <w:i/>
          <w:iCs/>
          <w:color w:val="000000" w:themeColor="text1"/>
          <w:lang w:val="en-US"/>
        </w:rPr>
        <w:t xml:space="preserve">C. jordani </w:t>
      </w:r>
      <w:r w:rsidRPr="001F1BE9">
        <w:rPr>
          <w:color w:val="000000" w:themeColor="text1"/>
          <w:lang w:val="en-US"/>
        </w:rPr>
        <w:t xml:space="preserve">(a </w:t>
      </w:r>
      <w:r w:rsidRPr="001F1BE9">
        <w:rPr>
          <w:i/>
          <w:iCs/>
          <w:color w:val="000000" w:themeColor="text1"/>
          <w:lang w:val="en-US"/>
        </w:rPr>
        <w:t>Chirostoma</w:t>
      </w:r>
      <w:r w:rsidRPr="001F1BE9">
        <w:rPr>
          <w:color w:val="000000" w:themeColor="text1"/>
          <w:lang w:val="en-US"/>
        </w:rPr>
        <w:t xml:space="preserve"> species that does not form part of the </w:t>
      </w:r>
      <w:r w:rsidRPr="001F1BE9">
        <w:rPr>
          <w:i/>
          <w:iCs/>
          <w:color w:val="000000" w:themeColor="text1"/>
          <w:lang w:val="en-US"/>
        </w:rPr>
        <w:t>humboldtianum</w:t>
      </w:r>
      <w:r w:rsidRPr="001F1BE9">
        <w:rPr>
          <w:color w:val="000000" w:themeColor="text1"/>
          <w:lang w:val="en-US"/>
        </w:rPr>
        <w:t xml:space="preserve"> group), presumably representing hybrid individuals. Additionally, we did not consider the individual of </w:t>
      </w:r>
      <w:r w:rsidRPr="001F1BE9">
        <w:rPr>
          <w:i/>
          <w:iCs/>
          <w:color w:val="000000" w:themeColor="text1"/>
          <w:lang w:val="en-US"/>
        </w:rPr>
        <w:t>C. attenuatum</w:t>
      </w:r>
      <w:r w:rsidRPr="001F1BE9">
        <w:rPr>
          <w:color w:val="000000" w:themeColor="text1"/>
          <w:lang w:val="en-US"/>
        </w:rPr>
        <w:t xml:space="preserve"> (outgroup) for further analyses due to the bad quality of the genomic data recovered for that individual. </w:t>
      </w:r>
    </w:p>
    <w:p w14:paraId="76A561AF"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color w:val="000000" w:themeColor="text1"/>
          <w:lang w:val="en-US"/>
        </w:rPr>
      </w:pPr>
      <w:r w:rsidRPr="001F1BE9">
        <w:rPr>
          <w:i/>
          <w:iCs/>
          <w:color w:val="000000" w:themeColor="text1"/>
          <w:lang w:val="en-US"/>
        </w:rPr>
        <w:t>Step 5</w:t>
      </w:r>
      <w:r w:rsidRPr="001F1BE9">
        <w:rPr>
          <w:color w:val="000000" w:themeColor="text1"/>
          <w:lang w:val="en-US"/>
        </w:rPr>
        <w:t>. To test the robustness of our data we conducted preliminary analyses based on 19 databases (Table S3) varying among 37</w:t>
      </w:r>
      <w:r w:rsidRPr="001F1BE9">
        <w:rPr>
          <w:rFonts w:eastAsiaTheme="minorHAnsi"/>
          <w:color w:val="231F20"/>
          <w:lang w:val="en-US"/>
        </w:rPr>
        <w:t>–</w:t>
      </w:r>
      <w:r w:rsidRPr="001F1BE9">
        <w:rPr>
          <w:color w:val="000000" w:themeColor="text1"/>
          <w:lang w:val="en-US"/>
        </w:rPr>
        <w:t>72 individuals, 4</w:t>
      </w:r>
      <w:r w:rsidRPr="001F1BE9">
        <w:rPr>
          <w:rFonts w:eastAsiaTheme="minorHAnsi"/>
          <w:color w:val="231F20"/>
          <w:lang w:val="en-US"/>
        </w:rPr>
        <w:t>–9 nominal species,</w:t>
      </w:r>
      <w:r w:rsidRPr="001F1BE9">
        <w:rPr>
          <w:color w:val="000000" w:themeColor="text1"/>
          <w:lang w:val="en-US"/>
        </w:rPr>
        <w:t xml:space="preserve"> and </w:t>
      </w:r>
      <w:r w:rsidRPr="001F1BE9">
        <w:rPr>
          <w:color w:val="000000" w:themeColor="text1"/>
          <w:lang w:val="en-US"/>
        </w:rPr>
        <w:sym w:font="Symbol" w:char="F07E"/>
      </w:r>
      <w:r w:rsidRPr="001F1BE9">
        <w:rPr>
          <w:color w:val="000000" w:themeColor="text1"/>
          <w:lang w:val="en-US"/>
        </w:rPr>
        <w:t xml:space="preserve">2 k to </w:t>
      </w:r>
      <w:r w:rsidRPr="001F1BE9">
        <w:rPr>
          <w:color w:val="000000" w:themeColor="text1"/>
          <w:lang w:val="en-US"/>
        </w:rPr>
        <w:sym w:font="Symbol" w:char="F07E"/>
      </w:r>
      <w:r w:rsidRPr="001F1BE9">
        <w:rPr>
          <w:color w:val="000000" w:themeColor="text1"/>
          <w:lang w:val="en-US"/>
        </w:rPr>
        <w:t>37 k SNP loci (</w:t>
      </w:r>
      <w:r>
        <w:rPr>
          <w:color w:val="000000" w:themeColor="text1"/>
          <w:lang w:val="en-US"/>
        </w:rPr>
        <w:t>Figure</w:t>
      </w:r>
      <w:r w:rsidRPr="001F1BE9">
        <w:rPr>
          <w:color w:val="000000" w:themeColor="text1"/>
          <w:lang w:val="en-US"/>
        </w:rPr>
        <w:t xml:space="preserve"> S5). Our preliminary results were consistent regarding the number of nominal species included. Hence, we kept the 72 individuals representing the nine morphospecies of the </w:t>
      </w:r>
      <w:r w:rsidRPr="001F1BE9">
        <w:rPr>
          <w:i/>
          <w:iCs/>
          <w:color w:val="000000" w:themeColor="text1"/>
          <w:lang w:val="en-US"/>
        </w:rPr>
        <w:t>humboldtianum</w:t>
      </w:r>
      <w:r w:rsidRPr="001F1BE9">
        <w:rPr>
          <w:color w:val="000000" w:themeColor="text1"/>
          <w:lang w:val="en-US"/>
        </w:rPr>
        <w:t xml:space="preserve"> group across the sampled localities.</w:t>
      </w:r>
    </w:p>
    <w:p w14:paraId="41A17E32"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color w:val="000000" w:themeColor="text1"/>
          <w:lang w:val="en-US"/>
        </w:rPr>
      </w:pPr>
      <w:r w:rsidRPr="001F1BE9">
        <w:rPr>
          <w:color w:val="000000" w:themeColor="text1"/>
          <w:lang w:val="en-US"/>
        </w:rPr>
        <w:t xml:space="preserve">Then we selected five matrices generated with different combinations of </w:t>
      </w:r>
      <w:r w:rsidRPr="001F1BE9">
        <w:rPr>
          <w:i/>
          <w:iCs/>
          <w:color w:val="000000" w:themeColor="text1"/>
          <w:lang w:val="en-US"/>
        </w:rPr>
        <w:t xml:space="preserve">maf </w:t>
      </w:r>
      <w:r w:rsidRPr="001F1BE9">
        <w:rPr>
          <w:color w:val="000000" w:themeColor="text1"/>
          <w:lang w:val="en-US"/>
        </w:rPr>
        <w:t>thresholds, missing data (from 7.7</w:t>
      </w:r>
      <w:r w:rsidRPr="001F1BE9">
        <w:rPr>
          <w:rFonts w:eastAsiaTheme="minorHAnsi"/>
          <w:color w:val="231F20"/>
          <w:lang w:val="en-US"/>
        </w:rPr>
        <w:t>–</w:t>
      </w:r>
      <w:r w:rsidRPr="001F1BE9">
        <w:rPr>
          <w:color w:val="000000" w:themeColor="text1"/>
          <w:lang w:val="en-US"/>
        </w:rPr>
        <w:t>15.77%), and the number of SNP loci (between 1,887 and 33,716 loci), hereafter referred to as A-33716snps, B-10517snps, C-4821snps, D-3564snps, and E-1887snps matrices.</w:t>
      </w:r>
    </w:p>
    <w:p w14:paraId="6B73154F" w14:textId="77777777" w:rsidR="008D3929" w:rsidRPr="001F1BE9" w:rsidRDefault="008D3929" w:rsidP="008D3929">
      <w:pPr>
        <w:pStyle w:val="paragraph"/>
        <w:adjustRightInd w:val="0"/>
        <w:spacing w:before="0" w:beforeAutospacing="0" w:after="160" w:afterAutospacing="0" w:line="259" w:lineRule="auto"/>
        <w:ind w:firstLine="720"/>
        <w:jc w:val="both"/>
        <w:textAlignment w:val="baseline"/>
        <w:rPr>
          <w:rFonts w:eastAsiaTheme="minorHAnsi"/>
          <w:color w:val="231F20"/>
          <w:lang w:val="en-US"/>
        </w:rPr>
      </w:pPr>
      <w:r w:rsidRPr="001F1BE9">
        <w:rPr>
          <w:i/>
          <w:iCs/>
          <w:color w:val="000000" w:themeColor="text1"/>
          <w:lang w:val="en-US"/>
        </w:rPr>
        <w:t>Step 6</w:t>
      </w:r>
      <w:r w:rsidRPr="001F1BE9">
        <w:rPr>
          <w:color w:val="000000" w:themeColor="text1"/>
          <w:lang w:val="en-US"/>
        </w:rPr>
        <w:t xml:space="preserve">. Finally, </w:t>
      </w:r>
      <w:r w:rsidRPr="001F1BE9">
        <w:rPr>
          <w:lang w:val="en-US"/>
        </w:rPr>
        <w:t xml:space="preserve">to estimate </w:t>
      </w:r>
      <w:r w:rsidRPr="001F1BE9">
        <w:rPr>
          <w:i/>
          <w:iCs/>
          <w:color w:val="000000" w:themeColor="text1"/>
          <w:lang w:val="en-US"/>
        </w:rPr>
        <w:t>F</w:t>
      </w:r>
      <w:r w:rsidRPr="001F1BE9">
        <w:rPr>
          <w:color w:val="000000" w:themeColor="text1"/>
          <w:vertAlign w:val="subscript"/>
          <w:lang w:val="en-US"/>
        </w:rPr>
        <w:t>ST</w:t>
      </w:r>
      <w:r w:rsidRPr="001F1BE9">
        <w:rPr>
          <w:color w:val="000000" w:themeColor="text1"/>
          <w:lang w:val="en-US"/>
        </w:rPr>
        <w:t xml:space="preserve"> outlier analyses (see section 2.7), we separated the five matrices (A</w:t>
      </w:r>
      <w:r w:rsidRPr="001F1BE9">
        <w:rPr>
          <w:rFonts w:eastAsiaTheme="minorHAnsi"/>
          <w:color w:val="231F20"/>
          <w:lang w:val="en-US"/>
        </w:rPr>
        <w:t>–</w:t>
      </w:r>
      <w:r w:rsidRPr="001F1BE9">
        <w:rPr>
          <w:color w:val="000000" w:themeColor="text1"/>
          <w:lang w:val="en-US"/>
        </w:rPr>
        <w:t>E) by all, neutral-only, and outlier loci for a total of 15 databases that were used in downstream analyses (</w:t>
      </w:r>
      <w:r>
        <w:rPr>
          <w:color w:val="000000" w:themeColor="text1"/>
          <w:lang w:val="en-US"/>
        </w:rPr>
        <w:t>Figure</w:t>
      </w:r>
      <w:r w:rsidRPr="001F1BE9">
        <w:rPr>
          <w:color w:val="000000" w:themeColor="text1"/>
          <w:lang w:val="en-US"/>
        </w:rPr>
        <w:t xml:space="preserve"> S4). Neutral-only matrices ranged between 1,795</w:t>
      </w:r>
      <w:r w:rsidRPr="001F1BE9">
        <w:rPr>
          <w:rFonts w:eastAsiaTheme="minorHAnsi"/>
          <w:color w:val="231F20"/>
          <w:lang w:val="en-US"/>
        </w:rPr>
        <w:t>–33,346 SNPs, while the outlier matrices contained 82–370 SNPs.</w:t>
      </w:r>
    </w:p>
    <w:p w14:paraId="66928752" w14:textId="1E5E43D6" w:rsidR="008D3929" w:rsidRDefault="008D3929" w:rsidP="008D3929">
      <w:pPr>
        <w:pStyle w:val="paragraph"/>
        <w:adjustRightInd w:val="0"/>
        <w:spacing w:before="0" w:beforeAutospacing="0" w:afterLines="160" w:after="384" w:afterAutospacing="0" w:line="259" w:lineRule="auto"/>
        <w:contextualSpacing/>
        <w:jc w:val="both"/>
        <w:textAlignment w:val="baseline"/>
        <w:rPr>
          <w:rFonts w:eastAsiaTheme="minorHAnsi"/>
          <w:i/>
          <w:iCs/>
          <w:color w:val="231F20"/>
          <w:lang w:val="en-US"/>
        </w:rPr>
      </w:pPr>
      <w:r w:rsidRPr="008D3929">
        <w:rPr>
          <w:rFonts w:eastAsiaTheme="minorHAnsi"/>
          <w:b/>
          <w:bCs/>
          <w:color w:val="231F20"/>
          <w:sz w:val="28"/>
          <w:szCs w:val="28"/>
          <w:lang w:val="en-US"/>
        </w:rPr>
        <w:t>Characterization of ecotypes.</w:t>
      </w:r>
    </w:p>
    <w:p w14:paraId="2034DD7F" w14:textId="600623A6" w:rsidR="008D3929" w:rsidRPr="008D3929" w:rsidRDefault="008D3929" w:rsidP="008D3929">
      <w:pPr>
        <w:pStyle w:val="paragraph"/>
        <w:adjustRightInd w:val="0"/>
        <w:spacing w:before="0" w:beforeAutospacing="0" w:afterLines="160" w:after="384" w:afterAutospacing="0" w:line="259" w:lineRule="auto"/>
        <w:contextualSpacing/>
        <w:jc w:val="both"/>
        <w:textAlignment w:val="baseline"/>
        <w:rPr>
          <w:color w:val="000000" w:themeColor="text1"/>
          <w:lang w:val="en-US"/>
        </w:rPr>
      </w:pPr>
      <w:r w:rsidRPr="008D3929">
        <w:rPr>
          <w:rFonts w:eastAsiaTheme="minorHAnsi"/>
          <w:i/>
          <w:iCs/>
          <w:color w:val="231F20"/>
          <w:lang w:val="en-US"/>
        </w:rPr>
        <w:t xml:space="preserve">Chirostoma </w:t>
      </w:r>
      <w:r w:rsidRPr="008D3929">
        <w:rPr>
          <w:rFonts w:eastAsiaTheme="minorHAnsi"/>
          <w:color w:val="231F20"/>
          <w:lang w:val="en-US"/>
        </w:rPr>
        <w:t xml:space="preserve">species in central Mexico have been categorized as ‘peces blancos’ or ‘charales’ ecotypes </w:t>
      </w:r>
      <w:r w:rsidRPr="008D3929">
        <w:rPr>
          <w:rFonts w:eastAsiaTheme="minorHAnsi"/>
          <w:color w:val="231F20"/>
          <w:lang w:val="en-US"/>
        </w:rPr>
        <w:fldChar w:fldCharType="begin" w:fldLock="1"/>
      </w:r>
      <w:r w:rsidRPr="008D3929">
        <w:rPr>
          <w:rFonts w:eastAsiaTheme="minorHAnsi"/>
          <w:color w:val="231F20"/>
          <w:lang w:val="en-US"/>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mendeley":{"formattedCitation":"[1]","plainTextFormattedCitation":"[1]","previouslyFormattedCitation":"[1]"},"properties":{"noteIndex":0},"schema":"https://github.com/citation-style-language/schema/raw/master/csl-citation.json"}</w:instrText>
      </w:r>
      <w:r w:rsidRPr="008D3929">
        <w:rPr>
          <w:rFonts w:eastAsiaTheme="minorHAnsi"/>
          <w:color w:val="231F20"/>
          <w:lang w:val="en-US"/>
        </w:rPr>
        <w:fldChar w:fldCharType="separate"/>
      </w:r>
      <w:r w:rsidRPr="008D3929">
        <w:rPr>
          <w:rFonts w:eastAsiaTheme="minorHAnsi"/>
          <w:noProof/>
          <w:color w:val="231F20"/>
          <w:lang w:val="en-US"/>
        </w:rPr>
        <w:t>[1]</w:t>
      </w:r>
      <w:r w:rsidRPr="008D3929">
        <w:rPr>
          <w:rFonts w:eastAsiaTheme="minorHAnsi"/>
          <w:color w:val="231F20"/>
          <w:lang w:val="en-US"/>
        </w:rPr>
        <w:fldChar w:fldCharType="end"/>
      </w:r>
      <w:r w:rsidRPr="008D3929">
        <w:rPr>
          <w:rFonts w:eastAsiaTheme="minorHAnsi"/>
          <w:color w:val="231F20"/>
          <w:lang w:val="en-US"/>
        </w:rPr>
        <w:t xml:space="preserve">. </w:t>
      </w:r>
      <w:r w:rsidRPr="008D3929">
        <w:rPr>
          <w:color w:val="000000" w:themeColor="text1"/>
          <w:lang w:val="en-US"/>
        </w:rPr>
        <w:t xml:space="preserve">We considered the nominal species </w:t>
      </w:r>
      <w:r w:rsidRPr="008D3929">
        <w:rPr>
          <w:i/>
          <w:iCs/>
          <w:color w:val="000000" w:themeColor="text1"/>
          <w:lang w:val="en-US"/>
        </w:rPr>
        <w:t xml:space="preserve">C. </w:t>
      </w:r>
      <w:r w:rsidRPr="008D3929">
        <w:rPr>
          <w:rFonts w:eastAsiaTheme="minorHAnsi"/>
          <w:i/>
          <w:iCs/>
          <w:color w:val="231F20"/>
          <w:lang w:val="en-US"/>
        </w:rPr>
        <w:t>chapalae</w:t>
      </w:r>
      <w:r w:rsidRPr="008D3929">
        <w:rPr>
          <w:rFonts w:eastAsiaTheme="minorHAnsi"/>
          <w:color w:val="231F20"/>
          <w:lang w:val="en-US"/>
        </w:rPr>
        <w:t xml:space="preserve">, </w:t>
      </w:r>
      <w:r w:rsidRPr="008D3929">
        <w:rPr>
          <w:rFonts w:eastAsiaTheme="minorHAnsi"/>
          <w:i/>
          <w:iCs/>
          <w:color w:val="231F20"/>
          <w:lang w:val="en-US"/>
        </w:rPr>
        <w:t>C. consocium</w:t>
      </w:r>
      <w:r w:rsidRPr="008D3929">
        <w:rPr>
          <w:rFonts w:eastAsiaTheme="minorHAnsi"/>
          <w:color w:val="231F20"/>
          <w:lang w:val="en-US"/>
        </w:rPr>
        <w:t xml:space="preserve">, </w:t>
      </w:r>
      <w:r w:rsidRPr="008D3929">
        <w:rPr>
          <w:rFonts w:eastAsiaTheme="minorHAnsi"/>
          <w:i/>
          <w:iCs/>
          <w:color w:val="231F20"/>
          <w:lang w:val="en-US"/>
        </w:rPr>
        <w:t>C. grandocule</w:t>
      </w:r>
      <w:r w:rsidRPr="008D3929">
        <w:rPr>
          <w:rFonts w:eastAsiaTheme="minorHAnsi"/>
          <w:color w:val="231F20"/>
          <w:lang w:val="en-US"/>
        </w:rPr>
        <w:t xml:space="preserve">, and </w:t>
      </w:r>
      <w:r w:rsidRPr="008D3929">
        <w:rPr>
          <w:rFonts w:eastAsiaTheme="minorHAnsi"/>
          <w:i/>
          <w:iCs/>
          <w:color w:val="231F20"/>
          <w:lang w:val="en-US"/>
        </w:rPr>
        <w:t>C. patzcuaro</w:t>
      </w:r>
      <w:r w:rsidRPr="008D3929">
        <w:rPr>
          <w:rFonts w:eastAsiaTheme="minorHAnsi"/>
          <w:color w:val="231F20"/>
          <w:lang w:val="en-US"/>
        </w:rPr>
        <w:t xml:space="preserve"> as ‘charales’, while </w:t>
      </w:r>
      <w:r w:rsidRPr="008D3929">
        <w:rPr>
          <w:rFonts w:eastAsiaTheme="minorHAnsi"/>
          <w:i/>
          <w:iCs/>
          <w:color w:val="231F20"/>
          <w:lang w:val="en-US"/>
        </w:rPr>
        <w:t>C. sphyraena</w:t>
      </w:r>
      <w:r w:rsidRPr="008D3929">
        <w:rPr>
          <w:rFonts w:eastAsiaTheme="minorHAnsi"/>
          <w:color w:val="231F20"/>
          <w:lang w:val="en-US"/>
        </w:rPr>
        <w:t xml:space="preserve">, </w:t>
      </w:r>
      <w:r w:rsidRPr="008D3929">
        <w:rPr>
          <w:rFonts w:eastAsiaTheme="minorHAnsi"/>
          <w:i/>
          <w:iCs/>
          <w:color w:val="231F20"/>
          <w:lang w:val="en-US"/>
        </w:rPr>
        <w:t>C. lucius</w:t>
      </w:r>
      <w:r w:rsidRPr="008D3929">
        <w:rPr>
          <w:rFonts w:eastAsiaTheme="minorHAnsi"/>
          <w:color w:val="231F20"/>
          <w:lang w:val="en-US"/>
        </w:rPr>
        <w:t xml:space="preserve">, </w:t>
      </w:r>
      <w:r w:rsidRPr="008D3929">
        <w:rPr>
          <w:rFonts w:eastAsiaTheme="minorHAnsi"/>
          <w:i/>
          <w:iCs/>
          <w:color w:val="231F20"/>
          <w:lang w:val="en-US"/>
        </w:rPr>
        <w:t>C. promelas</w:t>
      </w:r>
      <w:r w:rsidRPr="008D3929">
        <w:rPr>
          <w:rFonts w:eastAsiaTheme="minorHAnsi"/>
          <w:color w:val="231F20"/>
          <w:lang w:val="en-US"/>
        </w:rPr>
        <w:t xml:space="preserve">, </w:t>
      </w:r>
      <w:r w:rsidRPr="008D3929">
        <w:rPr>
          <w:rFonts w:eastAsiaTheme="minorHAnsi"/>
          <w:i/>
          <w:iCs/>
          <w:color w:val="231F20"/>
          <w:lang w:val="en-US"/>
        </w:rPr>
        <w:t>C. humboldtianum sensu stricto</w:t>
      </w:r>
      <w:r w:rsidRPr="008D3929">
        <w:rPr>
          <w:rFonts w:eastAsiaTheme="minorHAnsi"/>
          <w:color w:val="231F20"/>
          <w:lang w:val="en-US"/>
        </w:rPr>
        <w:t xml:space="preserve">, and both subspecies of </w:t>
      </w:r>
      <w:r w:rsidRPr="008D3929">
        <w:rPr>
          <w:rFonts w:eastAsiaTheme="minorHAnsi"/>
          <w:i/>
          <w:iCs/>
          <w:color w:val="231F20"/>
          <w:lang w:val="en-US"/>
        </w:rPr>
        <w:t>C. estor</w:t>
      </w:r>
      <w:r w:rsidRPr="008D3929">
        <w:rPr>
          <w:rFonts w:eastAsiaTheme="minorHAnsi"/>
          <w:color w:val="231F20"/>
          <w:lang w:val="en-US"/>
        </w:rPr>
        <w:t xml:space="preserve"> were categorized as ‘peces blancos’.</w:t>
      </w:r>
      <w:r w:rsidRPr="008D3929">
        <w:rPr>
          <w:color w:val="000000" w:themeColor="text1"/>
          <w:lang w:val="en-US"/>
        </w:rPr>
        <w:t xml:space="preserve"> </w:t>
      </w:r>
      <w:r w:rsidRPr="008D3929">
        <w:rPr>
          <w:rFonts w:eastAsiaTheme="minorHAnsi"/>
          <w:color w:val="231F20"/>
          <w:lang w:val="en-US"/>
        </w:rPr>
        <w:t xml:space="preserve">The main character used to discriminate between both ecotypes is the standard-length SL </w:t>
      </w:r>
      <w:r w:rsidRPr="008D3929">
        <w:rPr>
          <w:color w:val="000000" w:themeColor="text1"/>
          <w:lang w:val="en-US"/>
        </w:rPr>
        <w:t xml:space="preserve">of the individuals during their adult phase </w:t>
      </w:r>
      <w:r w:rsidRPr="008D3929">
        <w:rPr>
          <w:rFonts w:eastAsiaTheme="minorHAnsi"/>
          <w:color w:val="231F20"/>
          <w:lang w:val="en-US"/>
        </w:rPr>
        <w:t>(</w:t>
      </w:r>
      <w:r w:rsidRPr="008D3929">
        <w:rPr>
          <w:color w:val="000000" w:themeColor="text1"/>
          <w:lang w:val="en-US"/>
        </w:rPr>
        <w:t>117–300 mm,</w:t>
      </w:r>
      <w:r w:rsidRPr="008D3929">
        <w:rPr>
          <w:lang w:val="en-US"/>
        </w:rPr>
        <w:t xml:space="preserve"> </w:t>
      </w:r>
      <w:r w:rsidRPr="008D3929">
        <w:rPr>
          <w:color w:val="000000" w:themeColor="text1"/>
          <w:lang w:val="en-US"/>
        </w:rPr>
        <w:t xml:space="preserve">70–142 mm SL, respectively; see also </w:t>
      </w:r>
      <w:r w:rsidRPr="008D3929">
        <w:rPr>
          <w:color w:val="000000" w:themeColor="text1"/>
          <w:lang w:val="es-ES"/>
        </w:rPr>
        <w:fldChar w:fldCharType="begin" w:fldLock="1"/>
      </w:r>
      <w:r w:rsidRPr="008D3929">
        <w:rPr>
          <w:color w:val="000000" w:themeColor="text1"/>
          <w:lang w:val="en-US"/>
        </w:rPr>
        <w:instrText>true</w:instrText>
      </w:r>
      <w:r w:rsidRPr="008D3929">
        <w:rPr>
          <w:color w:val="000000" w:themeColor="text1"/>
          <w:lang w:val="es-ES"/>
        </w:rPr>
        <w:fldChar w:fldCharType="separate"/>
      </w:r>
      <w:r w:rsidRPr="008D3929">
        <w:rPr>
          <w:noProof/>
          <w:color w:val="000000" w:themeColor="text1"/>
          <w:lang w:val="en-US"/>
        </w:rPr>
        <w:t xml:space="preserve">Mercado-Silva </w:t>
      </w:r>
      <w:r w:rsidRPr="008D3929">
        <w:rPr>
          <w:i/>
          <w:noProof/>
          <w:color w:val="000000" w:themeColor="text1"/>
          <w:lang w:val="en-US"/>
        </w:rPr>
        <w:t>et al.,</w:t>
      </w:r>
      <w:r w:rsidRPr="008D3929">
        <w:rPr>
          <w:noProof/>
          <w:color w:val="000000" w:themeColor="text1"/>
          <w:lang w:val="en-US"/>
        </w:rPr>
        <w:t xml:space="preserve"> 2015)</w:t>
      </w:r>
      <w:r w:rsidRPr="008D3929">
        <w:rPr>
          <w:color w:val="000000" w:themeColor="text1"/>
          <w:lang w:val="es-ES"/>
        </w:rPr>
        <w:fldChar w:fldCharType="end"/>
      </w:r>
      <w:r w:rsidRPr="008D3929">
        <w:rPr>
          <w:color w:val="000000" w:themeColor="text1"/>
          <w:lang w:val="en-US"/>
        </w:rPr>
        <w:t>. Additional morphological (</w:t>
      </w:r>
      <w:r w:rsidRPr="008D3929">
        <w:rPr>
          <w:i/>
          <w:iCs/>
          <w:color w:val="000000" w:themeColor="text1"/>
          <w:lang w:val="en-US"/>
        </w:rPr>
        <w:t>e.g.</w:t>
      </w:r>
      <w:r w:rsidRPr="008D3929">
        <w:rPr>
          <w:color w:val="000000" w:themeColor="text1"/>
          <w:lang w:val="en-US"/>
        </w:rPr>
        <w:t xml:space="preserve">, jaw length, head length, snout shape, anal fin length, snout pigmentation, and size of the teeth) and meristic (number of pre-dorsal scales, number of lateral-line scales, number of gill rakers) traits are also used for the correct taxonomic identification and discrimination of ecotypes </w:t>
      </w:r>
      <w:r w:rsidRPr="008D3929">
        <w:rPr>
          <w:color w:val="000000" w:themeColor="text1"/>
          <w:lang w:val="en-US"/>
        </w:rPr>
        <w:fldChar w:fldCharType="begin" w:fldLock="1"/>
      </w:r>
      <w:r w:rsidRPr="008D3929">
        <w:rPr>
          <w:color w:val="000000" w:themeColor="text1"/>
          <w:lang w:val="en-US"/>
        </w:rPr>
        <w:instrText>ADDIN CSL_CITATION {"citationItems":[{"id":"ITEM-1","itemData":{"author":[{"dropping-particle":"","family":"Barbour","given":"Clyde D","non-dropping-particle":"","parse-names":false,"suffix":""}],"container-title":"Tulane studies in zoology and botany.","id":"ITEM-1","issued":{"date-parts":[["1973"]]},"page":"97-141","publisher":"New Orleans :Tulane University,[1968-","title":"The systematics and evolution of the genus Chirostoma Swainson (Pisces, Atherinidae)","type":"article-journal","volume":"18"},"uris":["http://www.mendeley.com/documents/?uuid=5ae7b2f8-3c62-418e-8ebf-c77decd522ca"]},{"id":"ITEM-2","itemData":{"DOI":"10.1007/s13127-019-00419-x","ISBN":"1312701900","ISSN":"16181077","abstract":"The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Evolution","id":"ITEM-2","issue":"2","issued":{"date-parts":[["2020"]]},"page":"313-330","publisher":"Organisms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 11]","plainTextFormattedCitation":"[1, 11]","previouslyFormattedCitation":"[1, 11]"},"properties":{"noteIndex":0},"schema":"https://github.com/citation-style-language/schema/raw/master/csl-citation.json"}</w:instrText>
      </w:r>
      <w:r w:rsidRPr="008D3929">
        <w:rPr>
          <w:color w:val="000000" w:themeColor="text1"/>
          <w:lang w:val="en-US"/>
        </w:rPr>
        <w:fldChar w:fldCharType="separate"/>
      </w:r>
      <w:r w:rsidRPr="008D3929">
        <w:rPr>
          <w:noProof/>
          <w:color w:val="000000" w:themeColor="text1"/>
          <w:lang w:val="en-US"/>
        </w:rPr>
        <w:t>[1, 11]</w:t>
      </w:r>
      <w:r w:rsidRPr="008D3929">
        <w:rPr>
          <w:color w:val="000000" w:themeColor="text1"/>
          <w:lang w:val="en-US"/>
        </w:rPr>
        <w:fldChar w:fldCharType="end"/>
      </w:r>
      <w:r w:rsidRPr="008D3929">
        <w:rPr>
          <w:color w:val="000000" w:themeColor="text1"/>
          <w:lang w:val="en-US"/>
        </w:rPr>
        <w:t xml:space="preserve">. Herein, all individuals were carefully identified using the morphological diagnostic characters suggested by </w:t>
      </w:r>
      <w:r w:rsidRPr="008D3929">
        <w:rPr>
          <w:color w:val="000000" w:themeColor="text1"/>
          <w:lang w:val="en-US"/>
        </w:rPr>
        <w:fldChar w:fldCharType="begin" w:fldLock="1"/>
      </w:r>
      <w:r w:rsidRPr="008D3929">
        <w:rPr>
          <w:color w:val="000000" w:themeColor="text1"/>
          <w:lang w:val="en-US"/>
        </w:rPr>
        <w:instrText>ADDIN CSL_CITATION {"citationItems":[{"id":"ITEM-1","itemData":{"DOI":"10.1007/s13127-019-00419-x","ISBN":"1312701900","ISSN":"16181077","abstract":"The Atherinopsidae is the second largest group of freshwater fishes occupying central Mexico and is one of biological, cultural, and economic importance. The “humboldtianum” clade (Genus Chirostoma) is a “species flock” of nine described species that inhabit lacustrine ecosystems in central Mexico. The high morphological polymorphism within the group makes species identification difficult and thereby limits the development of research and management projects focusing on this group. In this study, we used phylogeographic and coalescent-based methods to understand the evolution of genetic variation among these species. The results revealed taxonomic inaccuracies and genetic admixture among species. Genetic variation was structured geographically, rather than taxonomically, and five closely related genetic groups were recovered. Two evolutionary pathways were found. First, a novel geographical arrangement of haplotypes was recovered that gave rise to the five recently (Pleistocene, &lt; 1 Myr) derived genetic groups. The second pathway showed a recent intra-lacustrine genetic differentiation that could be associated with sympatric or ecological speciation. The current classification of the group is revised and includes a reduction in the number of valid species in the “humboldtianum” clade. Moreover, this study provides new insight into the biogeography and evolutionary history of this important group of fishes.","author":[{"dropping-particle":"","family":"Betancourt-Resendes","given":"Isai","non-dropping-particle":"","parse-names":false,"suffix":""},{"dropping-particle":"","family":"Perez-Rodríguez","given":"Rodolfo","non-dropping-particle":"","parse-names":false,"suffix":""},{"dropping-particle":"","family":"Barriga-Sosa","given":"Irene De Los Angeles","non-dropping-particle":"","parse-names":false,"suffix":""},{"dropping-particle":"","family":"Piller","given":"Kyle R.","non-dropping-particle":"","parse-names":false,"suffix":""},{"dropping-particle":"","family":"Domínguez-Domínguez","given":"Omar","non-dropping-particle":"","parse-names":false,"suffix":""}],"container-title":"Organisms Diversity and Evolution","id":"ITEM-1","issue":"2","issued":{"date-parts":[["2020"]]},"page":"313-330","publisher":"Organisms Diversity &amp; Evolution","title":"Phylogeographic patterns and species delimitation in the endangered silverside “humboldtianum” clade (Pisces: Atherinopsidae) in central Mexico: understanding their evolutionary history","type":"article-journal","volume":"20"},"uris":["http://www.mendeley.com/documents/?uuid=cc68eb5c-b121-4f35-8adb-94c0252acdfc"]}],"mendeley":{"formattedCitation":"[11]","manualFormatting":"Betancourt-Resendes et al. (2020)","plainTextFormattedCitation":"[11]","previouslyFormattedCitation":"[11]"},"properties":{"noteIndex":0},"schema":"https://github.com/citation-style-language/schema/raw/master/csl-citation.json"}</w:instrText>
      </w:r>
      <w:r w:rsidRPr="008D3929">
        <w:rPr>
          <w:color w:val="000000" w:themeColor="text1"/>
          <w:lang w:val="en-US"/>
        </w:rPr>
        <w:fldChar w:fldCharType="separate"/>
      </w:r>
      <w:r w:rsidRPr="008D3929">
        <w:rPr>
          <w:noProof/>
          <w:color w:val="000000" w:themeColor="text1"/>
          <w:lang w:val="en-US"/>
        </w:rPr>
        <w:t xml:space="preserve">Betancourt-Resendes </w:t>
      </w:r>
      <w:r w:rsidRPr="008D3929">
        <w:rPr>
          <w:i/>
          <w:noProof/>
          <w:color w:val="000000" w:themeColor="text1"/>
          <w:lang w:val="en-US"/>
        </w:rPr>
        <w:t>et al.</w:t>
      </w:r>
      <w:r w:rsidRPr="008D3929">
        <w:rPr>
          <w:noProof/>
          <w:color w:val="000000" w:themeColor="text1"/>
          <w:lang w:val="en-US"/>
        </w:rPr>
        <w:t xml:space="preserve"> (2020)</w:t>
      </w:r>
      <w:r w:rsidRPr="008D3929">
        <w:rPr>
          <w:color w:val="000000" w:themeColor="text1"/>
          <w:lang w:val="en-US"/>
        </w:rPr>
        <w:fldChar w:fldCharType="end"/>
      </w:r>
      <w:r w:rsidRPr="008D3929">
        <w:rPr>
          <w:color w:val="000000" w:themeColor="text1"/>
          <w:lang w:val="en-US"/>
        </w:rPr>
        <w:t xml:space="preserve">. </w:t>
      </w:r>
    </w:p>
    <w:p w14:paraId="22819621" w14:textId="77777777" w:rsidR="008D3929" w:rsidRPr="008D3929" w:rsidRDefault="008D3929" w:rsidP="008D3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Lines="160" w:after="384"/>
        <w:contextualSpacing/>
        <w:jc w:val="both"/>
        <w:rPr>
          <w:rFonts w:ascii="Times New Roman" w:hAnsi="Times New Roman" w:cs="Times New Roman"/>
          <w:color w:val="000000" w:themeColor="text1"/>
          <w:sz w:val="28"/>
          <w:szCs w:val="28"/>
        </w:rPr>
      </w:pPr>
      <w:r w:rsidRPr="008D3929">
        <w:rPr>
          <w:rStyle w:val="normaltextrun"/>
          <w:rFonts w:ascii="Times New Roman" w:hAnsi="Times New Roman" w:cs="Times New Roman"/>
          <w:b/>
          <w:bCs/>
          <w:sz w:val="28"/>
          <w:szCs w:val="28"/>
        </w:rPr>
        <w:lastRenderedPageBreak/>
        <w:t>Bayes factor delimitation analyses (BFD*).</w:t>
      </w:r>
    </w:p>
    <w:p w14:paraId="272201D8" w14:textId="0D2A1558" w:rsidR="008D3929" w:rsidRPr="008D3929" w:rsidRDefault="008D3929" w:rsidP="008D3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Lines="160" w:after="384"/>
        <w:contextualSpacing/>
        <w:jc w:val="both"/>
        <w:rPr>
          <w:rFonts w:ascii="Times New Roman" w:eastAsiaTheme="minorHAnsi" w:hAnsi="Times New Roman" w:cs="Times New Roman"/>
          <w:color w:val="000000" w:themeColor="text1"/>
          <w:sz w:val="24"/>
          <w:szCs w:val="24"/>
        </w:rPr>
      </w:pPr>
      <w:r w:rsidRPr="008D3929">
        <w:rPr>
          <w:rFonts w:ascii="Times New Roman" w:hAnsi="Times New Roman" w:cs="Times New Roman"/>
          <w:color w:val="000000" w:themeColor="text1"/>
          <w:sz w:val="24"/>
          <w:szCs w:val="24"/>
        </w:rPr>
        <w:t xml:space="preserve">We applied additional filters to the matrix </w:t>
      </w:r>
      <w:r w:rsidRPr="008D3929">
        <w:rPr>
          <w:rFonts w:ascii="Times New Roman" w:eastAsiaTheme="minorHAnsi" w:hAnsi="Times New Roman" w:cs="Times New Roman"/>
          <w:color w:val="231F20"/>
          <w:sz w:val="24"/>
          <w:szCs w:val="24"/>
        </w:rPr>
        <w:t xml:space="preserve">D-3482snps-neutral_loci by retaining individuals from each of the nine morphospecies and low levels of missing data. The subsets assembled were: subset 1, comprising 39 individuals, 411 SNP loci, and 7.2% of missing data; subset 2, 39 individuals, 1102 SNP loci, and 9.1% of missing data; and subset 3, 59 individuals, 548 SNP loci, and 7.9% of missing data. </w:t>
      </w:r>
      <w:r w:rsidRPr="008D3929">
        <w:rPr>
          <w:rFonts w:ascii="Times New Roman" w:eastAsiaTheme="minorHAnsi" w:hAnsi="Times New Roman" w:cs="Times New Roman"/>
          <w:color w:val="000000" w:themeColor="text1"/>
          <w:sz w:val="24"/>
          <w:szCs w:val="24"/>
        </w:rPr>
        <w:t xml:space="preserve">We calculated </w:t>
      </w:r>
      <w:r w:rsidRPr="008D3929">
        <w:rPr>
          <w:rFonts w:ascii="Times New Roman" w:eastAsiaTheme="minorHAnsi" w:hAnsi="Times New Roman" w:cs="Times New Roman"/>
          <w:sz w:val="24"/>
          <w:szCs w:val="24"/>
        </w:rPr>
        <w:t xml:space="preserve">Bayes factor (BF) values as 2 x (MLE of model 1  - MLE of model 2) and followed the framework provided by </w:t>
      </w:r>
      <w:r w:rsidRPr="008D3929">
        <w:rPr>
          <w:rFonts w:ascii="Times New Roman" w:eastAsiaTheme="minorHAnsi" w:hAnsi="Times New Roman" w:cs="Times New Roman"/>
          <w:sz w:val="24"/>
          <w:szCs w:val="24"/>
        </w:rPr>
        <w:fldChar w:fldCharType="begin" w:fldLock="1"/>
      </w:r>
      <w:r w:rsidRPr="008D3929">
        <w:rPr>
          <w:rFonts w:ascii="Times New Roman" w:eastAsiaTheme="minorHAnsi" w:hAnsi="Times New Roman" w:cs="Times New Roman"/>
          <w:sz w:val="24"/>
          <w:szCs w:val="24"/>
        </w:rPr>
        <w:instrText>ADDIN CSL_CITATION {"citationItems":[{"id":"ITEM-1","itemData":{"author":[{"dropping-particle":"","family":"Kass","given":"Robert E","non-dropping-particle":"","parse-names":false,"suffix":""},{"dropping-particle":"","family":"Raftery","given":"Adrian E","non-dropping-particle":"","parse-names":false,"suffix":""}],"container-title":"Journal of the American Statistical Association","id":"ITEM-1","issue":"340","issued":{"date-parts":[["1995"]]},"page":"773-795","title":"Bayes Factors","type":"article-journal","volume":"90"},"uris":["http://www.mendeley.com/documents/?uuid=98ac8fbb-8432-4591-aebc-ad7c9b2adc35"]}],"mendeley":{"formattedCitation":"[12]","manualFormatting":"Kass &amp; Raftery (1995)","plainTextFormattedCitation":"[12]","previouslyFormattedCitation":"[12]"},"properties":{"noteIndex":0},"schema":"https://github.com/citation-style-language/schema/raw/master/csl-citation.json"}</w:instrText>
      </w:r>
      <w:r w:rsidRPr="008D3929">
        <w:rPr>
          <w:rFonts w:ascii="Times New Roman" w:eastAsiaTheme="minorHAnsi" w:hAnsi="Times New Roman" w:cs="Times New Roman"/>
          <w:sz w:val="24"/>
          <w:szCs w:val="24"/>
        </w:rPr>
        <w:fldChar w:fldCharType="separate"/>
      </w:r>
      <w:r w:rsidRPr="008D3929">
        <w:rPr>
          <w:rFonts w:ascii="Times New Roman" w:eastAsiaTheme="minorHAnsi" w:hAnsi="Times New Roman" w:cs="Times New Roman"/>
          <w:noProof/>
          <w:sz w:val="24"/>
          <w:szCs w:val="24"/>
        </w:rPr>
        <w:t>Kass &amp; Raftery (1995)</w:t>
      </w:r>
      <w:r w:rsidRPr="008D3929">
        <w:rPr>
          <w:rFonts w:ascii="Times New Roman" w:eastAsiaTheme="minorHAnsi" w:hAnsi="Times New Roman" w:cs="Times New Roman"/>
          <w:sz w:val="24"/>
          <w:szCs w:val="24"/>
        </w:rPr>
        <w:fldChar w:fldCharType="end"/>
      </w:r>
      <w:r w:rsidRPr="008D3929">
        <w:rPr>
          <w:rFonts w:ascii="Times New Roman" w:eastAsiaTheme="minorHAnsi" w:hAnsi="Times New Roman" w:cs="Times New Roman"/>
          <w:sz w:val="24"/>
          <w:szCs w:val="24"/>
        </w:rPr>
        <w:t xml:space="preserve"> to assess the support of the candidate models. Because of the BF comparisons only address two models at the time (model 1 </w:t>
      </w:r>
      <w:r w:rsidRPr="008D3929">
        <w:rPr>
          <w:rFonts w:ascii="Times New Roman" w:eastAsiaTheme="minorHAnsi" w:hAnsi="Times New Roman" w:cs="Times New Roman"/>
          <w:i/>
          <w:iCs/>
          <w:sz w:val="24"/>
          <w:szCs w:val="24"/>
        </w:rPr>
        <w:t>vs.</w:t>
      </w:r>
      <w:r w:rsidRPr="008D3929">
        <w:rPr>
          <w:rFonts w:ascii="Times New Roman" w:eastAsiaTheme="minorHAnsi" w:hAnsi="Times New Roman" w:cs="Times New Roman"/>
          <w:sz w:val="24"/>
          <w:szCs w:val="24"/>
        </w:rPr>
        <w:t xml:space="preserve"> an alternative model represented by model 2), we evaluated all possible combinations among the species delimitation scenarios. First, we considered the current taxonomy that includes nine morphospecies as model 1 (model 1 = nine morphospecies </w:t>
      </w:r>
      <w:r w:rsidRPr="008D3929">
        <w:rPr>
          <w:rFonts w:ascii="Times New Roman" w:eastAsiaTheme="minorHAnsi" w:hAnsi="Times New Roman" w:cs="Times New Roman"/>
          <w:i/>
          <w:iCs/>
          <w:sz w:val="24"/>
          <w:szCs w:val="24"/>
        </w:rPr>
        <w:t>vs.</w:t>
      </w:r>
      <w:r w:rsidRPr="008D3929">
        <w:rPr>
          <w:rFonts w:ascii="Times New Roman" w:eastAsiaTheme="minorHAnsi" w:hAnsi="Times New Roman" w:cs="Times New Roman"/>
          <w:sz w:val="24"/>
          <w:szCs w:val="24"/>
        </w:rPr>
        <w:t xml:space="preserve"> the alternative models of three, four, and five species). </w:t>
      </w:r>
      <w:r w:rsidRPr="008D3929">
        <w:rPr>
          <w:rFonts w:ascii="Times New Roman" w:eastAsiaTheme="minorHAnsi" w:hAnsi="Times New Roman" w:cs="Times New Roman"/>
          <w:color w:val="231F20"/>
          <w:sz w:val="24"/>
          <w:szCs w:val="24"/>
        </w:rPr>
        <w:t>To set up the priors and MCMC runs, we followed the recommendations provided by Leaché and Bouckaert (2018</w:t>
      </w:r>
      <w:r w:rsidRPr="008D3929">
        <w:rPr>
          <w:rFonts w:ascii="Times New Roman" w:eastAsiaTheme="minorHAnsi" w:hAnsi="Times New Roman" w:cs="Times New Roman"/>
          <w:color w:val="000000" w:themeColor="text1"/>
          <w:sz w:val="24"/>
          <w:szCs w:val="24"/>
        </w:rPr>
        <w:t xml:space="preserve">), where we set </w:t>
      </w:r>
      <w:r w:rsidRPr="008D3929">
        <w:rPr>
          <w:rFonts w:ascii="Times New Roman" w:eastAsia="Cambria" w:hAnsi="Times New Roman" w:cs="Times New Roman"/>
          <w:bCs/>
          <w:color w:val="000000" w:themeColor="text1"/>
          <w:sz w:val="24"/>
          <w:szCs w:val="24"/>
          <w:lang w:eastAsia="es-ES_tradnl"/>
        </w:rPr>
        <w:t xml:space="preserve">the birth-rate on the Yule tree prior (λ) to a gamma distribution with </w:t>
      </w:r>
      <w:r w:rsidRPr="008D3929">
        <w:rPr>
          <w:rFonts w:ascii="Times New Roman" w:hAnsi="Times New Roman" w:cs="Times New Roman"/>
          <w:sz w:val="24"/>
          <w:szCs w:val="24"/>
        </w:rPr>
        <w:t>α = 2 and β = 200.</w:t>
      </w:r>
    </w:p>
    <w:p w14:paraId="5EAD717E" w14:textId="77777777" w:rsidR="008D3929" w:rsidRPr="008D3929" w:rsidRDefault="008D3929" w:rsidP="008D3929">
      <w:pPr>
        <w:adjustRightInd w:val="0"/>
        <w:spacing w:afterLines="160" w:after="384"/>
        <w:contextualSpacing/>
        <w:jc w:val="both"/>
        <w:rPr>
          <w:rFonts w:ascii="Times New Roman" w:hAnsi="Times New Roman" w:cs="Times New Roman"/>
          <w:sz w:val="24"/>
          <w:szCs w:val="24"/>
        </w:rPr>
      </w:pPr>
    </w:p>
    <w:p w14:paraId="3EE7C730" w14:textId="77777777" w:rsidR="008D3929" w:rsidRPr="001F1BE9" w:rsidRDefault="008D3929" w:rsidP="008D3929">
      <w:pPr>
        <w:spacing w:line="480" w:lineRule="auto"/>
        <w:contextualSpacing/>
        <w:jc w:val="center"/>
      </w:pPr>
      <w:r>
        <w:rPr>
          <w:noProof/>
        </w:rPr>
        <w:lastRenderedPageBreak/>
        <w:drawing>
          <wp:inline distT="0" distB="0" distL="0" distR="0" wp14:anchorId="7028C31B" wp14:editId="66D1CD6E">
            <wp:extent cx="4646645" cy="7065647"/>
            <wp:effectExtent l="0" t="0" r="1905" b="0"/>
            <wp:docPr id="12" name="Imagen 1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A screenshot of a graph&#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659920" cy="7085833"/>
                    </a:xfrm>
                    <a:prstGeom prst="rect">
                      <a:avLst/>
                    </a:prstGeom>
                  </pic:spPr>
                </pic:pic>
              </a:graphicData>
            </a:graphic>
          </wp:inline>
        </w:drawing>
      </w:r>
    </w:p>
    <w:p w14:paraId="5CD1632A" w14:textId="77777777" w:rsidR="008D3929" w:rsidRPr="00407DB7" w:rsidRDefault="008D3929" w:rsidP="00407DB7">
      <w:pPr>
        <w:spacing w:after="0" w:line="240" w:lineRule="auto"/>
        <w:contextualSpacing/>
        <w:rPr>
          <w:rFonts w:ascii="Times New Roman" w:hAnsi="Times New Roman" w:cs="Times New Roman"/>
          <w:sz w:val="20"/>
          <w:szCs w:val="20"/>
        </w:rPr>
      </w:pPr>
      <w:r w:rsidRPr="00407DB7">
        <w:rPr>
          <w:rFonts w:ascii="Times New Roman" w:hAnsi="Times New Roman" w:cs="Times New Roman"/>
          <w:b/>
          <w:bCs/>
          <w:sz w:val="20"/>
          <w:szCs w:val="20"/>
        </w:rPr>
        <w:t>Figure S1.</w:t>
      </w:r>
      <w:r w:rsidRPr="00407DB7">
        <w:rPr>
          <w:rFonts w:ascii="Times New Roman" w:hAnsi="Times New Roman" w:cs="Times New Roman"/>
          <w:sz w:val="20"/>
          <w:szCs w:val="20"/>
        </w:rPr>
        <w:t xml:space="preserve"> Principal Components Analyses 19 matrices with different numbers of SNPs loci, missing data, individuals, and species of the </w:t>
      </w:r>
      <w:r w:rsidRPr="00407DB7">
        <w:rPr>
          <w:rFonts w:ascii="Times New Roman" w:hAnsi="Times New Roman" w:cs="Times New Roman"/>
          <w:i/>
          <w:iCs/>
          <w:sz w:val="20"/>
          <w:szCs w:val="20"/>
        </w:rPr>
        <w:t>humboldtianum</w:t>
      </w:r>
      <w:r w:rsidRPr="00407DB7">
        <w:rPr>
          <w:rFonts w:ascii="Times New Roman" w:hAnsi="Times New Roman" w:cs="Times New Roman"/>
          <w:sz w:val="20"/>
          <w:szCs w:val="20"/>
        </w:rPr>
        <w:t xml:space="preserve"> group.</w:t>
      </w:r>
    </w:p>
    <w:p w14:paraId="67D61D38" w14:textId="77777777" w:rsidR="008D3929" w:rsidRDefault="008D3929" w:rsidP="008D3929">
      <w:pPr>
        <w:spacing w:line="480" w:lineRule="auto"/>
        <w:contextualSpacing/>
        <w:jc w:val="center"/>
        <w:rPr>
          <w:b/>
          <w:bCs/>
        </w:rPr>
      </w:pPr>
      <w:r>
        <w:rPr>
          <w:b/>
          <w:bCs/>
          <w:noProof/>
        </w:rPr>
        <w:lastRenderedPageBreak/>
        <w:drawing>
          <wp:inline distT="0" distB="0" distL="0" distR="0" wp14:anchorId="19C2E116" wp14:editId="6441C096">
            <wp:extent cx="5749352" cy="4948989"/>
            <wp:effectExtent l="0" t="0" r="3810" b="4445"/>
            <wp:docPr id="769661450" name="Picture 769661450"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61450" name="Picture 769661450" descr="A screenshot of a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8634" cy="4965586"/>
                    </a:xfrm>
                    <a:prstGeom prst="rect">
                      <a:avLst/>
                    </a:prstGeom>
                  </pic:spPr>
                </pic:pic>
              </a:graphicData>
            </a:graphic>
          </wp:inline>
        </w:drawing>
      </w:r>
    </w:p>
    <w:p w14:paraId="1C2BDAD1" w14:textId="77777777" w:rsidR="008D3929" w:rsidRPr="00354919" w:rsidRDefault="008D3929" w:rsidP="00354919">
      <w:pPr>
        <w:spacing w:after="0" w:line="240" w:lineRule="auto"/>
        <w:jc w:val="both"/>
        <w:rPr>
          <w:rFonts w:ascii="Times New Roman" w:hAnsi="Times New Roman" w:cs="Times New Roman"/>
          <w:sz w:val="20"/>
          <w:szCs w:val="20"/>
        </w:rPr>
      </w:pPr>
      <w:r w:rsidRPr="00354919">
        <w:rPr>
          <w:rFonts w:ascii="Times New Roman" w:hAnsi="Times New Roman" w:cs="Times New Roman"/>
          <w:b/>
          <w:bCs/>
          <w:sz w:val="20"/>
          <w:szCs w:val="20"/>
        </w:rPr>
        <w:t>Figure S2.</w:t>
      </w:r>
      <w:r w:rsidRPr="00354919">
        <w:rPr>
          <w:rFonts w:ascii="Times New Roman" w:hAnsi="Times New Roman" w:cs="Times New Roman"/>
          <w:sz w:val="20"/>
          <w:szCs w:val="20"/>
        </w:rPr>
        <w:t xml:space="preserve"> Principal component analyses (PCAs) based on all, neutral, and outlier SNP loci from matrices A, B, C, and E. PCAs estimated using all and neutral SNPs (~2k–33k) consistently recovered four genomic groups that are in agreement with geographic patterns but not with the previously recognized morphospecies; these are delimited with convex hulls: </w:t>
      </w:r>
      <w:r w:rsidRPr="00354919">
        <w:rPr>
          <w:rFonts w:ascii="Times New Roman" w:hAnsi="Times New Roman" w:cs="Times New Roman"/>
          <w:i/>
          <w:iCs/>
          <w:sz w:val="20"/>
          <w:szCs w:val="20"/>
        </w:rPr>
        <w:t>humboldtianum sensu stricto</w:t>
      </w:r>
      <w:r w:rsidRPr="00354919">
        <w:rPr>
          <w:rFonts w:ascii="Times New Roman" w:hAnsi="Times New Roman" w:cs="Times New Roman"/>
          <w:sz w:val="20"/>
          <w:szCs w:val="20"/>
        </w:rPr>
        <w:t xml:space="preserve"> group (blue), from Lake Zacapu; </w:t>
      </w:r>
      <w:r w:rsidRPr="00354919">
        <w:rPr>
          <w:rFonts w:ascii="Times New Roman" w:hAnsi="Times New Roman" w:cs="Times New Roman"/>
          <w:i/>
          <w:iCs/>
          <w:sz w:val="20"/>
          <w:szCs w:val="20"/>
        </w:rPr>
        <w:t>estor</w:t>
      </w:r>
      <w:r w:rsidRPr="00354919">
        <w:rPr>
          <w:rFonts w:ascii="Times New Roman" w:hAnsi="Times New Roman" w:cs="Times New Roman"/>
          <w:sz w:val="20"/>
          <w:szCs w:val="20"/>
        </w:rPr>
        <w:t xml:space="preserve"> group (green) from Lakes Patzcuaro and Zirahuén;</w:t>
      </w:r>
      <w:r w:rsidRPr="00354919">
        <w:rPr>
          <w:rFonts w:ascii="Times New Roman" w:hAnsi="Times New Roman" w:cs="Times New Roman"/>
          <w:i/>
          <w:iCs/>
          <w:sz w:val="20"/>
          <w:szCs w:val="20"/>
        </w:rPr>
        <w:t xml:space="preserve"> chapalae</w:t>
      </w:r>
      <w:r w:rsidRPr="00354919">
        <w:rPr>
          <w:rFonts w:ascii="Times New Roman" w:hAnsi="Times New Roman" w:cs="Times New Roman"/>
          <w:sz w:val="20"/>
          <w:szCs w:val="20"/>
        </w:rPr>
        <w:t xml:space="preserve"> group (red), from Lake Chapala; and </w:t>
      </w:r>
      <w:r w:rsidRPr="00354919">
        <w:rPr>
          <w:rFonts w:ascii="Times New Roman" w:hAnsi="Times New Roman" w:cs="Times New Roman"/>
          <w:i/>
          <w:iCs/>
          <w:sz w:val="20"/>
          <w:szCs w:val="20"/>
        </w:rPr>
        <w:t>C.</w:t>
      </w:r>
      <w:r w:rsidRPr="00354919">
        <w:rPr>
          <w:rFonts w:ascii="Times New Roman" w:hAnsi="Times New Roman" w:cs="Times New Roman"/>
          <w:sz w:val="20"/>
          <w:szCs w:val="20"/>
        </w:rPr>
        <w:t xml:space="preserve"> </w:t>
      </w:r>
      <w:r w:rsidRPr="00354919">
        <w:rPr>
          <w:rFonts w:ascii="Times New Roman" w:hAnsi="Times New Roman" w:cs="Times New Roman"/>
          <w:i/>
          <w:iCs/>
          <w:sz w:val="20"/>
          <w:szCs w:val="20"/>
        </w:rPr>
        <w:t>sphyraena</w:t>
      </w:r>
      <w:r w:rsidRPr="00354919">
        <w:rPr>
          <w:rFonts w:ascii="Times New Roman" w:hAnsi="Times New Roman" w:cs="Times New Roman"/>
          <w:sz w:val="20"/>
          <w:szCs w:val="20"/>
        </w:rPr>
        <w:t xml:space="preserve"> group (yellow), also from Lake Chapala. PCA analyses based on ~100–400 SNPs also resolved four genomic groups in matrices A and B, and in matrices C and E, </w:t>
      </w:r>
      <w:r w:rsidRPr="00354919">
        <w:rPr>
          <w:rFonts w:ascii="Times New Roman" w:hAnsi="Times New Roman" w:cs="Times New Roman"/>
          <w:i/>
          <w:iCs/>
          <w:sz w:val="20"/>
          <w:szCs w:val="20"/>
        </w:rPr>
        <w:t>chapalae</w:t>
      </w:r>
      <w:r w:rsidRPr="00354919">
        <w:rPr>
          <w:rFonts w:ascii="Times New Roman" w:hAnsi="Times New Roman" w:cs="Times New Roman"/>
          <w:sz w:val="20"/>
          <w:szCs w:val="20"/>
        </w:rPr>
        <w:t xml:space="preserve"> and </w:t>
      </w:r>
      <w:r w:rsidRPr="00354919">
        <w:rPr>
          <w:rFonts w:ascii="Times New Roman" w:hAnsi="Times New Roman" w:cs="Times New Roman"/>
          <w:i/>
          <w:iCs/>
          <w:sz w:val="20"/>
          <w:szCs w:val="20"/>
        </w:rPr>
        <w:t>sphyraena</w:t>
      </w:r>
      <w:r w:rsidRPr="00354919">
        <w:rPr>
          <w:rFonts w:ascii="Times New Roman" w:hAnsi="Times New Roman" w:cs="Times New Roman"/>
          <w:sz w:val="20"/>
          <w:szCs w:val="20"/>
        </w:rPr>
        <w:t xml:space="preserve"> groups clustered together. Morphospecies are color-coded according to the genomic groups observed.</w:t>
      </w:r>
    </w:p>
    <w:p w14:paraId="597645DD" w14:textId="77777777" w:rsidR="008D3929" w:rsidRDefault="008D3929" w:rsidP="008D3929">
      <w:pPr>
        <w:jc w:val="center"/>
        <w:rPr>
          <w:b/>
          <w:bCs/>
        </w:rPr>
      </w:pPr>
      <w:r>
        <w:rPr>
          <w:noProof/>
        </w:rPr>
        <w:lastRenderedPageBreak/>
        <w:drawing>
          <wp:inline distT="0" distB="0" distL="0" distR="0" wp14:anchorId="49863227" wp14:editId="3C3EDF14">
            <wp:extent cx="5105695" cy="7324531"/>
            <wp:effectExtent l="0" t="0" r="0" b="3810"/>
            <wp:docPr id="17" name="Imagen 1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A screenshot of a graph&#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111349" cy="7332642"/>
                    </a:xfrm>
                    <a:prstGeom prst="rect">
                      <a:avLst/>
                    </a:prstGeom>
                  </pic:spPr>
                </pic:pic>
              </a:graphicData>
            </a:graphic>
          </wp:inline>
        </w:drawing>
      </w:r>
    </w:p>
    <w:p w14:paraId="29630322" w14:textId="77777777" w:rsidR="008D3929" w:rsidRPr="00354919" w:rsidRDefault="008D3929" w:rsidP="00354919">
      <w:pPr>
        <w:spacing w:after="0" w:line="240" w:lineRule="auto"/>
        <w:rPr>
          <w:rFonts w:ascii="Times New Roman" w:hAnsi="Times New Roman" w:cs="Times New Roman"/>
          <w:sz w:val="20"/>
          <w:szCs w:val="20"/>
        </w:rPr>
      </w:pPr>
      <w:r w:rsidRPr="00354919">
        <w:rPr>
          <w:rFonts w:ascii="Times New Roman" w:hAnsi="Times New Roman" w:cs="Times New Roman"/>
          <w:b/>
          <w:bCs/>
          <w:sz w:val="20"/>
          <w:szCs w:val="20"/>
        </w:rPr>
        <w:t>Figure S3.</w:t>
      </w:r>
      <w:r w:rsidRPr="00354919">
        <w:rPr>
          <w:rFonts w:ascii="Times New Roman" w:hAnsi="Times New Roman" w:cs="Times New Roman"/>
          <w:sz w:val="20"/>
          <w:szCs w:val="20"/>
        </w:rPr>
        <w:t xml:space="preserve"> Plots of Bayesian Information Criterion (BIC) vs. number of clusters (</w:t>
      </w:r>
      <w:r w:rsidRPr="00354919">
        <w:rPr>
          <w:rFonts w:ascii="Times New Roman" w:hAnsi="Times New Roman" w:cs="Times New Roman"/>
          <w:i/>
          <w:iCs/>
          <w:sz w:val="20"/>
          <w:szCs w:val="20"/>
        </w:rPr>
        <w:t>k</w:t>
      </w:r>
      <w:r w:rsidRPr="00354919">
        <w:rPr>
          <w:rFonts w:ascii="Times New Roman" w:hAnsi="Times New Roman" w:cs="Times New Roman"/>
          <w:sz w:val="20"/>
          <w:szCs w:val="20"/>
        </w:rPr>
        <w:t>) of DAPC analyses for all, neutral, and outlier SNP loci from matrices A-E.</w:t>
      </w:r>
    </w:p>
    <w:p w14:paraId="567BECA4" w14:textId="77777777" w:rsidR="008D3929" w:rsidRDefault="008D3929" w:rsidP="008D3929">
      <w:pPr>
        <w:spacing w:line="480" w:lineRule="auto"/>
        <w:contextualSpacing/>
      </w:pPr>
    </w:p>
    <w:p w14:paraId="6B323FBE" w14:textId="77777777" w:rsidR="008D3929" w:rsidRDefault="008D3929" w:rsidP="008D3929">
      <w:pPr>
        <w:jc w:val="center"/>
      </w:pPr>
      <w:r>
        <w:rPr>
          <w:noProof/>
        </w:rPr>
        <w:lastRenderedPageBreak/>
        <w:drawing>
          <wp:inline distT="0" distB="0" distL="0" distR="0" wp14:anchorId="5300E518" wp14:editId="6461B9F6">
            <wp:extent cx="5943600" cy="4525010"/>
            <wp:effectExtent l="0" t="0" r="6350" b="0"/>
            <wp:docPr id="965731658" name="Picture 96573165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31658" name="Picture 965731658" descr="A screenshot of a computer scree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525010"/>
                    </a:xfrm>
                    <a:prstGeom prst="rect">
                      <a:avLst/>
                    </a:prstGeom>
                  </pic:spPr>
                </pic:pic>
              </a:graphicData>
            </a:graphic>
          </wp:inline>
        </w:drawing>
      </w:r>
    </w:p>
    <w:p w14:paraId="01C45902" w14:textId="77777777" w:rsidR="008D3929" w:rsidRPr="00354919" w:rsidRDefault="008D3929" w:rsidP="00354919">
      <w:pPr>
        <w:spacing w:after="0" w:line="240" w:lineRule="auto"/>
        <w:jc w:val="both"/>
        <w:rPr>
          <w:rFonts w:ascii="Times New Roman" w:hAnsi="Times New Roman" w:cs="Times New Roman"/>
          <w:sz w:val="20"/>
          <w:szCs w:val="20"/>
        </w:rPr>
      </w:pPr>
      <w:r w:rsidRPr="00354919">
        <w:rPr>
          <w:rFonts w:ascii="Times New Roman" w:hAnsi="Times New Roman" w:cs="Times New Roman"/>
          <w:b/>
          <w:bCs/>
          <w:sz w:val="20"/>
          <w:szCs w:val="20"/>
        </w:rPr>
        <w:t>Figure S4.</w:t>
      </w:r>
      <w:r w:rsidRPr="00354919">
        <w:rPr>
          <w:rFonts w:ascii="Times New Roman" w:hAnsi="Times New Roman" w:cs="Times New Roman"/>
          <w:sz w:val="20"/>
          <w:szCs w:val="20"/>
        </w:rPr>
        <w:t xml:space="preserve"> Discriminant analyses of principal components (DAPCs) estimated using </w:t>
      </w:r>
      <w:r w:rsidRPr="00354919">
        <w:rPr>
          <w:rFonts w:ascii="Times New Roman" w:hAnsi="Times New Roman" w:cs="Times New Roman"/>
          <w:i/>
          <w:iCs/>
          <w:sz w:val="20"/>
          <w:szCs w:val="20"/>
        </w:rPr>
        <w:t>ca.</w:t>
      </w:r>
      <w:r w:rsidRPr="00354919">
        <w:rPr>
          <w:rFonts w:ascii="Times New Roman" w:hAnsi="Times New Roman" w:cs="Times New Roman"/>
          <w:sz w:val="20"/>
          <w:szCs w:val="20"/>
        </w:rPr>
        <w:t xml:space="preserve"> 1800–33700 SNPs resolve four well-differentiated clusters. DAPCs based on outlier SNPs recover three to four groups. These results are largely consistent across analyses based on matrices A, B, C, and E (a–d), and are also concordant with the PCA analyses. In neither case, the observed genomic clusters do correspond to the morphology-based species delimitation scenario. Morphospecies are color-coded according to the genomic clusters recovered: blue, </w:t>
      </w:r>
      <w:r w:rsidRPr="00354919">
        <w:rPr>
          <w:rFonts w:ascii="Times New Roman" w:hAnsi="Times New Roman" w:cs="Times New Roman"/>
          <w:i/>
          <w:iCs/>
          <w:sz w:val="20"/>
          <w:szCs w:val="20"/>
        </w:rPr>
        <w:t>humboldtianum sensu stricto</w:t>
      </w:r>
      <w:r w:rsidRPr="00354919">
        <w:rPr>
          <w:rFonts w:ascii="Times New Roman" w:hAnsi="Times New Roman" w:cs="Times New Roman"/>
          <w:sz w:val="20"/>
          <w:szCs w:val="20"/>
        </w:rPr>
        <w:t xml:space="preserve">, green, </w:t>
      </w:r>
      <w:r w:rsidRPr="00354919">
        <w:rPr>
          <w:rFonts w:ascii="Times New Roman" w:hAnsi="Times New Roman" w:cs="Times New Roman"/>
          <w:i/>
          <w:iCs/>
          <w:sz w:val="20"/>
          <w:szCs w:val="20"/>
        </w:rPr>
        <w:t>estor</w:t>
      </w:r>
      <w:r w:rsidRPr="00354919">
        <w:rPr>
          <w:rFonts w:ascii="Times New Roman" w:hAnsi="Times New Roman" w:cs="Times New Roman"/>
          <w:sz w:val="20"/>
          <w:szCs w:val="20"/>
        </w:rPr>
        <w:t xml:space="preserve"> group; red, </w:t>
      </w:r>
      <w:r w:rsidRPr="00354919">
        <w:rPr>
          <w:rFonts w:ascii="Times New Roman" w:hAnsi="Times New Roman" w:cs="Times New Roman"/>
          <w:i/>
          <w:iCs/>
          <w:sz w:val="20"/>
          <w:szCs w:val="20"/>
        </w:rPr>
        <w:t>chapalae</w:t>
      </w:r>
      <w:r w:rsidRPr="00354919">
        <w:rPr>
          <w:rFonts w:ascii="Times New Roman" w:hAnsi="Times New Roman" w:cs="Times New Roman"/>
          <w:sz w:val="20"/>
          <w:szCs w:val="20"/>
        </w:rPr>
        <w:t xml:space="preserve"> group; yellow, </w:t>
      </w:r>
      <w:r w:rsidRPr="00354919">
        <w:rPr>
          <w:rFonts w:ascii="Times New Roman" w:hAnsi="Times New Roman" w:cs="Times New Roman"/>
          <w:i/>
          <w:iCs/>
          <w:sz w:val="20"/>
          <w:szCs w:val="20"/>
        </w:rPr>
        <w:t>C. sphyraena</w:t>
      </w:r>
      <w:r w:rsidRPr="00354919">
        <w:rPr>
          <w:rFonts w:ascii="Times New Roman" w:hAnsi="Times New Roman" w:cs="Times New Roman"/>
          <w:sz w:val="20"/>
          <w:szCs w:val="20"/>
        </w:rPr>
        <w:t>.</w:t>
      </w:r>
    </w:p>
    <w:p w14:paraId="6497544D" w14:textId="77777777" w:rsidR="008D3929" w:rsidRDefault="008D3929" w:rsidP="008D3929">
      <w:pPr>
        <w:jc w:val="center"/>
      </w:pPr>
      <w:r>
        <w:rPr>
          <w:noProof/>
        </w:rPr>
        <w:lastRenderedPageBreak/>
        <w:drawing>
          <wp:inline distT="0" distB="0" distL="0" distR="0" wp14:anchorId="1427EFF5" wp14:editId="5B2D3875">
            <wp:extent cx="5943600" cy="6342380"/>
            <wp:effectExtent l="0" t="0" r="0" b="0"/>
            <wp:docPr id="18" name="Imagen 18"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A graph of different numbers&#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6381" cy="6345348"/>
                    </a:xfrm>
                    <a:prstGeom prst="rect">
                      <a:avLst/>
                    </a:prstGeom>
                  </pic:spPr>
                </pic:pic>
              </a:graphicData>
            </a:graphic>
          </wp:inline>
        </w:drawing>
      </w:r>
    </w:p>
    <w:p w14:paraId="1C89FF1F" w14:textId="77777777" w:rsidR="008D3929" w:rsidRPr="00354919" w:rsidRDefault="008D3929" w:rsidP="00354919">
      <w:pPr>
        <w:spacing w:line="240" w:lineRule="auto"/>
        <w:jc w:val="both"/>
        <w:rPr>
          <w:rFonts w:ascii="Times New Roman" w:hAnsi="Times New Roman" w:cs="Times New Roman"/>
          <w:sz w:val="20"/>
          <w:szCs w:val="20"/>
        </w:rPr>
      </w:pPr>
      <w:r w:rsidRPr="00354919">
        <w:rPr>
          <w:rFonts w:ascii="Times New Roman" w:hAnsi="Times New Roman" w:cs="Times New Roman"/>
          <w:b/>
          <w:bCs/>
          <w:sz w:val="20"/>
          <w:szCs w:val="20"/>
        </w:rPr>
        <w:t>Figure S5.</w:t>
      </w:r>
      <w:r w:rsidRPr="00354919">
        <w:rPr>
          <w:rFonts w:ascii="Times New Roman" w:hAnsi="Times New Roman" w:cs="Times New Roman"/>
          <w:sz w:val="20"/>
          <w:szCs w:val="20"/>
        </w:rPr>
        <w:t xml:space="preserve"> Plots of cross-validation error of each </w:t>
      </w:r>
      <w:r w:rsidRPr="00354919">
        <w:rPr>
          <w:rFonts w:ascii="Times New Roman" w:hAnsi="Times New Roman" w:cs="Times New Roman"/>
          <w:i/>
          <w:iCs/>
          <w:sz w:val="20"/>
          <w:szCs w:val="20"/>
        </w:rPr>
        <w:t>k</w:t>
      </w:r>
      <w:r w:rsidRPr="00354919">
        <w:rPr>
          <w:rFonts w:ascii="Times New Roman" w:hAnsi="Times New Roman" w:cs="Times New Roman"/>
          <w:sz w:val="20"/>
          <w:szCs w:val="20"/>
        </w:rPr>
        <w:t xml:space="preserve"> (number of clusters) analyzed in Admixture analyses for all, neutral, and outlier SNP loci from matrices A- E. The cross-validation procedure was performed with the folds value = 5 (the default), a block relaxation algorithm as point estimation method, and the point estimation terminated with the objective function delta  &lt; 0.0001.</w:t>
      </w:r>
    </w:p>
    <w:p w14:paraId="750CF704" w14:textId="77777777" w:rsidR="008D3929" w:rsidRDefault="008D3929" w:rsidP="008D3929">
      <w:pPr>
        <w:jc w:val="center"/>
      </w:pPr>
      <w:r>
        <w:rPr>
          <w:noProof/>
        </w:rPr>
        <w:lastRenderedPageBreak/>
        <w:drawing>
          <wp:inline distT="0" distB="0" distL="0" distR="0" wp14:anchorId="70DBD205" wp14:editId="3C14EAC6">
            <wp:extent cx="4789559" cy="5812971"/>
            <wp:effectExtent l="0" t="0" r="0" b="3810"/>
            <wp:docPr id="15" name="Imagen 15" descr="A chart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A chart of different colored lines&#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07505" cy="5834752"/>
                    </a:xfrm>
                    <a:prstGeom prst="rect">
                      <a:avLst/>
                    </a:prstGeom>
                  </pic:spPr>
                </pic:pic>
              </a:graphicData>
            </a:graphic>
          </wp:inline>
        </w:drawing>
      </w:r>
    </w:p>
    <w:p w14:paraId="0D6D3B7C" w14:textId="77777777" w:rsidR="008D3929" w:rsidRPr="00354919" w:rsidRDefault="008D3929" w:rsidP="00354919">
      <w:pPr>
        <w:spacing w:after="0" w:line="240" w:lineRule="auto"/>
        <w:jc w:val="both"/>
        <w:rPr>
          <w:rFonts w:ascii="Times New Roman" w:hAnsi="Times New Roman" w:cs="Times New Roman"/>
          <w:sz w:val="20"/>
          <w:szCs w:val="20"/>
        </w:rPr>
      </w:pPr>
      <w:r w:rsidRPr="00354919">
        <w:rPr>
          <w:rFonts w:ascii="Times New Roman" w:hAnsi="Times New Roman" w:cs="Times New Roman"/>
          <w:b/>
          <w:bCs/>
          <w:sz w:val="20"/>
          <w:szCs w:val="20"/>
        </w:rPr>
        <w:t>Figure S6.</w:t>
      </w:r>
      <w:r w:rsidRPr="00354919">
        <w:rPr>
          <w:rFonts w:ascii="Times New Roman" w:hAnsi="Times New Roman" w:cs="Times New Roman"/>
          <w:sz w:val="20"/>
          <w:szCs w:val="20"/>
        </w:rPr>
        <w:t xml:space="preserve"> Admixture assignment analyses estimated using </w:t>
      </w:r>
      <w:r w:rsidRPr="00354919">
        <w:rPr>
          <w:rFonts w:ascii="Times New Roman" w:hAnsi="Times New Roman" w:cs="Times New Roman"/>
          <w:i/>
          <w:iCs/>
          <w:sz w:val="20"/>
          <w:szCs w:val="20"/>
        </w:rPr>
        <w:t>ca.</w:t>
      </w:r>
      <w:r w:rsidRPr="00354919">
        <w:rPr>
          <w:rFonts w:ascii="Times New Roman" w:hAnsi="Times New Roman" w:cs="Times New Roman"/>
          <w:sz w:val="20"/>
          <w:szCs w:val="20"/>
        </w:rPr>
        <w:t xml:space="preserve"> 80–33700 neutral and outlier SNPs consistently identified three well-differentiated clusters (</w:t>
      </w:r>
      <w:r w:rsidRPr="00354919">
        <w:rPr>
          <w:rFonts w:ascii="Times New Roman" w:hAnsi="Times New Roman" w:cs="Times New Roman"/>
          <w:i/>
          <w:iCs/>
          <w:sz w:val="20"/>
          <w:szCs w:val="20"/>
        </w:rPr>
        <w:t>k</w:t>
      </w:r>
      <w:r w:rsidRPr="00354919">
        <w:rPr>
          <w:rFonts w:ascii="Times New Roman" w:hAnsi="Times New Roman" w:cs="Times New Roman"/>
          <w:sz w:val="20"/>
          <w:szCs w:val="20"/>
        </w:rPr>
        <w:t xml:space="preserve"> = 3) using matrices A, B, C, and E (a–d). Outlier SNPs show an increased intermingling of individuals among clusters compared with analyses based on all or neutral loci. Each bar represents the probability of assignment to each cluster. Genomic clusters are color-coded as blue, </w:t>
      </w:r>
      <w:r w:rsidRPr="00354919">
        <w:rPr>
          <w:rFonts w:ascii="Times New Roman" w:hAnsi="Times New Roman" w:cs="Times New Roman"/>
          <w:i/>
          <w:iCs/>
          <w:sz w:val="20"/>
          <w:szCs w:val="20"/>
        </w:rPr>
        <w:t>humboldtianum sensu stricto</w:t>
      </w:r>
      <w:r w:rsidRPr="00354919">
        <w:rPr>
          <w:rFonts w:ascii="Times New Roman" w:hAnsi="Times New Roman" w:cs="Times New Roman"/>
          <w:sz w:val="20"/>
          <w:szCs w:val="20"/>
        </w:rPr>
        <w:t xml:space="preserve">, green, </w:t>
      </w:r>
      <w:r w:rsidRPr="00354919">
        <w:rPr>
          <w:rFonts w:ascii="Times New Roman" w:hAnsi="Times New Roman" w:cs="Times New Roman"/>
          <w:i/>
          <w:iCs/>
          <w:sz w:val="20"/>
          <w:szCs w:val="20"/>
        </w:rPr>
        <w:t>estor</w:t>
      </w:r>
      <w:r w:rsidRPr="00354919">
        <w:rPr>
          <w:rFonts w:ascii="Times New Roman" w:hAnsi="Times New Roman" w:cs="Times New Roman"/>
          <w:sz w:val="20"/>
          <w:szCs w:val="20"/>
        </w:rPr>
        <w:t xml:space="preserve"> group; orange, </w:t>
      </w:r>
      <w:r w:rsidRPr="00354919">
        <w:rPr>
          <w:rFonts w:ascii="Times New Roman" w:hAnsi="Times New Roman" w:cs="Times New Roman"/>
          <w:i/>
          <w:iCs/>
          <w:sz w:val="20"/>
          <w:szCs w:val="20"/>
        </w:rPr>
        <w:t>chapalae-sphyraena</w:t>
      </w:r>
      <w:r w:rsidRPr="00354919">
        <w:rPr>
          <w:rFonts w:ascii="Times New Roman" w:hAnsi="Times New Roman" w:cs="Times New Roman"/>
          <w:sz w:val="20"/>
          <w:szCs w:val="20"/>
        </w:rPr>
        <w:t xml:space="preserve"> group. CHA, Lake Chapala; TEP, Tepuxtepec Dam; TRI, Trinidad Fabela Dam; PAT, Lake Pátzcuaro; ZIR, Lake Zirahuén.</w:t>
      </w:r>
      <w:r w:rsidRPr="00354919">
        <w:rPr>
          <w:rFonts w:ascii="Times New Roman" w:hAnsi="Times New Roman" w:cs="Times New Roman"/>
          <w:sz w:val="20"/>
          <w:szCs w:val="20"/>
        </w:rPr>
        <w:br w:type="page"/>
      </w:r>
    </w:p>
    <w:p w14:paraId="328FAE3C" w14:textId="77777777" w:rsidR="008D3929" w:rsidRDefault="008D3929" w:rsidP="008D3929">
      <w:pPr>
        <w:spacing w:line="480" w:lineRule="auto"/>
        <w:contextualSpacing/>
        <w:jc w:val="both"/>
      </w:pPr>
    </w:p>
    <w:p w14:paraId="4D1BF163" w14:textId="77777777" w:rsidR="008D3929" w:rsidRDefault="008D3929" w:rsidP="008D3929">
      <w:pPr>
        <w:spacing w:line="480" w:lineRule="auto"/>
        <w:contextualSpacing/>
        <w:jc w:val="both"/>
      </w:pPr>
      <w:r>
        <w:rPr>
          <w:noProof/>
        </w:rPr>
        <w:drawing>
          <wp:inline distT="0" distB="0" distL="0" distR="0" wp14:anchorId="097F8992" wp14:editId="7CCD5F22">
            <wp:extent cx="5943600" cy="1529715"/>
            <wp:effectExtent l="0" t="0" r="0" b="0"/>
            <wp:docPr id="6" name="Imagen 6" descr="A graph with a point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A graph with a point and a line&#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1529715"/>
                    </a:xfrm>
                    <a:prstGeom prst="rect">
                      <a:avLst/>
                    </a:prstGeom>
                  </pic:spPr>
                </pic:pic>
              </a:graphicData>
            </a:graphic>
          </wp:inline>
        </w:drawing>
      </w:r>
    </w:p>
    <w:p w14:paraId="440848A5" w14:textId="77777777" w:rsidR="008D3929" w:rsidRPr="00354919" w:rsidRDefault="008D3929" w:rsidP="00354919">
      <w:pPr>
        <w:spacing w:after="0" w:line="240" w:lineRule="auto"/>
        <w:jc w:val="both"/>
        <w:rPr>
          <w:rFonts w:ascii="Times New Roman" w:hAnsi="Times New Roman" w:cs="Times New Roman"/>
          <w:sz w:val="20"/>
          <w:szCs w:val="20"/>
        </w:rPr>
      </w:pPr>
      <w:r w:rsidRPr="00354919">
        <w:rPr>
          <w:rFonts w:ascii="Times New Roman" w:hAnsi="Times New Roman" w:cs="Times New Roman"/>
          <w:b/>
          <w:bCs/>
          <w:sz w:val="20"/>
          <w:szCs w:val="20"/>
        </w:rPr>
        <w:t>Figure S7.</w:t>
      </w:r>
      <w:r w:rsidRPr="00354919">
        <w:rPr>
          <w:rFonts w:ascii="Times New Roman" w:hAnsi="Times New Roman" w:cs="Times New Roman"/>
          <w:sz w:val="20"/>
          <w:szCs w:val="20"/>
        </w:rPr>
        <w:t xml:space="preserve"> Admixture assignment analyses estimated using </w:t>
      </w:r>
      <w:r w:rsidRPr="00354919">
        <w:rPr>
          <w:rFonts w:ascii="Times New Roman" w:hAnsi="Times New Roman" w:cs="Times New Roman"/>
          <w:i/>
          <w:iCs/>
          <w:sz w:val="20"/>
          <w:szCs w:val="20"/>
        </w:rPr>
        <w:t>ca.</w:t>
      </w:r>
      <w:r w:rsidRPr="00354919">
        <w:rPr>
          <w:rFonts w:ascii="Times New Roman" w:hAnsi="Times New Roman" w:cs="Times New Roman"/>
          <w:sz w:val="20"/>
          <w:szCs w:val="20"/>
        </w:rPr>
        <w:t xml:space="preserve"> 33700 SNP loci a) in Chapala Lake, and b) within Lakes Pátzcuaro-Zirahuén.</w:t>
      </w:r>
    </w:p>
    <w:p w14:paraId="0CD7A814" w14:textId="77777777" w:rsidR="008D3929" w:rsidRDefault="008D3929" w:rsidP="008D3929">
      <w:r>
        <w:br w:type="page"/>
      </w:r>
    </w:p>
    <w:p w14:paraId="4857BB57" w14:textId="77777777" w:rsidR="008D3929" w:rsidRPr="001F1BE9" w:rsidRDefault="008D3929" w:rsidP="008D3929">
      <w:pPr>
        <w:spacing w:line="480" w:lineRule="auto"/>
        <w:contextualSpacing/>
        <w:jc w:val="center"/>
      </w:pPr>
      <w:r>
        <w:rPr>
          <w:noProof/>
        </w:rPr>
        <w:lastRenderedPageBreak/>
        <w:drawing>
          <wp:inline distT="0" distB="0" distL="0" distR="0" wp14:anchorId="6DC784EC" wp14:editId="1A434F64">
            <wp:extent cx="4901646" cy="6700838"/>
            <wp:effectExtent l="0" t="0" r="635" b="5080"/>
            <wp:docPr id="2003206170" name="Picture 2003206170" descr="A collage of multiple diagra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06170" name="Picture 2003206170" descr="A collage of multiple diagrams&#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05018" cy="6705448"/>
                    </a:xfrm>
                    <a:prstGeom prst="rect">
                      <a:avLst/>
                    </a:prstGeom>
                  </pic:spPr>
                </pic:pic>
              </a:graphicData>
            </a:graphic>
          </wp:inline>
        </w:drawing>
      </w:r>
    </w:p>
    <w:p w14:paraId="68BADBA9" w14:textId="77777777" w:rsidR="008D3929" w:rsidRPr="00354919" w:rsidRDefault="008D3929" w:rsidP="00354919">
      <w:pPr>
        <w:spacing w:after="0" w:line="240" w:lineRule="auto"/>
        <w:jc w:val="both"/>
        <w:rPr>
          <w:rFonts w:ascii="Times New Roman" w:hAnsi="Times New Roman" w:cs="Times New Roman"/>
          <w:sz w:val="20"/>
          <w:szCs w:val="20"/>
        </w:rPr>
      </w:pPr>
      <w:r w:rsidRPr="00354919">
        <w:rPr>
          <w:rFonts w:ascii="Times New Roman" w:hAnsi="Times New Roman" w:cs="Times New Roman"/>
          <w:b/>
          <w:bCs/>
          <w:sz w:val="20"/>
          <w:szCs w:val="20"/>
        </w:rPr>
        <w:t>Figure S8.</w:t>
      </w:r>
      <w:r w:rsidRPr="00354919">
        <w:rPr>
          <w:rFonts w:ascii="Times New Roman" w:hAnsi="Times New Roman" w:cs="Times New Roman"/>
          <w:sz w:val="20"/>
          <w:szCs w:val="20"/>
        </w:rPr>
        <w:t xml:space="preserve"> Phylogenetic trees of </w:t>
      </w:r>
      <w:r w:rsidRPr="00354919">
        <w:rPr>
          <w:rFonts w:ascii="Times New Roman" w:hAnsi="Times New Roman" w:cs="Times New Roman"/>
          <w:i/>
          <w:iCs/>
          <w:sz w:val="20"/>
          <w:szCs w:val="20"/>
        </w:rPr>
        <w:t>ca.</w:t>
      </w:r>
      <w:r w:rsidRPr="00354919">
        <w:rPr>
          <w:rFonts w:ascii="Times New Roman" w:hAnsi="Times New Roman" w:cs="Times New Roman"/>
          <w:sz w:val="20"/>
          <w:szCs w:val="20"/>
        </w:rPr>
        <w:t xml:space="preserve"> 1800–33700 SNP loci of the </w:t>
      </w:r>
      <w:r w:rsidRPr="00354919">
        <w:rPr>
          <w:rFonts w:ascii="Times New Roman" w:hAnsi="Times New Roman" w:cs="Times New Roman"/>
          <w:i/>
          <w:iCs/>
          <w:sz w:val="20"/>
          <w:szCs w:val="20"/>
        </w:rPr>
        <w:t>humboldtianum</w:t>
      </w:r>
      <w:r w:rsidRPr="00354919">
        <w:rPr>
          <w:rFonts w:ascii="Times New Roman" w:hAnsi="Times New Roman" w:cs="Times New Roman"/>
          <w:sz w:val="20"/>
          <w:szCs w:val="20"/>
        </w:rPr>
        <w:t xml:space="preserve"> group estimated under a maximum likelihood framework in IQ-TREE. Phylogenetic trees were estimated using all (~1900–33700), neutral-only (~1800–33300), and outlier (~80–350) SNPs. Individuals are color-coded by genetic clusters according to Fig. 2.</w:t>
      </w:r>
    </w:p>
    <w:p w14:paraId="6389C12D" w14:textId="77777777" w:rsidR="008D3929" w:rsidRPr="001F1BE9" w:rsidRDefault="008D3929" w:rsidP="008D3929">
      <w:pPr>
        <w:spacing w:line="480" w:lineRule="auto"/>
        <w:contextualSpacing/>
      </w:pPr>
    </w:p>
    <w:p w14:paraId="36C4D2EF" w14:textId="77777777" w:rsidR="008D3929" w:rsidRPr="001F1BE9" w:rsidRDefault="008D3929" w:rsidP="008D3929">
      <w:pPr>
        <w:spacing w:line="480" w:lineRule="auto"/>
        <w:ind w:firstLine="720"/>
        <w:contextualSpacing/>
        <w:jc w:val="center"/>
      </w:pPr>
      <w:r>
        <w:rPr>
          <w:noProof/>
        </w:rPr>
        <w:lastRenderedPageBreak/>
        <w:drawing>
          <wp:inline distT="0" distB="0" distL="0" distR="0" wp14:anchorId="23497A55" wp14:editId="54E6E1E6">
            <wp:extent cx="5295900" cy="5575300"/>
            <wp:effectExtent l="0" t="0" r="0" b="0"/>
            <wp:docPr id="4" name="Imagen 4" descr="A diagram of a computer netwo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 diagram of a computer network&#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95900" cy="5575300"/>
                    </a:xfrm>
                    <a:prstGeom prst="rect">
                      <a:avLst/>
                    </a:prstGeom>
                  </pic:spPr>
                </pic:pic>
              </a:graphicData>
            </a:graphic>
          </wp:inline>
        </w:drawing>
      </w:r>
    </w:p>
    <w:p w14:paraId="37DCF0C5" w14:textId="77777777" w:rsidR="008D3929" w:rsidRPr="00135B1D" w:rsidRDefault="008D3929" w:rsidP="00135B1D">
      <w:pPr>
        <w:tabs>
          <w:tab w:val="left" w:pos="1135"/>
        </w:tabs>
        <w:spacing w:after="0" w:line="240" w:lineRule="auto"/>
        <w:contextualSpacing/>
        <w:rPr>
          <w:rFonts w:ascii="Times New Roman" w:hAnsi="Times New Roman" w:cs="Times New Roman"/>
          <w:sz w:val="20"/>
          <w:szCs w:val="20"/>
        </w:rPr>
      </w:pPr>
      <w:r w:rsidRPr="00135B1D">
        <w:rPr>
          <w:rFonts w:ascii="Times New Roman" w:hAnsi="Times New Roman" w:cs="Times New Roman"/>
          <w:b/>
          <w:bCs/>
          <w:sz w:val="20"/>
          <w:szCs w:val="20"/>
        </w:rPr>
        <w:t>Figure S9.</w:t>
      </w:r>
      <w:r w:rsidRPr="00135B1D">
        <w:rPr>
          <w:rFonts w:ascii="Times New Roman" w:hAnsi="Times New Roman" w:cs="Times New Roman"/>
          <w:sz w:val="20"/>
          <w:szCs w:val="20"/>
        </w:rPr>
        <w:t xml:space="preserve"> Mitochondrial trees (left) and ddRADseq phylogeny (right) of the </w:t>
      </w:r>
      <w:r w:rsidRPr="00135B1D">
        <w:rPr>
          <w:rFonts w:ascii="Times New Roman" w:hAnsi="Times New Roman" w:cs="Times New Roman"/>
          <w:i/>
          <w:iCs/>
          <w:sz w:val="20"/>
          <w:szCs w:val="20"/>
        </w:rPr>
        <w:t>humboldtianum</w:t>
      </w:r>
      <w:r w:rsidRPr="00135B1D">
        <w:rPr>
          <w:rFonts w:ascii="Times New Roman" w:hAnsi="Times New Roman" w:cs="Times New Roman"/>
          <w:sz w:val="20"/>
          <w:szCs w:val="20"/>
        </w:rPr>
        <w:t xml:space="preserve"> group. The tips in the RADseq inferences were pruned to include the same individuals present in the mitochondrial trees.</w:t>
      </w:r>
    </w:p>
    <w:p w14:paraId="320D7628" w14:textId="77777777" w:rsidR="008D3929" w:rsidRDefault="008D3929" w:rsidP="008D3929">
      <w:r>
        <w:br w:type="page"/>
      </w:r>
    </w:p>
    <w:p w14:paraId="497AA609" w14:textId="35E4E823" w:rsidR="008D3929" w:rsidRPr="001F1BE9" w:rsidRDefault="008D3929" w:rsidP="008D3929">
      <w:pPr>
        <w:tabs>
          <w:tab w:val="left" w:pos="1135"/>
        </w:tabs>
        <w:spacing w:line="480" w:lineRule="auto"/>
        <w:contextualSpacing/>
      </w:pPr>
      <w:r w:rsidRPr="001F1BE9">
        <w:lastRenderedPageBreak/>
        <w:tab/>
      </w:r>
    </w:p>
    <w:p w14:paraId="01408861" w14:textId="29AA468E" w:rsidR="008D3929" w:rsidRPr="001F1BE9" w:rsidRDefault="00135B1D" w:rsidP="008D3929">
      <w:pPr>
        <w:spacing w:line="480" w:lineRule="auto"/>
        <w:contextualSpacing/>
      </w:pPr>
      <w:r w:rsidRPr="001F1BE9">
        <w:rPr>
          <w:b/>
          <w:noProof/>
          <w:color w:val="000000" w:themeColor="text1"/>
        </w:rPr>
        <w:drawing>
          <wp:anchor distT="0" distB="0" distL="114300" distR="114300" simplePos="0" relativeHeight="251704320" behindDoc="0" locked="0" layoutInCell="1" allowOverlap="1" wp14:anchorId="38751849" wp14:editId="45D220A1">
            <wp:simplePos x="0" y="0"/>
            <wp:positionH relativeFrom="column">
              <wp:posOffset>258494</wp:posOffset>
            </wp:positionH>
            <wp:positionV relativeFrom="paragraph">
              <wp:posOffset>139652</wp:posOffset>
            </wp:positionV>
            <wp:extent cx="5521569" cy="2626295"/>
            <wp:effectExtent l="0" t="0" r="3175" b="3175"/>
            <wp:wrapNone/>
            <wp:docPr id="21" name="Imagen 2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Diagram, engineering drawing&#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21569" cy="2626295"/>
                    </a:xfrm>
                    <a:prstGeom prst="rect">
                      <a:avLst/>
                    </a:prstGeom>
                  </pic:spPr>
                </pic:pic>
              </a:graphicData>
            </a:graphic>
            <wp14:sizeRelH relativeFrom="page">
              <wp14:pctWidth>0</wp14:pctWidth>
            </wp14:sizeRelH>
            <wp14:sizeRelV relativeFrom="page">
              <wp14:pctHeight>0</wp14:pctHeight>
            </wp14:sizeRelV>
          </wp:anchor>
        </w:drawing>
      </w:r>
    </w:p>
    <w:p w14:paraId="23BCB44D" w14:textId="77777777" w:rsidR="008D3929" w:rsidRPr="001F1BE9" w:rsidRDefault="008D3929" w:rsidP="008D3929">
      <w:pPr>
        <w:spacing w:line="480" w:lineRule="auto"/>
        <w:contextualSpacing/>
      </w:pPr>
    </w:p>
    <w:p w14:paraId="195DB742" w14:textId="77777777" w:rsidR="008D3929" w:rsidRPr="001F1BE9" w:rsidRDefault="008D3929" w:rsidP="008D3929">
      <w:pPr>
        <w:spacing w:line="480" w:lineRule="auto"/>
        <w:contextualSpacing/>
      </w:pPr>
    </w:p>
    <w:p w14:paraId="3B4C1051" w14:textId="77777777" w:rsidR="008D3929" w:rsidRPr="001F1BE9" w:rsidRDefault="008D3929" w:rsidP="008D3929">
      <w:pPr>
        <w:spacing w:line="480" w:lineRule="auto"/>
        <w:contextualSpacing/>
      </w:pPr>
    </w:p>
    <w:p w14:paraId="701AD17F" w14:textId="77777777" w:rsidR="008D3929" w:rsidRPr="001F1BE9" w:rsidRDefault="008D3929" w:rsidP="008D3929">
      <w:pPr>
        <w:spacing w:line="480" w:lineRule="auto"/>
        <w:contextualSpacing/>
      </w:pPr>
    </w:p>
    <w:p w14:paraId="4FE3E408" w14:textId="77777777" w:rsidR="008D3929" w:rsidRPr="001F1BE9" w:rsidRDefault="008D3929" w:rsidP="008D3929">
      <w:pPr>
        <w:spacing w:line="480" w:lineRule="auto"/>
        <w:contextualSpacing/>
      </w:pPr>
    </w:p>
    <w:p w14:paraId="74AFDA26" w14:textId="77777777" w:rsidR="008D3929" w:rsidRPr="001F1BE9" w:rsidRDefault="008D3929" w:rsidP="008D3929">
      <w:pPr>
        <w:spacing w:line="480" w:lineRule="auto"/>
        <w:contextualSpacing/>
      </w:pPr>
    </w:p>
    <w:p w14:paraId="1950DC71" w14:textId="77777777" w:rsidR="008D3929" w:rsidRPr="001F1BE9" w:rsidRDefault="008D3929" w:rsidP="008D3929">
      <w:pPr>
        <w:spacing w:line="480" w:lineRule="auto"/>
        <w:contextualSpacing/>
      </w:pPr>
    </w:p>
    <w:p w14:paraId="4E259F9C" w14:textId="77777777" w:rsidR="008D3929" w:rsidRPr="001F1BE9" w:rsidRDefault="008D3929" w:rsidP="008D3929">
      <w:pPr>
        <w:spacing w:line="480" w:lineRule="auto"/>
        <w:contextualSpacing/>
      </w:pPr>
    </w:p>
    <w:p w14:paraId="1469053B" w14:textId="77777777" w:rsidR="008D3929" w:rsidRPr="00135B1D" w:rsidRDefault="008D3929" w:rsidP="00135B1D">
      <w:pPr>
        <w:spacing w:after="0" w:line="240" w:lineRule="auto"/>
        <w:jc w:val="both"/>
        <w:rPr>
          <w:rFonts w:ascii="Times New Roman" w:hAnsi="Times New Roman" w:cs="Times New Roman"/>
          <w:sz w:val="20"/>
          <w:szCs w:val="20"/>
        </w:rPr>
      </w:pPr>
      <w:r w:rsidRPr="00135B1D">
        <w:rPr>
          <w:rFonts w:ascii="Times New Roman" w:hAnsi="Times New Roman" w:cs="Times New Roman"/>
          <w:b/>
          <w:color w:val="000000" w:themeColor="text1"/>
          <w:sz w:val="20"/>
          <w:szCs w:val="20"/>
        </w:rPr>
        <w:t xml:space="preserve">Figure S10. </w:t>
      </w:r>
      <w:r w:rsidRPr="00135B1D">
        <w:rPr>
          <w:rFonts w:ascii="Times New Roman" w:hAnsi="Times New Roman" w:cs="Times New Roman"/>
          <w:i/>
          <w:iCs/>
          <w:sz w:val="20"/>
          <w:szCs w:val="20"/>
        </w:rPr>
        <w:t>F</w:t>
      </w:r>
      <w:r w:rsidRPr="00135B1D">
        <w:rPr>
          <w:rFonts w:ascii="Times New Roman" w:hAnsi="Times New Roman" w:cs="Times New Roman"/>
          <w:sz w:val="20"/>
          <w:szCs w:val="20"/>
          <w:vertAlign w:val="subscript"/>
        </w:rPr>
        <w:t>ST</w:t>
      </w:r>
      <w:r w:rsidRPr="00135B1D">
        <w:rPr>
          <w:rFonts w:ascii="Times New Roman" w:hAnsi="Times New Roman" w:cs="Times New Roman"/>
          <w:sz w:val="20"/>
          <w:szCs w:val="20"/>
        </w:rPr>
        <w:t xml:space="preserve"> </w:t>
      </w:r>
      <w:r w:rsidRPr="00135B1D">
        <w:rPr>
          <w:rFonts w:ascii="Times New Roman" w:hAnsi="Times New Roman" w:cs="Times New Roman"/>
          <w:i/>
          <w:iCs/>
          <w:sz w:val="20"/>
          <w:szCs w:val="20"/>
        </w:rPr>
        <w:t>versus</w:t>
      </w:r>
      <w:r w:rsidRPr="00135B1D">
        <w:rPr>
          <w:rFonts w:ascii="Times New Roman" w:hAnsi="Times New Roman" w:cs="Times New Roman"/>
          <w:sz w:val="20"/>
          <w:szCs w:val="20"/>
        </w:rPr>
        <w:t xml:space="preserve"> log10-transformed posterior odds (PO) values for the global outlier detection calculated in BayeScan. The analyses were estimated considering the nine morphospecies and (A) 33716 SNPs, where the vertical line represent the FDR threshold of </w:t>
      </w:r>
      <w:r w:rsidRPr="00135B1D">
        <w:rPr>
          <w:rFonts w:ascii="Times New Roman" w:hAnsi="Times New Roman" w:cs="Times New Roman"/>
          <w:i/>
          <w:iCs/>
          <w:sz w:val="20"/>
          <w:szCs w:val="20"/>
        </w:rPr>
        <w:t>q</w:t>
      </w:r>
      <w:r w:rsidRPr="00135B1D">
        <w:rPr>
          <w:rFonts w:ascii="Times New Roman" w:hAnsi="Times New Roman" w:cs="Times New Roman"/>
          <w:sz w:val="20"/>
          <w:szCs w:val="20"/>
        </w:rPr>
        <w:t xml:space="preserve">=0.037; (B) 10157 SNPs, </w:t>
      </w:r>
      <w:r w:rsidRPr="00135B1D">
        <w:rPr>
          <w:rFonts w:ascii="Times New Roman" w:hAnsi="Times New Roman" w:cs="Times New Roman"/>
          <w:i/>
          <w:iCs/>
          <w:sz w:val="20"/>
          <w:szCs w:val="20"/>
        </w:rPr>
        <w:t>q</w:t>
      </w:r>
      <w:r w:rsidRPr="00135B1D">
        <w:rPr>
          <w:rFonts w:ascii="Times New Roman" w:hAnsi="Times New Roman" w:cs="Times New Roman"/>
          <w:sz w:val="20"/>
          <w:szCs w:val="20"/>
        </w:rPr>
        <w:t xml:space="preserve">=0.040; (C) 4821 SNPs, </w:t>
      </w:r>
      <w:r w:rsidRPr="00135B1D">
        <w:rPr>
          <w:rFonts w:ascii="Times New Roman" w:hAnsi="Times New Roman" w:cs="Times New Roman"/>
          <w:i/>
          <w:iCs/>
          <w:sz w:val="20"/>
          <w:szCs w:val="20"/>
        </w:rPr>
        <w:t>q</w:t>
      </w:r>
      <w:r w:rsidRPr="00135B1D">
        <w:rPr>
          <w:rFonts w:ascii="Times New Roman" w:hAnsi="Times New Roman" w:cs="Times New Roman"/>
          <w:sz w:val="20"/>
          <w:szCs w:val="20"/>
        </w:rPr>
        <w:t xml:space="preserve">=0.025; (D) 3564 SNPs, </w:t>
      </w:r>
      <w:r w:rsidRPr="00135B1D">
        <w:rPr>
          <w:rFonts w:ascii="Times New Roman" w:hAnsi="Times New Roman" w:cs="Times New Roman"/>
          <w:i/>
          <w:iCs/>
          <w:sz w:val="20"/>
          <w:szCs w:val="20"/>
        </w:rPr>
        <w:t>q</w:t>
      </w:r>
      <w:r w:rsidRPr="00135B1D">
        <w:rPr>
          <w:rFonts w:ascii="Times New Roman" w:hAnsi="Times New Roman" w:cs="Times New Roman"/>
          <w:sz w:val="20"/>
          <w:szCs w:val="20"/>
        </w:rPr>
        <w:t xml:space="preserve">=0.034; and (E) 1887 SNPs, </w:t>
      </w:r>
      <w:r w:rsidRPr="00135B1D">
        <w:rPr>
          <w:rFonts w:ascii="Times New Roman" w:hAnsi="Times New Roman" w:cs="Times New Roman"/>
          <w:i/>
          <w:iCs/>
          <w:sz w:val="20"/>
          <w:szCs w:val="20"/>
        </w:rPr>
        <w:t>q</w:t>
      </w:r>
      <w:r w:rsidRPr="00135B1D">
        <w:rPr>
          <w:rFonts w:ascii="Times New Roman" w:hAnsi="Times New Roman" w:cs="Times New Roman"/>
          <w:sz w:val="20"/>
          <w:szCs w:val="20"/>
        </w:rPr>
        <w:t>=0.015.</w:t>
      </w:r>
    </w:p>
    <w:p w14:paraId="1BFA6EF2" w14:textId="660F9E32" w:rsidR="008D3929" w:rsidRDefault="008D3929" w:rsidP="008D3929">
      <w:pPr>
        <w:spacing w:line="480" w:lineRule="auto"/>
        <w:contextualSpacing/>
        <w:jc w:val="both"/>
      </w:pPr>
    </w:p>
    <w:p w14:paraId="717EEA77" w14:textId="0034DCE1" w:rsidR="008D3929" w:rsidRDefault="00AA2E79" w:rsidP="008D3929">
      <w:pPr>
        <w:spacing w:line="480" w:lineRule="auto"/>
        <w:contextualSpacing/>
        <w:jc w:val="both"/>
      </w:pPr>
      <w:r w:rsidRPr="001F1BE9">
        <w:rPr>
          <w:noProof/>
          <w:color w:val="0532FC"/>
        </w:rPr>
        <w:drawing>
          <wp:anchor distT="0" distB="0" distL="114300" distR="114300" simplePos="0" relativeHeight="251705344" behindDoc="0" locked="0" layoutInCell="1" allowOverlap="1" wp14:anchorId="280704BE" wp14:editId="42D15401">
            <wp:simplePos x="0" y="0"/>
            <wp:positionH relativeFrom="column">
              <wp:posOffset>1371307</wp:posOffset>
            </wp:positionH>
            <wp:positionV relativeFrom="paragraph">
              <wp:posOffset>72097</wp:posOffset>
            </wp:positionV>
            <wp:extent cx="3238891" cy="2332623"/>
            <wp:effectExtent l="0" t="0" r="0" b="4445"/>
            <wp:wrapNone/>
            <wp:docPr id="1071145850" name="Picture 107114585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Chart, box and whisker char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3238891" cy="2332623"/>
                    </a:xfrm>
                    <a:prstGeom prst="rect">
                      <a:avLst/>
                    </a:prstGeom>
                  </pic:spPr>
                </pic:pic>
              </a:graphicData>
            </a:graphic>
            <wp14:sizeRelH relativeFrom="page">
              <wp14:pctWidth>0</wp14:pctWidth>
            </wp14:sizeRelH>
            <wp14:sizeRelV relativeFrom="page">
              <wp14:pctHeight>0</wp14:pctHeight>
            </wp14:sizeRelV>
          </wp:anchor>
        </w:drawing>
      </w:r>
    </w:p>
    <w:p w14:paraId="2CF5CC0C" w14:textId="02A46E89" w:rsidR="008D3929" w:rsidRDefault="008D3929" w:rsidP="008D3929">
      <w:pPr>
        <w:spacing w:line="480" w:lineRule="auto"/>
        <w:contextualSpacing/>
        <w:jc w:val="both"/>
      </w:pPr>
    </w:p>
    <w:p w14:paraId="6CA1A2BA" w14:textId="3C238958" w:rsidR="008D3929" w:rsidRDefault="008D3929" w:rsidP="008D3929">
      <w:pPr>
        <w:spacing w:line="480" w:lineRule="auto"/>
        <w:contextualSpacing/>
        <w:jc w:val="both"/>
      </w:pPr>
    </w:p>
    <w:p w14:paraId="0FECA685" w14:textId="0A5F4752" w:rsidR="008D3929" w:rsidRDefault="008D3929" w:rsidP="008D3929">
      <w:pPr>
        <w:spacing w:line="480" w:lineRule="auto"/>
        <w:contextualSpacing/>
        <w:jc w:val="both"/>
      </w:pPr>
    </w:p>
    <w:p w14:paraId="04BCF3FE" w14:textId="14AF1088" w:rsidR="008D3929" w:rsidRDefault="008D3929" w:rsidP="008D3929">
      <w:pPr>
        <w:spacing w:line="480" w:lineRule="auto"/>
        <w:contextualSpacing/>
        <w:jc w:val="both"/>
      </w:pPr>
    </w:p>
    <w:p w14:paraId="5FE9092D" w14:textId="729DEAE5" w:rsidR="008D3929" w:rsidRDefault="008D3929" w:rsidP="008D3929">
      <w:pPr>
        <w:spacing w:line="480" w:lineRule="auto"/>
        <w:contextualSpacing/>
        <w:jc w:val="both"/>
      </w:pPr>
    </w:p>
    <w:p w14:paraId="55D47AD9" w14:textId="77777777" w:rsidR="008D3929" w:rsidRPr="001F1BE9" w:rsidRDefault="008D3929" w:rsidP="008D3929">
      <w:pPr>
        <w:pStyle w:val="paragraph"/>
        <w:spacing w:line="480" w:lineRule="auto"/>
        <w:contextualSpacing/>
        <w:textAlignment w:val="baseline"/>
        <w:rPr>
          <w:rStyle w:val="normaltextrun"/>
          <w:color w:val="0532FC"/>
          <w:lang w:val="en-US"/>
        </w:rPr>
      </w:pPr>
    </w:p>
    <w:p w14:paraId="5379C2EA" w14:textId="77777777" w:rsidR="008D3929" w:rsidRPr="00AA2E79" w:rsidRDefault="008D3929" w:rsidP="00AA2E79">
      <w:pPr>
        <w:pStyle w:val="paragraph"/>
        <w:contextualSpacing/>
        <w:textAlignment w:val="baseline"/>
        <w:rPr>
          <w:rStyle w:val="normaltextrun"/>
          <w:sz w:val="20"/>
          <w:szCs w:val="20"/>
          <w:lang w:val="en-US"/>
        </w:rPr>
      </w:pPr>
      <w:r w:rsidRPr="00AA2E79">
        <w:rPr>
          <w:rStyle w:val="normaltextrun"/>
          <w:b/>
          <w:bCs/>
          <w:color w:val="000000" w:themeColor="text1"/>
          <w:sz w:val="20"/>
          <w:szCs w:val="20"/>
          <w:lang w:val="en-US"/>
        </w:rPr>
        <w:t>Figure S11.</w:t>
      </w:r>
      <w:r w:rsidRPr="00AA2E79">
        <w:rPr>
          <w:rStyle w:val="normaltextrun"/>
          <w:color w:val="000000" w:themeColor="text1"/>
          <w:sz w:val="20"/>
          <w:szCs w:val="20"/>
          <w:lang w:val="en-US"/>
        </w:rPr>
        <w:t xml:space="preserve"> </w:t>
      </w:r>
      <w:r w:rsidRPr="00AA2E79">
        <w:rPr>
          <w:rStyle w:val="normaltextrun"/>
          <w:rFonts w:eastAsiaTheme="majorEastAsia"/>
          <w:sz w:val="20"/>
          <w:szCs w:val="20"/>
          <w:lang w:val="en-US"/>
        </w:rPr>
        <w:t>Mean coverage of the subset with 15 samples using different values of the minimum raw reads required to form a stack (</w:t>
      </w:r>
      <w:r w:rsidRPr="00AA2E79">
        <w:rPr>
          <w:rStyle w:val="normaltextrun"/>
          <w:rFonts w:eastAsiaTheme="majorEastAsia"/>
          <w:i/>
          <w:iCs/>
          <w:sz w:val="20"/>
          <w:szCs w:val="20"/>
          <w:lang w:val="en-US"/>
        </w:rPr>
        <w:t>m</w:t>
      </w:r>
      <w:r w:rsidRPr="00AA2E79">
        <w:rPr>
          <w:rStyle w:val="normaltextrun"/>
          <w:rFonts w:eastAsiaTheme="majorEastAsia"/>
          <w:sz w:val="20"/>
          <w:szCs w:val="20"/>
          <w:lang w:val="en-US"/>
        </w:rPr>
        <w:t>1</w:t>
      </w:r>
      <w:r w:rsidRPr="00AA2E79">
        <w:rPr>
          <w:rFonts w:eastAsiaTheme="minorHAnsi"/>
          <w:color w:val="231F20"/>
          <w:sz w:val="20"/>
          <w:szCs w:val="20"/>
          <w:lang w:val="en-US"/>
        </w:rPr>
        <w:t>–</w:t>
      </w:r>
      <w:r w:rsidRPr="00AA2E79">
        <w:rPr>
          <w:rStyle w:val="normaltextrun"/>
          <w:rFonts w:eastAsiaTheme="majorEastAsia"/>
          <w:i/>
          <w:iCs/>
          <w:sz w:val="20"/>
          <w:szCs w:val="20"/>
          <w:lang w:val="en-US"/>
        </w:rPr>
        <w:t>m</w:t>
      </w:r>
      <w:r w:rsidRPr="00AA2E79">
        <w:rPr>
          <w:rStyle w:val="normaltextrun"/>
          <w:rFonts w:eastAsiaTheme="majorEastAsia"/>
          <w:sz w:val="20"/>
          <w:szCs w:val="20"/>
          <w:lang w:val="en-US"/>
        </w:rPr>
        <w:t>6)</w:t>
      </w:r>
      <w:r w:rsidRPr="00AA2E79">
        <w:rPr>
          <w:rStyle w:val="normaltextrun"/>
          <w:sz w:val="20"/>
          <w:szCs w:val="20"/>
          <w:lang w:val="en-US"/>
        </w:rPr>
        <w:t>.</w:t>
      </w:r>
    </w:p>
    <w:p w14:paraId="013778B5" w14:textId="77777777" w:rsidR="008D3929" w:rsidRDefault="008D3929" w:rsidP="008D3929">
      <w:pPr>
        <w:rPr>
          <w:rStyle w:val="normaltextrun"/>
        </w:rPr>
      </w:pPr>
      <w:r>
        <w:rPr>
          <w:rStyle w:val="normaltextrun"/>
        </w:rPr>
        <w:br w:type="page"/>
      </w:r>
    </w:p>
    <w:p w14:paraId="481E683B" w14:textId="77777777" w:rsidR="008D3929" w:rsidRDefault="008D3929" w:rsidP="008D3929">
      <w:pPr>
        <w:pStyle w:val="paragraph"/>
        <w:spacing w:line="480" w:lineRule="auto"/>
        <w:contextualSpacing/>
        <w:jc w:val="both"/>
        <w:textAlignment w:val="baseline"/>
        <w:rPr>
          <w:rStyle w:val="normaltextrun"/>
          <w:b/>
          <w:bCs/>
          <w:color w:val="000000" w:themeColor="text1"/>
          <w:lang w:val="en-US"/>
        </w:rPr>
      </w:pPr>
      <w:r w:rsidRPr="001F1BE9">
        <w:rPr>
          <w:noProof/>
        </w:rPr>
        <w:lastRenderedPageBreak/>
        <w:drawing>
          <wp:anchor distT="0" distB="0" distL="114300" distR="114300" simplePos="0" relativeHeight="251706368" behindDoc="0" locked="0" layoutInCell="1" allowOverlap="1" wp14:anchorId="32C19EBC" wp14:editId="204C9E4C">
            <wp:simplePos x="0" y="0"/>
            <wp:positionH relativeFrom="column">
              <wp:posOffset>1112813</wp:posOffset>
            </wp:positionH>
            <wp:positionV relativeFrom="paragraph">
              <wp:posOffset>245745</wp:posOffset>
            </wp:positionV>
            <wp:extent cx="3692769" cy="2659348"/>
            <wp:effectExtent l="0" t="0" r="3175" b="0"/>
            <wp:wrapNone/>
            <wp:docPr id="324484095" name="Picture 32448409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Chart, scatter char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3692769" cy="2659348"/>
                    </a:xfrm>
                    <a:prstGeom prst="rect">
                      <a:avLst/>
                    </a:prstGeom>
                  </pic:spPr>
                </pic:pic>
              </a:graphicData>
            </a:graphic>
            <wp14:sizeRelH relativeFrom="page">
              <wp14:pctWidth>0</wp14:pctWidth>
            </wp14:sizeRelH>
            <wp14:sizeRelV relativeFrom="page">
              <wp14:pctHeight>0</wp14:pctHeight>
            </wp14:sizeRelV>
          </wp:anchor>
        </w:drawing>
      </w:r>
    </w:p>
    <w:p w14:paraId="51918D47" w14:textId="77777777" w:rsidR="008D3929" w:rsidRDefault="008D3929" w:rsidP="008D3929">
      <w:pPr>
        <w:pStyle w:val="paragraph"/>
        <w:spacing w:line="480" w:lineRule="auto"/>
        <w:contextualSpacing/>
        <w:jc w:val="both"/>
        <w:textAlignment w:val="baseline"/>
        <w:rPr>
          <w:rStyle w:val="normaltextrun"/>
          <w:b/>
          <w:bCs/>
          <w:color w:val="000000" w:themeColor="text1"/>
          <w:lang w:val="en-US"/>
        </w:rPr>
      </w:pPr>
    </w:p>
    <w:p w14:paraId="57E5CD09" w14:textId="77777777" w:rsidR="008D3929" w:rsidRDefault="008D3929" w:rsidP="008D3929">
      <w:pPr>
        <w:pStyle w:val="paragraph"/>
        <w:spacing w:line="480" w:lineRule="auto"/>
        <w:contextualSpacing/>
        <w:jc w:val="both"/>
        <w:textAlignment w:val="baseline"/>
        <w:rPr>
          <w:rStyle w:val="normaltextrun"/>
          <w:b/>
          <w:bCs/>
          <w:color w:val="000000" w:themeColor="text1"/>
          <w:lang w:val="en-US"/>
        </w:rPr>
      </w:pPr>
    </w:p>
    <w:p w14:paraId="25F7AFDB" w14:textId="77777777" w:rsidR="008D3929" w:rsidRDefault="008D3929" w:rsidP="008D3929">
      <w:pPr>
        <w:pStyle w:val="paragraph"/>
        <w:spacing w:line="480" w:lineRule="auto"/>
        <w:contextualSpacing/>
        <w:jc w:val="both"/>
        <w:textAlignment w:val="baseline"/>
        <w:rPr>
          <w:rStyle w:val="normaltextrun"/>
          <w:b/>
          <w:bCs/>
          <w:color w:val="000000" w:themeColor="text1"/>
          <w:lang w:val="en-US"/>
        </w:rPr>
      </w:pPr>
    </w:p>
    <w:p w14:paraId="2A223961" w14:textId="77777777" w:rsidR="008D3929" w:rsidRDefault="008D3929" w:rsidP="008D3929">
      <w:pPr>
        <w:pStyle w:val="paragraph"/>
        <w:spacing w:line="480" w:lineRule="auto"/>
        <w:contextualSpacing/>
        <w:jc w:val="both"/>
        <w:textAlignment w:val="baseline"/>
        <w:rPr>
          <w:rStyle w:val="normaltextrun"/>
          <w:b/>
          <w:bCs/>
          <w:color w:val="000000" w:themeColor="text1"/>
          <w:lang w:val="en-US"/>
        </w:rPr>
      </w:pPr>
    </w:p>
    <w:p w14:paraId="7E000963" w14:textId="77777777" w:rsidR="008D3929" w:rsidRDefault="008D3929" w:rsidP="008D3929">
      <w:pPr>
        <w:pStyle w:val="paragraph"/>
        <w:spacing w:line="480" w:lineRule="auto"/>
        <w:contextualSpacing/>
        <w:jc w:val="both"/>
        <w:textAlignment w:val="baseline"/>
        <w:rPr>
          <w:rStyle w:val="normaltextrun"/>
          <w:b/>
          <w:bCs/>
          <w:color w:val="000000" w:themeColor="text1"/>
          <w:lang w:val="en-US"/>
        </w:rPr>
      </w:pPr>
    </w:p>
    <w:p w14:paraId="62752249" w14:textId="77777777" w:rsidR="008D3929" w:rsidRDefault="008D3929" w:rsidP="008D3929">
      <w:pPr>
        <w:pStyle w:val="paragraph"/>
        <w:spacing w:line="480" w:lineRule="auto"/>
        <w:contextualSpacing/>
        <w:jc w:val="both"/>
        <w:textAlignment w:val="baseline"/>
        <w:rPr>
          <w:rStyle w:val="normaltextrun"/>
          <w:b/>
          <w:bCs/>
          <w:color w:val="000000" w:themeColor="text1"/>
          <w:lang w:val="en-US"/>
        </w:rPr>
      </w:pPr>
    </w:p>
    <w:p w14:paraId="42B12628" w14:textId="77777777" w:rsidR="008D3929" w:rsidRDefault="008D3929" w:rsidP="008D3929">
      <w:pPr>
        <w:pStyle w:val="paragraph"/>
        <w:spacing w:line="480" w:lineRule="auto"/>
        <w:contextualSpacing/>
        <w:jc w:val="both"/>
        <w:textAlignment w:val="baseline"/>
        <w:rPr>
          <w:rStyle w:val="normaltextrun"/>
          <w:b/>
          <w:bCs/>
          <w:color w:val="000000" w:themeColor="text1"/>
          <w:lang w:val="en-US"/>
        </w:rPr>
      </w:pPr>
    </w:p>
    <w:p w14:paraId="2111ABFE" w14:textId="77777777" w:rsidR="008D3929" w:rsidRDefault="008D3929" w:rsidP="008D3929">
      <w:pPr>
        <w:pStyle w:val="paragraph"/>
        <w:spacing w:line="480" w:lineRule="auto"/>
        <w:contextualSpacing/>
        <w:jc w:val="both"/>
        <w:textAlignment w:val="baseline"/>
        <w:rPr>
          <w:rStyle w:val="normaltextrun"/>
          <w:b/>
          <w:bCs/>
          <w:color w:val="000000" w:themeColor="text1"/>
          <w:lang w:val="en-US"/>
        </w:rPr>
      </w:pPr>
    </w:p>
    <w:p w14:paraId="5A6858F0" w14:textId="77777777" w:rsidR="008D3929" w:rsidRPr="00AA2E79" w:rsidRDefault="008D3929" w:rsidP="00AA2E79">
      <w:pPr>
        <w:pStyle w:val="paragraph"/>
        <w:contextualSpacing/>
        <w:jc w:val="both"/>
        <w:textAlignment w:val="baseline"/>
        <w:rPr>
          <w:rStyle w:val="normaltextrun"/>
          <w:sz w:val="20"/>
          <w:szCs w:val="20"/>
          <w:lang w:val="en-US"/>
        </w:rPr>
      </w:pPr>
      <w:r w:rsidRPr="00AA2E79">
        <w:rPr>
          <w:rStyle w:val="normaltextrun"/>
          <w:b/>
          <w:bCs/>
          <w:color w:val="000000" w:themeColor="text1"/>
          <w:sz w:val="20"/>
          <w:szCs w:val="20"/>
          <w:lang w:val="en-US"/>
        </w:rPr>
        <w:t>Figure S12.</w:t>
      </w:r>
      <w:r w:rsidRPr="00AA2E79">
        <w:rPr>
          <w:rStyle w:val="normaltextrun"/>
          <w:color w:val="3802FA"/>
          <w:sz w:val="20"/>
          <w:szCs w:val="20"/>
          <w:lang w:val="en-US"/>
        </w:rPr>
        <w:t xml:space="preserve"> </w:t>
      </w:r>
      <w:r w:rsidRPr="00AA2E79">
        <w:rPr>
          <w:rStyle w:val="normaltextrun"/>
          <w:rFonts w:eastAsiaTheme="majorEastAsia"/>
          <w:sz w:val="20"/>
          <w:szCs w:val="20"/>
          <w:lang w:val="en-US"/>
        </w:rPr>
        <w:t xml:space="preserve">Putative loci at different combinations of </w:t>
      </w:r>
      <w:r w:rsidRPr="00AA2E79">
        <w:rPr>
          <w:rStyle w:val="normaltextrun"/>
          <w:rFonts w:eastAsiaTheme="majorEastAsia"/>
          <w:i/>
          <w:iCs/>
          <w:sz w:val="20"/>
          <w:szCs w:val="20"/>
          <w:lang w:val="en-US"/>
        </w:rPr>
        <w:t>de novo</w:t>
      </w:r>
      <w:r w:rsidRPr="00AA2E79">
        <w:rPr>
          <w:rStyle w:val="normaltextrun"/>
          <w:rFonts w:eastAsiaTheme="majorEastAsia"/>
          <w:sz w:val="20"/>
          <w:szCs w:val="20"/>
          <w:lang w:val="en-US"/>
        </w:rPr>
        <w:t xml:space="preserve"> assembly parameters: </w:t>
      </w:r>
      <w:r w:rsidRPr="00AA2E79">
        <w:rPr>
          <w:rStyle w:val="normaltextrun"/>
          <w:rFonts w:eastAsiaTheme="majorEastAsia"/>
          <w:i/>
          <w:iCs/>
          <w:sz w:val="20"/>
          <w:szCs w:val="20"/>
          <w:lang w:val="en-US"/>
        </w:rPr>
        <w:t>m</w:t>
      </w:r>
      <w:r w:rsidRPr="00AA2E79">
        <w:rPr>
          <w:rStyle w:val="normaltextrun"/>
          <w:rFonts w:eastAsiaTheme="majorEastAsia"/>
          <w:sz w:val="20"/>
          <w:szCs w:val="20"/>
          <w:lang w:val="en-US"/>
        </w:rPr>
        <w:t xml:space="preserve">, minimum reads required to form a stack; </w:t>
      </w:r>
      <w:r w:rsidRPr="00AA2E79">
        <w:rPr>
          <w:rStyle w:val="normaltextrun"/>
          <w:rFonts w:eastAsiaTheme="majorEastAsia"/>
          <w:i/>
          <w:iCs/>
          <w:sz w:val="20"/>
          <w:szCs w:val="20"/>
          <w:lang w:val="en-US"/>
        </w:rPr>
        <w:t>M</w:t>
      </w:r>
      <w:r w:rsidRPr="00AA2E79">
        <w:rPr>
          <w:rStyle w:val="normaltextrun"/>
          <w:rFonts w:eastAsiaTheme="majorEastAsia"/>
          <w:sz w:val="20"/>
          <w:szCs w:val="20"/>
          <w:lang w:val="en-US"/>
        </w:rPr>
        <w:t xml:space="preserve">, allowed SNPs in a stack required to form a putative locus in an individual; </w:t>
      </w:r>
      <w:r w:rsidRPr="00AA2E79">
        <w:rPr>
          <w:rStyle w:val="normaltextrun"/>
          <w:rFonts w:eastAsiaTheme="majorEastAsia"/>
          <w:i/>
          <w:iCs/>
          <w:sz w:val="20"/>
          <w:szCs w:val="20"/>
          <w:lang w:val="en-US"/>
        </w:rPr>
        <w:t>n</w:t>
      </w:r>
      <w:r w:rsidRPr="00AA2E79">
        <w:rPr>
          <w:rStyle w:val="normaltextrun"/>
          <w:rFonts w:eastAsiaTheme="majorEastAsia"/>
          <w:sz w:val="20"/>
          <w:szCs w:val="20"/>
          <w:lang w:val="en-US"/>
        </w:rPr>
        <w:t>, allowed SNPs in a stack required to form a locus in the population. Each parameter was changed one at the time (</w:t>
      </w:r>
      <w:r w:rsidRPr="00AA2E79">
        <w:rPr>
          <w:rStyle w:val="normaltextrun"/>
          <w:rFonts w:eastAsiaTheme="majorEastAsia"/>
          <w:i/>
          <w:iCs/>
          <w:sz w:val="20"/>
          <w:szCs w:val="20"/>
          <w:lang w:val="en-US"/>
        </w:rPr>
        <w:t>m</w:t>
      </w:r>
      <w:r w:rsidRPr="00AA2E79">
        <w:rPr>
          <w:rStyle w:val="normaltextrun"/>
          <w:rFonts w:eastAsiaTheme="majorEastAsia"/>
          <w:sz w:val="20"/>
          <w:szCs w:val="20"/>
          <w:lang w:val="en-US"/>
        </w:rPr>
        <w:t xml:space="preserve"> = 2</w:t>
      </w:r>
      <w:r w:rsidRPr="00AA2E79">
        <w:rPr>
          <w:rFonts w:eastAsiaTheme="minorHAnsi"/>
          <w:color w:val="231F20"/>
          <w:sz w:val="20"/>
          <w:szCs w:val="20"/>
          <w:lang w:val="en-US"/>
        </w:rPr>
        <w:t>–</w:t>
      </w:r>
      <w:r w:rsidRPr="00AA2E79">
        <w:rPr>
          <w:rStyle w:val="normaltextrun"/>
          <w:rFonts w:eastAsiaTheme="majorEastAsia"/>
          <w:sz w:val="20"/>
          <w:szCs w:val="20"/>
          <w:lang w:val="en-US"/>
        </w:rPr>
        <w:t xml:space="preserve">6, </w:t>
      </w:r>
      <w:r w:rsidRPr="00AA2E79">
        <w:rPr>
          <w:rStyle w:val="normaltextrun"/>
          <w:rFonts w:eastAsiaTheme="majorEastAsia"/>
          <w:i/>
          <w:iCs/>
          <w:sz w:val="20"/>
          <w:szCs w:val="20"/>
          <w:lang w:val="en-US"/>
        </w:rPr>
        <w:t>M</w:t>
      </w:r>
      <w:r w:rsidRPr="00AA2E79">
        <w:rPr>
          <w:rStyle w:val="normaltextrun"/>
          <w:rFonts w:eastAsiaTheme="majorEastAsia"/>
          <w:sz w:val="20"/>
          <w:szCs w:val="20"/>
          <w:lang w:val="en-US"/>
        </w:rPr>
        <w:t xml:space="preserve"> = 0</w:t>
      </w:r>
      <w:r w:rsidRPr="00AA2E79">
        <w:rPr>
          <w:rFonts w:eastAsiaTheme="minorHAnsi"/>
          <w:color w:val="231F20"/>
          <w:sz w:val="20"/>
          <w:szCs w:val="20"/>
          <w:lang w:val="en-US"/>
        </w:rPr>
        <w:t>–</w:t>
      </w:r>
      <w:r w:rsidRPr="00AA2E79">
        <w:rPr>
          <w:rStyle w:val="normaltextrun"/>
          <w:rFonts w:eastAsiaTheme="majorEastAsia"/>
          <w:sz w:val="20"/>
          <w:szCs w:val="20"/>
          <w:lang w:val="en-US"/>
        </w:rPr>
        <w:t xml:space="preserve">6, and </w:t>
      </w:r>
      <w:r w:rsidRPr="00AA2E79">
        <w:rPr>
          <w:rStyle w:val="normaltextrun"/>
          <w:rFonts w:eastAsiaTheme="majorEastAsia"/>
          <w:i/>
          <w:iCs/>
          <w:sz w:val="20"/>
          <w:szCs w:val="20"/>
          <w:lang w:val="en-US"/>
        </w:rPr>
        <w:t>n</w:t>
      </w:r>
      <w:r w:rsidRPr="00AA2E79">
        <w:rPr>
          <w:rStyle w:val="normaltextrun"/>
          <w:rFonts w:eastAsiaTheme="majorEastAsia"/>
          <w:sz w:val="20"/>
          <w:szCs w:val="20"/>
          <w:lang w:val="en-US"/>
        </w:rPr>
        <w:t xml:space="preserve"> = 0</w:t>
      </w:r>
      <w:r w:rsidRPr="00AA2E79">
        <w:rPr>
          <w:rFonts w:eastAsiaTheme="minorHAnsi"/>
          <w:color w:val="231F20"/>
          <w:sz w:val="20"/>
          <w:szCs w:val="20"/>
          <w:lang w:val="en-US"/>
        </w:rPr>
        <w:t>–</w:t>
      </w:r>
      <w:r w:rsidRPr="00AA2E79">
        <w:rPr>
          <w:rStyle w:val="normaltextrun"/>
          <w:rFonts w:eastAsiaTheme="majorEastAsia"/>
          <w:sz w:val="20"/>
          <w:szCs w:val="20"/>
          <w:lang w:val="en-US"/>
        </w:rPr>
        <w:t>11) while keeping the others at default values (</w:t>
      </w:r>
      <w:r w:rsidRPr="00AA2E79">
        <w:rPr>
          <w:rStyle w:val="normaltextrun"/>
          <w:rFonts w:eastAsiaTheme="majorEastAsia"/>
          <w:i/>
          <w:iCs/>
          <w:sz w:val="20"/>
          <w:szCs w:val="20"/>
          <w:lang w:val="en-US"/>
        </w:rPr>
        <w:t>m</w:t>
      </w:r>
      <w:r w:rsidRPr="00AA2E79">
        <w:rPr>
          <w:rStyle w:val="normaltextrun"/>
          <w:rFonts w:eastAsiaTheme="majorEastAsia"/>
          <w:sz w:val="20"/>
          <w:szCs w:val="20"/>
          <w:lang w:val="en-US"/>
        </w:rPr>
        <w:t>3</w:t>
      </w:r>
      <w:r w:rsidRPr="00AA2E79">
        <w:rPr>
          <w:rStyle w:val="normaltextrun"/>
          <w:rFonts w:eastAsiaTheme="majorEastAsia"/>
          <w:i/>
          <w:iCs/>
          <w:sz w:val="20"/>
          <w:szCs w:val="20"/>
          <w:lang w:val="en-US"/>
        </w:rPr>
        <w:t>M</w:t>
      </w:r>
      <w:r w:rsidRPr="00AA2E79">
        <w:rPr>
          <w:rStyle w:val="normaltextrun"/>
          <w:rFonts w:eastAsiaTheme="majorEastAsia"/>
          <w:sz w:val="20"/>
          <w:szCs w:val="20"/>
          <w:lang w:val="en-US"/>
        </w:rPr>
        <w:t>2</w:t>
      </w:r>
      <w:r w:rsidRPr="00AA2E79">
        <w:rPr>
          <w:rStyle w:val="normaltextrun"/>
          <w:rFonts w:eastAsiaTheme="majorEastAsia"/>
          <w:i/>
          <w:iCs/>
          <w:sz w:val="20"/>
          <w:szCs w:val="20"/>
          <w:lang w:val="en-US"/>
        </w:rPr>
        <w:t>n</w:t>
      </w:r>
      <w:r w:rsidRPr="00AA2E79">
        <w:rPr>
          <w:rStyle w:val="normaltextrun"/>
          <w:rFonts w:eastAsiaTheme="majorEastAsia"/>
          <w:sz w:val="20"/>
          <w:szCs w:val="20"/>
          <w:lang w:val="en-US"/>
        </w:rPr>
        <w:t>1).</w:t>
      </w:r>
    </w:p>
    <w:p w14:paraId="4B4924B2" w14:textId="0545A9B2" w:rsidR="008D3929" w:rsidRDefault="008D3929" w:rsidP="00AE525E">
      <w:pPr>
        <w:rPr>
          <w:rFonts w:ascii="Times New Roman" w:eastAsia="Times New Roman" w:hAnsi="Times New Roman" w:cs="Times New Roman"/>
          <w:b/>
          <w:color w:val="0432FF"/>
        </w:rPr>
      </w:pPr>
    </w:p>
    <w:p w14:paraId="4F49EE0F" w14:textId="5C8BB22E" w:rsidR="00AA2E79" w:rsidRDefault="005059A4" w:rsidP="00AE525E">
      <w:pPr>
        <w:rPr>
          <w:rFonts w:ascii="Times New Roman" w:eastAsia="Times New Roman" w:hAnsi="Times New Roman" w:cs="Times New Roman"/>
          <w:b/>
          <w:color w:val="0432FF"/>
        </w:rPr>
      </w:pPr>
      <w:r w:rsidRPr="001F1BE9">
        <w:rPr>
          <w:noProof/>
        </w:rPr>
        <w:drawing>
          <wp:anchor distT="0" distB="0" distL="114300" distR="114300" simplePos="0" relativeHeight="251708416" behindDoc="0" locked="0" layoutInCell="1" allowOverlap="1" wp14:anchorId="402621DF" wp14:editId="6A2F1741">
            <wp:simplePos x="0" y="0"/>
            <wp:positionH relativeFrom="column">
              <wp:posOffset>35169</wp:posOffset>
            </wp:positionH>
            <wp:positionV relativeFrom="paragraph">
              <wp:posOffset>28673</wp:posOffset>
            </wp:positionV>
            <wp:extent cx="5920154" cy="1841027"/>
            <wp:effectExtent l="0" t="0" r="0" b="63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_mMn_r40460r80.pdf"/>
                    <pic:cNvPicPr/>
                  </pic:nvPicPr>
                  <pic:blipFill>
                    <a:blip r:embed="rId42">
                      <a:extLst>
                        <a:ext uri="{28A0092B-C50C-407E-A947-70E740481C1C}">
                          <a14:useLocalDpi xmlns:a14="http://schemas.microsoft.com/office/drawing/2010/main" val="0"/>
                        </a:ext>
                      </a:extLst>
                    </a:blip>
                    <a:stretch>
                      <a:fillRect/>
                    </a:stretch>
                  </pic:blipFill>
                  <pic:spPr>
                    <a:xfrm>
                      <a:off x="0" y="0"/>
                      <a:ext cx="5968905" cy="1856187"/>
                    </a:xfrm>
                    <a:prstGeom prst="rect">
                      <a:avLst/>
                    </a:prstGeom>
                  </pic:spPr>
                </pic:pic>
              </a:graphicData>
            </a:graphic>
            <wp14:sizeRelH relativeFrom="page">
              <wp14:pctWidth>0</wp14:pctWidth>
            </wp14:sizeRelH>
            <wp14:sizeRelV relativeFrom="page">
              <wp14:pctHeight>0</wp14:pctHeight>
            </wp14:sizeRelV>
          </wp:anchor>
        </w:drawing>
      </w:r>
    </w:p>
    <w:p w14:paraId="16B2688C" w14:textId="77777777" w:rsidR="00AA2E79" w:rsidRDefault="00AA2E79" w:rsidP="00AE525E">
      <w:pPr>
        <w:rPr>
          <w:rFonts w:ascii="Times New Roman" w:eastAsia="Times New Roman" w:hAnsi="Times New Roman" w:cs="Times New Roman"/>
          <w:b/>
          <w:color w:val="0432FF"/>
        </w:rPr>
      </w:pPr>
    </w:p>
    <w:p w14:paraId="1827E5DB" w14:textId="77777777" w:rsidR="00AA2E79" w:rsidRDefault="00AA2E79" w:rsidP="00AE525E">
      <w:pPr>
        <w:rPr>
          <w:rFonts w:ascii="Times New Roman" w:eastAsia="Times New Roman" w:hAnsi="Times New Roman" w:cs="Times New Roman"/>
          <w:b/>
          <w:color w:val="0432FF"/>
        </w:rPr>
      </w:pPr>
    </w:p>
    <w:p w14:paraId="03855FC3" w14:textId="77777777" w:rsidR="00AA2E79" w:rsidRDefault="00AA2E79" w:rsidP="00AE525E">
      <w:pPr>
        <w:rPr>
          <w:rFonts w:ascii="Times New Roman" w:eastAsia="Times New Roman" w:hAnsi="Times New Roman" w:cs="Times New Roman"/>
          <w:b/>
          <w:color w:val="0432FF"/>
        </w:rPr>
      </w:pPr>
    </w:p>
    <w:p w14:paraId="504A102C" w14:textId="77777777" w:rsidR="00AA2E79" w:rsidRDefault="00AA2E79" w:rsidP="00AE525E">
      <w:pPr>
        <w:rPr>
          <w:rFonts w:ascii="Times New Roman" w:eastAsia="Times New Roman" w:hAnsi="Times New Roman" w:cs="Times New Roman"/>
          <w:b/>
          <w:color w:val="0432FF"/>
        </w:rPr>
      </w:pPr>
    </w:p>
    <w:p w14:paraId="7CA2A5B1" w14:textId="77777777" w:rsidR="00AA2E79" w:rsidRDefault="00AA2E79" w:rsidP="00AE525E">
      <w:pPr>
        <w:rPr>
          <w:rFonts w:ascii="Times New Roman" w:eastAsia="Times New Roman" w:hAnsi="Times New Roman" w:cs="Times New Roman"/>
          <w:b/>
          <w:color w:val="0432FF"/>
        </w:rPr>
      </w:pPr>
    </w:p>
    <w:p w14:paraId="5EE1D8AF" w14:textId="77777777" w:rsidR="00AA2E79" w:rsidRDefault="00AA2E79" w:rsidP="00AE525E">
      <w:pPr>
        <w:rPr>
          <w:rFonts w:ascii="Times New Roman" w:eastAsia="Times New Roman" w:hAnsi="Times New Roman" w:cs="Times New Roman"/>
          <w:b/>
          <w:color w:val="0432FF"/>
        </w:rPr>
      </w:pPr>
    </w:p>
    <w:p w14:paraId="14A0C7F8" w14:textId="77777777" w:rsidR="005059A4" w:rsidRPr="005059A4" w:rsidRDefault="005059A4" w:rsidP="005059A4">
      <w:pPr>
        <w:spacing w:after="0" w:line="240" w:lineRule="auto"/>
        <w:contextualSpacing/>
        <w:jc w:val="both"/>
        <w:rPr>
          <w:rFonts w:ascii="Times New Roman" w:hAnsi="Times New Roman" w:cs="Times New Roman"/>
          <w:sz w:val="20"/>
          <w:szCs w:val="20"/>
        </w:rPr>
      </w:pPr>
      <w:r w:rsidRPr="005059A4">
        <w:rPr>
          <w:rFonts w:ascii="Times New Roman" w:hAnsi="Times New Roman" w:cs="Times New Roman"/>
          <w:b/>
          <w:bCs/>
          <w:sz w:val="20"/>
          <w:szCs w:val="20"/>
        </w:rPr>
        <w:t>Figure S13.</w:t>
      </w:r>
      <w:r w:rsidRPr="005059A4">
        <w:rPr>
          <w:rFonts w:ascii="Times New Roman" w:hAnsi="Times New Roman" w:cs="Times New Roman"/>
          <w:sz w:val="20"/>
          <w:szCs w:val="20"/>
        </w:rPr>
        <w:t xml:space="preserve"> Genotyped loci and variant sites using a constraint on the number of minimum individuals in a population required to have that locus (r = 40, 60, and 80) based on different cutoff, as follow: (A) minimum raw reads required to form a stack (</w:t>
      </w:r>
      <w:r w:rsidRPr="005059A4">
        <w:rPr>
          <w:rFonts w:ascii="Times New Roman" w:hAnsi="Times New Roman" w:cs="Times New Roman"/>
          <w:i/>
          <w:iCs/>
          <w:sz w:val="20"/>
          <w:szCs w:val="20"/>
        </w:rPr>
        <w:t>m</w:t>
      </w:r>
      <w:r w:rsidRPr="005059A4">
        <w:rPr>
          <w:rFonts w:ascii="Times New Roman" w:hAnsi="Times New Roman" w:cs="Times New Roman"/>
          <w:sz w:val="20"/>
          <w:szCs w:val="20"/>
        </w:rPr>
        <w:t xml:space="preserve"> = 2</w:t>
      </w:r>
      <w:r w:rsidRPr="005059A4">
        <w:rPr>
          <w:rFonts w:ascii="Times New Roman" w:eastAsiaTheme="minorHAnsi" w:hAnsi="Times New Roman" w:cs="Times New Roman"/>
          <w:color w:val="231F20"/>
          <w:sz w:val="20"/>
          <w:szCs w:val="20"/>
        </w:rPr>
        <w:t>–</w:t>
      </w:r>
      <w:r w:rsidRPr="005059A4">
        <w:rPr>
          <w:rFonts w:ascii="Times New Roman" w:hAnsi="Times New Roman" w:cs="Times New Roman"/>
          <w:sz w:val="20"/>
          <w:szCs w:val="20"/>
        </w:rPr>
        <w:t>6), (B) maximum mismatches allowed between stacks of the same individual (</w:t>
      </w:r>
      <w:r w:rsidRPr="005059A4">
        <w:rPr>
          <w:rFonts w:ascii="Times New Roman" w:hAnsi="Times New Roman" w:cs="Times New Roman"/>
          <w:i/>
          <w:iCs/>
          <w:sz w:val="20"/>
          <w:szCs w:val="20"/>
        </w:rPr>
        <w:t>M</w:t>
      </w:r>
      <w:r w:rsidRPr="005059A4">
        <w:rPr>
          <w:rFonts w:ascii="Times New Roman" w:hAnsi="Times New Roman" w:cs="Times New Roman"/>
          <w:sz w:val="20"/>
          <w:szCs w:val="20"/>
        </w:rPr>
        <w:t xml:space="preserve"> = 0</w:t>
      </w:r>
      <w:r w:rsidRPr="005059A4">
        <w:rPr>
          <w:rFonts w:ascii="Times New Roman" w:eastAsiaTheme="minorHAnsi" w:hAnsi="Times New Roman" w:cs="Times New Roman"/>
          <w:color w:val="231F20"/>
          <w:sz w:val="20"/>
          <w:szCs w:val="20"/>
        </w:rPr>
        <w:t>–</w:t>
      </w:r>
      <w:r w:rsidRPr="005059A4">
        <w:rPr>
          <w:rFonts w:ascii="Times New Roman" w:hAnsi="Times New Roman" w:cs="Times New Roman"/>
          <w:sz w:val="20"/>
          <w:szCs w:val="20"/>
        </w:rPr>
        <w:t>6), and (C) mismatches allowed between loci of different individuals (</w:t>
      </w:r>
      <w:r w:rsidRPr="005059A4">
        <w:rPr>
          <w:rFonts w:ascii="Times New Roman" w:hAnsi="Times New Roman" w:cs="Times New Roman"/>
          <w:i/>
          <w:iCs/>
          <w:sz w:val="20"/>
          <w:szCs w:val="20"/>
        </w:rPr>
        <w:t>n</w:t>
      </w:r>
      <w:r w:rsidRPr="005059A4">
        <w:rPr>
          <w:rFonts w:ascii="Times New Roman" w:hAnsi="Times New Roman" w:cs="Times New Roman"/>
          <w:sz w:val="20"/>
          <w:szCs w:val="20"/>
        </w:rPr>
        <w:t xml:space="preserve"> = 0</w:t>
      </w:r>
      <w:r w:rsidRPr="005059A4">
        <w:rPr>
          <w:rFonts w:ascii="Times New Roman" w:eastAsiaTheme="minorHAnsi" w:hAnsi="Times New Roman" w:cs="Times New Roman"/>
          <w:color w:val="231F20"/>
          <w:sz w:val="20"/>
          <w:szCs w:val="20"/>
        </w:rPr>
        <w:t>–</w:t>
      </w:r>
      <w:r w:rsidRPr="005059A4">
        <w:rPr>
          <w:rFonts w:ascii="Times New Roman" w:hAnsi="Times New Roman" w:cs="Times New Roman"/>
          <w:sz w:val="20"/>
          <w:szCs w:val="20"/>
        </w:rPr>
        <w:t>11).</w:t>
      </w:r>
    </w:p>
    <w:p w14:paraId="2A2A44D3" w14:textId="77777777" w:rsidR="00AA2E79" w:rsidRDefault="00AA2E79" w:rsidP="00AE525E">
      <w:pPr>
        <w:rPr>
          <w:rFonts w:ascii="Times New Roman" w:eastAsia="Times New Roman" w:hAnsi="Times New Roman" w:cs="Times New Roman"/>
          <w:b/>
          <w:color w:val="0432FF"/>
        </w:rPr>
      </w:pPr>
    </w:p>
    <w:p w14:paraId="1FD98B2E" w14:textId="77777777" w:rsidR="00AA2E79" w:rsidRDefault="00AA2E79" w:rsidP="00AE525E">
      <w:pPr>
        <w:rPr>
          <w:rFonts w:ascii="Times New Roman" w:eastAsia="Times New Roman" w:hAnsi="Times New Roman" w:cs="Times New Roman"/>
          <w:b/>
          <w:color w:val="0432FF"/>
        </w:rPr>
      </w:pPr>
    </w:p>
    <w:p w14:paraId="2EBBE0C1" w14:textId="77777777" w:rsidR="00AA2E79" w:rsidRDefault="00AA2E79" w:rsidP="00AE525E">
      <w:pPr>
        <w:rPr>
          <w:rFonts w:ascii="Times New Roman" w:eastAsia="Times New Roman" w:hAnsi="Times New Roman" w:cs="Times New Roman"/>
          <w:b/>
          <w:color w:val="0432FF"/>
        </w:rPr>
      </w:pPr>
    </w:p>
    <w:p w14:paraId="303A2D70" w14:textId="77777777" w:rsidR="00AA2E79" w:rsidRDefault="00AA2E79" w:rsidP="00AE525E">
      <w:pPr>
        <w:rPr>
          <w:rFonts w:ascii="Times New Roman" w:eastAsia="Times New Roman" w:hAnsi="Times New Roman" w:cs="Times New Roman"/>
          <w:b/>
          <w:color w:val="0432FF"/>
        </w:rPr>
      </w:pPr>
    </w:p>
    <w:p w14:paraId="3D0B5068" w14:textId="77777777" w:rsidR="00AA2E79" w:rsidRDefault="00AA2E79" w:rsidP="00AE525E">
      <w:pPr>
        <w:rPr>
          <w:rFonts w:ascii="Times New Roman" w:eastAsia="Times New Roman" w:hAnsi="Times New Roman" w:cs="Times New Roman"/>
          <w:b/>
          <w:color w:val="0432FF"/>
        </w:rPr>
      </w:pPr>
    </w:p>
    <w:p w14:paraId="25E77CCC" w14:textId="02A3DC77" w:rsidR="00AA2E79" w:rsidRDefault="005059A4" w:rsidP="00AE525E">
      <w:pPr>
        <w:rPr>
          <w:rFonts w:ascii="Times New Roman" w:eastAsia="Times New Roman" w:hAnsi="Times New Roman" w:cs="Times New Roman"/>
          <w:b/>
          <w:color w:val="0432FF"/>
        </w:rPr>
      </w:pPr>
      <w:r w:rsidRPr="001F1BE9">
        <w:rPr>
          <w:b/>
          <w:noProof/>
          <w:color w:val="000000" w:themeColor="text1"/>
        </w:rPr>
        <w:lastRenderedPageBreak/>
        <w:drawing>
          <wp:anchor distT="0" distB="0" distL="114300" distR="114300" simplePos="0" relativeHeight="251710464" behindDoc="0" locked="0" layoutInCell="1" allowOverlap="1" wp14:anchorId="634D6798" wp14:editId="5AE35657">
            <wp:simplePos x="0" y="0"/>
            <wp:positionH relativeFrom="column">
              <wp:posOffset>245452</wp:posOffset>
            </wp:positionH>
            <wp:positionV relativeFrom="paragraph">
              <wp:posOffset>0</wp:posOffset>
            </wp:positionV>
            <wp:extent cx="5591908" cy="7621567"/>
            <wp:effectExtent l="0" t="0" r="0" b="0"/>
            <wp:wrapNone/>
            <wp:docPr id="13" name="Imagen 13" descr="A diagram of a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A diagram of a test&#10;&#10;Description automatically generated with medium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91908" cy="7621567"/>
                    </a:xfrm>
                    <a:prstGeom prst="rect">
                      <a:avLst/>
                    </a:prstGeom>
                  </pic:spPr>
                </pic:pic>
              </a:graphicData>
            </a:graphic>
            <wp14:sizeRelH relativeFrom="page">
              <wp14:pctWidth>0</wp14:pctWidth>
            </wp14:sizeRelH>
            <wp14:sizeRelV relativeFrom="page">
              <wp14:pctHeight>0</wp14:pctHeight>
            </wp14:sizeRelV>
          </wp:anchor>
        </w:drawing>
      </w:r>
    </w:p>
    <w:p w14:paraId="153D23F5" w14:textId="77777777" w:rsidR="00AA2E79" w:rsidRDefault="00AA2E79" w:rsidP="00AE525E">
      <w:pPr>
        <w:rPr>
          <w:rFonts w:ascii="Times New Roman" w:eastAsia="Times New Roman" w:hAnsi="Times New Roman" w:cs="Times New Roman"/>
          <w:b/>
          <w:color w:val="0432FF"/>
        </w:rPr>
      </w:pPr>
    </w:p>
    <w:p w14:paraId="40C864C9" w14:textId="77777777" w:rsidR="00AA2E79" w:rsidRDefault="00AA2E79" w:rsidP="00AE525E">
      <w:pPr>
        <w:rPr>
          <w:rFonts w:ascii="Times New Roman" w:eastAsia="Times New Roman" w:hAnsi="Times New Roman" w:cs="Times New Roman"/>
          <w:b/>
          <w:color w:val="0432FF"/>
        </w:rPr>
      </w:pPr>
    </w:p>
    <w:p w14:paraId="43578187" w14:textId="77777777" w:rsidR="00AA2E79" w:rsidRDefault="00AA2E79" w:rsidP="00AE525E">
      <w:pPr>
        <w:rPr>
          <w:rFonts w:ascii="Times New Roman" w:eastAsia="Times New Roman" w:hAnsi="Times New Roman" w:cs="Times New Roman"/>
          <w:b/>
          <w:color w:val="0432FF"/>
        </w:rPr>
      </w:pPr>
    </w:p>
    <w:p w14:paraId="1935F01A" w14:textId="77777777" w:rsidR="00AA2E79" w:rsidRDefault="00AA2E79" w:rsidP="00AE525E">
      <w:pPr>
        <w:rPr>
          <w:rFonts w:ascii="Times New Roman" w:eastAsia="Times New Roman" w:hAnsi="Times New Roman" w:cs="Times New Roman"/>
          <w:b/>
          <w:color w:val="0432FF"/>
        </w:rPr>
      </w:pPr>
    </w:p>
    <w:p w14:paraId="16F738E3" w14:textId="77777777" w:rsidR="00AA2E79" w:rsidRDefault="00AA2E79" w:rsidP="00AE525E">
      <w:pPr>
        <w:rPr>
          <w:rFonts w:ascii="Times New Roman" w:eastAsia="Times New Roman" w:hAnsi="Times New Roman" w:cs="Times New Roman"/>
          <w:b/>
          <w:color w:val="0432FF"/>
        </w:rPr>
      </w:pPr>
    </w:p>
    <w:p w14:paraId="426F7810" w14:textId="77777777" w:rsidR="00AA2E79" w:rsidRDefault="00AA2E79" w:rsidP="00AE525E">
      <w:pPr>
        <w:rPr>
          <w:rFonts w:ascii="Times New Roman" w:eastAsia="Times New Roman" w:hAnsi="Times New Roman" w:cs="Times New Roman"/>
          <w:b/>
          <w:color w:val="0432FF"/>
        </w:rPr>
      </w:pPr>
    </w:p>
    <w:p w14:paraId="2FF8F569" w14:textId="77777777" w:rsidR="00AA2E79" w:rsidRDefault="00AA2E79" w:rsidP="00AE525E">
      <w:pPr>
        <w:rPr>
          <w:rFonts w:ascii="Times New Roman" w:eastAsia="Times New Roman" w:hAnsi="Times New Roman" w:cs="Times New Roman"/>
          <w:b/>
          <w:color w:val="0432FF"/>
        </w:rPr>
      </w:pPr>
    </w:p>
    <w:p w14:paraId="735CE69D" w14:textId="77777777" w:rsidR="00AA2E79" w:rsidRDefault="00AA2E79" w:rsidP="00AE525E">
      <w:pPr>
        <w:rPr>
          <w:rFonts w:ascii="Times New Roman" w:eastAsia="Times New Roman" w:hAnsi="Times New Roman" w:cs="Times New Roman"/>
          <w:b/>
          <w:color w:val="0432FF"/>
        </w:rPr>
      </w:pPr>
    </w:p>
    <w:p w14:paraId="34CF0AF4" w14:textId="77777777" w:rsidR="00AA2E79" w:rsidRDefault="00AA2E79" w:rsidP="00AE525E">
      <w:pPr>
        <w:rPr>
          <w:rFonts w:ascii="Times New Roman" w:eastAsia="Times New Roman" w:hAnsi="Times New Roman" w:cs="Times New Roman"/>
          <w:b/>
          <w:color w:val="0432FF"/>
        </w:rPr>
      </w:pPr>
    </w:p>
    <w:p w14:paraId="17D3E6F7" w14:textId="77777777" w:rsidR="005059A4" w:rsidRDefault="005059A4" w:rsidP="00AE525E">
      <w:pPr>
        <w:rPr>
          <w:rFonts w:ascii="Times New Roman" w:eastAsia="Times New Roman" w:hAnsi="Times New Roman" w:cs="Times New Roman"/>
          <w:b/>
          <w:color w:val="0432FF"/>
        </w:rPr>
      </w:pPr>
    </w:p>
    <w:p w14:paraId="1C50E161" w14:textId="77777777" w:rsidR="005059A4" w:rsidRDefault="005059A4" w:rsidP="00AE525E">
      <w:pPr>
        <w:rPr>
          <w:rFonts w:ascii="Times New Roman" w:eastAsia="Times New Roman" w:hAnsi="Times New Roman" w:cs="Times New Roman"/>
          <w:b/>
          <w:color w:val="0432FF"/>
        </w:rPr>
      </w:pPr>
    </w:p>
    <w:p w14:paraId="507E688C" w14:textId="77777777" w:rsidR="005059A4" w:rsidRDefault="005059A4" w:rsidP="00AE525E">
      <w:pPr>
        <w:rPr>
          <w:rFonts w:ascii="Times New Roman" w:eastAsia="Times New Roman" w:hAnsi="Times New Roman" w:cs="Times New Roman"/>
          <w:b/>
          <w:color w:val="0432FF"/>
        </w:rPr>
      </w:pPr>
    </w:p>
    <w:p w14:paraId="1AF9C4CE" w14:textId="77777777" w:rsidR="005059A4" w:rsidRDefault="005059A4" w:rsidP="00AE525E">
      <w:pPr>
        <w:rPr>
          <w:rFonts w:ascii="Times New Roman" w:eastAsia="Times New Roman" w:hAnsi="Times New Roman" w:cs="Times New Roman"/>
          <w:b/>
          <w:color w:val="0432FF"/>
        </w:rPr>
      </w:pPr>
    </w:p>
    <w:p w14:paraId="4202F5C0" w14:textId="77777777" w:rsidR="005059A4" w:rsidRDefault="005059A4" w:rsidP="00AE525E">
      <w:pPr>
        <w:rPr>
          <w:rFonts w:ascii="Times New Roman" w:eastAsia="Times New Roman" w:hAnsi="Times New Roman" w:cs="Times New Roman"/>
          <w:b/>
          <w:color w:val="0432FF"/>
        </w:rPr>
      </w:pPr>
    </w:p>
    <w:p w14:paraId="7623861C" w14:textId="77777777" w:rsidR="005059A4" w:rsidRDefault="005059A4" w:rsidP="00AE525E">
      <w:pPr>
        <w:rPr>
          <w:rFonts w:ascii="Times New Roman" w:eastAsia="Times New Roman" w:hAnsi="Times New Roman" w:cs="Times New Roman"/>
          <w:b/>
          <w:color w:val="0432FF"/>
        </w:rPr>
      </w:pPr>
    </w:p>
    <w:p w14:paraId="71BB6A16" w14:textId="77777777" w:rsidR="005059A4" w:rsidRDefault="005059A4" w:rsidP="00AE525E">
      <w:pPr>
        <w:rPr>
          <w:rFonts w:ascii="Times New Roman" w:eastAsia="Times New Roman" w:hAnsi="Times New Roman" w:cs="Times New Roman"/>
          <w:b/>
          <w:color w:val="0432FF"/>
        </w:rPr>
      </w:pPr>
    </w:p>
    <w:p w14:paraId="1AB305B6" w14:textId="77777777" w:rsidR="005059A4" w:rsidRDefault="005059A4" w:rsidP="00AE525E">
      <w:pPr>
        <w:rPr>
          <w:rFonts w:ascii="Times New Roman" w:eastAsia="Times New Roman" w:hAnsi="Times New Roman" w:cs="Times New Roman"/>
          <w:b/>
          <w:color w:val="0432FF"/>
        </w:rPr>
      </w:pPr>
    </w:p>
    <w:p w14:paraId="432FA2C8" w14:textId="77777777" w:rsidR="005059A4" w:rsidRDefault="005059A4" w:rsidP="00AE525E">
      <w:pPr>
        <w:rPr>
          <w:rFonts w:ascii="Times New Roman" w:eastAsia="Times New Roman" w:hAnsi="Times New Roman" w:cs="Times New Roman"/>
          <w:b/>
          <w:color w:val="0432FF"/>
        </w:rPr>
      </w:pPr>
    </w:p>
    <w:p w14:paraId="1B36D434" w14:textId="77777777" w:rsidR="005059A4" w:rsidRDefault="005059A4" w:rsidP="00AE525E">
      <w:pPr>
        <w:rPr>
          <w:rFonts w:ascii="Times New Roman" w:eastAsia="Times New Roman" w:hAnsi="Times New Roman" w:cs="Times New Roman"/>
          <w:b/>
          <w:color w:val="0432FF"/>
        </w:rPr>
      </w:pPr>
    </w:p>
    <w:p w14:paraId="0227326F" w14:textId="77777777" w:rsidR="005059A4" w:rsidRDefault="005059A4" w:rsidP="00AE525E">
      <w:pPr>
        <w:rPr>
          <w:rFonts w:ascii="Times New Roman" w:eastAsia="Times New Roman" w:hAnsi="Times New Roman" w:cs="Times New Roman"/>
          <w:b/>
          <w:color w:val="0432FF"/>
        </w:rPr>
      </w:pPr>
    </w:p>
    <w:p w14:paraId="3F4F7F91" w14:textId="77777777" w:rsidR="005059A4" w:rsidRDefault="005059A4" w:rsidP="00AE525E">
      <w:pPr>
        <w:rPr>
          <w:rFonts w:ascii="Times New Roman" w:eastAsia="Times New Roman" w:hAnsi="Times New Roman" w:cs="Times New Roman"/>
          <w:b/>
          <w:color w:val="0432FF"/>
        </w:rPr>
      </w:pPr>
    </w:p>
    <w:p w14:paraId="419C4031" w14:textId="77777777" w:rsidR="005059A4" w:rsidRDefault="005059A4" w:rsidP="00AE525E">
      <w:pPr>
        <w:rPr>
          <w:rFonts w:ascii="Times New Roman" w:eastAsia="Times New Roman" w:hAnsi="Times New Roman" w:cs="Times New Roman"/>
          <w:b/>
          <w:color w:val="0432FF"/>
        </w:rPr>
      </w:pPr>
    </w:p>
    <w:p w14:paraId="0FC67138" w14:textId="77777777" w:rsidR="005059A4" w:rsidRDefault="005059A4" w:rsidP="00AE525E">
      <w:pPr>
        <w:rPr>
          <w:rFonts w:ascii="Times New Roman" w:eastAsia="Times New Roman" w:hAnsi="Times New Roman" w:cs="Times New Roman"/>
          <w:b/>
          <w:color w:val="0432FF"/>
        </w:rPr>
      </w:pPr>
    </w:p>
    <w:p w14:paraId="4739156D" w14:textId="77777777" w:rsidR="005059A4" w:rsidRDefault="005059A4" w:rsidP="00AE525E">
      <w:pPr>
        <w:rPr>
          <w:rFonts w:ascii="Times New Roman" w:eastAsia="Times New Roman" w:hAnsi="Times New Roman" w:cs="Times New Roman"/>
          <w:b/>
          <w:color w:val="0432FF"/>
        </w:rPr>
      </w:pPr>
    </w:p>
    <w:p w14:paraId="046EB117" w14:textId="77777777" w:rsidR="005059A4" w:rsidRDefault="005059A4" w:rsidP="00AE525E">
      <w:pPr>
        <w:rPr>
          <w:rFonts w:ascii="Times New Roman" w:eastAsia="Times New Roman" w:hAnsi="Times New Roman" w:cs="Times New Roman"/>
          <w:b/>
          <w:color w:val="0432FF"/>
        </w:rPr>
      </w:pPr>
    </w:p>
    <w:p w14:paraId="15B142FD" w14:textId="77777777" w:rsidR="005059A4" w:rsidRDefault="005059A4" w:rsidP="00AE525E">
      <w:pPr>
        <w:rPr>
          <w:rFonts w:ascii="Times New Roman" w:eastAsia="Times New Roman" w:hAnsi="Times New Roman" w:cs="Times New Roman"/>
          <w:b/>
          <w:color w:val="0432FF"/>
        </w:rPr>
      </w:pPr>
    </w:p>
    <w:p w14:paraId="24CD35F7" w14:textId="77777777" w:rsidR="005059A4" w:rsidRDefault="005059A4" w:rsidP="00AE525E">
      <w:pPr>
        <w:rPr>
          <w:rFonts w:ascii="Times New Roman" w:eastAsia="Times New Roman" w:hAnsi="Times New Roman" w:cs="Times New Roman"/>
          <w:b/>
          <w:color w:val="0432FF"/>
        </w:rPr>
      </w:pPr>
    </w:p>
    <w:p w14:paraId="054E03D7" w14:textId="77777777" w:rsidR="005059A4" w:rsidRPr="005059A4" w:rsidRDefault="005059A4" w:rsidP="005059A4">
      <w:pPr>
        <w:spacing w:line="480" w:lineRule="auto"/>
        <w:contextualSpacing/>
        <w:jc w:val="both"/>
        <w:rPr>
          <w:rFonts w:ascii="Times New Roman" w:hAnsi="Times New Roman" w:cs="Times New Roman"/>
          <w:sz w:val="20"/>
          <w:szCs w:val="20"/>
        </w:rPr>
      </w:pPr>
      <w:r w:rsidRPr="005059A4">
        <w:rPr>
          <w:rFonts w:ascii="Times New Roman" w:hAnsi="Times New Roman" w:cs="Times New Roman"/>
          <w:b/>
          <w:bCs/>
          <w:sz w:val="20"/>
          <w:szCs w:val="20"/>
        </w:rPr>
        <w:t>Figure S14.</w:t>
      </w:r>
      <w:r w:rsidRPr="005059A4">
        <w:rPr>
          <w:rFonts w:ascii="Times New Roman" w:hAnsi="Times New Roman" w:cs="Times New Roman"/>
          <w:sz w:val="20"/>
          <w:szCs w:val="20"/>
        </w:rPr>
        <w:t xml:space="preserve"> Flow chart of the quality control and SNP filtering steps applied to generate the final datasets.</w:t>
      </w:r>
    </w:p>
    <w:p w14:paraId="50343C67" w14:textId="77777777" w:rsidR="005059A4" w:rsidRDefault="005059A4" w:rsidP="00AE525E">
      <w:pPr>
        <w:rPr>
          <w:rFonts w:ascii="Times New Roman" w:eastAsia="Times New Roman" w:hAnsi="Times New Roman" w:cs="Times New Roman"/>
          <w:b/>
          <w:color w:val="0432FF"/>
          <w:sz w:val="20"/>
          <w:szCs w:val="20"/>
        </w:rPr>
      </w:pPr>
    </w:p>
    <w:p w14:paraId="4FAB5D27" w14:textId="77777777" w:rsidR="0062192D" w:rsidRPr="0062192D" w:rsidRDefault="0062192D" w:rsidP="0062192D">
      <w:pPr>
        <w:pStyle w:val="paragraph"/>
        <w:spacing w:before="0" w:beforeAutospacing="0" w:after="160" w:afterAutospacing="0" w:line="259" w:lineRule="auto"/>
        <w:jc w:val="both"/>
        <w:textAlignment w:val="baseline"/>
        <w:rPr>
          <w:rStyle w:val="normaltextrun"/>
          <w:b/>
          <w:bCs/>
          <w:sz w:val="28"/>
          <w:szCs w:val="28"/>
          <w:lang w:val="en-US"/>
        </w:rPr>
      </w:pPr>
      <w:r w:rsidRPr="0062192D">
        <w:rPr>
          <w:rStyle w:val="normaltextrun"/>
          <w:b/>
          <w:bCs/>
          <w:sz w:val="28"/>
          <w:szCs w:val="28"/>
          <w:lang w:val="en-US"/>
        </w:rPr>
        <w:lastRenderedPageBreak/>
        <w:t>Supplementary References</w:t>
      </w:r>
    </w:p>
    <w:p w14:paraId="7C2186B1"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Style w:val="normaltextrun"/>
          <w:rFonts w:ascii="Times New Roman" w:hAnsi="Times New Roman" w:cs="Times New Roman"/>
          <w:b/>
          <w:bCs/>
          <w:sz w:val="24"/>
          <w:szCs w:val="24"/>
        </w:rPr>
        <w:fldChar w:fldCharType="begin" w:fldLock="1"/>
      </w:r>
      <w:r w:rsidRPr="0062192D">
        <w:rPr>
          <w:rStyle w:val="normaltextrun"/>
          <w:rFonts w:ascii="Times New Roman" w:hAnsi="Times New Roman" w:cs="Times New Roman"/>
          <w:b/>
          <w:bCs/>
          <w:sz w:val="24"/>
          <w:szCs w:val="24"/>
        </w:rPr>
        <w:instrText xml:space="preserve">ADDIN Mendeley Bibliography CSL_BIBLIOGRAPHY </w:instrText>
      </w:r>
      <w:r w:rsidRPr="0062192D">
        <w:rPr>
          <w:rStyle w:val="normaltextrun"/>
          <w:rFonts w:ascii="Times New Roman" w:hAnsi="Times New Roman" w:cs="Times New Roman"/>
          <w:b/>
          <w:bCs/>
          <w:sz w:val="24"/>
          <w:szCs w:val="24"/>
        </w:rPr>
        <w:fldChar w:fldCharType="separate"/>
      </w:r>
      <w:r w:rsidRPr="0062192D">
        <w:rPr>
          <w:rFonts w:ascii="Times New Roman" w:hAnsi="Times New Roman" w:cs="Times New Roman"/>
          <w:noProof/>
          <w:sz w:val="24"/>
          <w:szCs w:val="24"/>
        </w:rPr>
        <w:t>1. Barbour CD. The systematics and evolution of the genus Chirostoma Swainson (Pisces, Atherinidae). Tulane Stud Zool Bot. 1973;18:97–141. https://www.biodiversitylibrary.org/part/11912.</w:t>
      </w:r>
    </w:p>
    <w:p w14:paraId="2D39393A"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2. Peterson BK, Weber JN, Kay EH, Fisher HS, Hoekstra HE. Double digest RADseq: An inexpensive method for de novo SNP discovery and genotyping in model and non-model species. PLoS One. 2012;7.</w:t>
      </w:r>
    </w:p>
    <w:p w14:paraId="0755228B"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3. Catchen JM, Hohenlohe PA, Bassham S, Amores A, Cresko WA. Stacks: an analysis tool set for population genomics. Mol Ecol. 2013;22:3124–40.</w:t>
      </w:r>
    </w:p>
    <w:p w14:paraId="681AD203"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4. Catchen JM, Amores A, Hohenlohe P, Cresko W, Postlethwait JH. Stacks : Building and Genotyping Loci De Novo From Short-Read Sequences. Genes, Genomes. 2011;1 August:171–82.</w:t>
      </w:r>
    </w:p>
    <w:p w14:paraId="67F79AAC"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5. Paris JR, Stevens JR, Catchen JM. Lost in parameter space: A road map for Stacks. Methods Ecol Evol. 2017;8:1360–73.</w:t>
      </w:r>
    </w:p>
    <w:p w14:paraId="20F5B3AB"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6. Mastretta-Yanes A, Arrigo N, Alvarez N, Jorgensen TH, Piñeros D, Emerson BC. Restriction site-associated DNA sequencing, genotyping error estimation and de novo assembly optimization for population genetic inference. Mol Ecol. 2015;:28–41.</w:t>
      </w:r>
    </w:p>
    <w:p w14:paraId="0CFA7247"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7. Del Pedraza-Marrón CR, Silva R, Deeds J, Van Belleghem SM, Mastretta-Yanes A, Domínguez-Domínguez O, et al. Genomics overrules mitochondrial DNA, siding with morphology on a controversial case of species delimitation. Proc R Soc B Biol Sci. 2019;286.</w:t>
      </w:r>
    </w:p>
    <w:p w14:paraId="7EFEC862"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8. Danecek P, Auton A, Abecasis G, Albers CA, Banks E, DePristo MA, et al. The variant call format and VCFtools. Bioinformatics. 2011;27:2156–8.</w:t>
      </w:r>
    </w:p>
    <w:p w14:paraId="0F5A5975"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9. Linck E, Battey CJ. Minor allele frequency thresholds strongly affect population structure inference with genomic data sets. Mol Ecol Resour. 2019;19:639–47.</w:t>
      </w:r>
    </w:p>
    <w:p w14:paraId="182688BE"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10. Bradbury PJ, Zhang Z, Kroon DE, Casstevens TM, Ramdoss Y, Buckler ES. TASSEL: Software for association mapping of complex traits in diverse samples. Bioinformatics. 2007;23:2633–5.</w:t>
      </w:r>
    </w:p>
    <w:p w14:paraId="19588D15"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11. Betancourt-Resendes I, Perez-Rodríguez R, Barriga-Sosa IDLA, Piller KR, Domínguez-Domínguez O. Phylogeographic patterns and species delimitation in the endangered silverside “humboldtianum” clade (Pisces: Atherinopsidae) in central Mexico: understanding their evolutionary history. Org Divers Evol. 2020;20:313–30.</w:t>
      </w:r>
    </w:p>
    <w:p w14:paraId="752930F9" w14:textId="77777777" w:rsidR="0062192D" w:rsidRPr="0062192D" w:rsidRDefault="0062192D" w:rsidP="0062192D">
      <w:pPr>
        <w:widowControl w:val="0"/>
        <w:autoSpaceDE w:val="0"/>
        <w:autoSpaceDN w:val="0"/>
        <w:adjustRightInd w:val="0"/>
        <w:ind w:left="720" w:hanging="720"/>
        <w:jc w:val="both"/>
        <w:rPr>
          <w:rFonts w:ascii="Times New Roman" w:hAnsi="Times New Roman" w:cs="Times New Roman"/>
          <w:noProof/>
          <w:sz w:val="24"/>
          <w:szCs w:val="24"/>
        </w:rPr>
      </w:pPr>
      <w:r w:rsidRPr="0062192D">
        <w:rPr>
          <w:rFonts w:ascii="Times New Roman" w:hAnsi="Times New Roman" w:cs="Times New Roman"/>
          <w:noProof/>
          <w:sz w:val="24"/>
          <w:szCs w:val="24"/>
        </w:rPr>
        <w:t>12. Kass RE, Raftery AE. Bayes Factors. J Am Stat Assoc. 1995;90:773–95.</w:t>
      </w:r>
    </w:p>
    <w:p w14:paraId="4848B233" w14:textId="77777777" w:rsidR="0062192D" w:rsidRPr="00042829" w:rsidRDefault="0062192D" w:rsidP="0062192D">
      <w:pPr>
        <w:pStyle w:val="paragraph"/>
        <w:spacing w:before="0" w:beforeAutospacing="0" w:after="160" w:afterAutospacing="0" w:line="259" w:lineRule="auto"/>
        <w:ind w:left="720" w:hanging="720"/>
        <w:jc w:val="both"/>
        <w:textAlignment w:val="baseline"/>
        <w:rPr>
          <w:b/>
          <w:bCs/>
          <w:lang w:val="en-US"/>
        </w:rPr>
      </w:pPr>
      <w:r w:rsidRPr="0062192D">
        <w:rPr>
          <w:rStyle w:val="normaltextrun"/>
          <w:b/>
          <w:bCs/>
          <w:lang w:val="en-US"/>
        </w:rPr>
        <w:fldChar w:fldCharType="end"/>
      </w:r>
    </w:p>
    <w:p w14:paraId="63834FD5" w14:textId="77777777" w:rsidR="005059A4" w:rsidRPr="005059A4" w:rsidRDefault="005059A4" w:rsidP="00AE525E">
      <w:pPr>
        <w:rPr>
          <w:rFonts w:ascii="Times New Roman" w:eastAsia="Times New Roman" w:hAnsi="Times New Roman" w:cs="Times New Roman"/>
          <w:b/>
          <w:color w:val="0432FF"/>
          <w:sz w:val="20"/>
          <w:szCs w:val="20"/>
        </w:rPr>
      </w:pPr>
    </w:p>
    <w:p w14:paraId="41146880" w14:textId="695854CE" w:rsidR="00894C47" w:rsidRDefault="00894C47" w:rsidP="00894C47">
      <w:pPr>
        <w:rPr>
          <w:rFonts w:asciiTheme="majorBidi" w:hAnsiTheme="majorBidi" w:cstheme="majorBidi"/>
          <w:b/>
          <w:bCs/>
          <w:sz w:val="56"/>
          <w:szCs w:val="56"/>
        </w:rPr>
      </w:pPr>
      <w:r>
        <w:rPr>
          <w:rFonts w:asciiTheme="majorBidi" w:hAnsiTheme="majorBidi" w:cstheme="majorBidi"/>
          <w:b/>
          <w:bCs/>
          <w:sz w:val="56"/>
          <w:szCs w:val="56"/>
        </w:rPr>
        <w:lastRenderedPageBreak/>
        <w:t>Appendix C</w:t>
      </w:r>
    </w:p>
    <w:p w14:paraId="46F9CF38" w14:textId="77777777" w:rsidR="00894C47" w:rsidRDefault="00894C47" w:rsidP="00894C47">
      <w:pPr>
        <w:rPr>
          <w:rFonts w:asciiTheme="majorBidi" w:hAnsiTheme="majorBidi" w:cstheme="majorBidi"/>
          <w:b/>
          <w:bCs/>
          <w:sz w:val="56"/>
          <w:szCs w:val="56"/>
        </w:rPr>
      </w:pPr>
    </w:p>
    <w:p w14:paraId="788F6438" w14:textId="1C389940" w:rsidR="00894C47" w:rsidRDefault="00894C47" w:rsidP="00894C47">
      <w:pPr>
        <w:rPr>
          <w:rFonts w:asciiTheme="majorBidi" w:hAnsiTheme="majorBidi" w:cstheme="majorBidi"/>
          <w:b/>
          <w:bCs/>
          <w:sz w:val="56"/>
          <w:szCs w:val="56"/>
        </w:rPr>
      </w:pPr>
      <w:r>
        <w:rPr>
          <w:rFonts w:asciiTheme="majorBidi" w:hAnsiTheme="majorBidi" w:cstheme="majorBidi"/>
          <w:b/>
          <w:bCs/>
          <w:sz w:val="56"/>
          <w:szCs w:val="56"/>
        </w:rPr>
        <w:t xml:space="preserve">Supplementary Material for </w:t>
      </w:r>
      <w:r w:rsidRPr="00FE5299">
        <w:rPr>
          <w:rFonts w:asciiTheme="majorBidi" w:hAnsiTheme="majorBidi" w:cstheme="majorBidi"/>
          <w:b/>
          <w:bCs/>
          <w:sz w:val="56"/>
          <w:szCs w:val="56"/>
        </w:rPr>
        <w:t>Beneath the Waves: Depth, Temperature, and Spatial Components Driving Genetic Differentiation at Micro and Macroevolutionary Scales in Tropical Blennies</w:t>
      </w:r>
    </w:p>
    <w:p w14:paraId="78312C3A" w14:textId="77777777" w:rsidR="005059A4" w:rsidRDefault="005059A4" w:rsidP="00AE525E">
      <w:pPr>
        <w:rPr>
          <w:rFonts w:ascii="Times New Roman" w:eastAsia="Times New Roman" w:hAnsi="Times New Roman" w:cs="Times New Roman"/>
          <w:b/>
          <w:color w:val="0432FF"/>
          <w:sz w:val="24"/>
          <w:szCs w:val="24"/>
        </w:rPr>
      </w:pPr>
    </w:p>
    <w:p w14:paraId="488A59E6" w14:textId="77777777" w:rsidR="00AB3DA2" w:rsidRDefault="00AB3DA2" w:rsidP="00AE525E">
      <w:pPr>
        <w:rPr>
          <w:rFonts w:ascii="Times New Roman" w:eastAsia="Times New Roman" w:hAnsi="Times New Roman" w:cs="Times New Roman"/>
          <w:b/>
          <w:color w:val="0432FF"/>
          <w:sz w:val="28"/>
          <w:szCs w:val="28"/>
        </w:rPr>
      </w:pPr>
    </w:p>
    <w:p w14:paraId="369518CE" w14:textId="26EFE598" w:rsidR="00AB3DA2" w:rsidRPr="00931688" w:rsidRDefault="00931688" w:rsidP="00AE525E">
      <w:pPr>
        <w:rPr>
          <w:rFonts w:ascii="Times New Roman" w:eastAsia="Times New Roman" w:hAnsi="Times New Roman" w:cs="Times New Roman"/>
          <w:b/>
          <w:color w:val="000000" w:themeColor="text1"/>
          <w:sz w:val="28"/>
          <w:szCs w:val="28"/>
        </w:rPr>
      </w:pPr>
      <w:r w:rsidRPr="00931688">
        <w:rPr>
          <w:rFonts w:ascii="Times New Roman" w:eastAsia="Times New Roman" w:hAnsi="Times New Roman" w:cs="Times New Roman"/>
          <w:b/>
          <w:color w:val="000000" w:themeColor="text1"/>
          <w:sz w:val="28"/>
          <w:szCs w:val="28"/>
        </w:rPr>
        <w:t>Extended Methods</w:t>
      </w:r>
    </w:p>
    <w:p w14:paraId="4610EC23" w14:textId="6FE4810A" w:rsidR="00931688" w:rsidRPr="00931688" w:rsidRDefault="00931688" w:rsidP="00AE525E">
      <w:pPr>
        <w:rPr>
          <w:rFonts w:ascii="Times New Roman" w:eastAsia="Times New Roman" w:hAnsi="Times New Roman" w:cs="Times New Roman"/>
          <w:b/>
          <w:color w:val="000000" w:themeColor="text1"/>
          <w:sz w:val="28"/>
          <w:szCs w:val="28"/>
        </w:rPr>
      </w:pPr>
      <w:r w:rsidRPr="00931688">
        <w:rPr>
          <w:rFonts w:ascii="Times New Roman" w:eastAsia="Times New Roman" w:hAnsi="Times New Roman" w:cs="Times New Roman"/>
          <w:b/>
          <w:color w:val="000000" w:themeColor="text1"/>
          <w:sz w:val="28"/>
          <w:szCs w:val="28"/>
        </w:rPr>
        <w:t>Extended Results</w:t>
      </w:r>
    </w:p>
    <w:p w14:paraId="6A51D2EC" w14:textId="77777777" w:rsidR="00AB3DA2" w:rsidRDefault="00AB3DA2" w:rsidP="00AE525E">
      <w:pPr>
        <w:rPr>
          <w:rFonts w:ascii="Times New Roman" w:eastAsia="Times New Roman" w:hAnsi="Times New Roman" w:cs="Times New Roman"/>
          <w:b/>
          <w:color w:val="0432FF"/>
          <w:sz w:val="28"/>
          <w:szCs w:val="28"/>
        </w:rPr>
      </w:pPr>
    </w:p>
    <w:p w14:paraId="7FF50A61" w14:textId="20800523" w:rsidR="00AB3DA2" w:rsidRPr="00AB3DA2" w:rsidRDefault="00AB3DA2" w:rsidP="00AE525E">
      <w:pPr>
        <w:rPr>
          <w:rFonts w:ascii="Times New Roman" w:eastAsia="Times New Roman" w:hAnsi="Times New Roman" w:cs="Times New Roman"/>
          <w:b/>
          <w:color w:val="000000" w:themeColor="text1"/>
          <w:sz w:val="32"/>
          <w:szCs w:val="32"/>
        </w:rPr>
      </w:pPr>
      <w:r w:rsidRPr="00AB3DA2">
        <w:rPr>
          <w:rFonts w:ascii="Times New Roman" w:eastAsia="Times New Roman" w:hAnsi="Times New Roman" w:cs="Times New Roman"/>
          <w:b/>
          <w:color w:val="000000" w:themeColor="text1"/>
          <w:sz w:val="32"/>
          <w:szCs w:val="32"/>
        </w:rPr>
        <w:t>Extended Methods</w:t>
      </w:r>
    </w:p>
    <w:p w14:paraId="55E6ACE7" w14:textId="7141BF77" w:rsidR="00931688" w:rsidRDefault="00AB3DA2" w:rsidP="00AE525E">
      <w:pPr>
        <w:rPr>
          <w:rFonts w:ascii="Times New Roman" w:hAnsi="Times New Roman" w:cs="Times New Roman"/>
          <w:b/>
          <w:bCs/>
          <w:color w:val="000000" w:themeColor="text1"/>
          <w:sz w:val="28"/>
          <w:szCs w:val="28"/>
        </w:rPr>
      </w:pPr>
      <w:bookmarkStart w:id="1" w:name="ExtendedMethods"/>
      <w:r w:rsidRPr="00AB3DA2">
        <w:rPr>
          <w:rFonts w:ascii="Times New Roman" w:hAnsi="Times New Roman" w:cs="Times New Roman"/>
          <w:b/>
          <w:bCs/>
          <w:color w:val="000000" w:themeColor="text1"/>
          <w:sz w:val="28"/>
          <w:szCs w:val="28"/>
        </w:rPr>
        <w:t>Sample collection and genomic data generation</w:t>
      </w:r>
      <w:bookmarkEnd w:id="1"/>
    </w:p>
    <w:p w14:paraId="1BD1B824" w14:textId="7977BB41" w:rsidR="00931688" w:rsidRDefault="00931688" w:rsidP="00931688">
      <w:pPr>
        <w:jc w:val="both"/>
        <w:rPr>
          <w:rFonts w:ascii="Times New Roman" w:hAnsi="Times New Roman" w:cs="Times New Roman"/>
          <w:b/>
          <w:bCs/>
          <w:color w:val="000000" w:themeColor="text1"/>
          <w:sz w:val="28"/>
          <w:szCs w:val="28"/>
        </w:rPr>
      </w:pPr>
      <w:r w:rsidRPr="00931688">
        <w:rPr>
          <w:rFonts w:ascii="Times New Roman" w:hAnsi="Times New Roman" w:cs="Times New Roman"/>
          <w:b/>
          <w:bCs/>
          <w:sz w:val="24"/>
          <w:szCs w:val="24"/>
        </w:rPr>
        <w:t xml:space="preserve">Taxonomic sampling. </w:t>
      </w:r>
      <w:r w:rsidRPr="00931688">
        <w:rPr>
          <w:rFonts w:ascii="Times New Roman" w:hAnsi="Times New Roman" w:cs="Times New Roman"/>
          <w:color w:val="000000" w:themeColor="text1"/>
          <w:sz w:val="24"/>
          <w:szCs w:val="24"/>
        </w:rPr>
        <w:t xml:space="preserve">We collected 506 individuals from 23 out of the 25 </w:t>
      </w:r>
      <w:r w:rsidRPr="00931688">
        <w:rPr>
          <w:rFonts w:ascii="Times New Roman" w:hAnsi="Times New Roman" w:cs="Times New Roman"/>
          <w:i/>
          <w:iCs/>
          <w:color w:val="000000" w:themeColor="text1"/>
          <w:sz w:val="24"/>
          <w:szCs w:val="24"/>
        </w:rPr>
        <w:t>Malacoctenus</w:t>
      </w:r>
      <w:r w:rsidRPr="00931688">
        <w:rPr>
          <w:rFonts w:ascii="Times New Roman" w:hAnsi="Times New Roman" w:cs="Times New Roman"/>
          <w:color w:val="000000" w:themeColor="text1"/>
          <w:sz w:val="24"/>
          <w:szCs w:val="24"/>
        </w:rPr>
        <w:t xml:space="preserve"> species across 40 localities in the Tropical Eastern Pacific (TEP) and Tropical Atlantic (TA) realms (Fig. S1). We also generated genomic data from a </w:t>
      </w:r>
      <w:r w:rsidR="005E2154">
        <w:rPr>
          <w:rFonts w:ascii="Times New Roman" w:hAnsi="Times New Roman" w:cs="Times New Roman"/>
          <w:i/>
          <w:iCs/>
          <w:color w:val="000000" w:themeColor="text1"/>
          <w:sz w:val="24"/>
          <w:szCs w:val="24"/>
        </w:rPr>
        <w:t>Brockius</w:t>
      </w:r>
      <w:r w:rsidRPr="00931688">
        <w:rPr>
          <w:rFonts w:ascii="Times New Roman" w:hAnsi="Times New Roman" w:cs="Times New Roman"/>
          <w:i/>
          <w:iCs/>
          <w:color w:val="000000" w:themeColor="text1"/>
          <w:sz w:val="24"/>
          <w:szCs w:val="24"/>
        </w:rPr>
        <w:t xml:space="preserve"> striatus</w:t>
      </w:r>
      <w:r w:rsidRPr="00931688">
        <w:rPr>
          <w:rFonts w:ascii="Times New Roman" w:hAnsi="Times New Roman" w:cs="Times New Roman"/>
          <w:color w:val="000000" w:themeColor="text1"/>
          <w:sz w:val="24"/>
          <w:szCs w:val="24"/>
        </w:rPr>
        <w:t xml:space="preserve"> specimen, used as an outgroup for phylogenetic analyses (</w:t>
      </w:r>
      <w:r w:rsidR="005E2154" w:rsidRPr="005E2154">
        <w:rPr>
          <w:rFonts w:ascii="Times New Roman" w:hAnsi="Times New Roman" w:cs="Times New Roman"/>
          <w:color w:val="000000" w:themeColor="text1"/>
          <w:sz w:val="24"/>
          <w:szCs w:val="24"/>
        </w:rPr>
        <w:t>a</w:t>
      </w:r>
      <w:r w:rsidR="005E2154">
        <w:rPr>
          <w:rFonts w:ascii="Times New Roman" w:hAnsi="Times New Roman" w:cs="Times New Roman"/>
          <w:color w:val="000000" w:themeColor="text1"/>
          <w:sz w:val="24"/>
          <w:szCs w:val="24"/>
        </w:rPr>
        <w:t xml:space="preserve"> closer relative of the</w:t>
      </w:r>
      <w:r w:rsidRPr="00931688">
        <w:rPr>
          <w:rFonts w:ascii="Times New Roman" w:hAnsi="Times New Roman" w:cs="Times New Roman"/>
          <w:color w:val="000000" w:themeColor="text1"/>
          <w:sz w:val="24"/>
          <w:szCs w:val="24"/>
        </w:rPr>
        <w:t xml:space="preserve"> genus of </w:t>
      </w:r>
      <w:r w:rsidRPr="00931688">
        <w:rPr>
          <w:rFonts w:ascii="Times New Roman" w:hAnsi="Times New Roman" w:cs="Times New Roman"/>
          <w:i/>
          <w:iCs/>
          <w:color w:val="000000" w:themeColor="text1"/>
          <w:sz w:val="24"/>
          <w:szCs w:val="24"/>
        </w:rPr>
        <w:t>Malacoctenus</w:t>
      </w:r>
      <w:r w:rsidRPr="00931688">
        <w:rPr>
          <w:rFonts w:ascii="Times New Roman" w:hAnsi="Times New Roman" w:cs="Times New Roman"/>
          <w:color w:val="000000" w:themeColor="text1"/>
          <w:sz w:val="24"/>
          <w:szCs w:val="24"/>
        </w:rPr>
        <w:t xml:space="preserve"> </w:t>
      </w:r>
      <w:r w:rsidRPr="00931688">
        <w:rPr>
          <w:rFonts w:ascii="Times New Roman" w:hAnsi="Times New Roman" w:cs="Times New Roman"/>
          <w:color w:val="000000" w:themeColor="text1"/>
          <w:sz w:val="24"/>
          <w:szCs w:val="24"/>
        </w:rPr>
        <w:fldChar w:fldCharType="begin" w:fldLock="1"/>
      </w:r>
      <w:r w:rsidRPr="00931688">
        <w:rPr>
          <w:rFonts w:ascii="Times New Roman" w:hAnsi="Times New Roman" w:cs="Times New Roman"/>
          <w:color w:val="000000" w:themeColor="text1"/>
          <w:sz w:val="24"/>
          <w:szCs w:val="24"/>
        </w:rPr>
        <w:instrText>ADDIN CSL_CITATION {"citationItems":[{"id":"ITEM-1","itemData":{"DOI":"10.1016/j.ympev.2011.04.018","ISSN":"1055-7903","author":[{"dropping-particle":"","family":"Lin","given":"Hsiu-chin","non-dropping-particle":"","parse-names":false,"suffix":""},{"dropping-particle":"","family":"Hastings","given":"Philip A","non-dropping-particle":"","parse-names":false,"suffix":""}],"container-title":"Molecular Phylogenetics and Evolution","id":"ITEM-1","issue":"2","issued":{"date-parts":[["2011"]]},"page":"236-248","publisher":"Elsevier Inc.","title":"Evolution of a Neotropical marine fish lineage ( Subfamily Chaenopsinae , Suborder Blennioidei ) based on phylogenetic analysis of combined molecular and morphological data","type":"article-journal","volume":"60"},"uris":["http://www.mendeley.com/documents/?uuid=7b1b997c-6e5e-46bb-892a-3cc8f85427da"]}],"mendeley":{"formattedCitation":"(39)","plainTextFormattedCitation":"(39)","previouslyFormattedCitation":"(38)"},"properties":{"noteIndex":0},"schema":"https://github.com/citation-style-language/schema/raw/master/csl-citation.json"}</w:instrText>
      </w:r>
      <w:r w:rsidRPr="00931688">
        <w:rPr>
          <w:rFonts w:ascii="Times New Roman" w:hAnsi="Times New Roman" w:cs="Times New Roman"/>
          <w:color w:val="000000" w:themeColor="text1"/>
          <w:sz w:val="24"/>
          <w:szCs w:val="24"/>
        </w:rPr>
        <w:fldChar w:fldCharType="separate"/>
      </w:r>
      <w:r w:rsidRPr="00931688">
        <w:rPr>
          <w:rFonts w:ascii="Times New Roman" w:hAnsi="Times New Roman" w:cs="Times New Roman"/>
          <w:noProof/>
          <w:color w:val="000000" w:themeColor="text1"/>
          <w:sz w:val="24"/>
          <w:szCs w:val="24"/>
        </w:rPr>
        <w:t>(39)</w:t>
      </w:r>
      <w:r w:rsidRPr="00931688">
        <w:rPr>
          <w:rFonts w:ascii="Times New Roman" w:hAnsi="Times New Roman" w:cs="Times New Roman"/>
          <w:color w:val="000000" w:themeColor="text1"/>
          <w:sz w:val="24"/>
          <w:szCs w:val="24"/>
        </w:rPr>
        <w:fldChar w:fldCharType="end"/>
      </w:r>
      <w:r w:rsidRPr="00931688">
        <w:rPr>
          <w:rFonts w:ascii="Times New Roman" w:hAnsi="Times New Roman" w:cs="Times New Roman"/>
          <w:color w:val="000000" w:themeColor="text1"/>
          <w:sz w:val="24"/>
          <w:szCs w:val="24"/>
        </w:rPr>
        <w:t>). Sampling collections were conducted in various localities across Mexico, Ecuador, Costa Rica, Panama, El Salvador, Puerto Rico, and Colombia between 2012 and 2017 (</w:t>
      </w:r>
      <w:r w:rsidRPr="00931688">
        <w:rPr>
          <w:rFonts w:ascii="Times New Roman" w:hAnsi="Times New Roman" w:cs="Times New Roman"/>
          <w:sz w:val="24"/>
          <w:szCs w:val="24"/>
        </w:rPr>
        <w:t>Table S1</w:t>
      </w:r>
      <w:r w:rsidRPr="00931688">
        <w:rPr>
          <w:rFonts w:ascii="Times New Roman" w:hAnsi="Times New Roman" w:cs="Times New Roman"/>
          <w:color w:val="000000" w:themeColor="text1"/>
          <w:sz w:val="24"/>
          <w:szCs w:val="24"/>
        </w:rPr>
        <w:t>). For population differentiation analyses, sampling localities were clustered under the same name using a 1 km ratio, while for seascape genomic analyses, sampling locations were considered independently, as each location can have unique environmental conditions (Appendix S2). The selection of these localities aimed to test a total of eight marine barriers to dispersal, which were proposed as genetic</w:t>
      </w:r>
    </w:p>
    <w:p w14:paraId="4537A6B6" w14:textId="1A2B50F4" w:rsidR="00AB3DA2" w:rsidRDefault="00AB3DA2" w:rsidP="00AB3DA2">
      <w:pPr>
        <w:jc w:val="both"/>
        <w:rPr>
          <w:rFonts w:ascii="Times New Roman" w:hAnsi="Times New Roman" w:cs="Times New Roman"/>
          <w:color w:val="000000" w:themeColor="text1"/>
          <w:sz w:val="24"/>
          <w:szCs w:val="24"/>
        </w:rPr>
      </w:pPr>
      <w:r w:rsidRPr="00931688">
        <w:rPr>
          <w:rFonts w:ascii="Times New Roman" w:hAnsi="Times New Roman" w:cs="Times New Roman"/>
          <w:color w:val="000000" w:themeColor="text1"/>
          <w:sz w:val="24"/>
          <w:szCs w:val="24"/>
        </w:rPr>
        <w:lastRenderedPageBreak/>
        <w:t>breaks for marine organisms in these regions by previous studies (</w:t>
      </w:r>
      <w:r w:rsidRPr="00931688">
        <w:rPr>
          <w:rFonts w:ascii="Times New Roman" w:hAnsi="Times New Roman" w:cs="Times New Roman"/>
          <w:sz w:val="24"/>
          <w:szCs w:val="24"/>
        </w:rPr>
        <w:t>Table S2</w:t>
      </w:r>
      <w:r w:rsidRPr="00931688">
        <w:rPr>
          <w:rFonts w:ascii="Times New Roman" w:hAnsi="Times New Roman" w:cs="Times New Roman"/>
          <w:color w:val="000000" w:themeColor="text1"/>
          <w:sz w:val="24"/>
          <w:szCs w:val="24"/>
        </w:rPr>
        <w:t>). We collected fin clips and voucher specimens and deposited them into the fish collections of the Universidad Michoacana de San Nicolás de Hidalgo (UMSNH), the University of Puerto Rico - Río</w:t>
      </w:r>
      <w:r w:rsidRPr="00931688">
        <w:rPr>
          <w:rFonts w:ascii="Helvetica" w:hAnsi="Helvetica" w:cs="Times New Roman"/>
          <w:color w:val="000000" w:themeColor="text1"/>
          <w:sz w:val="24"/>
          <w:szCs w:val="24"/>
        </w:rPr>
        <w:t xml:space="preserve"> </w:t>
      </w:r>
      <w:r w:rsidRPr="00931688">
        <w:rPr>
          <w:rFonts w:ascii="Times New Roman" w:hAnsi="Times New Roman" w:cs="Times New Roman"/>
          <w:color w:val="000000" w:themeColor="text1"/>
          <w:sz w:val="24"/>
          <w:szCs w:val="24"/>
        </w:rPr>
        <w:t xml:space="preserve">Piedras (UPR-RP), and the Sam Noble Oklahoma Museum of Natural History (SNOMNH). We identified each individual to the species level using the taxonomic keys for </w:t>
      </w:r>
      <w:r w:rsidRPr="00931688">
        <w:rPr>
          <w:rFonts w:ascii="Times New Roman" w:hAnsi="Times New Roman" w:cs="Times New Roman"/>
          <w:i/>
          <w:iCs/>
          <w:color w:val="000000" w:themeColor="text1"/>
          <w:sz w:val="24"/>
          <w:szCs w:val="24"/>
        </w:rPr>
        <w:t>Malacoctenus</w:t>
      </w:r>
      <w:r w:rsidRPr="00931688">
        <w:rPr>
          <w:rFonts w:ascii="Times New Roman" w:hAnsi="Times New Roman" w:cs="Times New Roman"/>
          <w:color w:val="000000" w:themeColor="text1"/>
          <w:sz w:val="24"/>
          <w:szCs w:val="24"/>
        </w:rPr>
        <w:t xml:space="preserve"> and </w:t>
      </w:r>
      <w:r w:rsidR="00441FE0">
        <w:rPr>
          <w:rFonts w:ascii="Times New Roman" w:hAnsi="Times New Roman" w:cs="Times New Roman"/>
          <w:i/>
          <w:iCs/>
          <w:color w:val="000000" w:themeColor="text1"/>
          <w:sz w:val="24"/>
          <w:szCs w:val="24"/>
        </w:rPr>
        <w:t>Brockius</w:t>
      </w:r>
      <w:r w:rsidRPr="00931688">
        <w:rPr>
          <w:rFonts w:ascii="Helvetica" w:hAnsi="Helvetica" w:cs="Times New Roman"/>
          <w:color w:val="000000" w:themeColor="text1"/>
          <w:sz w:val="24"/>
          <w:szCs w:val="24"/>
        </w:rPr>
        <w:t xml:space="preserve"> </w:t>
      </w:r>
      <w:r w:rsidRPr="00931688">
        <w:rPr>
          <w:rFonts w:ascii="Times New Roman" w:hAnsi="Times New Roman" w:cs="Times New Roman"/>
          <w:color w:val="000000" w:themeColor="text1"/>
          <w:sz w:val="24"/>
          <w:szCs w:val="24"/>
        </w:rPr>
        <w:fldChar w:fldCharType="begin" w:fldLock="1"/>
      </w:r>
      <w:r w:rsidRPr="00931688">
        <w:rPr>
          <w:rFonts w:ascii="Times New Roman" w:hAnsi="Times New Roman" w:cs="Times New Roman"/>
          <w:color w:val="000000" w:themeColor="text1"/>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mendeley":{"formattedCitation":"(3)","plainTextFormattedCitation":"(3)","previouslyFormattedCitation":"(3)"},"properties":{"noteIndex":0},"schema":"https://github.com/citation-style-language/schema/raw/master/csl-citation.json"}</w:instrText>
      </w:r>
      <w:r w:rsidRPr="00931688">
        <w:rPr>
          <w:rFonts w:ascii="Times New Roman" w:hAnsi="Times New Roman" w:cs="Times New Roman"/>
          <w:color w:val="000000" w:themeColor="text1"/>
          <w:sz w:val="24"/>
          <w:szCs w:val="24"/>
        </w:rPr>
        <w:fldChar w:fldCharType="separate"/>
      </w:r>
      <w:r w:rsidRPr="00931688">
        <w:rPr>
          <w:rFonts w:ascii="Times New Roman" w:hAnsi="Times New Roman" w:cs="Times New Roman"/>
          <w:noProof/>
          <w:color w:val="000000" w:themeColor="text1"/>
          <w:sz w:val="24"/>
          <w:szCs w:val="24"/>
        </w:rPr>
        <w:t>(3)</w:t>
      </w:r>
      <w:r w:rsidRPr="00931688">
        <w:rPr>
          <w:rFonts w:ascii="Times New Roman" w:hAnsi="Times New Roman" w:cs="Times New Roman"/>
          <w:color w:val="000000" w:themeColor="text1"/>
          <w:sz w:val="24"/>
          <w:szCs w:val="24"/>
        </w:rPr>
        <w:fldChar w:fldCharType="end"/>
      </w:r>
      <w:r w:rsidRPr="00931688">
        <w:rPr>
          <w:rFonts w:ascii="Times New Roman" w:hAnsi="Times New Roman" w:cs="Times New Roman"/>
          <w:color w:val="000000" w:themeColor="text1"/>
          <w:sz w:val="24"/>
          <w:szCs w:val="24"/>
        </w:rPr>
        <w:t>. We also retrieved samples through collaboration with multiple ichthyological collections from various institutions (see Appendix S2).</w:t>
      </w:r>
    </w:p>
    <w:p w14:paraId="75F77C8C" w14:textId="53A96172" w:rsidR="00793FF5" w:rsidRPr="00793FF5" w:rsidRDefault="00793FF5" w:rsidP="00793FF5">
      <w:pPr>
        <w:rPr>
          <w:rFonts w:ascii="Times New Roman" w:hAnsi="Times New Roman" w:cs="Times New Roman"/>
          <w:sz w:val="24"/>
          <w:szCs w:val="24"/>
        </w:rPr>
      </w:pPr>
      <w:r w:rsidRPr="00931688">
        <w:rPr>
          <w:rFonts w:ascii="Times New Roman" w:hAnsi="Times New Roman" w:cs="Times New Roman"/>
          <w:b/>
          <w:bCs/>
          <w:noProof/>
          <w:sz w:val="24"/>
          <w:szCs w:val="24"/>
        </w:rPr>
        <mc:AlternateContent>
          <mc:Choice Requires="wpg">
            <w:drawing>
              <wp:anchor distT="0" distB="0" distL="114300" distR="114300" simplePos="0" relativeHeight="251713536" behindDoc="0" locked="0" layoutInCell="1" allowOverlap="1" wp14:anchorId="54FF351D" wp14:editId="22530F11">
                <wp:simplePos x="0" y="0"/>
                <wp:positionH relativeFrom="column">
                  <wp:posOffset>-51435</wp:posOffset>
                </wp:positionH>
                <wp:positionV relativeFrom="paragraph">
                  <wp:posOffset>329450</wp:posOffset>
                </wp:positionV>
                <wp:extent cx="6096000" cy="4902200"/>
                <wp:effectExtent l="0" t="0" r="0" b="0"/>
                <wp:wrapSquare wrapText="bothSides"/>
                <wp:docPr id="1158437116" name="Group 1"/>
                <wp:cNvGraphicFramePr/>
                <a:graphic xmlns:a="http://schemas.openxmlformats.org/drawingml/2006/main">
                  <a:graphicData uri="http://schemas.microsoft.com/office/word/2010/wordprocessingGroup">
                    <wpg:wgp>
                      <wpg:cNvGrpSpPr/>
                      <wpg:grpSpPr>
                        <a:xfrm>
                          <a:off x="0" y="0"/>
                          <a:ext cx="6096000" cy="4902200"/>
                          <a:chOff x="1" y="0"/>
                          <a:chExt cx="6096000" cy="4902224"/>
                        </a:xfrm>
                      </wpg:grpSpPr>
                      <wps:wsp>
                        <wps:cNvPr id="153477395" name="Text Box 2"/>
                        <wps:cNvSpPr txBox="1"/>
                        <wps:spPr>
                          <a:xfrm>
                            <a:off x="1" y="3897654"/>
                            <a:ext cx="6096000" cy="1004570"/>
                          </a:xfrm>
                          <a:prstGeom prst="rect">
                            <a:avLst/>
                          </a:prstGeom>
                          <a:noFill/>
                          <a:ln w="6350">
                            <a:noFill/>
                          </a:ln>
                        </wps:spPr>
                        <wps:txbx>
                          <w:txbxContent>
                            <w:p w14:paraId="22DD5CC9" w14:textId="77777777" w:rsidR="00AB3DA2" w:rsidRPr="00527DDD" w:rsidRDefault="00AB3DA2" w:rsidP="00AB3DA2">
                              <w:pPr>
                                <w:jc w:val="both"/>
                                <w:rPr>
                                  <w:rFonts w:ascii="Times New Roman" w:hAnsi="Times New Roman" w:cs="Times New Roman"/>
                                  <w:color w:val="FF0000"/>
                                  <w:sz w:val="20"/>
                                  <w:szCs w:val="20"/>
                                </w:rPr>
                              </w:pPr>
                              <w:bookmarkStart w:id="2" w:name="FigS1"/>
                              <w:r w:rsidRPr="001D608F">
                                <w:rPr>
                                  <w:rFonts w:ascii="Times New Roman" w:hAnsi="Times New Roman" w:cs="Times New Roman"/>
                                  <w:b/>
                                  <w:bCs/>
                                  <w:color w:val="000000" w:themeColor="text1"/>
                                  <w:sz w:val="20"/>
                                  <w:szCs w:val="20"/>
                                </w:rPr>
                                <w:t>Figure S1</w:t>
                              </w:r>
                              <w:bookmarkEnd w:id="2"/>
                              <w:r w:rsidRPr="001D608F">
                                <w:rPr>
                                  <w:rFonts w:ascii="Times New Roman" w:hAnsi="Times New Roman" w:cs="Times New Roman"/>
                                  <w:color w:val="000000" w:themeColor="text1"/>
                                  <w:sz w:val="20"/>
                                  <w:szCs w:val="20"/>
                                </w:rPr>
                                <w:t xml:space="preserve">. Locations sampled for </w:t>
                              </w:r>
                              <w:r w:rsidRPr="001D608F">
                                <w:rPr>
                                  <w:rFonts w:ascii="Times New Roman" w:hAnsi="Times New Roman" w:cs="Times New Roman"/>
                                  <w:i/>
                                  <w:iCs/>
                                  <w:color w:val="000000" w:themeColor="text1"/>
                                  <w:sz w:val="20"/>
                                  <w:szCs w:val="20"/>
                                </w:rPr>
                                <w:t>Malacoctenus</w:t>
                              </w:r>
                              <w:r w:rsidRPr="001D608F">
                                <w:rPr>
                                  <w:rFonts w:ascii="Times New Roman" w:hAnsi="Times New Roman" w:cs="Times New Roman"/>
                                  <w:color w:val="000000" w:themeColor="text1"/>
                                  <w:sz w:val="20"/>
                                  <w:szCs w:val="20"/>
                                </w:rPr>
                                <w:t>, including a total of 506 individuals representing 23 species</w:t>
                              </w:r>
                              <w:r>
                                <w:rPr>
                                  <w:rFonts w:ascii="Times New Roman" w:hAnsi="Times New Roman" w:cs="Times New Roman"/>
                                  <w:color w:val="000000" w:themeColor="text1"/>
                                  <w:sz w:val="20"/>
                                  <w:szCs w:val="20"/>
                                </w:rPr>
                                <w:t xml:space="preserve">, </w:t>
                              </w:r>
                              <w:r w:rsidRPr="001D608F">
                                <w:rPr>
                                  <w:rFonts w:ascii="Times New Roman" w:hAnsi="Times New Roman" w:cs="Times New Roman"/>
                                  <w:color w:val="000000" w:themeColor="text1"/>
                                  <w:sz w:val="20"/>
                                  <w:szCs w:val="20"/>
                                </w:rPr>
                                <w:t xml:space="preserve">in the Tropical Eastern Pacific (TEP) and the Tropical Atlantic (TA) biogeographic regions, including Africa </w:t>
                              </w:r>
                              <w:r>
                                <w:rPr>
                                  <w:rFonts w:ascii="Times New Roman" w:hAnsi="Times New Roman" w:cs="Times New Roman"/>
                                  <w:color w:val="000000" w:themeColor="text1"/>
                                  <w:sz w:val="20"/>
                                  <w:szCs w:val="20"/>
                                </w:rPr>
                                <w:t>(</w:t>
                              </w:r>
                              <w:r w:rsidRPr="001D608F">
                                <w:rPr>
                                  <w:rFonts w:ascii="Times New Roman" w:hAnsi="Times New Roman" w:cs="Times New Roman"/>
                                  <w:color w:val="000000" w:themeColor="text1"/>
                                  <w:sz w:val="20"/>
                                  <w:szCs w:val="20"/>
                                </w:rPr>
                                <w:t xml:space="preserve">which is part of </w:t>
                              </w:r>
                              <w:r>
                                <w:rPr>
                                  <w:rFonts w:ascii="Times New Roman" w:hAnsi="Times New Roman" w:cs="Times New Roman"/>
                                  <w:color w:val="000000" w:themeColor="text1"/>
                                  <w:sz w:val="20"/>
                                  <w:szCs w:val="20"/>
                                </w:rPr>
                                <w:t>TA)</w:t>
                              </w:r>
                              <w:r w:rsidRPr="001D608F">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Numbers next to each pie chart refer to sampling locations in Table S1.</w:t>
                              </w:r>
                              <w:r w:rsidRPr="001D608F">
                                <w:rPr>
                                  <w:rFonts w:ascii="Times New Roman" w:hAnsi="Times New Roman" w:cs="Times New Roman"/>
                                  <w:color w:val="000000" w:themeColor="text1"/>
                                  <w:sz w:val="20"/>
                                  <w:szCs w:val="20"/>
                                </w:rPr>
                                <w:t xml:space="preserve"> Pie size is proportional to the number of individuals per location, where each color represents a species. Black dashed lines indicate contemporary barriers that were evaluated, while the historical barrier, the </w:t>
                              </w:r>
                              <w:r>
                                <w:rPr>
                                  <w:rFonts w:ascii="Times New Roman" w:hAnsi="Times New Roman" w:cs="Times New Roman"/>
                                  <w:color w:val="000000" w:themeColor="text1"/>
                                  <w:sz w:val="20"/>
                                  <w:szCs w:val="20"/>
                                </w:rPr>
                                <w:t xml:space="preserve">rising of the </w:t>
                              </w:r>
                              <w:r w:rsidRPr="001D608F">
                                <w:rPr>
                                  <w:rFonts w:ascii="Times New Roman" w:hAnsi="Times New Roman" w:cs="Times New Roman"/>
                                  <w:color w:val="000000" w:themeColor="text1"/>
                                  <w:sz w:val="20"/>
                                  <w:szCs w:val="20"/>
                                </w:rPr>
                                <w:t>Isthmus of Panama, is marked in red.</w:t>
                              </w:r>
                            </w:p>
                            <w:p w14:paraId="213D46E4" w14:textId="77777777" w:rsidR="00AB3DA2" w:rsidRDefault="00AB3DA2" w:rsidP="00AB3D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9466796" name="Picture 1" descr="A map of the world with different colored circles&#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64655" y="0"/>
                            <a:ext cx="5966460" cy="3895090"/>
                          </a:xfrm>
                          <a:prstGeom prst="rect">
                            <a:avLst/>
                          </a:prstGeom>
                        </pic:spPr>
                      </pic:pic>
                    </wpg:wgp>
                  </a:graphicData>
                </a:graphic>
                <wp14:sizeRelH relativeFrom="margin">
                  <wp14:pctWidth>0</wp14:pctWidth>
                </wp14:sizeRelH>
              </wp:anchor>
            </w:drawing>
          </mc:Choice>
          <mc:Fallback>
            <w:pict>
              <v:group w14:anchorId="54FF351D" id="Group 1" o:spid="_x0000_s1036" style="position:absolute;margin-left:-4.05pt;margin-top:25.95pt;width:480pt;height:386pt;z-index:251713536;mso-width-relative:margin" coordorigin="" coordsize="60960,490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">
                <v:shape id="_x0000_s1037" type="#_x0000_t202" style="position:absolute;top:38976;width:60960;height:100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" filled="f" stroked="f" strokeweight=".5pt">
                  <v:textbox>
                    <w:txbxContent>
                      <w:p w14:paraId="22DD5CC9" w14:textId="77777777" w:rsidR="00AB3DA2" w:rsidRPr="00527DDD" w:rsidRDefault="00AB3DA2" w:rsidP="00AB3DA2">
                        <w:pPr>
                          <w:jc w:val="both"/>
                          <w:rPr>
                            <w:rFonts w:ascii="Times New Roman" w:hAnsi="Times New Roman" w:cs="Times New Roman"/>
                            <w:color w:val="FF0000"/>
                            <w:sz w:val="20"/>
                            <w:szCs w:val="20"/>
                          </w:rPr>
                        </w:pPr>
                        <w:bookmarkStart w:id="3" w:name="FigS1"/>
                        <w:r w:rsidRPr="001D608F">
                          <w:rPr>
                            <w:rFonts w:ascii="Times New Roman" w:hAnsi="Times New Roman" w:cs="Times New Roman"/>
                            <w:b/>
                            <w:bCs/>
                            <w:color w:val="000000" w:themeColor="text1"/>
                            <w:sz w:val="20"/>
                            <w:szCs w:val="20"/>
                          </w:rPr>
                          <w:t>Figure S1</w:t>
                        </w:r>
                        <w:bookmarkEnd w:id="3"/>
                        <w:r w:rsidRPr="001D608F">
                          <w:rPr>
                            <w:rFonts w:ascii="Times New Roman" w:hAnsi="Times New Roman" w:cs="Times New Roman"/>
                            <w:color w:val="000000" w:themeColor="text1"/>
                            <w:sz w:val="20"/>
                            <w:szCs w:val="20"/>
                          </w:rPr>
                          <w:t xml:space="preserve">. Locations sampled for </w:t>
                        </w:r>
                        <w:r w:rsidRPr="001D608F">
                          <w:rPr>
                            <w:rFonts w:ascii="Times New Roman" w:hAnsi="Times New Roman" w:cs="Times New Roman"/>
                            <w:i/>
                            <w:iCs/>
                            <w:color w:val="000000" w:themeColor="text1"/>
                            <w:sz w:val="20"/>
                            <w:szCs w:val="20"/>
                          </w:rPr>
                          <w:t>Malacoctenus</w:t>
                        </w:r>
                        <w:r w:rsidRPr="001D608F">
                          <w:rPr>
                            <w:rFonts w:ascii="Times New Roman" w:hAnsi="Times New Roman" w:cs="Times New Roman"/>
                            <w:color w:val="000000" w:themeColor="text1"/>
                            <w:sz w:val="20"/>
                            <w:szCs w:val="20"/>
                          </w:rPr>
                          <w:t>, including a total of 506 individuals representing 23 species</w:t>
                        </w:r>
                        <w:r>
                          <w:rPr>
                            <w:rFonts w:ascii="Times New Roman" w:hAnsi="Times New Roman" w:cs="Times New Roman"/>
                            <w:color w:val="000000" w:themeColor="text1"/>
                            <w:sz w:val="20"/>
                            <w:szCs w:val="20"/>
                          </w:rPr>
                          <w:t xml:space="preserve">, </w:t>
                        </w:r>
                        <w:r w:rsidRPr="001D608F">
                          <w:rPr>
                            <w:rFonts w:ascii="Times New Roman" w:hAnsi="Times New Roman" w:cs="Times New Roman"/>
                            <w:color w:val="000000" w:themeColor="text1"/>
                            <w:sz w:val="20"/>
                            <w:szCs w:val="20"/>
                          </w:rPr>
                          <w:t xml:space="preserve">in the Tropical Eastern Pacific (TEP) and the Tropical Atlantic (TA) biogeographic regions, including Africa </w:t>
                        </w:r>
                        <w:r>
                          <w:rPr>
                            <w:rFonts w:ascii="Times New Roman" w:hAnsi="Times New Roman" w:cs="Times New Roman"/>
                            <w:color w:val="000000" w:themeColor="text1"/>
                            <w:sz w:val="20"/>
                            <w:szCs w:val="20"/>
                          </w:rPr>
                          <w:t>(</w:t>
                        </w:r>
                        <w:r w:rsidRPr="001D608F">
                          <w:rPr>
                            <w:rFonts w:ascii="Times New Roman" w:hAnsi="Times New Roman" w:cs="Times New Roman"/>
                            <w:color w:val="000000" w:themeColor="text1"/>
                            <w:sz w:val="20"/>
                            <w:szCs w:val="20"/>
                          </w:rPr>
                          <w:t xml:space="preserve">which is part of </w:t>
                        </w:r>
                        <w:r>
                          <w:rPr>
                            <w:rFonts w:ascii="Times New Roman" w:hAnsi="Times New Roman" w:cs="Times New Roman"/>
                            <w:color w:val="000000" w:themeColor="text1"/>
                            <w:sz w:val="20"/>
                            <w:szCs w:val="20"/>
                          </w:rPr>
                          <w:t>TA)</w:t>
                        </w:r>
                        <w:r w:rsidRPr="001D608F">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Numbers next to each pie chart refer to sampling locations in Table S1.</w:t>
                        </w:r>
                        <w:r w:rsidRPr="001D608F">
                          <w:rPr>
                            <w:rFonts w:ascii="Times New Roman" w:hAnsi="Times New Roman" w:cs="Times New Roman"/>
                            <w:color w:val="000000" w:themeColor="text1"/>
                            <w:sz w:val="20"/>
                            <w:szCs w:val="20"/>
                          </w:rPr>
                          <w:t xml:space="preserve"> Pie size is proportional to the number of individuals per location, where each color represents a species. Black dashed lines indicate contemporary barriers that were evaluated, while the historical barrier, the </w:t>
                        </w:r>
                        <w:r>
                          <w:rPr>
                            <w:rFonts w:ascii="Times New Roman" w:hAnsi="Times New Roman" w:cs="Times New Roman"/>
                            <w:color w:val="000000" w:themeColor="text1"/>
                            <w:sz w:val="20"/>
                            <w:szCs w:val="20"/>
                          </w:rPr>
                          <w:t xml:space="preserve">rising of the </w:t>
                        </w:r>
                        <w:r w:rsidRPr="001D608F">
                          <w:rPr>
                            <w:rFonts w:ascii="Times New Roman" w:hAnsi="Times New Roman" w:cs="Times New Roman"/>
                            <w:color w:val="000000" w:themeColor="text1"/>
                            <w:sz w:val="20"/>
                            <w:szCs w:val="20"/>
                          </w:rPr>
                          <w:t>Isthmus of Panama, is marked in red.</w:t>
                        </w:r>
                      </w:p>
                      <w:p w14:paraId="213D46E4" w14:textId="77777777" w:rsidR="00AB3DA2" w:rsidRDefault="00AB3DA2" w:rsidP="00AB3DA2"/>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8" type="#_x0000_t75" alt="A map of the world with different colored circles&#10;&#10;Description automatically generated" style="position:absolute;left:646;width:59665;height:389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">
                  <v:imagedata r:id="rId45" o:title="A map of the world with different colored circles&#10;&#10;Description automatically generated"/>
                </v:shape>
                <w10:wrap type="square"/>
              </v:group>
            </w:pict>
          </mc:Fallback>
        </mc:AlternateContent>
      </w:r>
    </w:p>
    <w:p w14:paraId="6FE79129" w14:textId="00EBA114" w:rsidR="00793FF5" w:rsidRPr="00793FF5" w:rsidRDefault="00793FF5" w:rsidP="00793FF5">
      <w:pPr>
        <w:rPr>
          <w:rFonts w:ascii="Times New Roman" w:hAnsi="Times New Roman" w:cs="Times New Roman"/>
          <w:sz w:val="24"/>
          <w:szCs w:val="24"/>
        </w:rPr>
      </w:pPr>
    </w:p>
    <w:p w14:paraId="4A32DCE6" w14:textId="7D8ECB79" w:rsidR="00793FF5" w:rsidRPr="00793FF5" w:rsidRDefault="00793FF5" w:rsidP="00793FF5">
      <w:pPr>
        <w:rPr>
          <w:rFonts w:ascii="Times New Roman" w:hAnsi="Times New Roman" w:cs="Times New Roman"/>
          <w:sz w:val="24"/>
          <w:szCs w:val="24"/>
        </w:rPr>
      </w:pPr>
    </w:p>
    <w:p w14:paraId="730944BB" w14:textId="10D21A04" w:rsidR="00793FF5" w:rsidRPr="00793FF5" w:rsidRDefault="00793FF5" w:rsidP="00793FF5">
      <w:pPr>
        <w:rPr>
          <w:rFonts w:ascii="Times New Roman" w:hAnsi="Times New Roman" w:cs="Times New Roman"/>
          <w:sz w:val="24"/>
          <w:szCs w:val="24"/>
        </w:rPr>
      </w:pPr>
    </w:p>
    <w:p w14:paraId="11717B21" w14:textId="77777777" w:rsidR="00793FF5" w:rsidRDefault="00793FF5" w:rsidP="00793FF5">
      <w:pPr>
        <w:rPr>
          <w:rFonts w:ascii="Times New Roman" w:hAnsi="Times New Roman" w:cs="Times New Roman"/>
          <w:sz w:val="24"/>
          <w:szCs w:val="24"/>
        </w:rPr>
      </w:pPr>
    </w:p>
    <w:p w14:paraId="0F131428" w14:textId="77777777" w:rsidR="00793FF5" w:rsidRPr="00793FF5" w:rsidRDefault="00793FF5" w:rsidP="00793FF5">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
        <w:gridCol w:w="916"/>
        <w:gridCol w:w="3461"/>
        <w:gridCol w:w="2183"/>
        <w:gridCol w:w="1862"/>
      </w:tblGrid>
      <w:tr w:rsidR="00AB3DA2" w:rsidRPr="00496C7B" w14:paraId="345C3029" w14:textId="77777777" w:rsidTr="00031031">
        <w:tc>
          <w:tcPr>
            <w:tcW w:w="9350" w:type="dxa"/>
            <w:gridSpan w:val="5"/>
            <w:tcBorders>
              <w:top w:val="single" w:sz="18" w:space="0" w:color="auto"/>
              <w:bottom w:val="single" w:sz="18" w:space="0" w:color="auto"/>
            </w:tcBorders>
          </w:tcPr>
          <w:p w14:paraId="03036591" w14:textId="77777777" w:rsidR="00AB3DA2" w:rsidRPr="00496C7B" w:rsidRDefault="00AB3DA2" w:rsidP="00031031">
            <w:pPr>
              <w:jc w:val="both"/>
              <w:rPr>
                <w:rFonts w:ascii="Times New Roman" w:hAnsi="Times New Roman" w:cs="Times New Roman"/>
                <w:b/>
                <w:bCs/>
                <w:sz w:val="20"/>
                <w:szCs w:val="20"/>
              </w:rPr>
            </w:pPr>
            <w:bookmarkStart w:id="3" w:name="TableS1"/>
            <w:r w:rsidRPr="00496C7B">
              <w:rPr>
                <w:rFonts w:ascii="Times New Roman" w:hAnsi="Times New Roman" w:cs="Times New Roman"/>
                <w:b/>
                <w:bCs/>
                <w:sz w:val="20"/>
                <w:szCs w:val="20"/>
              </w:rPr>
              <w:lastRenderedPageBreak/>
              <w:t>Table S1</w:t>
            </w:r>
            <w:bookmarkEnd w:id="3"/>
            <w:r w:rsidRPr="00496C7B">
              <w:rPr>
                <w:rFonts w:ascii="Times New Roman" w:hAnsi="Times New Roman" w:cs="Times New Roman"/>
                <w:b/>
                <w:bCs/>
                <w:sz w:val="20"/>
                <w:szCs w:val="20"/>
              </w:rPr>
              <w:t xml:space="preserve">. </w:t>
            </w:r>
            <w:r w:rsidRPr="00EB5B28">
              <w:rPr>
                <w:rFonts w:ascii="Times New Roman" w:hAnsi="Times New Roman" w:cs="Times New Roman"/>
                <w:sz w:val="20"/>
                <w:szCs w:val="20"/>
              </w:rPr>
              <w:t>Sampling localities across the Tropical Eastern Pacific (TEP) and Tropical Atlantic (TA)</w:t>
            </w:r>
          </w:p>
        </w:tc>
      </w:tr>
      <w:tr w:rsidR="00AB3DA2" w:rsidRPr="00496C7B" w14:paraId="7BAD6C65" w14:textId="77777777" w:rsidTr="00031031">
        <w:tc>
          <w:tcPr>
            <w:tcW w:w="928" w:type="dxa"/>
            <w:tcBorders>
              <w:top w:val="single" w:sz="18" w:space="0" w:color="auto"/>
              <w:bottom w:val="single" w:sz="18" w:space="0" w:color="auto"/>
            </w:tcBorders>
          </w:tcPr>
          <w:p w14:paraId="4FB06F7C" w14:textId="77777777" w:rsidR="00AB3DA2" w:rsidRPr="00496C7B" w:rsidRDefault="00AB3DA2" w:rsidP="00031031">
            <w:pPr>
              <w:jc w:val="both"/>
              <w:rPr>
                <w:rFonts w:ascii="Times New Roman" w:hAnsi="Times New Roman" w:cs="Times New Roman"/>
                <w:b/>
                <w:bCs/>
                <w:sz w:val="20"/>
                <w:szCs w:val="20"/>
              </w:rPr>
            </w:pPr>
            <w:r w:rsidRPr="00496C7B">
              <w:rPr>
                <w:rFonts w:ascii="Times New Roman" w:hAnsi="Times New Roman" w:cs="Times New Roman"/>
                <w:b/>
                <w:bCs/>
                <w:sz w:val="20"/>
                <w:szCs w:val="20"/>
              </w:rPr>
              <w:t>Number ID</w:t>
            </w:r>
          </w:p>
        </w:tc>
        <w:tc>
          <w:tcPr>
            <w:tcW w:w="916" w:type="dxa"/>
            <w:tcBorders>
              <w:top w:val="single" w:sz="18" w:space="0" w:color="auto"/>
              <w:bottom w:val="single" w:sz="18" w:space="0" w:color="auto"/>
            </w:tcBorders>
          </w:tcPr>
          <w:p w14:paraId="3EB1C9AE" w14:textId="77777777" w:rsidR="00AB3DA2" w:rsidRPr="00496C7B" w:rsidRDefault="00AB3DA2" w:rsidP="00031031">
            <w:pPr>
              <w:jc w:val="both"/>
              <w:rPr>
                <w:rFonts w:ascii="Times New Roman" w:hAnsi="Times New Roman" w:cs="Times New Roman"/>
                <w:b/>
                <w:bCs/>
                <w:sz w:val="20"/>
                <w:szCs w:val="20"/>
              </w:rPr>
            </w:pPr>
            <w:r w:rsidRPr="00496C7B">
              <w:rPr>
                <w:rFonts w:ascii="Times New Roman" w:hAnsi="Times New Roman" w:cs="Times New Roman"/>
                <w:b/>
                <w:bCs/>
                <w:sz w:val="20"/>
                <w:szCs w:val="20"/>
              </w:rPr>
              <w:t>Locality ID</w:t>
            </w:r>
          </w:p>
        </w:tc>
        <w:tc>
          <w:tcPr>
            <w:tcW w:w="3461" w:type="dxa"/>
            <w:tcBorders>
              <w:top w:val="single" w:sz="18" w:space="0" w:color="auto"/>
              <w:bottom w:val="single" w:sz="18" w:space="0" w:color="auto"/>
            </w:tcBorders>
          </w:tcPr>
          <w:p w14:paraId="4592E5B0" w14:textId="77777777" w:rsidR="00AB3DA2" w:rsidRPr="00496C7B" w:rsidRDefault="00AB3DA2" w:rsidP="00031031">
            <w:pPr>
              <w:jc w:val="both"/>
              <w:rPr>
                <w:rFonts w:ascii="Times New Roman" w:hAnsi="Times New Roman" w:cs="Times New Roman"/>
                <w:b/>
                <w:bCs/>
                <w:sz w:val="20"/>
                <w:szCs w:val="20"/>
              </w:rPr>
            </w:pPr>
            <w:r w:rsidRPr="00496C7B">
              <w:rPr>
                <w:rFonts w:ascii="Times New Roman" w:hAnsi="Times New Roman" w:cs="Times New Roman"/>
                <w:b/>
                <w:bCs/>
                <w:sz w:val="20"/>
                <w:szCs w:val="20"/>
              </w:rPr>
              <w:t>Locality name</w:t>
            </w:r>
          </w:p>
        </w:tc>
        <w:tc>
          <w:tcPr>
            <w:tcW w:w="2183" w:type="dxa"/>
            <w:tcBorders>
              <w:top w:val="single" w:sz="18" w:space="0" w:color="auto"/>
              <w:bottom w:val="single" w:sz="18" w:space="0" w:color="auto"/>
            </w:tcBorders>
          </w:tcPr>
          <w:p w14:paraId="2F8263BC" w14:textId="77777777" w:rsidR="00AB3DA2" w:rsidRPr="00496C7B" w:rsidRDefault="00AB3DA2" w:rsidP="00031031">
            <w:pPr>
              <w:jc w:val="both"/>
              <w:rPr>
                <w:rFonts w:ascii="Times New Roman" w:hAnsi="Times New Roman" w:cs="Times New Roman"/>
                <w:b/>
                <w:bCs/>
                <w:sz w:val="20"/>
                <w:szCs w:val="20"/>
              </w:rPr>
            </w:pPr>
            <w:r w:rsidRPr="00496C7B">
              <w:rPr>
                <w:rFonts w:ascii="Times New Roman" w:hAnsi="Times New Roman" w:cs="Times New Roman"/>
                <w:b/>
                <w:bCs/>
                <w:sz w:val="20"/>
                <w:szCs w:val="20"/>
              </w:rPr>
              <w:t>Country</w:t>
            </w:r>
          </w:p>
        </w:tc>
        <w:tc>
          <w:tcPr>
            <w:tcW w:w="1862" w:type="dxa"/>
            <w:tcBorders>
              <w:top w:val="single" w:sz="18" w:space="0" w:color="auto"/>
              <w:bottom w:val="single" w:sz="18" w:space="0" w:color="auto"/>
            </w:tcBorders>
          </w:tcPr>
          <w:p w14:paraId="3838F21F" w14:textId="77777777" w:rsidR="00AB3DA2" w:rsidRPr="00496C7B" w:rsidRDefault="00AB3DA2" w:rsidP="00031031">
            <w:pPr>
              <w:jc w:val="both"/>
              <w:rPr>
                <w:rFonts w:ascii="Times New Roman" w:hAnsi="Times New Roman" w:cs="Times New Roman"/>
                <w:b/>
                <w:bCs/>
                <w:sz w:val="20"/>
                <w:szCs w:val="20"/>
              </w:rPr>
            </w:pPr>
            <w:r w:rsidRPr="00496C7B">
              <w:rPr>
                <w:rFonts w:ascii="Times New Roman" w:hAnsi="Times New Roman" w:cs="Times New Roman"/>
                <w:b/>
                <w:bCs/>
                <w:sz w:val="20"/>
                <w:szCs w:val="20"/>
              </w:rPr>
              <w:t>Biogeographic region</w:t>
            </w:r>
          </w:p>
        </w:tc>
      </w:tr>
      <w:tr w:rsidR="00AB3DA2" w:rsidRPr="00496C7B" w14:paraId="2C7C2152" w14:textId="77777777" w:rsidTr="00031031">
        <w:tc>
          <w:tcPr>
            <w:tcW w:w="928" w:type="dxa"/>
            <w:tcBorders>
              <w:top w:val="single" w:sz="18" w:space="0" w:color="auto"/>
            </w:tcBorders>
          </w:tcPr>
          <w:p w14:paraId="4724566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w:t>
            </w:r>
          </w:p>
        </w:tc>
        <w:tc>
          <w:tcPr>
            <w:tcW w:w="916" w:type="dxa"/>
            <w:tcBorders>
              <w:top w:val="single" w:sz="18" w:space="0" w:color="auto"/>
            </w:tcBorders>
          </w:tcPr>
          <w:p w14:paraId="581477A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FRA</w:t>
            </w:r>
          </w:p>
        </w:tc>
        <w:tc>
          <w:tcPr>
            <w:tcW w:w="3461" w:type="dxa"/>
            <w:tcBorders>
              <w:top w:val="single" w:sz="18" w:space="0" w:color="auto"/>
            </w:tcBorders>
          </w:tcPr>
          <w:p w14:paraId="243E21C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Los Frailes</w:t>
            </w:r>
          </w:p>
        </w:tc>
        <w:tc>
          <w:tcPr>
            <w:tcW w:w="2183" w:type="dxa"/>
            <w:tcBorders>
              <w:top w:val="single" w:sz="18" w:space="0" w:color="auto"/>
            </w:tcBorders>
          </w:tcPr>
          <w:p w14:paraId="7EA26AF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Borders>
              <w:top w:val="single" w:sz="18" w:space="0" w:color="auto"/>
            </w:tcBorders>
          </w:tcPr>
          <w:p w14:paraId="37ED7A5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3EACC69C" w14:textId="77777777" w:rsidTr="00031031">
        <w:tc>
          <w:tcPr>
            <w:tcW w:w="928" w:type="dxa"/>
          </w:tcPr>
          <w:p w14:paraId="311710F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w:t>
            </w:r>
          </w:p>
        </w:tc>
        <w:tc>
          <w:tcPr>
            <w:tcW w:w="916" w:type="dxa"/>
          </w:tcPr>
          <w:p w14:paraId="5CF2CD3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TPE</w:t>
            </w:r>
          </w:p>
        </w:tc>
        <w:tc>
          <w:tcPr>
            <w:tcW w:w="3461" w:type="dxa"/>
          </w:tcPr>
          <w:p w14:paraId="69B6952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El Tepetate</w:t>
            </w:r>
          </w:p>
        </w:tc>
        <w:tc>
          <w:tcPr>
            <w:tcW w:w="2183" w:type="dxa"/>
          </w:tcPr>
          <w:p w14:paraId="1C842C5E"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15A6E50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6242CA4F" w14:textId="77777777" w:rsidTr="00031031">
        <w:tc>
          <w:tcPr>
            <w:tcW w:w="928" w:type="dxa"/>
          </w:tcPr>
          <w:p w14:paraId="054C27B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3</w:t>
            </w:r>
          </w:p>
        </w:tc>
        <w:tc>
          <w:tcPr>
            <w:tcW w:w="916" w:type="dxa"/>
          </w:tcPr>
          <w:p w14:paraId="559B5CA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CED</w:t>
            </w:r>
          </w:p>
        </w:tc>
        <w:tc>
          <w:tcPr>
            <w:tcW w:w="3461" w:type="dxa"/>
          </w:tcPr>
          <w:p w14:paraId="443F85E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Los Cedros</w:t>
            </w:r>
          </w:p>
        </w:tc>
        <w:tc>
          <w:tcPr>
            <w:tcW w:w="2183" w:type="dxa"/>
          </w:tcPr>
          <w:p w14:paraId="5401EBE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68C4D59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0789D8AB" w14:textId="77777777" w:rsidTr="00031031">
        <w:tc>
          <w:tcPr>
            <w:tcW w:w="928" w:type="dxa"/>
          </w:tcPr>
          <w:p w14:paraId="37582B5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4</w:t>
            </w:r>
          </w:p>
        </w:tc>
        <w:tc>
          <w:tcPr>
            <w:tcW w:w="916" w:type="dxa"/>
          </w:tcPr>
          <w:p w14:paraId="4C837EF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STI</w:t>
            </w:r>
          </w:p>
        </w:tc>
        <w:tc>
          <w:tcPr>
            <w:tcW w:w="3461" w:type="dxa"/>
          </w:tcPr>
          <w:p w14:paraId="6BABE70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Santa Inés</w:t>
            </w:r>
          </w:p>
        </w:tc>
        <w:tc>
          <w:tcPr>
            <w:tcW w:w="2183" w:type="dxa"/>
          </w:tcPr>
          <w:p w14:paraId="3CCB1B6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56E76E9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46A37C73" w14:textId="77777777" w:rsidTr="00031031">
        <w:tc>
          <w:tcPr>
            <w:tcW w:w="928" w:type="dxa"/>
          </w:tcPr>
          <w:p w14:paraId="4E49D4B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5</w:t>
            </w:r>
          </w:p>
        </w:tc>
        <w:tc>
          <w:tcPr>
            <w:tcW w:w="916" w:type="dxa"/>
          </w:tcPr>
          <w:p w14:paraId="01732E7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SAC</w:t>
            </w:r>
          </w:p>
        </w:tc>
        <w:tc>
          <w:tcPr>
            <w:tcW w:w="3461" w:type="dxa"/>
          </w:tcPr>
          <w:p w14:paraId="3ACAD3A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El Sacramento</w:t>
            </w:r>
          </w:p>
        </w:tc>
        <w:tc>
          <w:tcPr>
            <w:tcW w:w="2183" w:type="dxa"/>
          </w:tcPr>
          <w:p w14:paraId="1226F65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7BC4C41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1A45E851" w14:textId="77777777" w:rsidTr="00031031">
        <w:tc>
          <w:tcPr>
            <w:tcW w:w="928" w:type="dxa"/>
          </w:tcPr>
          <w:p w14:paraId="08EA166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6</w:t>
            </w:r>
          </w:p>
        </w:tc>
        <w:tc>
          <w:tcPr>
            <w:tcW w:w="916" w:type="dxa"/>
          </w:tcPr>
          <w:p w14:paraId="17694F7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PUE</w:t>
            </w:r>
          </w:p>
        </w:tc>
        <w:tc>
          <w:tcPr>
            <w:tcW w:w="3461" w:type="dxa"/>
          </w:tcPr>
          <w:p w14:paraId="3E1A8C54"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Puertecitos</w:t>
            </w:r>
          </w:p>
        </w:tc>
        <w:tc>
          <w:tcPr>
            <w:tcW w:w="2183" w:type="dxa"/>
          </w:tcPr>
          <w:p w14:paraId="1B86554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0B82215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6005CD7C" w14:textId="77777777" w:rsidTr="00031031">
        <w:tc>
          <w:tcPr>
            <w:tcW w:w="928" w:type="dxa"/>
          </w:tcPr>
          <w:p w14:paraId="06EE198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7</w:t>
            </w:r>
          </w:p>
        </w:tc>
        <w:tc>
          <w:tcPr>
            <w:tcW w:w="916" w:type="dxa"/>
          </w:tcPr>
          <w:p w14:paraId="77555EE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SER</w:t>
            </w:r>
          </w:p>
        </w:tc>
        <w:tc>
          <w:tcPr>
            <w:tcW w:w="3461" w:type="dxa"/>
          </w:tcPr>
          <w:p w14:paraId="2126931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Seri Muerto</w:t>
            </w:r>
          </w:p>
        </w:tc>
        <w:tc>
          <w:tcPr>
            <w:tcW w:w="2183" w:type="dxa"/>
          </w:tcPr>
          <w:p w14:paraId="5FE6BF9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3250C79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4AEC06B1" w14:textId="77777777" w:rsidTr="00031031">
        <w:tc>
          <w:tcPr>
            <w:tcW w:w="928" w:type="dxa"/>
          </w:tcPr>
          <w:p w14:paraId="59A901E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8</w:t>
            </w:r>
          </w:p>
        </w:tc>
        <w:tc>
          <w:tcPr>
            <w:tcW w:w="916" w:type="dxa"/>
          </w:tcPr>
          <w:p w14:paraId="43BA344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VAL</w:t>
            </w:r>
          </w:p>
        </w:tc>
        <w:tc>
          <w:tcPr>
            <w:tcW w:w="3461" w:type="dxa"/>
          </w:tcPr>
          <w:p w14:paraId="5973BD2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Vallarta</w:t>
            </w:r>
          </w:p>
        </w:tc>
        <w:tc>
          <w:tcPr>
            <w:tcW w:w="2183" w:type="dxa"/>
          </w:tcPr>
          <w:p w14:paraId="482CD16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7A69E10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462C3C28" w14:textId="77777777" w:rsidTr="00031031">
        <w:tc>
          <w:tcPr>
            <w:tcW w:w="928" w:type="dxa"/>
          </w:tcPr>
          <w:p w14:paraId="5BC9931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9</w:t>
            </w:r>
          </w:p>
        </w:tc>
        <w:tc>
          <w:tcPr>
            <w:tcW w:w="916" w:type="dxa"/>
          </w:tcPr>
          <w:p w14:paraId="5F1C843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SAN</w:t>
            </w:r>
          </w:p>
        </w:tc>
        <w:tc>
          <w:tcPr>
            <w:tcW w:w="3461" w:type="dxa"/>
          </w:tcPr>
          <w:p w14:paraId="640907EC"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Santiago</w:t>
            </w:r>
          </w:p>
        </w:tc>
        <w:tc>
          <w:tcPr>
            <w:tcW w:w="2183" w:type="dxa"/>
          </w:tcPr>
          <w:p w14:paraId="4981CFB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14095C7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3E6E417E" w14:textId="77777777" w:rsidTr="00031031">
        <w:tc>
          <w:tcPr>
            <w:tcW w:w="928" w:type="dxa"/>
          </w:tcPr>
          <w:p w14:paraId="2A0CB3F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10</w:t>
            </w:r>
          </w:p>
        </w:tc>
        <w:tc>
          <w:tcPr>
            <w:tcW w:w="916" w:type="dxa"/>
          </w:tcPr>
          <w:p w14:paraId="4460874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MIC</w:t>
            </w:r>
          </w:p>
        </w:tc>
        <w:tc>
          <w:tcPr>
            <w:tcW w:w="3461" w:type="dxa"/>
          </w:tcPr>
          <w:p w14:paraId="4632C7B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Michoacán</w:t>
            </w:r>
          </w:p>
        </w:tc>
        <w:tc>
          <w:tcPr>
            <w:tcW w:w="2183" w:type="dxa"/>
          </w:tcPr>
          <w:p w14:paraId="2524D3A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10D7B60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515583D0" w14:textId="77777777" w:rsidTr="00031031">
        <w:tc>
          <w:tcPr>
            <w:tcW w:w="928" w:type="dxa"/>
          </w:tcPr>
          <w:p w14:paraId="26D365A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11</w:t>
            </w:r>
          </w:p>
        </w:tc>
        <w:tc>
          <w:tcPr>
            <w:tcW w:w="916" w:type="dxa"/>
          </w:tcPr>
          <w:p w14:paraId="16EF7A3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ZAC</w:t>
            </w:r>
          </w:p>
        </w:tc>
        <w:tc>
          <w:tcPr>
            <w:tcW w:w="3461" w:type="dxa"/>
          </w:tcPr>
          <w:p w14:paraId="7C30021E"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Zacatoso</w:t>
            </w:r>
          </w:p>
        </w:tc>
        <w:tc>
          <w:tcPr>
            <w:tcW w:w="2183" w:type="dxa"/>
          </w:tcPr>
          <w:p w14:paraId="58CE21F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76F9343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06BF1DE9" w14:textId="77777777" w:rsidTr="00031031">
        <w:tc>
          <w:tcPr>
            <w:tcW w:w="928" w:type="dxa"/>
          </w:tcPr>
          <w:p w14:paraId="58AEAE6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12</w:t>
            </w:r>
          </w:p>
        </w:tc>
        <w:tc>
          <w:tcPr>
            <w:tcW w:w="916" w:type="dxa"/>
          </w:tcPr>
          <w:p w14:paraId="4064CE0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AGU</w:t>
            </w:r>
          </w:p>
        </w:tc>
        <w:tc>
          <w:tcPr>
            <w:tcW w:w="3461" w:type="dxa"/>
          </w:tcPr>
          <w:p w14:paraId="7641AA8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Agustinillo</w:t>
            </w:r>
          </w:p>
        </w:tc>
        <w:tc>
          <w:tcPr>
            <w:tcW w:w="2183" w:type="dxa"/>
          </w:tcPr>
          <w:p w14:paraId="5036F24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66F9585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35E2DF62" w14:textId="77777777" w:rsidTr="00031031">
        <w:tc>
          <w:tcPr>
            <w:tcW w:w="928" w:type="dxa"/>
          </w:tcPr>
          <w:p w14:paraId="6CEB235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13</w:t>
            </w:r>
          </w:p>
        </w:tc>
        <w:tc>
          <w:tcPr>
            <w:tcW w:w="916" w:type="dxa"/>
          </w:tcPr>
          <w:p w14:paraId="13B8E86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COB</w:t>
            </w:r>
          </w:p>
        </w:tc>
        <w:tc>
          <w:tcPr>
            <w:tcW w:w="3461" w:type="dxa"/>
          </w:tcPr>
          <w:p w14:paraId="37B878AE"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Los Cóbanos</w:t>
            </w:r>
          </w:p>
        </w:tc>
        <w:tc>
          <w:tcPr>
            <w:tcW w:w="2183" w:type="dxa"/>
          </w:tcPr>
          <w:p w14:paraId="3AFA8D1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El Salvador</w:t>
            </w:r>
          </w:p>
        </w:tc>
        <w:tc>
          <w:tcPr>
            <w:tcW w:w="1862" w:type="dxa"/>
          </w:tcPr>
          <w:p w14:paraId="3902A78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693475F7" w14:textId="77777777" w:rsidTr="00031031">
        <w:tc>
          <w:tcPr>
            <w:tcW w:w="928" w:type="dxa"/>
          </w:tcPr>
          <w:p w14:paraId="5BA0828C"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14</w:t>
            </w:r>
          </w:p>
        </w:tc>
        <w:tc>
          <w:tcPr>
            <w:tcW w:w="916" w:type="dxa"/>
          </w:tcPr>
          <w:p w14:paraId="37BD2DC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CBL</w:t>
            </w:r>
          </w:p>
        </w:tc>
        <w:tc>
          <w:tcPr>
            <w:tcW w:w="3461" w:type="dxa"/>
          </w:tcPr>
          <w:p w14:paraId="6F92A50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Cabo Blanco</w:t>
            </w:r>
          </w:p>
        </w:tc>
        <w:tc>
          <w:tcPr>
            <w:tcW w:w="2183" w:type="dxa"/>
          </w:tcPr>
          <w:p w14:paraId="67D1E70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Costa Rica</w:t>
            </w:r>
          </w:p>
        </w:tc>
        <w:tc>
          <w:tcPr>
            <w:tcW w:w="1862" w:type="dxa"/>
          </w:tcPr>
          <w:p w14:paraId="7A99613E"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7A740A9D" w14:textId="77777777" w:rsidTr="00031031">
        <w:tc>
          <w:tcPr>
            <w:tcW w:w="928" w:type="dxa"/>
          </w:tcPr>
          <w:p w14:paraId="1C9E7B0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15</w:t>
            </w:r>
          </w:p>
        </w:tc>
        <w:tc>
          <w:tcPr>
            <w:tcW w:w="916" w:type="dxa"/>
          </w:tcPr>
          <w:p w14:paraId="06E3279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PED</w:t>
            </w:r>
          </w:p>
        </w:tc>
        <w:tc>
          <w:tcPr>
            <w:tcW w:w="3461" w:type="dxa"/>
          </w:tcPr>
          <w:p w14:paraId="5371C5F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Pedasí</w:t>
            </w:r>
          </w:p>
        </w:tc>
        <w:tc>
          <w:tcPr>
            <w:tcW w:w="2183" w:type="dxa"/>
          </w:tcPr>
          <w:p w14:paraId="4EC4318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Panama</w:t>
            </w:r>
          </w:p>
        </w:tc>
        <w:tc>
          <w:tcPr>
            <w:tcW w:w="1862" w:type="dxa"/>
          </w:tcPr>
          <w:p w14:paraId="57ABF21C"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4A82C062" w14:textId="77777777" w:rsidTr="00031031">
        <w:tc>
          <w:tcPr>
            <w:tcW w:w="928" w:type="dxa"/>
          </w:tcPr>
          <w:p w14:paraId="50C81F3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16</w:t>
            </w:r>
          </w:p>
        </w:tc>
        <w:tc>
          <w:tcPr>
            <w:tcW w:w="916" w:type="dxa"/>
          </w:tcPr>
          <w:p w14:paraId="2861AC3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PER</w:t>
            </w:r>
          </w:p>
        </w:tc>
        <w:tc>
          <w:tcPr>
            <w:tcW w:w="3461" w:type="dxa"/>
          </w:tcPr>
          <w:p w14:paraId="4619694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Las Perlas Archipelago</w:t>
            </w:r>
          </w:p>
        </w:tc>
        <w:tc>
          <w:tcPr>
            <w:tcW w:w="2183" w:type="dxa"/>
          </w:tcPr>
          <w:p w14:paraId="57E9208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Panama</w:t>
            </w:r>
          </w:p>
        </w:tc>
        <w:tc>
          <w:tcPr>
            <w:tcW w:w="1862" w:type="dxa"/>
          </w:tcPr>
          <w:p w14:paraId="2591194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0A87C8AA" w14:textId="77777777" w:rsidTr="00031031">
        <w:tc>
          <w:tcPr>
            <w:tcW w:w="928" w:type="dxa"/>
          </w:tcPr>
          <w:p w14:paraId="151B4D6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17</w:t>
            </w:r>
          </w:p>
        </w:tc>
        <w:tc>
          <w:tcPr>
            <w:tcW w:w="916" w:type="dxa"/>
          </w:tcPr>
          <w:p w14:paraId="53759EDE"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NUQ</w:t>
            </w:r>
          </w:p>
        </w:tc>
        <w:tc>
          <w:tcPr>
            <w:tcW w:w="3461" w:type="dxa"/>
          </w:tcPr>
          <w:p w14:paraId="625C8FC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Nuquí</w:t>
            </w:r>
          </w:p>
        </w:tc>
        <w:tc>
          <w:tcPr>
            <w:tcW w:w="2183" w:type="dxa"/>
          </w:tcPr>
          <w:p w14:paraId="14058D8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Colombia</w:t>
            </w:r>
          </w:p>
        </w:tc>
        <w:tc>
          <w:tcPr>
            <w:tcW w:w="1862" w:type="dxa"/>
          </w:tcPr>
          <w:p w14:paraId="3414518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2EBCB95F" w14:textId="77777777" w:rsidTr="00031031">
        <w:tc>
          <w:tcPr>
            <w:tcW w:w="928" w:type="dxa"/>
          </w:tcPr>
          <w:p w14:paraId="1629CC7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18</w:t>
            </w:r>
          </w:p>
        </w:tc>
        <w:tc>
          <w:tcPr>
            <w:tcW w:w="916" w:type="dxa"/>
          </w:tcPr>
          <w:p w14:paraId="5C95DF9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ECC</w:t>
            </w:r>
          </w:p>
        </w:tc>
        <w:tc>
          <w:tcPr>
            <w:tcW w:w="3461" w:type="dxa"/>
          </w:tcPr>
          <w:p w14:paraId="7CAFDFC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Continental Ecuador</w:t>
            </w:r>
          </w:p>
        </w:tc>
        <w:tc>
          <w:tcPr>
            <w:tcW w:w="2183" w:type="dxa"/>
          </w:tcPr>
          <w:p w14:paraId="02289E0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Ecuador</w:t>
            </w:r>
          </w:p>
        </w:tc>
        <w:tc>
          <w:tcPr>
            <w:tcW w:w="1862" w:type="dxa"/>
          </w:tcPr>
          <w:p w14:paraId="6B441A9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51931B02" w14:textId="77777777" w:rsidTr="00031031">
        <w:tc>
          <w:tcPr>
            <w:tcW w:w="928" w:type="dxa"/>
          </w:tcPr>
          <w:p w14:paraId="19204A0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19</w:t>
            </w:r>
          </w:p>
        </w:tc>
        <w:tc>
          <w:tcPr>
            <w:tcW w:w="916" w:type="dxa"/>
          </w:tcPr>
          <w:p w14:paraId="06C3CFB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GAL</w:t>
            </w:r>
          </w:p>
        </w:tc>
        <w:tc>
          <w:tcPr>
            <w:tcW w:w="3461" w:type="dxa"/>
          </w:tcPr>
          <w:p w14:paraId="2103B68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Galápagos Archipelago</w:t>
            </w:r>
          </w:p>
        </w:tc>
        <w:tc>
          <w:tcPr>
            <w:tcW w:w="2183" w:type="dxa"/>
          </w:tcPr>
          <w:p w14:paraId="267D60B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Ecuador</w:t>
            </w:r>
          </w:p>
        </w:tc>
        <w:tc>
          <w:tcPr>
            <w:tcW w:w="1862" w:type="dxa"/>
          </w:tcPr>
          <w:p w14:paraId="32F3E48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TEP</w:t>
            </w:r>
          </w:p>
        </w:tc>
      </w:tr>
      <w:tr w:rsidR="00AB3DA2" w:rsidRPr="00496C7B" w14:paraId="3B078DA6" w14:textId="77777777" w:rsidTr="00031031">
        <w:tc>
          <w:tcPr>
            <w:tcW w:w="928" w:type="dxa"/>
          </w:tcPr>
          <w:p w14:paraId="1380014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20</w:t>
            </w:r>
          </w:p>
        </w:tc>
        <w:tc>
          <w:tcPr>
            <w:tcW w:w="916" w:type="dxa"/>
          </w:tcPr>
          <w:p w14:paraId="30BCF92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BAH</w:t>
            </w:r>
          </w:p>
        </w:tc>
        <w:tc>
          <w:tcPr>
            <w:tcW w:w="3461" w:type="dxa"/>
          </w:tcPr>
          <w:p w14:paraId="5CAFEFA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The Bahamas</w:t>
            </w:r>
          </w:p>
        </w:tc>
        <w:tc>
          <w:tcPr>
            <w:tcW w:w="2183" w:type="dxa"/>
          </w:tcPr>
          <w:p w14:paraId="648A2F1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The Bahamas</w:t>
            </w:r>
          </w:p>
        </w:tc>
        <w:tc>
          <w:tcPr>
            <w:tcW w:w="1862" w:type="dxa"/>
          </w:tcPr>
          <w:p w14:paraId="243C5EA4"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6CB6518A" w14:textId="77777777" w:rsidTr="00031031">
        <w:tc>
          <w:tcPr>
            <w:tcW w:w="928" w:type="dxa"/>
          </w:tcPr>
          <w:p w14:paraId="2BD1EB8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21</w:t>
            </w:r>
          </w:p>
        </w:tc>
        <w:tc>
          <w:tcPr>
            <w:tcW w:w="916" w:type="dxa"/>
          </w:tcPr>
          <w:p w14:paraId="2F44714E"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FLO</w:t>
            </w:r>
          </w:p>
        </w:tc>
        <w:tc>
          <w:tcPr>
            <w:tcW w:w="3461" w:type="dxa"/>
          </w:tcPr>
          <w:p w14:paraId="6FBB951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Florida</w:t>
            </w:r>
          </w:p>
        </w:tc>
        <w:tc>
          <w:tcPr>
            <w:tcW w:w="2183" w:type="dxa"/>
          </w:tcPr>
          <w:p w14:paraId="0A52EEA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USA</w:t>
            </w:r>
          </w:p>
        </w:tc>
        <w:tc>
          <w:tcPr>
            <w:tcW w:w="1862" w:type="dxa"/>
          </w:tcPr>
          <w:p w14:paraId="2A99E36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34E19180" w14:textId="77777777" w:rsidTr="00031031">
        <w:tc>
          <w:tcPr>
            <w:tcW w:w="928" w:type="dxa"/>
          </w:tcPr>
          <w:p w14:paraId="29631AE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22</w:t>
            </w:r>
          </w:p>
        </w:tc>
        <w:tc>
          <w:tcPr>
            <w:tcW w:w="916" w:type="dxa"/>
          </w:tcPr>
          <w:p w14:paraId="5A0B44C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VER</w:t>
            </w:r>
          </w:p>
        </w:tc>
        <w:tc>
          <w:tcPr>
            <w:tcW w:w="3461" w:type="dxa"/>
          </w:tcPr>
          <w:p w14:paraId="7D59E5EC"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Veracruz</w:t>
            </w:r>
          </w:p>
        </w:tc>
        <w:tc>
          <w:tcPr>
            <w:tcW w:w="2183" w:type="dxa"/>
          </w:tcPr>
          <w:p w14:paraId="7CD67CF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4B847DF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2A1226F6" w14:textId="77777777" w:rsidTr="00031031">
        <w:tc>
          <w:tcPr>
            <w:tcW w:w="928" w:type="dxa"/>
          </w:tcPr>
          <w:p w14:paraId="4C979F6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23</w:t>
            </w:r>
          </w:p>
        </w:tc>
        <w:tc>
          <w:tcPr>
            <w:tcW w:w="916" w:type="dxa"/>
          </w:tcPr>
          <w:p w14:paraId="6FCA622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YUC</w:t>
            </w:r>
          </w:p>
        </w:tc>
        <w:tc>
          <w:tcPr>
            <w:tcW w:w="3461" w:type="dxa"/>
          </w:tcPr>
          <w:p w14:paraId="4224F73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Yucatán</w:t>
            </w:r>
          </w:p>
        </w:tc>
        <w:tc>
          <w:tcPr>
            <w:tcW w:w="2183" w:type="dxa"/>
          </w:tcPr>
          <w:p w14:paraId="1F2CF2E4"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Mexico</w:t>
            </w:r>
          </w:p>
        </w:tc>
        <w:tc>
          <w:tcPr>
            <w:tcW w:w="1862" w:type="dxa"/>
          </w:tcPr>
          <w:p w14:paraId="1A6EDC9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4F6EBBF7" w14:textId="77777777" w:rsidTr="00031031">
        <w:tc>
          <w:tcPr>
            <w:tcW w:w="928" w:type="dxa"/>
          </w:tcPr>
          <w:p w14:paraId="156D807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24</w:t>
            </w:r>
          </w:p>
        </w:tc>
        <w:tc>
          <w:tcPr>
            <w:tcW w:w="916" w:type="dxa"/>
          </w:tcPr>
          <w:p w14:paraId="24E6FC1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BLZ</w:t>
            </w:r>
          </w:p>
        </w:tc>
        <w:tc>
          <w:tcPr>
            <w:tcW w:w="3461" w:type="dxa"/>
          </w:tcPr>
          <w:p w14:paraId="4C61356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Belize</w:t>
            </w:r>
          </w:p>
        </w:tc>
        <w:tc>
          <w:tcPr>
            <w:tcW w:w="2183" w:type="dxa"/>
          </w:tcPr>
          <w:p w14:paraId="484980DC"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Belize</w:t>
            </w:r>
          </w:p>
        </w:tc>
        <w:tc>
          <w:tcPr>
            <w:tcW w:w="1862" w:type="dxa"/>
          </w:tcPr>
          <w:p w14:paraId="46E161B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4331F006" w14:textId="77777777" w:rsidTr="00031031">
        <w:tc>
          <w:tcPr>
            <w:tcW w:w="928" w:type="dxa"/>
          </w:tcPr>
          <w:p w14:paraId="662DD0B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25</w:t>
            </w:r>
          </w:p>
        </w:tc>
        <w:tc>
          <w:tcPr>
            <w:tcW w:w="916" w:type="dxa"/>
          </w:tcPr>
          <w:p w14:paraId="06ABE79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HON</w:t>
            </w:r>
          </w:p>
        </w:tc>
        <w:tc>
          <w:tcPr>
            <w:tcW w:w="3461" w:type="dxa"/>
          </w:tcPr>
          <w:p w14:paraId="0BE0B57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Utila</w:t>
            </w:r>
          </w:p>
        </w:tc>
        <w:tc>
          <w:tcPr>
            <w:tcW w:w="2183" w:type="dxa"/>
          </w:tcPr>
          <w:p w14:paraId="469F859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Honduras</w:t>
            </w:r>
          </w:p>
        </w:tc>
        <w:tc>
          <w:tcPr>
            <w:tcW w:w="1862" w:type="dxa"/>
          </w:tcPr>
          <w:p w14:paraId="70D5552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730395CE" w14:textId="77777777" w:rsidTr="00031031">
        <w:tc>
          <w:tcPr>
            <w:tcW w:w="928" w:type="dxa"/>
          </w:tcPr>
          <w:p w14:paraId="6DD1EB1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26</w:t>
            </w:r>
          </w:p>
        </w:tc>
        <w:tc>
          <w:tcPr>
            <w:tcW w:w="916" w:type="dxa"/>
          </w:tcPr>
          <w:p w14:paraId="29340A0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CAY</w:t>
            </w:r>
          </w:p>
        </w:tc>
        <w:tc>
          <w:tcPr>
            <w:tcW w:w="3461" w:type="dxa"/>
          </w:tcPr>
          <w:p w14:paraId="4C716504"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Cayman Islands</w:t>
            </w:r>
          </w:p>
        </w:tc>
        <w:tc>
          <w:tcPr>
            <w:tcW w:w="2183" w:type="dxa"/>
          </w:tcPr>
          <w:p w14:paraId="353D265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United Kingdom</w:t>
            </w:r>
          </w:p>
        </w:tc>
        <w:tc>
          <w:tcPr>
            <w:tcW w:w="1862" w:type="dxa"/>
          </w:tcPr>
          <w:p w14:paraId="05F3BF6E"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4EEA43B4" w14:textId="77777777" w:rsidTr="00031031">
        <w:tc>
          <w:tcPr>
            <w:tcW w:w="928" w:type="dxa"/>
          </w:tcPr>
          <w:p w14:paraId="6B96FE8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27</w:t>
            </w:r>
          </w:p>
        </w:tc>
        <w:tc>
          <w:tcPr>
            <w:tcW w:w="916" w:type="dxa"/>
          </w:tcPr>
          <w:p w14:paraId="1AAFD3F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AND</w:t>
            </w:r>
          </w:p>
        </w:tc>
        <w:tc>
          <w:tcPr>
            <w:tcW w:w="3461" w:type="dxa"/>
          </w:tcPr>
          <w:p w14:paraId="666390D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San Andrés</w:t>
            </w:r>
          </w:p>
        </w:tc>
        <w:tc>
          <w:tcPr>
            <w:tcW w:w="2183" w:type="dxa"/>
          </w:tcPr>
          <w:p w14:paraId="14B9118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Colombia</w:t>
            </w:r>
          </w:p>
        </w:tc>
        <w:tc>
          <w:tcPr>
            <w:tcW w:w="1862" w:type="dxa"/>
          </w:tcPr>
          <w:p w14:paraId="1AE14394"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5E01BDEE" w14:textId="77777777" w:rsidTr="00031031">
        <w:tc>
          <w:tcPr>
            <w:tcW w:w="928" w:type="dxa"/>
          </w:tcPr>
          <w:p w14:paraId="0C34406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28</w:t>
            </w:r>
          </w:p>
        </w:tc>
        <w:tc>
          <w:tcPr>
            <w:tcW w:w="916" w:type="dxa"/>
          </w:tcPr>
          <w:p w14:paraId="4B97C4D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LIM</w:t>
            </w:r>
          </w:p>
        </w:tc>
        <w:tc>
          <w:tcPr>
            <w:tcW w:w="3461" w:type="dxa"/>
          </w:tcPr>
          <w:p w14:paraId="1866B3D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Limón</w:t>
            </w:r>
          </w:p>
        </w:tc>
        <w:tc>
          <w:tcPr>
            <w:tcW w:w="2183" w:type="dxa"/>
          </w:tcPr>
          <w:p w14:paraId="370DE2C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Costa Rica</w:t>
            </w:r>
          </w:p>
        </w:tc>
        <w:tc>
          <w:tcPr>
            <w:tcW w:w="1862" w:type="dxa"/>
          </w:tcPr>
          <w:p w14:paraId="2AC18B1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1EB9A4CB" w14:textId="77777777" w:rsidTr="00031031">
        <w:tc>
          <w:tcPr>
            <w:tcW w:w="928" w:type="dxa"/>
          </w:tcPr>
          <w:p w14:paraId="03E045B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29</w:t>
            </w:r>
          </w:p>
        </w:tc>
        <w:tc>
          <w:tcPr>
            <w:tcW w:w="916" w:type="dxa"/>
          </w:tcPr>
          <w:p w14:paraId="4DDFCA7C"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PAN</w:t>
            </w:r>
          </w:p>
        </w:tc>
        <w:tc>
          <w:tcPr>
            <w:tcW w:w="3461" w:type="dxa"/>
          </w:tcPr>
          <w:p w14:paraId="1D67CFB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Panama</w:t>
            </w:r>
          </w:p>
        </w:tc>
        <w:tc>
          <w:tcPr>
            <w:tcW w:w="2183" w:type="dxa"/>
          </w:tcPr>
          <w:p w14:paraId="3297683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Panama</w:t>
            </w:r>
          </w:p>
        </w:tc>
        <w:tc>
          <w:tcPr>
            <w:tcW w:w="1862" w:type="dxa"/>
          </w:tcPr>
          <w:p w14:paraId="758587D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0D60BDCE" w14:textId="77777777" w:rsidTr="00031031">
        <w:tc>
          <w:tcPr>
            <w:tcW w:w="928" w:type="dxa"/>
          </w:tcPr>
          <w:p w14:paraId="52F3B71E"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30</w:t>
            </w:r>
          </w:p>
        </w:tc>
        <w:tc>
          <w:tcPr>
            <w:tcW w:w="916" w:type="dxa"/>
          </w:tcPr>
          <w:p w14:paraId="6AC4DCA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TAY</w:t>
            </w:r>
          </w:p>
        </w:tc>
        <w:tc>
          <w:tcPr>
            <w:tcW w:w="3461" w:type="dxa"/>
          </w:tcPr>
          <w:p w14:paraId="1D51DBF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Tayrona</w:t>
            </w:r>
          </w:p>
        </w:tc>
        <w:tc>
          <w:tcPr>
            <w:tcW w:w="2183" w:type="dxa"/>
          </w:tcPr>
          <w:p w14:paraId="686F8E54"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Colombia</w:t>
            </w:r>
          </w:p>
        </w:tc>
        <w:tc>
          <w:tcPr>
            <w:tcW w:w="1862" w:type="dxa"/>
          </w:tcPr>
          <w:p w14:paraId="1AB42E4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20CDD009" w14:textId="77777777" w:rsidTr="00031031">
        <w:tc>
          <w:tcPr>
            <w:tcW w:w="928" w:type="dxa"/>
          </w:tcPr>
          <w:p w14:paraId="535E310C"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31</w:t>
            </w:r>
          </w:p>
        </w:tc>
        <w:tc>
          <w:tcPr>
            <w:tcW w:w="916" w:type="dxa"/>
          </w:tcPr>
          <w:p w14:paraId="5F8C6F7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CUR</w:t>
            </w:r>
          </w:p>
        </w:tc>
        <w:tc>
          <w:tcPr>
            <w:tcW w:w="3461" w:type="dxa"/>
          </w:tcPr>
          <w:p w14:paraId="299C83A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Curaçao</w:t>
            </w:r>
          </w:p>
        </w:tc>
        <w:tc>
          <w:tcPr>
            <w:tcW w:w="2183" w:type="dxa"/>
          </w:tcPr>
          <w:p w14:paraId="7473F86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Netherlands</w:t>
            </w:r>
          </w:p>
        </w:tc>
        <w:tc>
          <w:tcPr>
            <w:tcW w:w="1862" w:type="dxa"/>
          </w:tcPr>
          <w:p w14:paraId="200CA97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080211C3" w14:textId="77777777" w:rsidTr="00031031">
        <w:tc>
          <w:tcPr>
            <w:tcW w:w="928" w:type="dxa"/>
          </w:tcPr>
          <w:p w14:paraId="12B2BDA4"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32</w:t>
            </w:r>
          </w:p>
        </w:tc>
        <w:tc>
          <w:tcPr>
            <w:tcW w:w="916" w:type="dxa"/>
          </w:tcPr>
          <w:p w14:paraId="6E22044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MON</w:t>
            </w:r>
          </w:p>
        </w:tc>
        <w:tc>
          <w:tcPr>
            <w:tcW w:w="3461" w:type="dxa"/>
          </w:tcPr>
          <w:p w14:paraId="2A0B37D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Mona Island</w:t>
            </w:r>
          </w:p>
        </w:tc>
        <w:tc>
          <w:tcPr>
            <w:tcW w:w="2183" w:type="dxa"/>
          </w:tcPr>
          <w:p w14:paraId="0B6A0C5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USA</w:t>
            </w:r>
          </w:p>
        </w:tc>
        <w:tc>
          <w:tcPr>
            <w:tcW w:w="1862" w:type="dxa"/>
          </w:tcPr>
          <w:p w14:paraId="7E68729E"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6A4A2D24" w14:textId="77777777" w:rsidTr="00031031">
        <w:tc>
          <w:tcPr>
            <w:tcW w:w="928" w:type="dxa"/>
          </w:tcPr>
          <w:p w14:paraId="52700AC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33</w:t>
            </w:r>
          </w:p>
        </w:tc>
        <w:tc>
          <w:tcPr>
            <w:tcW w:w="916" w:type="dxa"/>
          </w:tcPr>
          <w:p w14:paraId="2F5A633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PRI</w:t>
            </w:r>
          </w:p>
        </w:tc>
        <w:tc>
          <w:tcPr>
            <w:tcW w:w="3461" w:type="dxa"/>
          </w:tcPr>
          <w:p w14:paraId="399BFBAF"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Puerto Rico</w:t>
            </w:r>
          </w:p>
        </w:tc>
        <w:tc>
          <w:tcPr>
            <w:tcW w:w="2183" w:type="dxa"/>
          </w:tcPr>
          <w:p w14:paraId="30133AD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USA</w:t>
            </w:r>
          </w:p>
        </w:tc>
        <w:tc>
          <w:tcPr>
            <w:tcW w:w="1862" w:type="dxa"/>
          </w:tcPr>
          <w:p w14:paraId="6CC55B3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28AAC4F0" w14:textId="77777777" w:rsidTr="00031031">
        <w:tc>
          <w:tcPr>
            <w:tcW w:w="928" w:type="dxa"/>
          </w:tcPr>
          <w:p w14:paraId="3AB2B331"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34</w:t>
            </w:r>
          </w:p>
        </w:tc>
        <w:tc>
          <w:tcPr>
            <w:tcW w:w="916" w:type="dxa"/>
          </w:tcPr>
          <w:p w14:paraId="749134F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VIR</w:t>
            </w:r>
          </w:p>
        </w:tc>
        <w:tc>
          <w:tcPr>
            <w:tcW w:w="3461" w:type="dxa"/>
          </w:tcPr>
          <w:p w14:paraId="01A9E39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Virgin Islands</w:t>
            </w:r>
          </w:p>
        </w:tc>
        <w:tc>
          <w:tcPr>
            <w:tcW w:w="2183" w:type="dxa"/>
          </w:tcPr>
          <w:p w14:paraId="6D8CD51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USA</w:t>
            </w:r>
          </w:p>
        </w:tc>
        <w:tc>
          <w:tcPr>
            <w:tcW w:w="1862" w:type="dxa"/>
          </w:tcPr>
          <w:p w14:paraId="4ED6FCBD"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60E87A2A" w14:textId="77777777" w:rsidTr="00031031">
        <w:tc>
          <w:tcPr>
            <w:tcW w:w="928" w:type="dxa"/>
          </w:tcPr>
          <w:p w14:paraId="3A5202B4"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35</w:t>
            </w:r>
          </w:p>
        </w:tc>
        <w:tc>
          <w:tcPr>
            <w:tcW w:w="916" w:type="dxa"/>
          </w:tcPr>
          <w:p w14:paraId="773E933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DOM</w:t>
            </w:r>
          </w:p>
        </w:tc>
        <w:tc>
          <w:tcPr>
            <w:tcW w:w="3461" w:type="dxa"/>
          </w:tcPr>
          <w:p w14:paraId="36A2D7C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Dominica</w:t>
            </w:r>
          </w:p>
        </w:tc>
        <w:tc>
          <w:tcPr>
            <w:tcW w:w="2183" w:type="dxa"/>
          </w:tcPr>
          <w:p w14:paraId="203C169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Dominica</w:t>
            </w:r>
          </w:p>
        </w:tc>
        <w:tc>
          <w:tcPr>
            <w:tcW w:w="1862" w:type="dxa"/>
          </w:tcPr>
          <w:p w14:paraId="3C3BE5B7"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1E27D520" w14:textId="77777777" w:rsidTr="00031031">
        <w:tc>
          <w:tcPr>
            <w:tcW w:w="928" w:type="dxa"/>
          </w:tcPr>
          <w:p w14:paraId="51A3918C"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36</w:t>
            </w:r>
          </w:p>
        </w:tc>
        <w:tc>
          <w:tcPr>
            <w:tcW w:w="916" w:type="dxa"/>
          </w:tcPr>
          <w:p w14:paraId="0B137E1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TRT</w:t>
            </w:r>
          </w:p>
        </w:tc>
        <w:tc>
          <w:tcPr>
            <w:tcW w:w="3461" w:type="dxa"/>
          </w:tcPr>
          <w:p w14:paraId="05D987E9"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Trinidad and Tobago</w:t>
            </w:r>
          </w:p>
        </w:tc>
        <w:tc>
          <w:tcPr>
            <w:tcW w:w="2183" w:type="dxa"/>
          </w:tcPr>
          <w:p w14:paraId="053FAEAB"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Trinidad and Tobago</w:t>
            </w:r>
          </w:p>
        </w:tc>
        <w:tc>
          <w:tcPr>
            <w:tcW w:w="1862" w:type="dxa"/>
          </w:tcPr>
          <w:p w14:paraId="771C925C"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58669945" w14:textId="77777777" w:rsidTr="00031031">
        <w:tc>
          <w:tcPr>
            <w:tcW w:w="928" w:type="dxa"/>
          </w:tcPr>
          <w:p w14:paraId="7927F048"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37</w:t>
            </w:r>
          </w:p>
        </w:tc>
        <w:tc>
          <w:tcPr>
            <w:tcW w:w="916" w:type="dxa"/>
          </w:tcPr>
          <w:p w14:paraId="0C39FB3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NOR</w:t>
            </w:r>
          </w:p>
        </w:tc>
        <w:tc>
          <w:tcPr>
            <w:tcW w:w="3461" w:type="dxa"/>
          </w:tcPr>
          <w:p w14:paraId="27660BD3"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Fernando da Noronha</w:t>
            </w:r>
          </w:p>
        </w:tc>
        <w:tc>
          <w:tcPr>
            <w:tcW w:w="2183" w:type="dxa"/>
          </w:tcPr>
          <w:p w14:paraId="10E057A6"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Brazil</w:t>
            </w:r>
          </w:p>
        </w:tc>
        <w:tc>
          <w:tcPr>
            <w:tcW w:w="1862" w:type="dxa"/>
          </w:tcPr>
          <w:p w14:paraId="098F456A"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r w:rsidR="00AB3DA2" w:rsidRPr="00496C7B" w14:paraId="51355AFE" w14:textId="77777777" w:rsidTr="00031031">
        <w:tc>
          <w:tcPr>
            <w:tcW w:w="928" w:type="dxa"/>
            <w:tcBorders>
              <w:bottom w:val="single" w:sz="18" w:space="0" w:color="auto"/>
            </w:tcBorders>
          </w:tcPr>
          <w:p w14:paraId="7312DAE2"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38</w:t>
            </w:r>
          </w:p>
        </w:tc>
        <w:tc>
          <w:tcPr>
            <w:tcW w:w="916" w:type="dxa"/>
            <w:tcBorders>
              <w:bottom w:val="single" w:sz="18" w:space="0" w:color="auto"/>
            </w:tcBorders>
          </w:tcPr>
          <w:p w14:paraId="356402BE"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CVE</w:t>
            </w:r>
          </w:p>
        </w:tc>
        <w:tc>
          <w:tcPr>
            <w:tcW w:w="3461" w:type="dxa"/>
            <w:tcBorders>
              <w:bottom w:val="single" w:sz="18" w:space="0" w:color="auto"/>
            </w:tcBorders>
          </w:tcPr>
          <w:p w14:paraId="58CA0990"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Cape Verde</w:t>
            </w:r>
          </w:p>
        </w:tc>
        <w:tc>
          <w:tcPr>
            <w:tcW w:w="2183" w:type="dxa"/>
            <w:tcBorders>
              <w:bottom w:val="single" w:sz="18" w:space="0" w:color="auto"/>
            </w:tcBorders>
          </w:tcPr>
          <w:p w14:paraId="59DDD1A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Cape Verde</w:t>
            </w:r>
          </w:p>
        </w:tc>
        <w:tc>
          <w:tcPr>
            <w:tcW w:w="1862" w:type="dxa"/>
            <w:tcBorders>
              <w:bottom w:val="single" w:sz="18" w:space="0" w:color="auto"/>
            </w:tcBorders>
          </w:tcPr>
          <w:p w14:paraId="2DC09C35" w14:textId="77777777" w:rsidR="00AB3DA2" w:rsidRPr="00A94DBE" w:rsidRDefault="00AB3DA2" w:rsidP="00031031">
            <w:pPr>
              <w:jc w:val="both"/>
              <w:rPr>
                <w:rFonts w:ascii="Times New Roman" w:hAnsi="Times New Roman" w:cs="Times New Roman"/>
                <w:sz w:val="20"/>
                <w:szCs w:val="20"/>
              </w:rPr>
            </w:pPr>
            <w:r w:rsidRPr="00A94DBE">
              <w:rPr>
                <w:rFonts w:ascii="Times New Roman" w:hAnsi="Times New Roman" w:cs="Times New Roman"/>
                <w:sz w:val="20"/>
                <w:szCs w:val="20"/>
              </w:rPr>
              <w:t>TA</w:t>
            </w:r>
          </w:p>
        </w:tc>
      </w:tr>
    </w:tbl>
    <w:p w14:paraId="06F0B5E4" w14:textId="77777777" w:rsidR="00AB3DA2" w:rsidRDefault="00AB3DA2" w:rsidP="00AB3DA2">
      <w:pPr>
        <w:jc w:val="both"/>
        <w:rPr>
          <w:rFonts w:ascii="Times New Roman" w:hAnsi="Times New Roman" w:cs="Times New Roman"/>
          <w:b/>
          <w:bCs/>
        </w:rPr>
      </w:pPr>
    </w:p>
    <w:p w14:paraId="5B7EA9B8" w14:textId="77777777" w:rsidR="00AB3DA2" w:rsidRDefault="00AB3DA2" w:rsidP="00AB3DA2">
      <w:pPr>
        <w:jc w:val="both"/>
        <w:rPr>
          <w:rFonts w:ascii="Times New Roman" w:hAnsi="Times New Roman" w:cs="Times New Roman"/>
          <w:b/>
          <w:bCs/>
        </w:rPr>
      </w:pPr>
    </w:p>
    <w:p w14:paraId="2541D309" w14:textId="77777777" w:rsidR="00AB3DA2" w:rsidRDefault="00AB3DA2" w:rsidP="00AB3DA2">
      <w:pPr>
        <w:jc w:val="both"/>
        <w:rPr>
          <w:rFonts w:ascii="Times New Roman" w:hAnsi="Times New Roman" w:cs="Times New Roman"/>
          <w:b/>
          <w:bCs/>
        </w:rPr>
      </w:pPr>
    </w:p>
    <w:p w14:paraId="6949B5EA" w14:textId="77777777" w:rsidR="00AB3DA2" w:rsidRDefault="00AB3DA2" w:rsidP="00AB3DA2">
      <w:pPr>
        <w:jc w:val="both"/>
        <w:rPr>
          <w:rFonts w:ascii="Times New Roman" w:hAnsi="Times New Roman" w:cs="Times New Roman"/>
          <w:b/>
          <w:bCs/>
        </w:rPr>
      </w:pPr>
    </w:p>
    <w:p w14:paraId="4BD4D44F" w14:textId="3B339FDF" w:rsidR="00AB3DA2" w:rsidRDefault="00AB3DA2" w:rsidP="00AB3DA2">
      <w:pPr>
        <w:jc w:val="both"/>
        <w:rPr>
          <w:rFonts w:ascii="Times New Roman" w:hAnsi="Times New Roman" w:cs="Times New Roman"/>
          <w:b/>
          <w:bCs/>
        </w:rPr>
      </w:pPr>
    </w:p>
    <w:p w14:paraId="3CF5C709" w14:textId="77777777" w:rsidR="00793FF5" w:rsidRDefault="00793FF5" w:rsidP="00AB3DA2">
      <w:pPr>
        <w:jc w:val="both"/>
        <w:rPr>
          <w:rFonts w:ascii="Times New Roman" w:hAnsi="Times New Roman" w:cs="Times New Roman"/>
          <w:b/>
          <w:bCs/>
        </w:rPr>
      </w:pPr>
    </w:p>
    <w:p w14:paraId="51293274" w14:textId="77777777" w:rsidR="00793FF5" w:rsidRDefault="00793FF5" w:rsidP="00AB3DA2">
      <w:pPr>
        <w:jc w:val="both"/>
        <w:rPr>
          <w:rFonts w:ascii="Times New Roman" w:hAnsi="Times New Roman" w:cs="Times New Roman"/>
          <w:b/>
          <w:bCs/>
        </w:rPr>
      </w:pPr>
    </w:p>
    <w:p w14:paraId="0E2C8CC3" w14:textId="77777777" w:rsidR="00AB3DA2" w:rsidRDefault="00AB3DA2" w:rsidP="00AB3DA2">
      <w:pPr>
        <w:jc w:val="both"/>
        <w:rPr>
          <w:rFonts w:ascii="Times New Roman" w:hAnsi="Times New Roman" w:cs="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353"/>
        <w:gridCol w:w="5660"/>
      </w:tblGrid>
      <w:tr w:rsidR="00AB3DA2" w:rsidRPr="008D4EEE" w14:paraId="6A159581" w14:textId="77777777" w:rsidTr="00031031">
        <w:tc>
          <w:tcPr>
            <w:tcW w:w="9350" w:type="dxa"/>
            <w:gridSpan w:val="3"/>
            <w:tcBorders>
              <w:top w:val="single" w:sz="12" w:space="0" w:color="auto"/>
              <w:bottom w:val="single" w:sz="12" w:space="0" w:color="auto"/>
            </w:tcBorders>
          </w:tcPr>
          <w:p w14:paraId="7AC81D36" w14:textId="77777777" w:rsidR="00AB3DA2" w:rsidRPr="008D4EEE" w:rsidRDefault="00AB3DA2" w:rsidP="00031031">
            <w:pPr>
              <w:jc w:val="both"/>
              <w:rPr>
                <w:rFonts w:ascii="Times New Roman" w:hAnsi="Times New Roman" w:cs="Times New Roman"/>
                <w:sz w:val="20"/>
                <w:szCs w:val="20"/>
              </w:rPr>
            </w:pPr>
            <w:bookmarkStart w:id="4" w:name="TableS2"/>
            <w:r w:rsidRPr="008D4EEE">
              <w:rPr>
                <w:rFonts w:ascii="Times New Roman" w:hAnsi="Times New Roman" w:cs="Times New Roman"/>
                <w:b/>
                <w:bCs/>
                <w:sz w:val="20"/>
                <w:szCs w:val="20"/>
              </w:rPr>
              <w:lastRenderedPageBreak/>
              <w:t>Table S</w:t>
            </w:r>
            <w:r>
              <w:rPr>
                <w:rFonts w:ascii="Times New Roman" w:hAnsi="Times New Roman" w:cs="Times New Roman"/>
                <w:b/>
                <w:bCs/>
                <w:sz w:val="20"/>
                <w:szCs w:val="20"/>
              </w:rPr>
              <w:t>2</w:t>
            </w:r>
            <w:bookmarkEnd w:id="4"/>
            <w:r w:rsidRPr="008D4EEE">
              <w:rPr>
                <w:rFonts w:ascii="Times New Roman" w:hAnsi="Times New Roman" w:cs="Times New Roman"/>
                <w:b/>
                <w:bCs/>
                <w:sz w:val="20"/>
                <w:szCs w:val="20"/>
              </w:rPr>
              <w:t>.</w:t>
            </w:r>
            <w:r w:rsidRPr="008D4EEE">
              <w:rPr>
                <w:rFonts w:ascii="Times New Roman" w:hAnsi="Times New Roman" w:cs="Times New Roman"/>
                <w:sz w:val="20"/>
                <w:szCs w:val="20"/>
              </w:rPr>
              <w:t xml:space="preserve"> Biogeographic breaks </w:t>
            </w:r>
            <w:r>
              <w:rPr>
                <w:rFonts w:ascii="Times New Roman" w:hAnsi="Times New Roman" w:cs="Times New Roman"/>
                <w:sz w:val="20"/>
                <w:szCs w:val="20"/>
              </w:rPr>
              <w:t>tested</w:t>
            </w:r>
            <w:r w:rsidRPr="008D4EEE">
              <w:rPr>
                <w:rFonts w:ascii="Times New Roman" w:hAnsi="Times New Roman" w:cs="Times New Roman"/>
                <w:sz w:val="20"/>
                <w:szCs w:val="20"/>
              </w:rPr>
              <w:t xml:space="preserve"> in Tropical Eastern Pacific (TEP) and Tropical Atlantic (TA) regions</w:t>
            </w:r>
          </w:p>
        </w:tc>
      </w:tr>
      <w:tr w:rsidR="00AB3DA2" w:rsidRPr="008D4EEE" w14:paraId="3A120F6D" w14:textId="77777777" w:rsidTr="00031031">
        <w:tc>
          <w:tcPr>
            <w:tcW w:w="2337" w:type="dxa"/>
            <w:tcBorders>
              <w:top w:val="single" w:sz="12" w:space="0" w:color="auto"/>
              <w:bottom w:val="single" w:sz="4" w:space="0" w:color="auto"/>
            </w:tcBorders>
          </w:tcPr>
          <w:p w14:paraId="59155D7D"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Biogeographic break</w:t>
            </w:r>
          </w:p>
        </w:tc>
        <w:tc>
          <w:tcPr>
            <w:tcW w:w="1353" w:type="dxa"/>
            <w:tcBorders>
              <w:top w:val="single" w:sz="12" w:space="0" w:color="auto"/>
              <w:bottom w:val="single" w:sz="4" w:space="0" w:color="auto"/>
            </w:tcBorders>
          </w:tcPr>
          <w:p w14:paraId="23B06645"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Abbreviation</w:t>
            </w:r>
          </w:p>
        </w:tc>
        <w:tc>
          <w:tcPr>
            <w:tcW w:w="5660" w:type="dxa"/>
            <w:tcBorders>
              <w:top w:val="single" w:sz="12" w:space="0" w:color="auto"/>
              <w:bottom w:val="single" w:sz="4" w:space="0" w:color="auto"/>
            </w:tcBorders>
          </w:tcPr>
          <w:p w14:paraId="41502116"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Marine organisms that are separated by the break</w:t>
            </w:r>
          </w:p>
        </w:tc>
      </w:tr>
      <w:tr w:rsidR="00AB3DA2" w:rsidRPr="008D4EEE" w14:paraId="6677056E" w14:textId="77777777" w:rsidTr="00031031">
        <w:tc>
          <w:tcPr>
            <w:tcW w:w="9350" w:type="dxa"/>
            <w:gridSpan w:val="3"/>
            <w:tcBorders>
              <w:top w:val="single" w:sz="4" w:space="0" w:color="auto"/>
              <w:left w:val="single" w:sz="4" w:space="0" w:color="auto"/>
              <w:bottom w:val="single" w:sz="4" w:space="0" w:color="auto"/>
              <w:right w:val="single" w:sz="4" w:space="0" w:color="auto"/>
            </w:tcBorders>
          </w:tcPr>
          <w:p w14:paraId="61E6988B" w14:textId="77777777" w:rsidR="00AB3DA2" w:rsidRPr="008D4EEE" w:rsidRDefault="00AB3DA2" w:rsidP="00031031">
            <w:pPr>
              <w:jc w:val="both"/>
              <w:rPr>
                <w:rFonts w:ascii="Times New Roman" w:hAnsi="Times New Roman" w:cs="Times New Roman"/>
                <w:b/>
                <w:bCs/>
                <w:sz w:val="20"/>
                <w:szCs w:val="20"/>
              </w:rPr>
            </w:pPr>
            <w:r w:rsidRPr="008D4EEE">
              <w:rPr>
                <w:rFonts w:ascii="Times New Roman" w:hAnsi="Times New Roman" w:cs="Times New Roman"/>
                <w:b/>
                <w:bCs/>
                <w:sz w:val="20"/>
                <w:szCs w:val="20"/>
              </w:rPr>
              <w:t>Tropical Eastern Pacific</w:t>
            </w:r>
          </w:p>
        </w:tc>
      </w:tr>
      <w:tr w:rsidR="00AB3DA2" w:rsidRPr="008D4EEE" w14:paraId="6290170A" w14:textId="77777777" w:rsidTr="00031031">
        <w:tc>
          <w:tcPr>
            <w:tcW w:w="2337" w:type="dxa"/>
            <w:tcBorders>
              <w:top w:val="single" w:sz="4" w:space="0" w:color="auto"/>
              <w:left w:val="single" w:sz="4" w:space="0" w:color="auto"/>
              <w:bottom w:val="single" w:sz="4" w:space="0" w:color="auto"/>
              <w:right w:val="single" w:sz="4" w:space="0" w:color="auto"/>
            </w:tcBorders>
          </w:tcPr>
          <w:p w14:paraId="7F182D3E"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Sinaloan Break</w:t>
            </w:r>
          </w:p>
        </w:tc>
        <w:tc>
          <w:tcPr>
            <w:tcW w:w="1353" w:type="dxa"/>
            <w:tcBorders>
              <w:top w:val="single" w:sz="4" w:space="0" w:color="auto"/>
              <w:left w:val="single" w:sz="4" w:space="0" w:color="auto"/>
              <w:bottom w:val="single" w:sz="4" w:space="0" w:color="auto"/>
              <w:right w:val="single" w:sz="4" w:space="0" w:color="auto"/>
            </w:tcBorders>
          </w:tcPr>
          <w:p w14:paraId="5D8C8D05"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SB</w:t>
            </w:r>
          </w:p>
        </w:tc>
        <w:tc>
          <w:tcPr>
            <w:tcW w:w="5660" w:type="dxa"/>
            <w:tcBorders>
              <w:top w:val="single" w:sz="4" w:space="0" w:color="auto"/>
              <w:left w:val="single" w:sz="4" w:space="0" w:color="auto"/>
              <w:bottom w:val="single" w:sz="4" w:space="0" w:color="auto"/>
              <w:right w:val="single" w:sz="4" w:space="0" w:color="auto"/>
            </w:tcBorders>
          </w:tcPr>
          <w:p w14:paraId="740AEF6D" w14:textId="77777777" w:rsidR="00AB3DA2" w:rsidRPr="008D4EEE" w:rsidRDefault="00AB3DA2" w:rsidP="00031031">
            <w:pPr>
              <w:jc w:val="both"/>
              <w:rPr>
                <w:rFonts w:ascii="Times New Roman" w:hAnsi="Times New Roman" w:cs="Times New Roman"/>
                <w:sz w:val="20"/>
                <w:szCs w:val="20"/>
                <w:lang w:val="fr-FR"/>
              </w:rPr>
            </w:pPr>
            <w:r w:rsidRPr="008D4EEE">
              <w:rPr>
                <w:rFonts w:ascii="Times New Roman" w:hAnsi="Times New Roman" w:cs="Times New Roman"/>
                <w:sz w:val="20"/>
                <w:szCs w:val="20"/>
                <w:lang w:val="fr-FR"/>
              </w:rPr>
              <w:t>Pacific Sierra mackerel (</w:t>
            </w:r>
            <w:r w:rsidRPr="008D4EEE">
              <w:rPr>
                <w:rFonts w:ascii="Times New Roman" w:hAnsi="Times New Roman" w:cs="Times New Roman"/>
                <w:i/>
                <w:iCs/>
                <w:sz w:val="20"/>
                <w:szCs w:val="20"/>
                <w:lang w:val="fr-FR"/>
              </w:rPr>
              <w:t>Scomberomorus sierra</w:t>
            </w:r>
            <w:r w:rsidRPr="008D4EEE">
              <w:rPr>
                <w:rFonts w:ascii="Times New Roman" w:hAnsi="Times New Roman" w:cs="Times New Roman"/>
                <w:sz w:val="20"/>
                <w:szCs w:val="20"/>
                <w:lang w:val="fr-FR"/>
              </w:rPr>
              <w:t xml:space="preserve"> </w:t>
            </w:r>
            <w:r w:rsidRPr="008D4EEE">
              <w:rPr>
                <w:rFonts w:ascii="Times New Roman" w:hAnsi="Times New Roman" w:cs="Times New Roman"/>
                <w:sz w:val="20"/>
                <w:szCs w:val="20"/>
              </w:rPr>
              <w:fldChar w:fldCharType="begin" w:fldLock="1"/>
            </w:r>
            <w:r>
              <w:rPr>
                <w:rFonts w:ascii="Times New Roman" w:hAnsi="Times New Roman" w:cs="Times New Roman"/>
                <w:sz w:val="20"/>
                <w:szCs w:val="20"/>
                <w:lang w:val="fr-FR"/>
              </w:rPr>
              <w:instrText>ADDIN CSL_CITATION {"citationItems":[{"id":"ITEM-1","itemData":{"author":[{"dropping-particle":"","family":"López","given":"Mónica Domínguez","non-dropping-particle":"","parse-names":false,"suffix":""},{"dropping-particle":"","family":"Alcocer","given":"Manuel Uribe","non-dropping-particle":"","parse-names":false,"suffix":""},{"dropping-particle":"","family":"Jaimes","given":"Píndaro Díaz","non-dropping-particle":"","parse-names":false,"suffix":""}],"id":"ITEM-1","issued":{"date-parts":[["2010"]]},"page":"1-12","title":"Phylogeography and historical demography of the Pacific Sierra mackerel ( Scomberomorus sierra ) in the Eastern Pacific","type":"article-journal"},"uris":["http://www.mendeley.com/documents/?uuid=f01fd0e0-663a-4466-afcf-8192438246a1"]}],"mendeley":{"formattedCitation":"(40)","plainTextFormattedCitation":"(40)","previouslyFormattedCitation":"(39)"},"properties":{"noteIndex":0},"schema":"https://github.com/citation-style-language/schema/raw/master/csl-citation.json"}</w:instrText>
            </w:r>
            <w:r w:rsidRPr="008D4EEE">
              <w:rPr>
                <w:rFonts w:ascii="Times New Roman" w:hAnsi="Times New Roman" w:cs="Times New Roman"/>
                <w:sz w:val="20"/>
                <w:szCs w:val="20"/>
              </w:rPr>
              <w:fldChar w:fldCharType="separate"/>
            </w:r>
            <w:r w:rsidRPr="00AA42E0">
              <w:rPr>
                <w:rFonts w:ascii="Times New Roman" w:hAnsi="Times New Roman" w:cs="Times New Roman"/>
                <w:noProof/>
                <w:sz w:val="20"/>
                <w:szCs w:val="20"/>
                <w:lang w:val="fr-FR"/>
              </w:rPr>
              <w:t>(40)</w:t>
            </w:r>
            <w:r w:rsidRPr="008D4EEE">
              <w:rPr>
                <w:rFonts w:ascii="Times New Roman" w:hAnsi="Times New Roman" w:cs="Times New Roman"/>
                <w:sz w:val="20"/>
                <w:szCs w:val="20"/>
              </w:rPr>
              <w:fldChar w:fldCharType="end"/>
            </w:r>
            <w:r w:rsidRPr="008D4EEE">
              <w:rPr>
                <w:rFonts w:ascii="Times New Roman" w:hAnsi="Times New Roman" w:cs="Times New Roman"/>
                <w:sz w:val="20"/>
                <w:szCs w:val="20"/>
                <w:lang w:val="fr-FR"/>
              </w:rPr>
              <w:t>)</w:t>
            </w:r>
          </w:p>
        </w:tc>
      </w:tr>
      <w:tr w:rsidR="00AB3DA2" w:rsidRPr="008D4EEE" w14:paraId="34415705" w14:textId="77777777" w:rsidTr="00031031">
        <w:tc>
          <w:tcPr>
            <w:tcW w:w="2337" w:type="dxa"/>
            <w:tcBorders>
              <w:top w:val="single" w:sz="4" w:space="0" w:color="auto"/>
              <w:left w:val="single" w:sz="4" w:space="0" w:color="auto"/>
              <w:bottom w:val="single" w:sz="4" w:space="0" w:color="auto"/>
              <w:right w:val="single" w:sz="4" w:space="0" w:color="auto"/>
            </w:tcBorders>
          </w:tcPr>
          <w:p w14:paraId="4CD0D0F2"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Central American Break</w:t>
            </w:r>
          </w:p>
        </w:tc>
        <w:tc>
          <w:tcPr>
            <w:tcW w:w="1353" w:type="dxa"/>
            <w:tcBorders>
              <w:top w:val="single" w:sz="4" w:space="0" w:color="auto"/>
              <w:left w:val="single" w:sz="4" w:space="0" w:color="auto"/>
              <w:bottom w:val="single" w:sz="4" w:space="0" w:color="auto"/>
              <w:right w:val="single" w:sz="4" w:space="0" w:color="auto"/>
            </w:tcBorders>
          </w:tcPr>
          <w:p w14:paraId="01ECA67D"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CB</w:t>
            </w:r>
          </w:p>
        </w:tc>
        <w:tc>
          <w:tcPr>
            <w:tcW w:w="5660" w:type="dxa"/>
            <w:tcBorders>
              <w:top w:val="single" w:sz="4" w:space="0" w:color="auto"/>
              <w:left w:val="single" w:sz="4" w:space="0" w:color="auto"/>
              <w:bottom w:val="single" w:sz="4" w:space="0" w:color="auto"/>
              <w:right w:val="single" w:sz="4" w:space="0" w:color="auto"/>
            </w:tcBorders>
          </w:tcPr>
          <w:p w14:paraId="6EBBC354"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Gobies (</w:t>
            </w:r>
            <w:r w:rsidRPr="008D4EEE">
              <w:rPr>
                <w:rFonts w:ascii="Times New Roman" w:hAnsi="Times New Roman" w:cs="Times New Roman"/>
                <w:i/>
                <w:iCs/>
                <w:sz w:val="20"/>
                <w:szCs w:val="20"/>
              </w:rPr>
              <w:t>Elacatinus puncticulatus</w:t>
            </w:r>
            <w:r w:rsidRPr="008D4EEE">
              <w:rPr>
                <w:rFonts w:ascii="Times New Roman" w:hAnsi="Times New Roman" w:cs="Times New Roman"/>
                <w:sz w:val="20"/>
                <w:szCs w:val="20"/>
              </w:rPr>
              <w:t xml:space="preserve"> </w:t>
            </w:r>
            <w:r w:rsidRPr="008D4EEE">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{"citationItems":[{"id":"ITEM-1","itemData":{"DOI":"10.1016/j.ympev.2018.10.020","ISSN":"10959513","abstract":"Habitat discontinuities, temperature gradients, upwelling systems, and ocean currents, gyres and fronts, can affect distributions of species with narrow environmental tolerance or motility and influence the dispersal of pelagic larvae, with effects ranging from the isolation of adjacent populations to connections between them. The coast of the Tropical Eastern Pacific (TEP) is a highly dynamic environment, with various large gyres and upwelling systems, alternating currents and large rocky-habitat discontinuities, which may greatly influence the genetic connectivity of populations in different parts of the coast. Elacatinus puncticulatus is a cryptic, shallow-living goby that is distributed along the continental shore of virtually the entire TEP, which makes it a good model for testing the influence of these environmental characteristics in the molecular evolution of widespread species in this region. A multilocus phylogeny was used to evaluate the influence of habitat gaps, and oceanographic processes in the evolutionary history of E. puncticulatus throughout its geographical range in the TEP. Two well-supported allopatric clades (one with two allopatric subclades) were recovered, the geographic distribution of which does not correspond to any previously proposed major biogeographic provinces. These populations show strong genetic structure and substantial genetic distances between clades and sub-clades (cytb 0.8–7.3%), with divergence times between them ranging from 0.53 to 4.88 Mya, and recent population expansions dated at 170–130 Kya. The ancestral area of all populations appears to be the Gulf of Panama, while several isolation events have formed the phylogeographic patterns evident in this species. Local and regional oceanographic processes as well as habitat discontinuities have shaped the distribution patterns of the genetic lineages along the continental TEP. Large genetic distances, high genetic differentiation, and the results of species-tree and phylogenetic analyses indicate that E. puncticulatus comprises a complex of three allopatric species with an unusual geographic arrangement.","author":[{"dropping-particle":"","family":"Sandoval-Huerta","given":"E. R.","non-dropping-particle":"","parse-names":false,"suffix":""},{"dropping-particle":"","family":"Beltrán-López","given":"R. G.","non-dropping-particle":"","parse-names":false,"suffix":""},{"dropping-particle":"","family":"Pedraza-Marrón","given":"C. R.","non-dropping-particle":"","parse-names":false,"suffix":""},{"dropping-particle":"","family":"Paz-Velásquez","given":"M. A.","non-dropping-particle":"","parse-names":false,"suffix":""},{"dropping-particle":"","family":"Angulo","given":"A.","non-dropping-particle":"","parse-names":false,"suffix":""},{"dropping-particle":"","family":"Robertson","given":"D. R.","non-dropping-particle":"","parse-names":false,"suffix":""},{"dropping-particle":"","family":"Espinoza","given":"E.","non-dropping-particle":"","parse-names":false,"suffix":""},{"dropping-particle":"","family":"Domínguez-Domínguez","given":"O.","non-dropping-particle":"","parse-names":false,"suffix":""}],"container-title":"Molecular Phylogenetics and Evolution","id":"ITEM-1","issue":"May 2018","issued":{"date-parts":[["2019"]]},"page":"269-285","publisher":"Elsevier","title":"The evolutionary history of the goby Elacatinus puncticulatus in the tropical eastern pacific: Effects of habitat discontinuities and local environmental variability","type":"article-journal","volume":"130"},"uris":["http://www.mendeley.com/documents/?uuid=208f8326-03fb-4a29-a3a4-6413277c0e7b"]}],"mendeley":{"formattedCitation":"(7)","plainTextFormattedCitation":"(7)","previouslyFormattedCitation":"(7)"},"properties":{"noteIndex":0},"schema":"https://github.com/citation-style-language/schema/raw/master/csl-citation.json"}</w:instrText>
            </w:r>
            <w:r w:rsidRPr="008D4EEE">
              <w:rPr>
                <w:rFonts w:ascii="Times New Roman" w:hAnsi="Times New Roman" w:cs="Times New Roman"/>
                <w:sz w:val="20"/>
                <w:szCs w:val="20"/>
              </w:rPr>
              <w:fldChar w:fldCharType="separate"/>
            </w:r>
            <w:r w:rsidRPr="00C7120E">
              <w:rPr>
                <w:rFonts w:ascii="Times New Roman" w:hAnsi="Times New Roman" w:cs="Times New Roman"/>
                <w:noProof/>
                <w:sz w:val="20"/>
                <w:szCs w:val="20"/>
              </w:rPr>
              <w:t>(7)</w:t>
            </w:r>
            <w:r w:rsidRPr="008D4EEE">
              <w:rPr>
                <w:rFonts w:ascii="Times New Roman" w:hAnsi="Times New Roman" w:cs="Times New Roman"/>
                <w:sz w:val="20"/>
                <w:szCs w:val="20"/>
              </w:rPr>
              <w:fldChar w:fldCharType="end"/>
            </w:r>
            <w:r w:rsidRPr="008D4EEE">
              <w:rPr>
                <w:rFonts w:ascii="Times New Roman" w:hAnsi="Times New Roman" w:cs="Times New Roman"/>
                <w:sz w:val="20"/>
                <w:szCs w:val="20"/>
              </w:rPr>
              <w:t>), snails (</w:t>
            </w:r>
            <w:r w:rsidRPr="008D4EEE">
              <w:rPr>
                <w:rFonts w:ascii="Times New Roman" w:hAnsi="Times New Roman" w:cs="Times New Roman"/>
                <w:i/>
                <w:iCs/>
                <w:sz w:val="20"/>
                <w:szCs w:val="20"/>
              </w:rPr>
              <w:t>Nerita scabricosta</w:t>
            </w:r>
            <w:r w:rsidRPr="008D4EEE">
              <w:rPr>
                <w:rFonts w:ascii="Times New Roman" w:hAnsi="Times New Roman" w:cs="Times New Roman"/>
                <w:sz w:val="20"/>
                <w:szCs w:val="20"/>
              </w:rPr>
              <w:t xml:space="preserve"> and </w:t>
            </w:r>
            <w:r w:rsidRPr="008D4EEE">
              <w:rPr>
                <w:rFonts w:ascii="Times New Roman" w:hAnsi="Times New Roman" w:cs="Times New Roman"/>
                <w:i/>
                <w:iCs/>
                <w:sz w:val="20"/>
                <w:szCs w:val="20"/>
              </w:rPr>
              <w:t>N. funiculata</w:t>
            </w:r>
            <w:r w:rsidRPr="008D4EEE">
              <w:rPr>
                <w:rFonts w:ascii="Times New Roman" w:hAnsi="Times New Roman" w:cs="Times New Roman"/>
                <w:sz w:val="20"/>
                <w:szCs w:val="20"/>
              </w:rPr>
              <w:t xml:space="preserve"> </w:t>
            </w:r>
            <w:r w:rsidRPr="008D4EEE">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{"citationItems":[{"id":"ITEM-1","itemData":{"DOI":"10.1007/s00227-007-0620-5","ISBN":"0022700706","author":[{"dropping-particle":"","family":"Biol","given":"Mar","non-dropping-particle":"","parse-names":false,"suffix":""},{"dropping-particle":"","family":"Frey","given":"L A Hurtado M","non-dropping-particle":"","parse-names":false,"suffix":""},{"dropping-particle":"","family":"Pfeiler","given":"P Gaube E","non-dropping-particle":"","parse-names":false,"suffix":""},{"dropping-particle":"","family":"Markow","given":"T A","non-dropping-particle":"","parse-names":false,"suffix":""}],"id":"ITEM-1","issued":{"date-parts":[["2007"]]},"title":"Geographical subdivision , demographic history and gene X ow in two sympatric species of intertidal snails , Nerita scabricosta and Nerita funiculata , from the tropical eastern Paci W c","type":"article-journal"},"uris":["http://www.mendeley.com/documents/?uuid=0da9f33b-913f-4b68-a6d9-89477517223e"]}],"mendeley":{"formattedCitation":"(41)","plainTextFormattedCitation":"(41)","previouslyFormattedCitation":"(40)"},"properties":{"noteIndex":0},"schema":"https://github.com/citation-style-language/schema/raw/master/csl-citation.json"}</w:instrText>
            </w:r>
            <w:r w:rsidRPr="008D4EEE">
              <w:rPr>
                <w:rFonts w:ascii="Times New Roman" w:hAnsi="Times New Roman" w:cs="Times New Roman"/>
                <w:sz w:val="20"/>
                <w:szCs w:val="20"/>
              </w:rPr>
              <w:fldChar w:fldCharType="separate"/>
            </w:r>
            <w:r w:rsidRPr="00AA42E0">
              <w:rPr>
                <w:rFonts w:ascii="Times New Roman" w:hAnsi="Times New Roman" w:cs="Times New Roman"/>
                <w:noProof/>
                <w:sz w:val="20"/>
                <w:szCs w:val="20"/>
              </w:rPr>
              <w:t>(41)</w:t>
            </w:r>
            <w:r w:rsidRPr="008D4EEE">
              <w:rPr>
                <w:rFonts w:ascii="Times New Roman" w:hAnsi="Times New Roman" w:cs="Times New Roman"/>
                <w:sz w:val="20"/>
                <w:szCs w:val="20"/>
              </w:rPr>
              <w:fldChar w:fldCharType="end"/>
            </w:r>
            <w:r w:rsidRPr="008D4EEE">
              <w:rPr>
                <w:rFonts w:ascii="Times New Roman" w:hAnsi="Times New Roman" w:cs="Times New Roman"/>
                <w:sz w:val="20"/>
                <w:szCs w:val="20"/>
              </w:rPr>
              <w:t>)</w:t>
            </w:r>
          </w:p>
        </w:tc>
      </w:tr>
      <w:tr w:rsidR="00AB3DA2" w:rsidRPr="008D4EEE" w14:paraId="0F557F91" w14:textId="77777777" w:rsidTr="00031031">
        <w:tc>
          <w:tcPr>
            <w:tcW w:w="2337" w:type="dxa"/>
            <w:tcBorders>
              <w:top w:val="single" w:sz="4" w:space="0" w:color="auto"/>
              <w:left w:val="single" w:sz="4" w:space="0" w:color="auto"/>
              <w:bottom w:val="single" w:sz="4" w:space="0" w:color="auto"/>
              <w:right w:val="single" w:sz="4" w:space="0" w:color="auto"/>
            </w:tcBorders>
          </w:tcPr>
          <w:p w14:paraId="49B41BC7" w14:textId="77777777" w:rsidR="00AB3DA2" w:rsidRPr="008D1EC4" w:rsidRDefault="00AB3DA2" w:rsidP="00031031">
            <w:pPr>
              <w:jc w:val="both"/>
              <w:rPr>
                <w:rFonts w:ascii="Times New Roman" w:hAnsi="Times New Roman" w:cs="Times New Roman"/>
                <w:sz w:val="20"/>
                <w:szCs w:val="20"/>
              </w:rPr>
            </w:pPr>
            <w:r w:rsidRPr="008D1EC4">
              <w:rPr>
                <w:rFonts w:ascii="Times New Roman" w:hAnsi="Times New Roman" w:cs="Times New Roman"/>
                <w:sz w:val="20"/>
                <w:szCs w:val="20"/>
              </w:rPr>
              <w:t>Panama Gyre Break</w:t>
            </w:r>
          </w:p>
        </w:tc>
        <w:tc>
          <w:tcPr>
            <w:tcW w:w="1353" w:type="dxa"/>
            <w:tcBorders>
              <w:top w:val="single" w:sz="4" w:space="0" w:color="auto"/>
              <w:left w:val="single" w:sz="4" w:space="0" w:color="auto"/>
              <w:bottom w:val="single" w:sz="4" w:space="0" w:color="auto"/>
              <w:right w:val="single" w:sz="4" w:space="0" w:color="auto"/>
            </w:tcBorders>
          </w:tcPr>
          <w:p w14:paraId="1D9A8DA4" w14:textId="77777777" w:rsidR="00AB3DA2" w:rsidRPr="008D4EEE" w:rsidRDefault="00AB3DA2" w:rsidP="00031031">
            <w:pPr>
              <w:jc w:val="both"/>
              <w:rPr>
                <w:rFonts w:ascii="Times New Roman" w:hAnsi="Times New Roman" w:cs="Times New Roman"/>
                <w:sz w:val="20"/>
                <w:szCs w:val="20"/>
              </w:rPr>
            </w:pPr>
            <w:r>
              <w:rPr>
                <w:rFonts w:ascii="Times New Roman" w:hAnsi="Times New Roman" w:cs="Times New Roman"/>
                <w:sz w:val="20"/>
                <w:szCs w:val="20"/>
              </w:rPr>
              <w:t>PGB</w:t>
            </w:r>
          </w:p>
        </w:tc>
        <w:tc>
          <w:tcPr>
            <w:tcW w:w="5660" w:type="dxa"/>
            <w:tcBorders>
              <w:top w:val="single" w:sz="4" w:space="0" w:color="auto"/>
              <w:left w:val="single" w:sz="4" w:space="0" w:color="auto"/>
              <w:bottom w:val="single" w:sz="4" w:space="0" w:color="auto"/>
              <w:right w:val="single" w:sz="4" w:space="0" w:color="auto"/>
            </w:tcBorders>
          </w:tcPr>
          <w:p w14:paraId="4D389914" w14:textId="77777777" w:rsidR="00AB3DA2" w:rsidRPr="008D4EEE" w:rsidRDefault="00AB3DA2" w:rsidP="00031031">
            <w:pPr>
              <w:jc w:val="both"/>
              <w:rPr>
                <w:rFonts w:ascii="Times New Roman" w:hAnsi="Times New Roman" w:cs="Times New Roman"/>
                <w:sz w:val="20"/>
                <w:szCs w:val="20"/>
              </w:rPr>
            </w:pPr>
            <w:r>
              <w:rPr>
                <w:rFonts w:ascii="Times New Roman" w:hAnsi="Times New Roman" w:cs="Times New Roman"/>
                <w:sz w:val="20"/>
                <w:szCs w:val="20"/>
              </w:rPr>
              <w:t xml:space="preserve">Goby </w:t>
            </w:r>
            <w:r w:rsidRPr="008D4EEE">
              <w:rPr>
                <w:rFonts w:ascii="Times New Roman" w:hAnsi="Times New Roman" w:cs="Times New Roman"/>
                <w:sz w:val="20"/>
                <w:szCs w:val="20"/>
              </w:rPr>
              <w:t>(</w:t>
            </w:r>
            <w:r w:rsidRPr="008D4EEE">
              <w:rPr>
                <w:rFonts w:ascii="Times New Roman" w:hAnsi="Times New Roman" w:cs="Times New Roman"/>
                <w:i/>
                <w:iCs/>
                <w:sz w:val="20"/>
                <w:szCs w:val="20"/>
              </w:rPr>
              <w:t>Elacatinus puncticulatus</w:t>
            </w:r>
            <w:r w:rsidRPr="008D4EEE">
              <w:rPr>
                <w:rFonts w:ascii="Times New Roman" w:hAnsi="Times New Roman" w:cs="Times New Roman"/>
                <w:sz w:val="20"/>
                <w:szCs w:val="20"/>
              </w:rPr>
              <w:t xml:space="preserve"> </w:t>
            </w:r>
            <w:r w:rsidRPr="008D4EEE">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{"citationItems":[{"id":"ITEM-1","itemData":{"DOI":"10.1016/j.ympev.2018.10.020","ISSN":"10959513","abstract":"Habitat discontinuities, temperature gradients, upwelling systems, and ocean currents, gyres and fronts, can affect distributions of species with narrow environmental tolerance or motility and influence the dispersal of pelagic larvae, with effects ranging from the isolation of adjacent populations to connections between them. The coast of the Tropical Eastern Pacific (TEP) is a highly dynamic environment, with various large gyres and upwelling systems, alternating currents and large rocky-habitat discontinuities, which may greatly influence the genetic connectivity of populations in different parts of the coast. Elacatinus puncticulatus is a cryptic, shallow-living goby that is distributed along the continental shore of virtually the entire TEP, which makes it a good model for testing the influence of these environmental characteristics in the molecular evolution of widespread species in this region. A multilocus phylogeny was used to evaluate the influence of habitat gaps, and oceanographic processes in the evolutionary history of E. puncticulatus throughout its geographical range in the TEP. Two well-supported allopatric clades (one with two allopatric subclades) were recovered, the geographic distribution of which does not correspond to any previously proposed major biogeographic provinces. These populations show strong genetic structure and substantial genetic distances between clades and sub-clades (cytb 0.8–7.3%), with divergence times between them ranging from 0.53 to 4.88 Mya, and recent population expansions dated at 170–130 Kya. The ancestral area of all populations appears to be the Gulf of Panama, while several isolation events have formed the phylogeographic patterns evident in this species. Local and regional oceanographic processes as well as habitat discontinuities have shaped the distribution patterns of the genetic lineages along the continental TEP. Large genetic distances, high genetic differentiation, and the results of species-tree and phylogenetic analyses indicate that E. puncticulatus comprises a complex of three allopatric species with an unusual geographic arrangement.","author":[{"dropping-particle":"","family":"Sandoval-Huerta","given":"E. R.","non-dropping-particle":"","parse-names":false,"suffix":""},{"dropping-particle":"","family":"Beltrán-López","given":"R. G.","non-dropping-particle":"","parse-names":false,"suffix":""},{"dropping-particle":"","family":"Pedraza-Marrón","given":"C. R.","non-dropping-particle":"","parse-names":false,"suffix":""},{"dropping-particle":"","family":"Paz-Velásquez","given":"M. A.","non-dropping-particle":"","parse-names":false,"suffix":""},{"dropping-particle":"","family":"Angulo","given":"A.","non-dropping-particle":"","parse-names":false,"suffix":""},{"dropping-particle":"","family":"Robertson","given":"D. R.","non-dropping-particle":"","parse-names":false,"suffix":""},{"dropping-particle":"","family":"Espinoza","given":"E.","non-dropping-particle":"","parse-names":false,"suffix":""},{"dropping-particle":"","family":"Domínguez-Domínguez","given":"O.","non-dropping-particle":"","parse-names":false,"suffix":""}],"container-title":"Molecular Phylogenetics and Evolution","id":"ITEM-1","issue":"May 2018","issued":{"date-parts":[["2019"]]},"page":"269-285","publisher":"Elsevier","title":"The evolutionary history of the goby Elacatinus puncticulatus in the tropical eastern pacific: Effects of habitat discontinuities and local environmental variability","type":"article-journal","volume":"130"},"uris":["http://www.mendeley.com/documents/?uuid=208f8326-03fb-4a29-a3a4-6413277c0e7b"]}],"mendeley":{"formattedCitation":"(7)","plainTextFormattedCitation":"(7)","previouslyFormattedCitation":"(7)"},"properties":{"noteIndex":0},"schema":"https://github.com/citation-style-language/schema/raw/master/csl-citation.json"}</w:instrText>
            </w:r>
            <w:r w:rsidRPr="008D4EEE">
              <w:rPr>
                <w:rFonts w:ascii="Times New Roman" w:hAnsi="Times New Roman" w:cs="Times New Roman"/>
                <w:sz w:val="20"/>
                <w:szCs w:val="20"/>
              </w:rPr>
              <w:fldChar w:fldCharType="separate"/>
            </w:r>
            <w:r w:rsidRPr="00C7120E">
              <w:rPr>
                <w:rFonts w:ascii="Times New Roman" w:hAnsi="Times New Roman" w:cs="Times New Roman"/>
                <w:noProof/>
                <w:sz w:val="20"/>
                <w:szCs w:val="20"/>
              </w:rPr>
              <w:t>(7)</w:t>
            </w:r>
            <w:r w:rsidRPr="008D4EEE">
              <w:rPr>
                <w:rFonts w:ascii="Times New Roman" w:hAnsi="Times New Roman" w:cs="Times New Roman"/>
                <w:sz w:val="20"/>
                <w:szCs w:val="20"/>
              </w:rPr>
              <w:fldChar w:fldCharType="end"/>
            </w:r>
            <w:r w:rsidRPr="008D4EEE">
              <w:rPr>
                <w:rFonts w:ascii="Times New Roman" w:hAnsi="Times New Roman" w:cs="Times New Roman"/>
                <w:sz w:val="20"/>
                <w:szCs w:val="20"/>
              </w:rPr>
              <w:t>)</w:t>
            </w:r>
          </w:p>
        </w:tc>
      </w:tr>
      <w:tr w:rsidR="00AB3DA2" w:rsidRPr="008D4EEE" w14:paraId="65A414CA" w14:textId="77777777" w:rsidTr="00031031">
        <w:tc>
          <w:tcPr>
            <w:tcW w:w="2337" w:type="dxa"/>
            <w:tcBorders>
              <w:top w:val="single" w:sz="4" w:space="0" w:color="auto"/>
              <w:left w:val="single" w:sz="4" w:space="0" w:color="auto"/>
              <w:bottom w:val="single" w:sz="4" w:space="0" w:color="auto"/>
              <w:right w:val="single" w:sz="4" w:space="0" w:color="auto"/>
            </w:tcBorders>
          </w:tcPr>
          <w:p w14:paraId="5E0B9559" w14:textId="77777777" w:rsidR="00AB3DA2" w:rsidRPr="008D4EEE" w:rsidRDefault="00AB3DA2" w:rsidP="00031031">
            <w:pPr>
              <w:jc w:val="both"/>
              <w:rPr>
                <w:rFonts w:ascii="Times New Roman" w:hAnsi="Times New Roman" w:cs="Times New Roman"/>
                <w:b/>
                <w:bCs/>
                <w:sz w:val="20"/>
                <w:szCs w:val="20"/>
              </w:rPr>
            </w:pPr>
            <w:r w:rsidRPr="008D4EEE">
              <w:rPr>
                <w:rFonts w:ascii="Times New Roman" w:hAnsi="Times New Roman" w:cs="Times New Roman"/>
                <w:b/>
                <w:bCs/>
                <w:sz w:val="20"/>
                <w:szCs w:val="20"/>
              </w:rPr>
              <w:t>Tropical Atlantic</w:t>
            </w:r>
          </w:p>
        </w:tc>
        <w:tc>
          <w:tcPr>
            <w:tcW w:w="1353" w:type="dxa"/>
            <w:tcBorders>
              <w:top w:val="single" w:sz="4" w:space="0" w:color="auto"/>
              <w:left w:val="single" w:sz="4" w:space="0" w:color="auto"/>
              <w:bottom w:val="single" w:sz="4" w:space="0" w:color="auto"/>
              <w:right w:val="single" w:sz="4" w:space="0" w:color="auto"/>
            </w:tcBorders>
          </w:tcPr>
          <w:p w14:paraId="7D6D4F98" w14:textId="77777777" w:rsidR="00AB3DA2" w:rsidRPr="008D4EEE" w:rsidRDefault="00AB3DA2" w:rsidP="00031031">
            <w:pPr>
              <w:jc w:val="both"/>
              <w:rPr>
                <w:rFonts w:ascii="Times New Roman" w:hAnsi="Times New Roman" w:cs="Times New Roman"/>
                <w:sz w:val="20"/>
                <w:szCs w:val="20"/>
              </w:rPr>
            </w:pPr>
          </w:p>
        </w:tc>
        <w:tc>
          <w:tcPr>
            <w:tcW w:w="5660" w:type="dxa"/>
            <w:tcBorders>
              <w:top w:val="single" w:sz="4" w:space="0" w:color="auto"/>
              <w:left w:val="single" w:sz="4" w:space="0" w:color="auto"/>
              <w:bottom w:val="single" w:sz="4" w:space="0" w:color="auto"/>
              <w:right w:val="single" w:sz="4" w:space="0" w:color="auto"/>
            </w:tcBorders>
          </w:tcPr>
          <w:p w14:paraId="6593795F" w14:textId="77777777" w:rsidR="00AB3DA2" w:rsidRPr="008D4EEE" w:rsidRDefault="00AB3DA2" w:rsidP="00031031">
            <w:pPr>
              <w:jc w:val="both"/>
              <w:rPr>
                <w:rFonts w:ascii="Times New Roman" w:hAnsi="Times New Roman" w:cs="Times New Roman"/>
                <w:sz w:val="20"/>
                <w:szCs w:val="20"/>
              </w:rPr>
            </w:pPr>
          </w:p>
        </w:tc>
      </w:tr>
      <w:tr w:rsidR="00AB3DA2" w:rsidRPr="008D4EEE" w14:paraId="673CC9AA" w14:textId="77777777" w:rsidTr="00031031">
        <w:trPr>
          <w:trHeight w:val="269"/>
        </w:trPr>
        <w:tc>
          <w:tcPr>
            <w:tcW w:w="2337" w:type="dxa"/>
            <w:tcBorders>
              <w:top w:val="single" w:sz="4" w:space="0" w:color="auto"/>
              <w:left w:val="single" w:sz="4" w:space="0" w:color="auto"/>
              <w:bottom w:val="single" w:sz="4" w:space="0" w:color="auto"/>
              <w:right w:val="single" w:sz="4" w:space="0" w:color="auto"/>
            </w:tcBorders>
          </w:tcPr>
          <w:p w14:paraId="62BE7D12"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Bahamas Break</w:t>
            </w:r>
          </w:p>
        </w:tc>
        <w:tc>
          <w:tcPr>
            <w:tcW w:w="1353" w:type="dxa"/>
            <w:tcBorders>
              <w:top w:val="single" w:sz="4" w:space="0" w:color="auto"/>
              <w:left w:val="single" w:sz="4" w:space="0" w:color="auto"/>
              <w:bottom w:val="single" w:sz="4" w:space="0" w:color="auto"/>
              <w:right w:val="single" w:sz="4" w:space="0" w:color="auto"/>
            </w:tcBorders>
          </w:tcPr>
          <w:p w14:paraId="40D106C3"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BB</w:t>
            </w:r>
          </w:p>
        </w:tc>
        <w:tc>
          <w:tcPr>
            <w:tcW w:w="5660" w:type="dxa"/>
            <w:tcBorders>
              <w:top w:val="single" w:sz="4" w:space="0" w:color="auto"/>
              <w:left w:val="single" w:sz="4" w:space="0" w:color="auto"/>
              <w:bottom w:val="single" w:sz="4" w:space="0" w:color="auto"/>
              <w:right w:val="single" w:sz="4" w:space="0" w:color="auto"/>
            </w:tcBorders>
          </w:tcPr>
          <w:p w14:paraId="2DFD3DE8" w14:textId="77777777" w:rsidR="00AB3DA2" w:rsidRPr="008D4EEE" w:rsidRDefault="00AB3DA2" w:rsidP="00031031">
            <w:pPr>
              <w:jc w:val="both"/>
              <w:rPr>
                <w:rFonts w:ascii="Times New Roman" w:hAnsi="Times New Roman" w:cs="Times New Roman"/>
                <w:sz w:val="20"/>
                <w:szCs w:val="20"/>
                <w:lang w:val="fr-FR"/>
              </w:rPr>
            </w:pPr>
            <w:r w:rsidRPr="008D4EEE">
              <w:rPr>
                <w:rFonts w:ascii="Times New Roman" w:hAnsi="Times New Roman" w:cs="Times New Roman"/>
                <w:sz w:val="20"/>
                <w:szCs w:val="20"/>
                <w:lang w:val="fr-FR"/>
              </w:rPr>
              <w:t>Gobies (</w:t>
            </w:r>
            <w:r w:rsidRPr="008D4EEE">
              <w:rPr>
                <w:rFonts w:ascii="Times New Roman" w:hAnsi="Times New Roman" w:cs="Times New Roman"/>
                <w:i/>
                <w:iCs/>
                <w:sz w:val="20"/>
                <w:szCs w:val="20"/>
                <w:lang w:val="fr-FR"/>
              </w:rPr>
              <w:t xml:space="preserve">Elacatinus evelynae </w:t>
            </w:r>
            <w:r w:rsidRPr="008D4EEE">
              <w:rPr>
                <w:rFonts w:ascii="Times New Roman" w:hAnsi="Times New Roman" w:cs="Times New Roman"/>
                <w:i/>
                <w:iCs/>
                <w:sz w:val="20"/>
                <w:szCs w:val="20"/>
              </w:rPr>
              <w:fldChar w:fldCharType="begin" w:fldLock="1"/>
            </w:r>
            <w:r>
              <w:rPr>
                <w:rFonts w:ascii="Times New Roman" w:hAnsi="Times New Roman" w:cs="Times New Roman"/>
                <w:i/>
                <w:iCs/>
                <w:sz w:val="20"/>
                <w:szCs w:val="20"/>
                <w:lang w:val="fr-FR"/>
              </w:rPr>
              <w:instrText>ADDIN CSL_CITATION {"citationItems":[{"id":"ITEM-1","itemData":{"DOI":"10.1126/science.1079365","ISSN":"00368075","PMID":"12511651","abstract":"The pelagic larvae of many marine organisms can potentially disperse across hundreds of kilometers, but whether oceanographic or behavioral mechanisms can constrain dispersal over periods sufficient for the evolution of genetic differentiation remains unclear. Here, we concurrently examine larval duration and genetic population differentiation in a cleaner goby, Elacatinus evelynae, a member of the most species-rich genus of Caribbean reef fishes. Despite evidence for extended pelagic duration (21 days), populations of E. evelynae show strong genetic differentiation: among color forms (1.36 to 3.04% divergent at mitochondrial cytochrome b) and among island populations within color forms (ΠST up to 70%). These results suggest that marine populations can remain demographically closed for thousands of generations despite extended larval duration, and that recognition cues such as color may promote speciation when geographic barriers are transient or weak.","author":[{"dropping-particle":"","family":"Taylor","given":"Michael S.","non-dropping-particle":"","parse-names":false,"suffix":""},{"dropping-particle":"","family":"Hellberg","given":"Michael E.","non-dropping-particle":"","parse-names":false,"suffix":""}],"container-title":"Science","id":"ITEM-1","issue":"5603","issued":{"date-parts":[["2003"]]},"page":"107-109","title":"Genetic evidence for local retention of pelagic larvae in a Caribbean reef fish","type":"article-journal","volume":"299"},"uris":["http://www.mendeley.com/documents/?uuid=f457bc0b-20f1-429b-ae08-f2414f9e7dc1"]}],"mendeley":{"formattedCitation":"(42)","plainTextFormattedCitation":"(42)","previouslyFormattedCitation":"(41)"},"properties":{"noteIndex":0},"schema":"https://github.com/citation-style-language/schema/raw/master/csl-citation.json"}</w:instrText>
            </w:r>
            <w:r w:rsidRPr="008D4EEE">
              <w:rPr>
                <w:rFonts w:ascii="Times New Roman" w:hAnsi="Times New Roman" w:cs="Times New Roman"/>
                <w:i/>
                <w:iCs/>
                <w:sz w:val="20"/>
                <w:szCs w:val="20"/>
              </w:rPr>
              <w:fldChar w:fldCharType="separate"/>
            </w:r>
            <w:r w:rsidRPr="00AA42E0">
              <w:rPr>
                <w:rFonts w:ascii="Times New Roman" w:hAnsi="Times New Roman" w:cs="Times New Roman"/>
                <w:iCs/>
                <w:noProof/>
                <w:sz w:val="20"/>
                <w:szCs w:val="20"/>
                <w:lang w:val="fr-FR"/>
              </w:rPr>
              <w:t>(42)</w:t>
            </w:r>
            <w:r w:rsidRPr="008D4EEE">
              <w:rPr>
                <w:rFonts w:ascii="Times New Roman" w:hAnsi="Times New Roman" w:cs="Times New Roman"/>
                <w:i/>
                <w:iCs/>
                <w:sz w:val="20"/>
                <w:szCs w:val="20"/>
              </w:rPr>
              <w:fldChar w:fldCharType="end"/>
            </w:r>
            <w:r w:rsidRPr="008D4EEE">
              <w:rPr>
                <w:rFonts w:ascii="Times New Roman" w:hAnsi="Times New Roman" w:cs="Times New Roman"/>
                <w:i/>
                <w:iCs/>
                <w:sz w:val="20"/>
                <w:szCs w:val="20"/>
                <w:lang w:val="fr-FR"/>
              </w:rPr>
              <w:t>;</w:t>
            </w:r>
            <w:r w:rsidRPr="008D4EEE">
              <w:rPr>
                <w:rFonts w:ascii="Times New Roman" w:hAnsi="Times New Roman" w:cs="Times New Roman"/>
                <w:sz w:val="20"/>
                <w:szCs w:val="20"/>
                <w:lang w:val="fr-FR"/>
              </w:rPr>
              <w:t xml:space="preserve"> </w:t>
            </w:r>
            <w:r w:rsidRPr="008D4EEE">
              <w:rPr>
                <w:rFonts w:ascii="Times New Roman" w:hAnsi="Times New Roman" w:cs="Times New Roman"/>
                <w:i/>
                <w:iCs/>
                <w:sz w:val="20"/>
                <w:szCs w:val="20"/>
                <w:lang w:val="fr-FR"/>
              </w:rPr>
              <w:t>Elacatinus louisae</w:t>
            </w:r>
            <w:r w:rsidRPr="008D4EEE">
              <w:rPr>
                <w:rFonts w:ascii="Times New Roman" w:hAnsi="Times New Roman" w:cs="Times New Roman"/>
                <w:sz w:val="20"/>
                <w:szCs w:val="20"/>
                <w:lang w:val="fr-FR"/>
              </w:rPr>
              <w:t xml:space="preserve"> </w:t>
            </w:r>
            <w:r w:rsidRPr="008D4EEE">
              <w:rPr>
                <w:rFonts w:ascii="Times New Roman" w:hAnsi="Times New Roman" w:cs="Times New Roman"/>
                <w:sz w:val="20"/>
                <w:szCs w:val="20"/>
              </w:rPr>
              <w:fldChar w:fldCharType="begin" w:fldLock="1"/>
            </w:r>
            <w:r>
              <w:rPr>
                <w:rFonts w:ascii="Times New Roman" w:hAnsi="Times New Roman" w:cs="Times New Roman"/>
                <w:sz w:val="20"/>
                <w:szCs w:val="20"/>
                <w:lang w:val="fr-FR"/>
              </w:rPr>
              <w:instrText>ADDIN CSL_CITATION {"citationItems":[{"id":"ITEM-1","itemData":{"DOI":"10.1111/j.1365-294X.2006.02820.x","author":[{"dropping-particle":"","family":"Taylor","given":"Michael S. &amp; Hellberg M. E.","non-dropping-particle":"","parse-names":false,"suffix":""}],"container-title":"Molecular Ecology","id":"ITEM-1","issued":{"date-parts":[["2006"]]},"page":"695-707","title":"Comparative phylogeography in a genus of coral reef fishes : biogeographic and genetic concordance in the Caribbean","type":"article-journal","volume":"15"},"uris":["http://www.mendeley.com/documents/?uuid=c9866f14-f18e-4e35-abd0-e3e24e9bb452"]}],"mendeley":{"formattedCitation":"(43)","plainTextFormattedCitation":"(43)","previouslyFormattedCitation":"(42)"},"properties":{"noteIndex":0},"schema":"https://github.com/citation-style-language/schema/raw/master/csl-citation.json"}</w:instrText>
            </w:r>
            <w:r w:rsidRPr="008D4EEE">
              <w:rPr>
                <w:rFonts w:ascii="Times New Roman" w:hAnsi="Times New Roman" w:cs="Times New Roman"/>
                <w:sz w:val="20"/>
                <w:szCs w:val="20"/>
              </w:rPr>
              <w:fldChar w:fldCharType="separate"/>
            </w:r>
            <w:r w:rsidRPr="00AA42E0">
              <w:rPr>
                <w:rFonts w:ascii="Times New Roman" w:hAnsi="Times New Roman" w:cs="Times New Roman"/>
                <w:noProof/>
                <w:sz w:val="20"/>
                <w:szCs w:val="20"/>
                <w:lang w:val="fr-FR"/>
              </w:rPr>
              <w:t>(43)</w:t>
            </w:r>
            <w:r w:rsidRPr="008D4EEE">
              <w:rPr>
                <w:rFonts w:ascii="Times New Roman" w:hAnsi="Times New Roman" w:cs="Times New Roman"/>
                <w:sz w:val="20"/>
                <w:szCs w:val="20"/>
              </w:rPr>
              <w:fldChar w:fldCharType="end"/>
            </w:r>
            <w:r w:rsidRPr="008D4EEE">
              <w:rPr>
                <w:rFonts w:ascii="Times New Roman" w:hAnsi="Times New Roman" w:cs="Times New Roman"/>
                <w:sz w:val="20"/>
                <w:szCs w:val="20"/>
                <w:lang w:val="fr-FR"/>
              </w:rPr>
              <w:t>)</w:t>
            </w:r>
          </w:p>
        </w:tc>
      </w:tr>
      <w:tr w:rsidR="00AB3DA2" w:rsidRPr="008D4EEE" w14:paraId="19CCF28E" w14:textId="77777777" w:rsidTr="00031031">
        <w:trPr>
          <w:trHeight w:val="269"/>
        </w:trPr>
        <w:tc>
          <w:tcPr>
            <w:tcW w:w="2337" w:type="dxa"/>
            <w:tcBorders>
              <w:top w:val="single" w:sz="4" w:space="0" w:color="auto"/>
              <w:left w:val="single" w:sz="4" w:space="0" w:color="auto"/>
              <w:bottom w:val="single" w:sz="4" w:space="0" w:color="auto"/>
              <w:right w:val="single" w:sz="4" w:space="0" w:color="auto"/>
            </w:tcBorders>
          </w:tcPr>
          <w:p w14:paraId="22117D8A" w14:textId="77777777" w:rsidR="00AB3DA2" w:rsidRPr="008D4EEE" w:rsidRDefault="00AB3DA2" w:rsidP="00031031">
            <w:pPr>
              <w:jc w:val="both"/>
              <w:rPr>
                <w:rFonts w:ascii="Times New Roman" w:hAnsi="Times New Roman" w:cs="Times New Roman"/>
                <w:sz w:val="20"/>
                <w:szCs w:val="20"/>
              </w:rPr>
            </w:pPr>
            <w:r>
              <w:rPr>
                <w:rFonts w:ascii="Times New Roman" w:hAnsi="Times New Roman" w:cs="Times New Roman"/>
                <w:sz w:val="20"/>
                <w:szCs w:val="20"/>
              </w:rPr>
              <w:t>Gulf of Mexico Break</w:t>
            </w:r>
          </w:p>
        </w:tc>
        <w:tc>
          <w:tcPr>
            <w:tcW w:w="1353" w:type="dxa"/>
            <w:tcBorders>
              <w:top w:val="single" w:sz="4" w:space="0" w:color="auto"/>
              <w:left w:val="single" w:sz="4" w:space="0" w:color="auto"/>
              <w:bottom w:val="single" w:sz="4" w:space="0" w:color="auto"/>
              <w:right w:val="single" w:sz="4" w:space="0" w:color="auto"/>
            </w:tcBorders>
          </w:tcPr>
          <w:p w14:paraId="1409D780" w14:textId="77777777" w:rsidR="00AB3DA2" w:rsidRPr="008D4EEE" w:rsidRDefault="00AB3DA2" w:rsidP="00031031">
            <w:pPr>
              <w:jc w:val="both"/>
              <w:rPr>
                <w:rFonts w:ascii="Times New Roman" w:hAnsi="Times New Roman" w:cs="Times New Roman"/>
                <w:sz w:val="20"/>
                <w:szCs w:val="20"/>
              </w:rPr>
            </w:pPr>
            <w:r>
              <w:rPr>
                <w:rFonts w:ascii="Times New Roman" w:hAnsi="Times New Roman" w:cs="Times New Roman"/>
                <w:sz w:val="20"/>
                <w:szCs w:val="20"/>
              </w:rPr>
              <w:t>GMB</w:t>
            </w:r>
          </w:p>
        </w:tc>
        <w:tc>
          <w:tcPr>
            <w:tcW w:w="5660" w:type="dxa"/>
            <w:tcBorders>
              <w:top w:val="single" w:sz="4" w:space="0" w:color="auto"/>
              <w:left w:val="single" w:sz="4" w:space="0" w:color="auto"/>
              <w:bottom w:val="single" w:sz="4" w:space="0" w:color="auto"/>
              <w:right w:val="single" w:sz="4" w:space="0" w:color="auto"/>
            </w:tcBorders>
          </w:tcPr>
          <w:p w14:paraId="589CFE19" w14:textId="77777777" w:rsidR="00AB3DA2" w:rsidRPr="008D4EEE" w:rsidRDefault="00AB3DA2" w:rsidP="00031031">
            <w:pPr>
              <w:jc w:val="both"/>
              <w:rPr>
                <w:rFonts w:ascii="Times New Roman" w:hAnsi="Times New Roman" w:cs="Times New Roman"/>
                <w:sz w:val="20"/>
                <w:szCs w:val="20"/>
                <w:lang w:val="fr-FR"/>
              </w:rPr>
            </w:pPr>
            <w:proofErr w:type="spellStart"/>
            <w:r>
              <w:rPr>
                <w:rFonts w:ascii="Times New Roman" w:hAnsi="Times New Roman" w:cs="Times New Roman"/>
                <w:sz w:val="20"/>
                <w:szCs w:val="20"/>
                <w:lang w:val="fr-FR"/>
              </w:rPr>
              <w:t>Lionfish</w:t>
            </w:r>
            <w:proofErr w:type="spellEnd"/>
            <w:r>
              <w:rPr>
                <w:rFonts w:ascii="Times New Roman" w:hAnsi="Times New Roman" w:cs="Times New Roman"/>
                <w:sz w:val="20"/>
                <w:szCs w:val="20"/>
                <w:lang w:val="fr-FR"/>
              </w:rPr>
              <w:t xml:space="preserve"> (</w:t>
            </w:r>
            <w:r w:rsidRPr="005C2E20">
              <w:rPr>
                <w:rFonts w:ascii="Times New Roman" w:hAnsi="Times New Roman" w:cs="Times New Roman"/>
                <w:i/>
                <w:iCs/>
                <w:sz w:val="20"/>
                <w:szCs w:val="20"/>
                <w:lang w:val="fr-FR"/>
              </w:rPr>
              <w:t>Pterois volitans</w:t>
            </w:r>
            <w:r>
              <w:rPr>
                <w:rFonts w:ascii="Times New Roman" w:hAnsi="Times New Roman" w:cs="Times New Roman"/>
                <w:sz w:val="20"/>
                <w:szCs w:val="20"/>
                <w:lang w:val="fr-FR"/>
              </w:rPr>
              <w:t xml:space="preserve"> and </w:t>
            </w:r>
            <w:r w:rsidRPr="005C2E20">
              <w:rPr>
                <w:rFonts w:ascii="Times New Roman" w:hAnsi="Times New Roman" w:cs="Times New Roman"/>
                <w:i/>
                <w:iCs/>
                <w:sz w:val="20"/>
                <w:szCs w:val="20"/>
                <w:lang w:val="fr-FR"/>
              </w:rPr>
              <w:t>P. miles</w:t>
            </w:r>
            <w:r>
              <w:rPr>
                <w:rFonts w:ascii="Times New Roman" w:hAnsi="Times New Roman" w:cs="Times New Roman"/>
                <w:sz w:val="20"/>
                <w:szCs w:val="20"/>
                <w:lang w:val="fr-FR"/>
              </w:rPr>
              <w:t xml:space="preserve"> </w:t>
            </w:r>
            <w:r>
              <w:rPr>
                <w:rFonts w:ascii="Times New Roman" w:hAnsi="Times New Roman" w:cs="Times New Roman"/>
                <w:sz w:val="20"/>
                <w:szCs w:val="20"/>
                <w:lang w:val="fr-FR"/>
              </w:rPr>
              <w:fldChar w:fldCharType="begin" w:fldLock="1"/>
            </w:r>
            <w:r>
              <w:rPr>
                <w:rFonts w:ascii="Times New Roman" w:hAnsi="Times New Roman" w:cs="Times New Roman"/>
                <w:sz w:val="20"/>
                <w:szCs w:val="20"/>
                <w:lang w:val="fr-FR"/>
              </w:rPr>
              <w:instrText>ADDIN CSL_CITATION {"citationItems":[{"id":"ITEM-1","itemData":{"DOI":"10.1111/j.1365-2699.2011.02496.x","author":[{"dropping-particle":"","family":"Betancur-r","given":"Ricardo","non-dropping-particle":"","parse-names":false,"suffix":""},{"dropping-particle":"","family":"Hines","given":"Andrew","non-dropping-particle":"","parse-names":false,"suffix":""},{"dropping-particle":"","family":"P","given":"Arturo Acero","non-dropping-particle":"","parse-names":false,"suffix":""},{"dropping-particle":"","family":"Ortı","given":"Guillermo","non-dropping-particle":"","parse-names":false,"suffix":""},{"dropping-particle":"","family":"Wilbur","given":"Ami E","non-dropping-particle":"","parse-names":false,"suffix":""},{"dropping-particle":"","family":"Freshwater","given":"D Wilson","non-dropping-particle":"","parse-names":false,"suffix":""}],"container-title":"Journal of Biogeography","id":"ITEM-1","issued":{"date-parts":[["2011"]]},"page":"1281-1293","title":"Reconstructing the lionfish invasion : insights into Greater Caribbean biogeography","type":"article-journal","volume":"38"},"uris":["http://www.mendeley.com/documents/?uuid=c887fa9a-bbb2-409e-949b-8c12d9eaf8c8"]}],"mendeley":{"formattedCitation":"(6)","plainTextFormattedCitation":"(6)","previouslyFormattedCitation":"(6)"},"properties":{"noteIndex":0},"schema":"https://github.com/citation-style-language/schema/raw/master/csl-citation.json"}</w:instrText>
            </w:r>
            <w:r>
              <w:rPr>
                <w:rFonts w:ascii="Times New Roman" w:hAnsi="Times New Roman" w:cs="Times New Roman"/>
                <w:sz w:val="20"/>
                <w:szCs w:val="20"/>
                <w:lang w:val="fr-FR"/>
              </w:rPr>
              <w:fldChar w:fldCharType="separate"/>
            </w:r>
            <w:r w:rsidRPr="00C7120E">
              <w:rPr>
                <w:rFonts w:ascii="Times New Roman" w:hAnsi="Times New Roman" w:cs="Times New Roman"/>
                <w:noProof/>
                <w:sz w:val="20"/>
                <w:szCs w:val="20"/>
                <w:lang w:val="fr-FR"/>
              </w:rPr>
              <w:t>(6)</w:t>
            </w:r>
            <w:r>
              <w:rPr>
                <w:rFonts w:ascii="Times New Roman" w:hAnsi="Times New Roman" w:cs="Times New Roman"/>
                <w:sz w:val="20"/>
                <w:szCs w:val="20"/>
                <w:lang w:val="fr-FR"/>
              </w:rPr>
              <w:fldChar w:fldCharType="end"/>
            </w:r>
            <w:r>
              <w:rPr>
                <w:rFonts w:ascii="Times New Roman" w:hAnsi="Times New Roman" w:cs="Times New Roman"/>
                <w:sz w:val="20"/>
                <w:szCs w:val="20"/>
                <w:lang w:val="fr-FR"/>
              </w:rPr>
              <w:t>)</w:t>
            </w:r>
          </w:p>
        </w:tc>
      </w:tr>
      <w:tr w:rsidR="00AB3DA2" w:rsidRPr="008D4EEE" w14:paraId="5A63AC0C" w14:textId="77777777" w:rsidTr="00031031">
        <w:trPr>
          <w:trHeight w:val="269"/>
        </w:trPr>
        <w:tc>
          <w:tcPr>
            <w:tcW w:w="2337" w:type="dxa"/>
            <w:tcBorders>
              <w:top w:val="single" w:sz="4" w:space="0" w:color="auto"/>
              <w:left w:val="single" w:sz="4" w:space="0" w:color="auto"/>
              <w:bottom w:val="single" w:sz="4" w:space="0" w:color="auto"/>
              <w:right w:val="single" w:sz="4" w:space="0" w:color="auto"/>
            </w:tcBorders>
          </w:tcPr>
          <w:p w14:paraId="6681F385" w14:textId="77777777" w:rsidR="00AB3DA2" w:rsidRPr="008D4EEE" w:rsidRDefault="00AB3DA2" w:rsidP="00031031">
            <w:pPr>
              <w:jc w:val="both"/>
              <w:rPr>
                <w:rFonts w:ascii="Times New Roman" w:hAnsi="Times New Roman" w:cs="Times New Roman"/>
                <w:sz w:val="20"/>
                <w:szCs w:val="20"/>
              </w:rPr>
            </w:pPr>
            <w:r>
              <w:rPr>
                <w:rFonts w:ascii="Times New Roman" w:hAnsi="Times New Roman" w:cs="Times New Roman"/>
                <w:sz w:val="20"/>
                <w:szCs w:val="20"/>
              </w:rPr>
              <w:t>Yucatán Current Break</w:t>
            </w:r>
          </w:p>
        </w:tc>
        <w:tc>
          <w:tcPr>
            <w:tcW w:w="1353" w:type="dxa"/>
            <w:tcBorders>
              <w:top w:val="single" w:sz="4" w:space="0" w:color="auto"/>
              <w:left w:val="single" w:sz="4" w:space="0" w:color="auto"/>
              <w:bottom w:val="single" w:sz="4" w:space="0" w:color="auto"/>
              <w:right w:val="single" w:sz="4" w:space="0" w:color="auto"/>
            </w:tcBorders>
          </w:tcPr>
          <w:p w14:paraId="22682F87" w14:textId="77777777" w:rsidR="00AB3DA2" w:rsidRPr="008D4EEE" w:rsidRDefault="00AB3DA2" w:rsidP="00031031">
            <w:pPr>
              <w:jc w:val="both"/>
              <w:rPr>
                <w:rFonts w:ascii="Times New Roman" w:hAnsi="Times New Roman" w:cs="Times New Roman"/>
                <w:sz w:val="20"/>
                <w:szCs w:val="20"/>
              </w:rPr>
            </w:pPr>
            <w:r>
              <w:rPr>
                <w:rFonts w:ascii="Times New Roman" w:hAnsi="Times New Roman" w:cs="Times New Roman"/>
                <w:sz w:val="20"/>
                <w:szCs w:val="20"/>
              </w:rPr>
              <w:t>YCB</w:t>
            </w:r>
          </w:p>
        </w:tc>
        <w:tc>
          <w:tcPr>
            <w:tcW w:w="5660" w:type="dxa"/>
            <w:tcBorders>
              <w:top w:val="single" w:sz="4" w:space="0" w:color="auto"/>
              <w:left w:val="single" w:sz="4" w:space="0" w:color="auto"/>
              <w:bottom w:val="single" w:sz="4" w:space="0" w:color="auto"/>
              <w:right w:val="single" w:sz="4" w:space="0" w:color="auto"/>
            </w:tcBorders>
          </w:tcPr>
          <w:p w14:paraId="11F40B56" w14:textId="483D945D" w:rsidR="00AB3DA2" w:rsidRPr="008D4EEE" w:rsidRDefault="00AB3DA2" w:rsidP="00031031">
            <w:pPr>
              <w:jc w:val="both"/>
              <w:rPr>
                <w:rFonts w:ascii="Times New Roman" w:hAnsi="Times New Roman" w:cs="Times New Roman"/>
                <w:sz w:val="20"/>
                <w:szCs w:val="20"/>
                <w:lang w:val="fr-FR"/>
              </w:rPr>
            </w:pPr>
            <w:r w:rsidRPr="00D30C33">
              <w:rPr>
                <w:rFonts w:ascii="Times New Roman" w:hAnsi="Times New Roman" w:cs="Times New Roman"/>
                <w:i/>
                <w:iCs/>
                <w:sz w:val="20"/>
                <w:szCs w:val="20"/>
                <w:lang w:val="fr-FR"/>
              </w:rPr>
              <w:t xml:space="preserve">Haemulon </w:t>
            </w:r>
            <w:proofErr w:type="spellStart"/>
            <w:r w:rsidRPr="00D30C33">
              <w:rPr>
                <w:rFonts w:ascii="Times New Roman" w:hAnsi="Times New Roman" w:cs="Times New Roman"/>
                <w:i/>
                <w:iCs/>
                <w:sz w:val="20"/>
                <w:szCs w:val="20"/>
                <w:lang w:val="fr-FR"/>
              </w:rPr>
              <w:t>aurolineatum</w:t>
            </w:r>
            <w:proofErr w:type="spellEnd"/>
            <w:r>
              <w:rPr>
                <w:rFonts w:ascii="Times New Roman" w:hAnsi="Times New Roman" w:cs="Times New Roman"/>
                <w:sz w:val="20"/>
                <w:szCs w:val="20"/>
                <w:lang w:val="fr-FR"/>
              </w:rPr>
              <w:t xml:space="preserve"> (</w:t>
            </w:r>
            <w:r w:rsidR="00D30C33">
              <w:rPr>
                <w:rFonts w:ascii="Times New Roman" w:hAnsi="Times New Roman" w:cs="Times New Roman"/>
                <w:sz w:val="20"/>
                <w:szCs w:val="20"/>
                <w:lang w:val="fr-FR"/>
              </w:rPr>
              <w:t>40)</w:t>
            </w:r>
          </w:p>
        </w:tc>
      </w:tr>
      <w:tr w:rsidR="00AB3DA2" w:rsidRPr="008D4EEE" w14:paraId="07194608" w14:textId="77777777" w:rsidTr="00031031">
        <w:tc>
          <w:tcPr>
            <w:tcW w:w="2337" w:type="dxa"/>
            <w:tcBorders>
              <w:top w:val="single" w:sz="4" w:space="0" w:color="auto"/>
              <w:left w:val="single" w:sz="4" w:space="0" w:color="auto"/>
              <w:bottom w:val="single" w:sz="4" w:space="0" w:color="auto"/>
              <w:right w:val="single" w:sz="4" w:space="0" w:color="auto"/>
            </w:tcBorders>
          </w:tcPr>
          <w:p w14:paraId="3CCC1EFA"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Western Caribbean Break</w:t>
            </w:r>
          </w:p>
        </w:tc>
        <w:tc>
          <w:tcPr>
            <w:tcW w:w="1353" w:type="dxa"/>
            <w:tcBorders>
              <w:top w:val="single" w:sz="4" w:space="0" w:color="auto"/>
              <w:left w:val="single" w:sz="4" w:space="0" w:color="auto"/>
              <w:bottom w:val="single" w:sz="4" w:space="0" w:color="auto"/>
              <w:right w:val="single" w:sz="4" w:space="0" w:color="auto"/>
            </w:tcBorders>
          </w:tcPr>
          <w:p w14:paraId="7DCD35C2"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W</w:t>
            </w:r>
            <w:r>
              <w:rPr>
                <w:rFonts w:ascii="Times New Roman" w:hAnsi="Times New Roman" w:cs="Times New Roman"/>
                <w:sz w:val="20"/>
                <w:szCs w:val="20"/>
              </w:rPr>
              <w:t>C</w:t>
            </w:r>
            <w:r w:rsidRPr="008D4EEE">
              <w:rPr>
                <w:rFonts w:ascii="Times New Roman" w:hAnsi="Times New Roman" w:cs="Times New Roman"/>
                <w:sz w:val="20"/>
                <w:szCs w:val="20"/>
              </w:rPr>
              <w:t>B</w:t>
            </w:r>
          </w:p>
        </w:tc>
        <w:tc>
          <w:tcPr>
            <w:tcW w:w="5660" w:type="dxa"/>
            <w:tcBorders>
              <w:top w:val="single" w:sz="4" w:space="0" w:color="auto"/>
              <w:left w:val="single" w:sz="4" w:space="0" w:color="auto"/>
              <w:bottom w:val="single" w:sz="4" w:space="0" w:color="auto"/>
              <w:right w:val="single" w:sz="4" w:space="0" w:color="auto"/>
            </w:tcBorders>
          </w:tcPr>
          <w:p w14:paraId="4494449E"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Invasive red lionfish (</w:t>
            </w:r>
            <w:r w:rsidRPr="008D4EEE">
              <w:rPr>
                <w:rFonts w:ascii="Times New Roman" w:hAnsi="Times New Roman" w:cs="Times New Roman"/>
                <w:i/>
                <w:iCs/>
                <w:sz w:val="20"/>
                <w:szCs w:val="20"/>
              </w:rPr>
              <w:t>Pterois volitans</w:t>
            </w:r>
            <w:r w:rsidRPr="008D4EEE">
              <w:rPr>
                <w:rFonts w:ascii="Times New Roman" w:hAnsi="Times New Roman" w:cs="Times New Roman"/>
                <w:sz w:val="20"/>
                <w:szCs w:val="20"/>
              </w:rPr>
              <w:t xml:space="preserve"> </w:t>
            </w:r>
            <w:r w:rsidRPr="008D4EEE">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{"citationItems":[{"id":"ITEM-1","itemData":{"DOI":"10.1007/s00227-015-2623-y","ISSN":"14321793","abstract":"The red lionfish (Pterois volitans) is an invasive predatory marine fish that has rapidly expanded its presence in the Western Hemisphere. We collected 214 invasive red lionfish samples from nine countries and territories, including seven unpublished locations. To more comprehensively evaluate connectivity, we compiled our d-loop sequence data with 846 published sequences, resulting in 1,060 samples from 14 locations. We found low nucleotide diversity (π = 0.003) and moderate haplotype diversity (h = 0.59). Using haplotype population pairwise ΦST tests, we analyzed possible phylogeographic breaks that were previously proposed based on other reef organisms. We found support for the Bahamas/Turks/Caicos versus Caribbean break (ΦST = 0.12) but not for the Northwestern Caribbean, Eastern Caribbean, or US East Coast versus Bahamas breaks. The Northern Region had higher variation and more haplotypes, supporting introductions of at least five haplotypes to the region. Our wide-ranging samples showed that a lower-frequency haplotype in the Northern Region dominated the Southern Region and suggested multiple introductions, possibly to the south. We tested multiple scenarios of phylogeographic structure with analyses of molecular variance and found support for a Northern and Southern Region split at the Bahamas/Turks/Caicos versus Caribbean break (percentage of variation among regions = 8.49 %). We found that Puerto Rico clustered with the Southern Region more strongly than with the Northern Region, as opposed to previous reports. We also found the rare haplotype H03 for the first time in the southern Caribbean (Panama), indicating that either secondary releases occurred or that the low-frequency haplotypes have had time to disperse to extreme southern Caribbean locations.","author":[{"dropping-particle":"","family":"Butterfield","given":"John S.S.","non-dropping-particle":"","parse-names":false,"suffix":""},{"dropping-particle":"","family":"Díaz-Ferguson","given":"Edgardo","non-dropping-particle":"","parse-names":false,"suffix":""},{"dropping-particle":"","family":"Silliman","given":"Brian R.","non-dropping-particle":"","parse-names":false,"suffix":""},{"dropping-particle":"","family":"Saunders","given":"Jonathan W.","non-dropping-particle":"","parse-names":false,"suffix":""},{"dropping-particle":"","family":"Buddo","given":"Dayne","non-dropping-particle":"","parse-names":false,"suffix":""},{"dropping-particle":"","family":"Mignucci-Giannoni","given":"Antonio A.","non-dropping-particle":"","parse-names":false,"suffix":""},{"dropping-particle":"","family":"Searle","given":"Linda","non-dropping-particle":"","parse-names":false,"suffix":""},{"dropping-particle":"","family":"Allen","given":"Aarin C.","non-dropping-particle":"","parse-names":false,"suffix":""},{"dropping-particle":"","family":"Hunter","given":"Margaret E.","non-dropping-particle":"","parse-names":false,"suffix":""}],"container-title":"Marine Biology","id":"ITEM-1","issue":"4","issued":{"date-parts":[["2015"]]},"page":"773-781","title":"Wide-ranging phylogeographic structure of invasive red lionfish in the Western Atlantic and Greater Caribbean","type":"article-journal","volume":"162"},"uris":["http://www.mendeley.com/documents/?uuid=423246d3-d97c-4082-907e-3cdca2c20110"]}],"mendeley":{"formattedCitation":"(44)","plainTextFormattedCitation":"(44)","previouslyFormattedCitation":"(43)"},"properties":{"noteIndex":0},"schema":"https://github.com/citation-style-language/schema/raw/master/csl-citation.json"}</w:instrText>
            </w:r>
            <w:r w:rsidRPr="008D4EEE">
              <w:rPr>
                <w:rFonts w:ascii="Times New Roman" w:hAnsi="Times New Roman" w:cs="Times New Roman"/>
                <w:sz w:val="20"/>
                <w:szCs w:val="20"/>
              </w:rPr>
              <w:fldChar w:fldCharType="separate"/>
            </w:r>
            <w:r w:rsidRPr="00AA42E0">
              <w:rPr>
                <w:rFonts w:ascii="Times New Roman" w:hAnsi="Times New Roman" w:cs="Times New Roman"/>
                <w:noProof/>
                <w:sz w:val="20"/>
                <w:szCs w:val="20"/>
              </w:rPr>
              <w:t>(44)</w:t>
            </w:r>
            <w:r w:rsidRPr="008D4EEE">
              <w:rPr>
                <w:rFonts w:ascii="Times New Roman" w:hAnsi="Times New Roman" w:cs="Times New Roman"/>
                <w:sz w:val="20"/>
                <w:szCs w:val="20"/>
              </w:rPr>
              <w:fldChar w:fldCharType="end"/>
            </w:r>
            <w:r w:rsidRPr="008D4EEE">
              <w:rPr>
                <w:rFonts w:ascii="Times New Roman" w:hAnsi="Times New Roman" w:cs="Times New Roman"/>
                <w:sz w:val="20"/>
                <w:szCs w:val="20"/>
              </w:rPr>
              <w:t>)</w:t>
            </w:r>
          </w:p>
        </w:tc>
      </w:tr>
      <w:tr w:rsidR="00AB3DA2" w:rsidRPr="008D4EEE" w14:paraId="0B5F3B95" w14:textId="77777777" w:rsidTr="00031031">
        <w:tc>
          <w:tcPr>
            <w:tcW w:w="2337" w:type="dxa"/>
            <w:tcBorders>
              <w:top w:val="single" w:sz="4" w:space="0" w:color="auto"/>
              <w:left w:val="single" w:sz="4" w:space="0" w:color="auto"/>
              <w:bottom w:val="single" w:sz="4" w:space="0" w:color="auto"/>
              <w:right w:val="single" w:sz="4" w:space="0" w:color="auto"/>
            </w:tcBorders>
          </w:tcPr>
          <w:p w14:paraId="6FA05235"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Eastern Caribbean Break</w:t>
            </w:r>
          </w:p>
        </w:tc>
        <w:tc>
          <w:tcPr>
            <w:tcW w:w="1353" w:type="dxa"/>
            <w:tcBorders>
              <w:top w:val="single" w:sz="4" w:space="0" w:color="auto"/>
              <w:left w:val="single" w:sz="4" w:space="0" w:color="auto"/>
              <w:bottom w:val="single" w:sz="4" w:space="0" w:color="auto"/>
              <w:right w:val="single" w:sz="4" w:space="0" w:color="auto"/>
            </w:tcBorders>
          </w:tcPr>
          <w:p w14:paraId="747EA905"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E</w:t>
            </w:r>
            <w:r>
              <w:rPr>
                <w:rFonts w:ascii="Times New Roman" w:hAnsi="Times New Roman" w:cs="Times New Roman"/>
                <w:sz w:val="20"/>
                <w:szCs w:val="20"/>
              </w:rPr>
              <w:t>C</w:t>
            </w:r>
            <w:r w:rsidRPr="008D4EEE">
              <w:rPr>
                <w:rFonts w:ascii="Times New Roman" w:hAnsi="Times New Roman" w:cs="Times New Roman"/>
                <w:sz w:val="20"/>
                <w:szCs w:val="20"/>
              </w:rPr>
              <w:t>B</w:t>
            </w:r>
          </w:p>
        </w:tc>
        <w:tc>
          <w:tcPr>
            <w:tcW w:w="5660" w:type="dxa"/>
            <w:tcBorders>
              <w:top w:val="single" w:sz="4" w:space="0" w:color="auto"/>
              <w:left w:val="single" w:sz="4" w:space="0" w:color="auto"/>
              <w:bottom w:val="single" w:sz="4" w:space="0" w:color="auto"/>
              <w:right w:val="single" w:sz="4" w:space="0" w:color="auto"/>
            </w:tcBorders>
          </w:tcPr>
          <w:p w14:paraId="3A272911"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Corals (</w:t>
            </w:r>
            <w:proofErr w:type="spellStart"/>
            <w:r w:rsidRPr="008D4EEE">
              <w:rPr>
                <w:rFonts w:ascii="Times New Roman" w:hAnsi="Times New Roman" w:cs="Times New Roman"/>
                <w:i/>
                <w:iCs/>
                <w:sz w:val="20"/>
                <w:szCs w:val="20"/>
              </w:rPr>
              <w:t>Orbicella</w:t>
            </w:r>
            <w:proofErr w:type="spellEnd"/>
            <w:r w:rsidRPr="008D4EEE">
              <w:rPr>
                <w:rFonts w:ascii="Times New Roman" w:hAnsi="Times New Roman" w:cs="Times New Roman"/>
                <w:i/>
                <w:iCs/>
                <w:sz w:val="20"/>
                <w:szCs w:val="20"/>
              </w:rPr>
              <w:t xml:space="preserve"> </w:t>
            </w:r>
            <w:proofErr w:type="spellStart"/>
            <w:r w:rsidRPr="008D4EEE">
              <w:rPr>
                <w:rFonts w:ascii="Times New Roman" w:hAnsi="Times New Roman" w:cs="Times New Roman"/>
                <w:i/>
                <w:iCs/>
                <w:sz w:val="20"/>
                <w:szCs w:val="20"/>
              </w:rPr>
              <w:t>faveolata</w:t>
            </w:r>
            <w:proofErr w:type="spellEnd"/>
            <w:r w:rsidRPr="008D4EEE">
              <w:rPr>
                <w:rFonts w:ascii="Times New Roman" w:hAnsi="Times New Roman" w:cs="Times New Roman"/>
                <w:sz w:val="20"/>
                <w:szCs w:val="20"/>
              </w:rPr>
              <w:t xml:space="preserve"> </w:t>
            </w:r>
            <w:r w:rsidRPr="008D4EEE">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{"citationItems":[{"id":"ITEM-1","itemData":{"DOI":"10.1002/ece3.3448","ISSN":"20457758","abstract":"As coral reefs continue to decline worldwide, it becomes ever more necessary to understand the connectivity between coral populations to develop efficient management strategies facilitating survival and adaptation of coral reefs in the future. Orbicella faveolata is one of the most important reef-building corals in the Caribbean and has recently experienced severe population reductions. Here, we utilize a panel of nine microsatellite loci to evaluate the genetic structure of O. faveolata and to infer connectivity across ten sites spanning the wider Caribbean region. Populations are generally well-mixed throughout the basin (FST = 0.038), although notable patterns of substructure arise at local and regional scales. Eastern and western populations appear segregated with a genetic break around the Mona Passage in the north, as has been shown previously in other species; however, we find evidence for significant connectivity between Curaçao and Mexico, suggesting that the southern margin of this barrier is permeable to dispersal. Our results also identify a strong genetic break within the Mesoamerican Barrier Reef System associated with complex oceanographic patterns that promote larval retention in southern Belize. Additionally, the diverse genetic signature at Flower Garden Banks suggests its possible function as a downstream genetic sink. The findings reported here are relevant to the ongoing conservation efforts for this important and threatened species, and contribute to the growing understanding of large-scale coral reef connectivity throughout the wider Caribbean.","author":[{"dropping-particle":"","family":"Rippe","given":"John P.","non-dropping-particle":"","parse-names":false,"suffix":""},{"dropping-particle":"V.","family":"Matz","given":"Mikhail","non-dropping-particle":"","parse-names":false,"suffix":""},{"dropping-particle":"","family":"Green","given":"Elizabeth A.","non-dropping-particle":"","parse-names":false,"suffix":""},{"dropping-particle":"","family":"Medina","given":"Mónica","non-dropping-particle":"","parse-names":false,"suffix":""},{"dropping-particle":"","family":"Khawaja","given":"Nida Z.","non-dropping-particle":"","parse-names":false,"suffix":""},{"dropping-particle":"","family":"Pongwarin","given":"Thanapat","non-dropping-particle":"","parse-names":false,"suffix":""},{"dropping-particle":"","family":"Pinzón C","given":"Jorge H.","non-dropping-particle":"","parse-names":false,"suffix":""},{"dropping-particle":"","family":"Castillo","given":"Karl D.","non-dropping-particle":"","parse-names":false,"suffix":""},{"dropping-particle":"","family":"Davies","given":"Sarah W.","non-dropping-particle":"","parse-names":false,"suffix":""}],"container-title":"Ecology and Evolution","id":"ITEM-1","issue":"22","issued":{"date-parts":[["2017"]]},"page":"9234-9246","title":"Population structure and connectivity of the mountainous star coral, Orbicella faveolata, throughout the wider Caribbean region","type":"article-journal","volume":"7"},"uris":["http://www.mendeley.com/documents/?uuid=f9551ce9-0dac-4369-b3c8-48e2da272269"]}],"mendeley":{"formattedCitation":"(45)","plainTextFormattedCitation":"(45)","previouslyFormattedCitation":"(44)"},"properties":{"noteIndex":0},"schema":"https://github.com/citation-style-language/schema/raw/master/csl-citation.json"}</w:instrText>
            </w:r>
            <w:r w:rsidRPr="008D4EEE">
              <w:rPr>
                <w:rFonts w:ascii="Times New Roman" w:hAnsi="Times New Roman" w:cs="Times New Roman"/>
                <w:sz w:val="20"/>
                <w:szCs w:val="20"/>
              </w:rPr>
              <w:fldChar w:fldCharType="separate"/>
            </w:r>
            <w:r w:rsidRPr="00AA42E0">
              <w:rPr>
                <w:rFonts w:ascii="Times New Roman" w:hAnsi="Times New Roman" w:cs="Times New Roman"/>
                <w:noProof/>
                <w:sz w:val="20"/>
                <w:szCs w:val="20"/>
              </w:rPr>
              <w:t>(45)</w:t>
            </w:r>
            <w:r w:rsidRPr="008D4EEE">
              <w:rPr>
                <w:rFonts w:ascii="Times New Roman" w:hAnsi="Times New Roman" w:cs="Times New Roman"/>
                <w:sz w:val="20"/>
                <w:szCs w:val="20"/>
              </w:rPr>
              <w:fldChar w:fldCharType="end"/>
            </w:r>
            <w:r w:rsidRPr="008D4EEE">
              <w:rPr>
                <w:rFonts w:ascii="Times New Roman" w:hAnsi="Times New Roman" w:cs="Times New Roman"/>
                <w:sz w:val="20"/>
                <w:szCs w:val="20"/>
              </w:rPr>
              <w:t xml:space="preserve">, </w:t>
            </w:r>
            <w:proofErr w:type="spellStart"/>
            <w:r w:rsidRPr="008D4EEE">
              <w:rPr>
                <w:rFonts w:ascii="Times New Roman" w:hAnsi="Times New Roman" w:cs="Times New Roman"/>
                <w:i/>
                <w:iCs/>
                <w:sz w:val="20"/>
                <w:szCs w:val="20"/>
              </w:rPr>
              <w:t>Madracis</w:t>
            </w:r>
            <w:proofErr w:type="spellEnd"/>
            <w:r w:rsidRPr="008D4EEE">
              <w:rPr>
                <w:rFonts w:ascii="Times New Roman" w:hAnsi="Times New Roman" w:cs="Times New Roman"/>
                <w:i/>
                <w:iCs/>
                <w:sz w:val="20"/>
                <w:szCs w:val="20"/>
              </w:rPr>
              <w:t xml:space="preserve"> </w:t>
            </w:r>
            <w:proofErr w:type="spellStart"/>
            <w:r w:rsidRPr="008D4EEE">
              <w:rPr>
                <w:rFonts w:ascii="Times New Roman" w:hAnsi="Times New Roman" w:cs="Times New Roman"/>
                <w:i/>
                <w:iCs/>
                <w:sz w:val="20"/>
                <w:szCs w:val="20"/>
              </w:rPr>
              <w:t>auretenra</w:t>
            </w:r>
            <w:proofErr w:type="spellEnd"/>
            <w:r w:rsidRPr="008D4EEE">
              <w:rPr>
                <w:rFonts w:ascii="Times New Roman" w:hAnsi="Times New Roman" w:cs="Times New Roman"/>
                <w:sz w:val="20"/>
                <w:szCs w:val="20"/>
              </w:rPr>
              <w:t xml:space="preserve"> </w:t>
            </w:r>
            <w:r w:rsidRPr="008D4EEE">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{"citationItems":[{"id":"ITEM-1","itemData":{"DOI":"10.3389/fmars.2022.840730","ISSN":"22967745","abstract":"The shallow coral Madracis auretenra has an important role in the rich diversity of coral reef ecosystems found in the Caribbean Sea, providing habitat and support to different marine species. Improved understanding of the genetic structure of marine species in the region is needed for the design and management of marine reserves, which are usually created as a biodiversity conservation tool. In this study, seventeen new microsatellite markers were used to examine the population structure of M. auretenra through different areas in the Caribbean Sea (Guatemala, Colombia, Curacao and Barbados), analysing 313 samples from 18 localities. A significant differentiation and a clear clustering were found (k=11), indicating structure in the Caribbean sampled populations with high levels of inbreeding. A pattern of isolation by distance was present in all the localities but not identified in the stratified Mantel test, suggesting a major role of the physical barriers (e.g. currents, upwelling and rivers) in the genetic diversity distribution. Patterns of migration were found for Curacao, Barbados and some areas of Colombia. In contrast, some localities from Colombia (Varadero and Albuquerque) and Guatemala were identified as isolated. The population structure identified here highlights the importance of careful design and monitoring of marine reserves in the region and will help to guide further ecological analysis of shallow Caribbean coral formations.","author":[{"dropping-particle":"","family":"Ballesteros-Contreras","given":"Diana Carolina","non-dropping-particle":"","parse-names":false,"suffix":""},{"dropping-particle":"","family":"Barrios","given":"Lina M.","non-dropping-particle":"","parse-names":false,"suffix":""},{"dropping-particle":"","family":"Preziosi","given":"Richard","non-dropping-particle":"","parse-names":false,"suffix":""}],"container-title":"Frontiers in Marine Science","id":"ITEM-1","issue":"October","issued":{"date-parts":[["2022"]]},"page":"1-15","title":"Population structure of the shallow coral Madracis auretenra in the Caribbean Sea","type":"article-journal","volume":"9"},"uris":["http://www.mendeley.com/documents/?uuid=3e77389e-ada5-465f-be65-73d5fc7079ad"]}],"mendeley":{"formattedCitation":"(46)","plainTextFormattedCitation":"(46)","previouslyFormattedCitation":"(45)"},"properties":{"noteIndex":0},"schema":"https://github.com/citation-style-language/schema/raw/master/csl-citation.json"}</w:instrText>
            </w:r>
            <w:r w:rsidRPr="008D4EEE">
              <w:rPr>
                <w:rFonts w:ascii="Times New Roman" w:hAnsi="Times New Roman" w:cs="Times New Roman"/>
                <w:sz w:val="20"/>
                <w:szCs w:val="20"/>
              </w:rPr>
              <w:fldChar w:fldCharType="separate"/>
            </w:r>
            <w:r w:rsidRPr="00AA42E0">
              <w:rPr>
                <w:rFonts w:ascii="Times New Roman" w:hAnsi="Times New Roman" w:cs="Times New Roman"/>
                <w:noProof/>
                <w:sz w:val="20"/>
                <w:szCs w:val="20"/>
              </w:rPr>
              <w:t>(46)</w:t>
            </w:r>
            <w:r w:rsidRPr="008D4EEE">
              <w:rPr>
                <w:rFonts w:ascii="Times New Roman" w:hAnsi="Times New Roman" w:cs="Times New Roman"/>
                <w:sz w:val="20"/>
                <w:szCs w:val="20"/>
              </w:rPr>
              <w:fldChar w:fldCharType="end"/>
            </w:r>
            <w:r w:rsidRPr="008D4EEE">
              <w:rPr>
                <w:rFonts w:ascii="Times New Roman" w:hAnsi="Times New Roman" w:cs="Times New Roman"/>
                <w:sz w:val="20"/>
                <w:szCs w:val="20"/>
              </w:rPr>
              <w:t xml:space="preserve">) </w:t>
            </w:r>
          </w:p>
        </w:tc>
      </w:tr>
      <w:tr w:rsidR="00AB3DA2" w:rsidRPr="008D4EEE" w14:paraId="2D61DB1A" w14:textId="77777777" w:rsidTr="00031031">
        <w:tc>
          <w:tcPr>
            <w:tcW w:w="2337" w:type="dxa"/>
            <w:tcBorders>
              <w:top w:val="single" w:sz="4" w:space="0" w:color="auto"/>
              <w:left w:val="single" w:sz="4" w:space="0" w:color="auto"/>
              <w:bottom w:val="single" w:sz="4" w:space="0" w:color="auto"/>
              <w:right w:val="single" w:sz="4" w:space="0" w:color="auto"/>
            </w:tcBorders>
          </w:tcPr>
          <w:p w14:paraId="5F7D84C4" w14:textId="77777777" w:rsidR="00AB3DA2" w:rsidRPr="008D4EEE" w:rsidRDefault="00AB3DA2" w:rsidP="00031031">
            <w:pPr>
              <w:jc w:val="both"/>
              <w:rPr>
                <w:rFonts w:ascii="Times New Roman" w:hAnsi="Times New Roman" w:cs="Times New Roman"/>
                <w:sz w:val="20"/>
                <w:szCs w:val="20"/>
              </w:rPr>
            </w:pPr>
            <w:r>
              <w:rPr>
                <w:rFonts w:ascii="Times New Roman" w:hAnsi="Times New Roman" w:cs="Times New Roman"/>
                <w:sz w:val="20"/>
                <w:szCs w:val="20"/>
              </w:rPr>
              <w:t>Northeastern Colombian Coast</w:t>
            </w:r>
          </w:p>
        </w:tc>
        <w:tc>
          <w:tcPr>
            <w:tcW w:w="1353" w:type="dxa"/>
            <w:tcBorders>
              <w:top w:val="single" w:sz="4" w:space="0" w:color="auto"/>
              <w:left w:val="single" w:sz="4" w:space="0" w:color="auto"/>
              <w:bottom w:val="single" w:sz="4" w:space="0" w:color="auto"/>
              <w:right w:val="single" w:sz="4" w:space="0" w:color="auto"/>
            </w:tcBorders>
          </w:tcPr>
          <w:p w14:paraId="6D5B3189" w14:textId="77777777" w:rsidR="00AB3DA2" w:rsidRPr="008D4EEE" w:rsidRDefault="00AB3DA2" w:rsidP="00031031">
            <w:pPr>
              <w:jc w:val="both"/>
              <w:rPr>
                <w:rFonts w:ascii="Times New Roman" w:hAnsi="Times New Roman" w:cs="Times New Roman"/>
                <w:sz w:val="20"/>
                <w:szCs w:val="20"/>
              </w:rPr>
            </w:pPr>
            <w:r>
              <w:rPr>
                <w:rFonts w:ascii="Times New Roman" w:hAnsi="Times New Roman" w:cs="Times New Roman"/>
                <w:sz w:val="20"/>
                <w:szCs w:val="20"/>
              </w:rPr>
              <w:t>NECC</w:t>
            </w:r>
          </w:p>
        </w:tc>
        <w:tc>
          <w:tcPr>
            <w:tcW w:w="5660" w:type="dxa"/>
            <w:tcBorders>
              <w:top w:val="single" w:sz="4" w:space="0" w:color="auto"/>
              <w:left w:val="single" w:sz="4" w:space="0" w:color="auto"/>
              <w:bottom w:val="single" w:sz="4" w:space="0" w:color="auto"/>
              <w:right w:val="single" w:sz="4" w:space="0" w:color="auto"/>
            </w:tcBorders>
          </w:tcPr>
          <w:p w14:paraId="5E8848E8" w14:textId="77777777" w:rsidR="00AB3DA2" w:rsidRPr="008D4EEE" w:rsidRDefault="00AB3DA2" w:rsidP="00031031">
            <w:pPr>
              <w:jc w:val="both"/>
              <w:rPr>
                <w:rFonts w:ascii="Times New Roman" w:hAnsi="Times New Roman" w:cs="Times New Roman"/>
                <w:sz w:val="20"/>
                <w:szCs w:val="20"/>
              </w:rPr>
            </w:pPr>
            <w:r>
              <w:rPr>
                <w:rFonts w:ascii="Times New Roman" w:hAnsi="Times New Roman" w:cs="Times New Roman"/>
                <w:sz w:val="20"/>
                <w:szCs w:val="20"/>
              </w:rPr>
              <w:t xml:space="preserve">Sea </w:t>
            </w:r>
            <w:r w:rsidRPr="008D4EEE">
              <w:rPr>
                <w:rFonts w:ascii="Times New Roman" w:hAnsi="Times New Roman" w:cs="Times New Roman"/>
                <w:sz w:val="20"/>
                <w:szCs w:val="20"/>
              </w:rPr>
              <w:t>Catfishes (</w:t>
            </w:r>
            <w:proofErr w:type="spellStart"/>
            <w:r w:rsidRPr="008D4EEE">
              <w:rPr>
                <w:rFonts w:ascii="Times New Roman" w:hAnsi="Times New Roman" w:cs="Times New Roman"/>
                <w:i/>
                <w:iCs/>
                <w:sz w:val="20"/>
                <w:szCs w:val="20"/>
              </w:rPr>
              <w:t>Cathorops</w:t>
            </w:r>
            <w:proofErr w:type="spellEnd"/>
            <w:r w:rsidRPr="008D4EEE">
              <w:rPr>
                <w:rFonts w:ascii="Times New Roman" w:hAnsi="Times New Roman" w:cs="Times New Roman"/>
                <w:i/>
                <w:iCs/>
                <w:sz w:val="20"/>
                <w:szCs w:val="20"/>
              </w:rPr>
              <w:t xml:space="preserve"> </w:t>
            </w:r>
            <w:proofErr w:type="spellStart"/>
            <w:r w:rsidRPr="008D4EEE">
              <w:rPr>
                <w:rFonts w:ascii="Times New Roman" w:hAnsi="Times New Roman" w:cs="Times New Roman"/>
                <w:i/>
                <w:iCs/>
                <w:sz w:val="20"/>
                <w:szCs w:val="20"/>
              </w:rPr>
              <w:t>mapale</w:t>
            </w:r>
            <w:proofErr w:type="spellEnd"/>
            <w:r>
              <w:rPr>
                <w:rFonts w:ascii="Times New Roman" w:hAnsi="Times New Roman" w:cs="Times New Roman"/>
                <w:i/>
                <w:iCs/>
                <w:sz w:val="20"/>
                <w:szCs w:val="20"/>
              </w:rPr>
              <w:t xml:space="preserve">/C. </w:t>
            </w:r>
            <w:proofErr w:type="spellStart"/>
            <w:r>
              <w:rPr>
                <w:rFonts w:ascii="Times New Roman" w:hAnsi="Times New Roman" w:cs="Times New Roman"/>
                <w:i/>
                <w:iCs/>
                <w:sz w:val="20"/>
                <w:szCs w:val="20"/>
              </w:rPr>
              <w:t>wayuu</w:t>
            </w:r>
            <w:proofErr w:type="spellEnd"/>
            <w:r w:rsidRPr="008D4EEE">
              <w:rPr>
                <w:rFonts w:ascii="Times New Roman" w:hAnsi="Times New Roman" w:cs="Times New Roman"/>
                <w:sz w:val="20"/>
                <w:szCs w:val="20"/>
              </w:rPr>
              <w:t xml:space="preserve"> </w:t>
            </w:r>
            <w:r w:rsidRPr="008D4EEE">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{"citationItems":[{"id":"ITEM-1","itemData":{"DOI":"10.1371/journal.pone.0011566","ISSN":"19326203","PMID":"20644638","abstract":"Background: Marine allopatric speciation involves interplay between intrinsic organismal properties and extrinsic factors. However, the relative contribution of each depends on the taxon under study and its geographic context. Utilizing sea catfishes in the Cathorops mapale species group, this study tests the hypothesis that both reproductive strategies conferring limited dispersal opportunities and an apparent geomorphologic barrier in the Southern Caribbean have promoted speciation in this group from a little studied area of the world. Methodology/Principal Findings: Mitochondrial gene sequences were obtained from representatives of the Cathorops mapale species group across its distributional range from Colombia to Venezuela. Morphometric and meristic analyses were also done to assess morphologic variation. Along a ~2000 km transect, two major lineages, Cathorops sp. and C. mapale, were identified by levels of genetic differentiation, phylogenetic reconstructions, and morphological analyses. The lineages are separated by ~150 km at the Santa Marta Massif (SMM) in Colombia. The northward displacement of the SMM into the Caribbean in the early Pleistocene altered the geomorphology of the continental margin, ultimately disrupting the natural habitat of C. mapale. The estimated ~0.86 my divergence of the lineages from a common ancestor coincides with the timing of the SMM displacement at ~0.78 my. Main Conclusions/Significance: Results presented here support the hypothesis that organismal properties as well as extrinsic factors lead to diversification of the Cathorops mapale group along the northern coast of South America. While a lack of pelagic larval stages and ecological specialization are forces impacting this process, the identification of the SMM as contributing to allopatric speciation in marine organisms adds to the list of recognized barriers in the Caribbean. Comparative examination of additional Southern Caribbean taxa, particularly those with varying life history traits and dispersal capabilities, will determine the extent by which the SMM has influenced marine phylogeography in the region. © 2010 Betancur-R. et al.","author":[{"dropping-particle":"","family":"Betancur-R","given":"Ricardo","non-dropping-particle":"","parse-names":false,"suffix":""},{"dropping-particle":"","family":"Arturo Acero","given":"P.","non-dropping-particle":"","parse-names":false,"suffix":""},{"dropping-particle":"","family":"Duque-Caro","given":"Hermann","non-dropping-particle":"","parse-names":false,"suffix":""},{"dropping-particle":"","family":"Santos","given":"Scott R.","non-dropping-particle":"","parse-names":false,"suffix":""}],"container-title":"PLoS ONE","id":"ITEM-1","issue":"7","issued":{"date-parts":[["2010"]]},"page":"1-10","title":"Phylogenetic and morphologic analyses of a coastal fish reveals a marine biogeographic break of terrestrial origin in the Southern Caribbean","type":"article-journal","volume":"5"},"uris":["http://www.mendeley.com/documents/?uuid=73e0cfb4-90ed-487f-b752-8c7bf4cc8936"]}],"mendeley":{"formattedCitation":"(47)","plainTextFormattedCitation":"(47)","previouslyFormattedCitation":"(46)"},"properties":{"noteIndex":0},"schema":"https://github.com/citation-style-language/schema/raw/master/csl-citation.json"}</w:instrText>
            </w:r>
            <w:r w:rsidRPr="008D4EEE">
              <w:rPr>
                <w:rFonts w:ascii="Times New Roman" w:hAnsi="Times New Roman" w:cs="Times New Roman"/>
                <w:sz w:val="20"/>
                <w:szCs w:val="20"/>
              </w:rPr>
              <w:fldChar w:fldCharType="separate"/>
            </w:r>
            <w:r w:rsidRPr="00AA42E0">
              <w:rPr>
                <w:rFonts w:ascii="Times New Roman" w:hAnsi="Times New Roman" w:cs="Times New Roman"/>
                <w:noProof/>
                <w:sz w:val="20"/>
                <w:szCs w:val="20"/>
              </w:rPr>
              <w:t>(47)</w:t>
            </w:r>
            <w:r w:rsidRPr="008D4EEE">
              <w:rPr>
                <w:rFonts w:ascii="Times New Roman" w:hAnsi="Times New Roman" w:cs="Times New Roman"/>
                <w:sz w:val="20"/>
                <w:szCs w:val="20"/>
              </w:rPr>
              <w:fldChar w:fldCharType="end"/>
            </w:r>
            <w:r w:rsidRPr="008D4EEE">
              <w:rPr>
                <w:rFonts w:ascii="Times New Roman" w:hAnsi="Times New Roman" w:cs="Times New Roman"/>
                <w:sz w:val="20"/>
                <w:szCs w:val="20"/>
              </w:rPr>
              <w:t xml:space="preserve">) </w:t>
            </w:r>
          </w:p>
        </w:tc>
      </w:tr>
      <w:tr w:rsidR="00AB3DA2" w:rsidRPr="008D4EEE" w14:paraId="7F291652" w14:textId="77777777" w:rsidTr="00031031">
        <w:tc>
          <w:tcPr>
            <w:tcW w:w="2337" w:type="dxa"/>
            <w:tcBorders>
              <w:top w:val="single" w:sz="4" w:space="0" w:color="auto"/>
              <w:left w:val="single" w:sz="4" w:space="0" w:color="auto"/>
              <w:bottom w:val="single" w:sz="4" w:space="0" w:color="auto"/>
              <w:right w:val="single" w:sz="4" w:space="0" w:color="auto"/>
            </w:tcBorders>
          </w:tcPr>
          <w:p w14:paraId="1E1F40BA"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Mona Passage Break</w:t>
            </w:r>
          </w:p>
        </w:tc>
        <w:tc>
          <w:tcPr>
            <w:tcW w:w="1353" w:type="dxa"/>
            <w:tcBorders>
              <w:top w:val="single" w:sz="4" w:space="0" w:color="auto"/>
              <w:left w:val="single" w:sz="4" w:space="0" w:color="auto"/>
              <w:bottom w:val="single" w:sz="4" w:space="0" w:color="auto"/>
              <w:right w:val="single" w:sz="4" w:space="0" w:color="auto"/>
            </w:tcBorders>
          </w:tcPr>
          <w:p w14:paraId="3002CF9A"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MPB</w:t>
            </w:r>
          </w:p>
        </w:tc>
        <w:tc>
          <w:tcPr>
            <w:tcW w:w="5660" w:type="dxa"/>
            <w:tcBorders>
              <w:top w:val="single" w:sz="4" w:space="0" w:color="auto"/>
              <w:left w:val="single" w:sz="4" w:space="0" w:color="auto"/>
              <w:bottom w:val="single" w:sz="4" w:space="0" w:color="auto"/>
              <w:right w:val="single" w:sz="4" w:space="0" w:color="auto"/>
            </w:tcBorders>
          </w:tcPr>
          <w:p w14:paraId="76E30AFA" w14:textId="77777777" w:rsidR="00AB3DA2" w:rsidRPr="008D4EEE" w:rsidRDefault="00AB3DA2" w:rsidP="00031031">
            <w:pPr>
              <w:jc w:val="both"/>
              <w:rPr>
                <w:rFonts w:ascii="Times New Roman" w:hAnsi="Times New Roman" w:cs="Times New Roman"/>
                <w:sz w:val="20"/>
                <w:szCs w:val="20"/>
              </w:rPr>
            </w:pPr>
            <w:r w:rsidRPr="008D4EEE">
              <w:rPr>
                <w:rFonts w:ascii="Times New Roman" w:hAnsi="Times New Roman" w:cs="Times New Roman"/>
                <w:sz w:val="20"/>
                <w:szCs w:val="20"/>
              </w:rPr>
              <w:t>Gobies (</w:t>
            </w:r>
            <w:r w:rsidRPr="008D4EEE">
              <w:rPr>
                <w:rFonts w:ascii="Times New Roman" w:hAnsi="Times New Roman" w:cs="Times New Roman"/>
                <w:i/>
                <w:iCs/>
                <w:sz w:val="20"/>
                <w:szCs w:val="20"/>
              </w:rPr>
              <w:t xml:space="preserve">Elacatinus </w:t>
            </w:r>
            <w:r w:rsidRPr="008D4EEE">
              <w:rPr>
                <w:rFonts w:ascii="Times New Roman" w:hAnsi="Times New Roman" w:cs="Times New Roman"/>
                <w:sz w:val="20"/>
                <w:szCs w:val="20"/>
              </w:rPr>
              <w:t xml:space="preserve">spp </w:t>
            </w:r>
            <w:r w:rsidRPr="008D4EEE">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{"citationItems":[{"id":"ITEM-1","itemData":{"DOI":"10.1111/j.1365-294X.2006.02820.x","ISSN":"09621083","PMID":"16499695","abstract":"Geographic barriers that limit the movement of individuals between populations may create or maintain phylogenetically discrete lineages. Such barriers are often inferred from geographic surveys of a single mitochondrial marker to identify phylogenetic splits. Mitochondrial DNA, however, has an effective population size one-fourth that of nuclear DNA, which can facilitate the rapid evolution of monophyletic mtDNA lineages in the absence of geographic barriers. The identification of geographic barriers will thus be more robust if barriers are proposed a priori, and tested with multiple independent genetic markers in multiple species. Here, we tested two proposed marine biogeographic breaks located at the Mona Passage in the Caribbean Sea and at the southern end of Exuma Sound in the Bahamas. We sequenced mitochondrial cytochrome b (400 bp) and nuclear rag1 (573 bp) for nine species and colour forms (183 individuals total) within the teleost genus Elacatinus (Gobiidae) that span the proposed breaks. Our results showed that Mona Passage separated mtcyb and rag1 lineages, with no genetic exchange between populations separated by just 23 km. However, the Central Bahamas barrier was only weakly supported by our data. Importantly, neither barrier coincided with deep genetic splits. This suggests that these two barriers did not initially isolate regional populations, but instead disrupt ongoing gene flow between regions. Our inferred relationships further suggested a division of the Caribbean region into northwestern and southeastern regions, a pattern reflected by some freshwater and terrestrial vertebrates. Our results, coupled with genetic and demographic data from other reef fishes and corals, provide robust support for the Mona Passage as a long-term biogeographic barrier for Caribbean animals. © 2006 Blackwell Publishing Ltd.","author":[{"dropping-particle":"","family":"Taylor","given":"Michael S.","non-dropping-particle":"","parse-names":false,"suffix":""},{"dropping-particle":"","family":"Hellberg","given":"Michael E.","non-dropping-particle":"","parse-names":false,"suffix":""}],"container-title":"Molecular Ecology","id":"ITEM-1","issue":"3","issued":{"date-parts":[["2006"]]},"page":"695-707","title":"Comparative phylogeography in a genus of coral reef fishes: Biogeographic and genetic concordance in the Caribbean","type":"article-journal","volume":"15"},"uris":["http://www.mendeley.com/documents/?uuid=593a44fb-f841-463c-b9fe-42553c2281bd"]},{"id":"ITEM-2","itemData":{"DOI":"10.1126/science.1079365","ISSN":"00368075","PMID":"12511651","abstract":"The pelagic larvae of many marine organisms can potentially disperse across hundreds of kilometers, but whether oceanographic or behavioral mechanisms can constrain dispersal over periods sufficient for the evolution of genetic differentiation remains unclear. Here, we concurrently examine larval duration and genetic population differentiation in a cleaner goby, Elacatinus evelynae, a member of the most species-rich genus of Caribbean reef fishes. Despite evidence for extended pelagic duration (21 days), populations of E. evelynae show strong genetic differentiation: among color forms (1.36 to 3.04% divergent at mitochondrial cytochrome b) and among island populations within color forms (ΠST up to 70%). These results suggest that marine populations can remain demographically closed for thousands of generations despite extended larval duration, and that recognition cues such as color may promote speciation when geographic barriers are transient or weak.","author":[{"dropping-particle":"","family":"Taylor","given":"Michael S.","non-dropping-particle":"","parse-names":false,"suffix":""},{"dropping-particle":"","family":"Hellberg","given":"Michael E.","non-dropping-particle":"","parse-names":false,"suffix":""}],"container-title":"Science","id":"ITEM-2","issue":"5603","issued":{"date-parts":[["2003"]]},"page":"107-109","title":"Genetic evidence for local retention of pelagic larvae in a Caribbean reef fish","type":"article-journal","volume":"299"},"uris":["http://www.mendeley.com/documents/?uuid=f457bc0b-20f1-429b-ae08-f2414f9e7dc1"]}],"mendeley":{"formattedCitation":"(42, 48)","plainTextFormattedCitation":"(42, 48)","previouslyFormattedCitation":"(41, 47)"},"properties":{"noteIndex":0},"schema":"https://github.com/citation-style-language/schema/raw/master/csl-citation.json"}</w:instrText>
            </w:r>
            <w:r w:rsidRPr="008D4EEE">
              <w:rPr>
                <w:rFonts w:ascii="Times New Roman" w:hAnsi="Times New Roman" w:cs="Times New Roman"/>
                <w:sz w:val="20"/>
                <w:szCs w:val="20"/>
              </w:rPr>
              <w:fldChar w:fldCharType="separate"/>
            </w:r>
            <w:r w:rsidRPr="00AA42E0">
              <w:rPr>
                <w:rFonts w:ascii="Times New Roman" w:hAnsi="Times New Roman" w:cs="Times New Roman"/>
                <w:noProof/>
                <w:sz w:val="20"/>
                <w:szCs w:val="20"/>
              </w:rPr>
              <w:t>(42, 48)</w:t>
            </w:r>
            <w:r w:rsidRPr="008D4EEE">
              <w:rPr>
                <w:rFonts w:ascii="Times New Roman" w:hAnsi="Times New Roman" w:cs="Times New Roman"/>
                <w:sz w:val="20"/>
                <w:szCs w:val="20"/>
              </w:rPr>
              <w:fldChar w:fldCharType="end"/>
            </w:r>
            <w:r w:rsidRPr="008D4EEE">
              <w:rPr>
                <w:rFonts w:ascii="Times New Roman" w:hAnsi="Times New Roman" w:cs="Times New Roman"/>
                <w:sz w:val="20"/>
                <w:szCs w:val="20"/>
              </w:rPr>
              <w:t>), corals (</w:t>
            </w:r>
            <w:r w:rsidRPr="008D4EEE">
              <w:rPr>
                <w:rFonts w:ascii="Times New Roman" w:hAnsi="Times New Roman" w:cs="Times New Roman"/>
                <w:i/>
                <w:iCs/>
                <w:sz w:val="20"/>
                <w:szCs w:val="20"/>
              </w:rPr>
              <w:t xml:space="preserve">Acropora palmata </w:t>
            </w:r>
            <w:r w:rsidRPr="008D4EEE">
              <w:rPr>
                <w:rFonts w:ascii="Times New Roman" w:hAnsi="Times New Roman" w:cs="Times New Roman"/>
                <w:i/>
                <w:iCs/>
                <w:sz w:val="20"/>
                <w:szCs w:val="20"/>
              </w:rPr>
              <w:fldChar w:fldCharType="begin" w:fldLock="1"/>
            </w:r>
            <w:r>
              <w:rPr>
                <w:rFonts w:ascii="Times New Roman" w:hAnsi="Times New Roman" w:cs="Times New Roman"/>
                <w:i/>
                <w:iCs/>
                <w:sz w:val="20"/>
                <w:szCs w:val="20"/>
              </w:rPr>
              <w:instrText>ADDIN CSL_CITATION {"citationItems":[{"id":"ITEM-1","itemData":{"DOI":"10.1111/j.1365-294X.2005.02489.x","ISBN":"0962-1083 (Print)\\n0962-1083 (Linking)","ISSN":"09621083","PMID":"15813778","abstract":"The movements of larvae between marine populations are difficult to follow directly and have been the subject of much controversy, especially in the Caribbean. The debate centres on the degree to which populations are demographically open, such that depleted populations can be replenished by recruitment from distant healthy populations, or demographically closed and thus in need of local management. Given the depressed state of many tropical reef populations, the understanding of these movements now bears critically on the number, placement, and size of marine reserves. Most genetic analyses assume that dispersal patterns have been stable for thousands of generations, thus they commonly reflect past colonization histories more than ongoing dispersal. Recently developed multilocus genotyping approaches, however, have the demonstrated ability to detect both migration and population isolation over far shorter timescales. Previously, we developed five microsatellite markers and demonstrated them to be both Mendelian and coral-specific. Using these markers and Bayesian analyses, we show here that populations of the imperiled reef-building coral, Acropora palmata, have experienced little or no recent genetic exchange between the western and the eastern Caribbean. Puerto Rico is identified as an area of mixing between the two subregions. As a consequence of this regional isolation, populations in the western and eastern Caribbean should have the potential to adapt to local conditions and will require population-specific management strategies.","author":[{"dropping-particle":"","family":"Baums","given":"Iliana B.","non-dropping-particle":"","parse-names":false,"suffix":""},{"dropping-particle":"","family":"Miller","given":"Margaret W.","non-dropping-particle":"","parse-names":false,"suffix":""},{"dropping-particle":"","family":"Hellberg","given":"Michael E.","non-dropping-particle":"","parse-names":false,"suffix":""}],"container-title":"Molecular Ecology","id":"ITEM-1","issue":"5","issued":{"date-parts":[["2005"]]},"page":"1377-1390","title":"Regionally isolated populations of an imperiled Caribbean coral, Acropora palmata","type":"article-journal","volume":"14"},"uris":["http://www.mendeley.com/documents/?uuid=06423b89-b3a0-45bd-83f3-7b33dd0fb3f4"]}],"mendeley":{"formattedCitation":"(49)","plainTextFormattedCitation":"(49)","previouslyFormattedCitation":"(48)"},"properties":{"noteIndex":0},"schema":"https://github.com/citation-style-language/schema/raw/master/csl-citation.json"}</w:instrText>
            </w:r>
            <w:r w:rsidRPr="008D4EEE">
              <w:rPr>
                <w:rFonts w:ascii="Times New Roman" w:hAnsi="Times New Roman" w:cs="Times New Roman"/>
                <w:i/>
                <w:iCs/>
                <w:sz w:val="20"/>
                <w:szCs w:val="20"/>
              </w:rPr>
              <w:fldChar w:fldCharType="separate"/>
            </w:r>
            <w:r w:rsidRPr="00AA42E0">
              <w:rPr>
                <w:rFonts w:ascii="Times New Roman" w:hAnsi="Times New Roman" w:cs="Times New Roman"/>
                <w:iCs/>
                <w:noProof/>
                <w:sz w:val="20"/>
                <w:szCs w:val="20"/>
              </w:rPr>
              <w:t>(49)</w:t>
            </w:r>
            <w:r w:rsidRPr="008D4EEE">
              <w:rPr>
                <w:rFonts w:ascii="Times New Roman" w:hAnsi="Times New Roman" w:cs="Times New Roman"/>
                <w:i/>
                <w:iCs/>
                <w:sz w:val="20"/>
                <w:szCs w:val="20"/>
              </w:rPr>
              <w:fldChar w:fldCharType="end"/>
            </w:r>
            <w:r w:rsidRPr="008D4EEE">
              <w:rPr>
                <w:rFonts w:ascii="Times New Roman" w:hAnsi="Times New Roman" w:cs="Times New Roman"/>
                <w:sz w:val="20"/>
                <w:szCs w:val="20"/>
              </w:rPr>
              <w:t>)</w:t>
            </w:r>
          </w:p>
        </w:tc>
      </w:tr>
    </w:tbl>
    <w:p w14:paraId="2A14CC90" w14:textId="77777777" w:rsidR="00AB3DA2" w:rsidRDefault="00AB3DA2" w:rsidP="00AB3DA2">
      <w:pPr>
        <w:jc w:val="both"/>
        <w:rPr>
          <w:rFonts w:ascii="Times New Roman" w:hAnsi="Times New Roman" w:cs="Times New Roman"/>
          <w:b/>
          <w:bCs/>
        </w:rPr>
      </w:pPr>
    </w:p>
    <w:p w14:paraId="44C9341E" w14:textId="3490544B" w:rsidR="00AB3DA2" w:rsidRPr="00793FF5" w:rsidRDefault="00AB3DA2" w:rsidP="00AB3DA2">
      <w:pPr>
        <w:jc w:val="both"/>
        <w:rPr>
          <w:rFonts w:ascii="Times New Roman" w:hAnsi="Times New Roman" w:cs="Times New Roman"/>
          <w:sz w:val="24"/>
          <w:szCs w:val="24"/>
        </w:rPr>
      </w:pPr>
      <w:r w:rsidRPr="00793FF5">
        <w:rPr>
          <w:rFonts w:ascii="Times New Roman" w:hAnsi="Times New Roman" w:cs="Times New Roman"/>
          <w:b/>
          <w:bCs/>
          <w:sz w:val="24"/>
          <w:szCs w:val="24"/>
        </w:rPr>
        <w:t xml:space="preserve">DNA extraction, library preparation, and sequencing. </w:t>
      </w:r>
      <w:r w:rsidRPr="00793FF5">
        <w:rPr>
          <w:rFonts w:ascii="Times New Roman" w:hAnsi="Times New Roman" w:cs="Times New Roman"/>
          <w:sz w:val="24"/>
          <w:szCs w:val="24"/>
        </w:rPr>
        <w:t xml:space="preserve">High-quality DNA extractions were performed from fin-clip tissues </w:t>
      </w:r>
      <w:r w:rsidRPr="00793FF5">
        <w:rPr>
          <w:rFonts w:ascii="Times New Roman" w:hAnsi="Times New Roman" w:cs="Times New Roman"/>
          <w:color w:val="000000" w:themeColor="text1"/>
          <w:sz w:val="24"/>
          <w:szCs w:val="24"/>
        </w:rPr>
        <w:t xml:space="preserve">using Qiagen DNeasy mericon 96 QIAcube HT Kit (Qiagen, Inc.) </w:t>
      </w:r>
      <w:r w:rsidRPr="00793FF5">
        <w:rPr>
          <w:rFonts w:ascii="Times New Roman" w:hAnsi="Times New Roman" w:cs="Times New Roman"/>
          <w:sz w:val="24"/>
          <w:szCs w:val="24"/>
        </w:rPr>
        <w:t xml:space="preserve">at the University of Wisconsin Biotechnology Center (UWBC). We generated data for 506 individuals representing the 23 </w:t>
      </w:r>
      <w:r w:rsidRPr="00793FF5">
        <w:rPr>
          <w:rFonts w:ascii="Times New Roman" w:hAnsi="Times New Roman" w:cs="Times New Roman"/>
          <w:i/>
          <w:iCs/>
          <w:sz w:val="24"/>
          <w:szCs w:val="24"/>
        </w:rPr>
        <w:t>Malacoctenus</w:t>
      </w:r>
      <w:r w:rsidRPr="00793FF5">
        <w:rPr>
          <w:rFonts w:ascii="Times New Roman" w:hAnsi="Times New Roman" w:cs="Times New Roman"/>
          <w:sz w:val="24"/>
          <w:szCs w:val="24"/>
        </w:rPr>
        <w:t xml:space="preserve"> species, and replicates of eight individuals that were used to measure the assembly-error rate (see below). </w:t>
      </w:r>
      <w:r w:rsidRPr="00793FF5">
        <w:rPr>
          <w:rFonts w:ascii="Times New Roman" w:hAnsi="Times New Roman" w:cs="Times New Roman"/>
          <w:color w:val="000000" w:themeColor="text1"/>
          <w:sz w:val="24"/>
          <w:szCs w:val="24"/>
        </w:rPr>
        <w:t>Replicates were chosen based on the species with fewer individuals to increase the chance of getting a higher final coverage.</w:t>
      </w:r>
      <w:r w:rsidRPr="00793FF5">
        <w:rPr>
          <w:rFonts w:ascii="Times New Roman" w:hAnsi="Times New Roman" w:cs="Times New Roman"/>
          <w:sz w:val="24"/>
          <w:szCs w:val="24"/>
        </w:rPr>
        <w:t xml:space="preserve"> To identify potential instances of cross-contamination, the well positions for each DNA extraction plate were carefully chosen to avoid placing individuals of the same species or closely related populations consecutively. Double-digest restriction-site associated DNA (ddRADseq) libraries were prepared using the protocol of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{"citationItems":[{"id":"ITEM-1","itemData":{"DOI":"10.1371/journal.pone.0019379","ISSN":"19326203","PMID":"21573248","abstract":"Advances in next generation technologies have driven the costs of DNA sequencing down to the point that genotyping-by-sequencing (GBS) is now feasible for high diversity, large genome species. Here, we report a procedure for constructing GBS libraries based on reducing genome complexity with restriction enzymes (REs). This approach is simple, quick, extremely specific, highly reproducible, and may reach important regions of the genome that are inaccessible to sequence capture approaches. By using methylation-sensitive REs, repetitive regions of genomes can be avoided and lower copy regions targeted with two to three fold higher efficiency. This tremendously simplifies computationally challenging alignment problems in species with high levels of genetic diversity. The GBS procedure is demonstrated with maize (IBM) and barley (Oregon Wolfe Barley) recombinant inbred populations where roughly 200,000 and 25,000 sequence tags were mapped, respectively. An advantage in species like barley that lack a complete genome sequence is that a reference map need only be developed around the restriction sites, and this can be done in the process of sample genotyping. In such cases, the consensus of the read clusters across the sequence tagged sites becomes the reference. Alternatively, for kinship analyses in the absence of a reference genome, the sequence tags can simply be treated as dominant markers. Future application of GBS to breeding, conservation, and global species and population surveys may allow plant breeders to conduct genomic selection on a novel germplasm or species without first having to develop any prior molecular tools, or conservation biologists to determine population structure without prior knowledge of the genome or diversity in the species.","author":[{"dropping-particle":"","family":"Elshire","given":"Robert J.","non-dropping-particle":"","parse-names":false,"suffix":""},{"dropping-particle":"","family":"Glaubitz","given":"Jeffrey C.","non-dropping-particle":"","parse-names":false,"suffix":""},{"dropping-particle":"","family":"Sun","given":"Qi","non-dropping-particle":"","parse-names":false,"suffix":""},{"dropping-particle":"","family":"Poland","given":"Jesse A.","non-dropping-particle":"","parse-names":false,"suffix":""},{"dropping-particle":"","family":"Kawamoto","given":"Ken","non-dropping-particle":"","parse-names":false,"suffix":""},{"dropping-particle":"","family":"Buckler","given":"Edward S.","non-dropping-particle":"","parse-names":false,"suffix":""},{"dropping-particle":"","family":"Mitchell","given":"Sharon E.","non-dropping-particle":"","parse-names":false,"suffix":""}],"container-title":"PLoS ONE","id":"ITEM-1","issue":"5","issued":{"date-parts":[["2011"]]},"page":"1-10","title":"A robust, simple genotyping-by-sequencing (GBS) approach for high diversity species","type":"article-journal","volume":"6"},"uris":["http://www.mendeley.com/documents/?uuid=d8e79383-a391-4f2b-8b84-af252bcf0942"]}],"mendeley":{"formattedCitation":"(13)","plainTextFormattedCitation":"(13)","previouslyFormattedCitation":"(13)"},"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(13)</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xml:space="preserve">, which is </w:t>
      </w:r>
      <w:r w:rsidRPr="00793FF5">
        <w:rPr>
          <w:rFonts w:ascii="Times New Roman" w:hAnsi="Times New Roman" w:cs="Times New Roman"/>
          <w:color w:val="000000" w:themeColor="text1"/>
          <w:sz w:val="24"/>
          <w:szCs w:val="24"/>
        </w:rPr>
        <w:t xml:space="preserve">appropriate for species with high levels of genetic diversity. Libraries were prepared with the </w:t>
      </w:r>
      <w:r w:rsidRPr="00793FF5">
        <w:rPr>
          <w:rFonts w:ascii="Times New Roman" w:hAnsi="Times New Roman" w:cs="Times New Roman"/>
          <w:sz w:val="24"/>
          <w:szCs w:val="24"/>
        </w:rPr>
        <w:t xml:space="preserve">restriction enzymes </w:t>
      </w:r>
      <w:r w:rsidRPr="00793FF5">
        <w:rPr>
          <w:rFonts w:ascii="Times New Roman" w:hAnsi="Times New Roman" w:cs="Times New Roman"/>
          <w:i/>
          <w:iCs/>
          <w:sz w:val="24"/>
          <w:szCs w:val="24"/>
        </w:rPr>
        <w:t>Pstl</w:t>
      </w:r>
      <w:r w:rsidRPr="00793FF5">
        <w:rPr>
          <w:rFonts w:ascii="Times New Roman" w:hAnsi="Times New Roman" w:cs="Times New Roman"/>
          <w:sz w:val="24"/>
          <w:szCs w:val="24"/>
        </w:rPr>
        <w:t xml:space="preserve"> and </w:t>
      </w:r>
      <w:r w:rsidRPr="00793FF5">
        <w:rPr>
          <w:rFonts w:ascii="Times New Roman" w:hAnsi="Times New Roman" w:cs="Times New Roman"/>
          <w:i/>
          <w:iCs/>
          <w:sz w:val="24"/>
          <w:szCs w:val="24"/>
        </w:rPr>
        <w:t>Bfal</w:t>
      </w:r>
      <w:r w:rsidRPr="00793FF5">
        <w:rPr>
          <w:rFonts w:ascii="Times New Roman" w:hAnsi="Times New Roman" w:cs="Times New Roman"/>
          <w:sz w:val="24"/>
          <w:szCs w:val="24"/>
        </w:rPr>
        <w:t>, and a size selection window of 350-550 bp. The enzyme assessment phase involved the preparation of four double digested libraries from a pool of two samples representative of the genus. The enzyme combinations used were PstI/</w:t>
      </w:r>
      <w:proofErr w:type="spellStart"/>
      <w:r w:rsidRPr="00793FF5">
        <w:rPr>
          <w:rFonts w:ascii="Times New Roman" w:hAnsi="Times New Roman" w:cs="Times New Roman"/>
          <w:sz w:val="24"/>
          <w:szCs w:val="24"/>
        </w:rPr>
        <w:t>MspI</w:t>
      </w:r>
      <w:proofErr w:type="spellEnd"/>
      <w:r w:rsidRPr="00793FF5">
        <w:rPr>
          <w:rFonts w:ascii="Times New Roman" w:hAnsi="Times New Roman" w:cs="Times New Roman"/>
          <w:sz w:val="24"/>
          <w:szCs w:val="24"/>
        </w:rPr>
        <w:t xml:space="preserve">, </w:t>
      </w:r>
      <w:proofErr w:type="spellStart"/>
      <w:r w:rsidRPr="00793FF5">
        <w:rPr>
          <w:rFonts w:ascii="Times New Roman" w:hAnsi="Times New Roman" w:cs="Times New Roman"/>
          <w:sz w:val="24"/>
          <w:szCs w:val="24"/>
        </w:rPr>
        <w:t>NsiI</w:t>
      </w:r>
      <w:proofErr w:type="spellEnd"/>
      <w:r w:rsidRPr="00793FF5">
        <w:rPr>
          <w:rFonts w:ascii="Times New Roman" w:hAnsi="Times New Roman" w:cs="Times New Roman"/>
          <w:sz w:val="24"/>
          <w:szCs w:val="24"/>
        </w:rPr>
        <w:t>/</w:t>
      </w:r>
      <w:proofErr w:type="spellStart"/>
      <w:r w:rsidRPr="00793FF5">
        <w:rPr>
          <w:rFonts w:ascii="Times New Roman" w:hAnsi="Times New Roman" w:cs="Times New Roman"/>
          <w:sz w:val="24"/>
          <w:szCs w:val="24"/>
        </w:rPr>
        <w:t>MpsI</w:t>
      </w:r>
      <w:proofErr w:type="spellEnd"/>
      <w:r w:rsidRPr="00793FF5">
        <w:rPr>
          <w:rFonts w:ascii="Times New Roman" w:hAnsi="Times New Roman" w:cs="Times New Roman"/>
          <w:sz w:val="24"/>
          <w:szCs w:val="24"/>
        </w:rPr>
        <w:t xml:space="preserve">, PstI/BfaI, and </w:t>
      </w:r>
      <w:proofErr w:type="spellStart"/>
      <w:r w:rsidRPr="00793FF5">
        <w:rPr>
          <w:rFonts w:ascii="Times New Roman" w:hAnsi="Times New Roman" w:cs="Times New Roman"/>
          <w:sz w:val="24"/>
          <w:szCs w:val="24"/>
        </w:rPr>
        <w:t>NsiI</w:t>
      </w:r>
      <w:proofErr w:type="spellEnd"/>
      <w:r w:rsidRPr="00793FF5">
        <w:rPr>
          <w:rFonts w:ascii="Times New Roman" w:hAnsi="Times New Roman" w:cs="Times New Roman"/>
          <w:sz w:val="24"/>
          <w:szCs w:val="24"/>
        </w:rPr>
        <w:t xml:space="preserve">/BfaI. The optimal enzyme combination was selected based on the absence of visible repeated regions within the size selection area and the success of amplification. </w:t>
      </w:r>
      <w:r w:rsidRPr="00793FF5">
        <w:rPr>
          <w:rFonts w:ascii="Times New Roman" w:hAnsi="Times New Roman" w:cs="Times New Roman"/>
          <w:color w:val="000000" w:themeColor="text1"/>
          <w:sz w:val="24"/>
          <w:szCs w:val="24"/>
        </w:rPr>
        <w:t>Individuals were indexed by a set of dual 10-base-pair barcodes in combinatorial schemes.</w:t>
      </w:r>
      <w:r w:rsidRPr="00793FF5">
        <w:rPr>
          <w:rFonts w:ascii="Times New Roman" w:hAnsi="Times New Roman" w:cs="Times New Roman"/>
          <w:sz w:val="24"/>
          <w:szCs w:val="24"/>
        </w:rPr>
        <w:t xml:space="preserve"> Finally, the RADseq libraries were divided into six pools and sequenced at Novogene Company Inc. (CA, USA) using a partial lane of Illumina NovaSeq 6000 PE150 sequencing (output: 470 GB).</w:t>
      </w:r>
    </w:p>
    <w:p w14:paraId="5DFAC3C9" w14:textId="34815B31" w:rsidR="00AB3DA2" w:rsidRPr="00793FF5" w:rsidRDefault="00AB3DA2" w:rsidP="00AB3DA2">
      <w:pPr>
        <w:jc w:val="both"/>
        <w:rPr>
          <w:rFonts w:ascii="Times New Roman" w:hAnsi="Times New Roman" w:cs="Times New Roman"/>
          <w:color w:val="FF0000"/>
          <w:sz w:val="24"/>
          <w:szCs w:val="24"/>
        </w:rPr>
      </w:pPr>
      <w:r w:rsidRPr="00793FF5">
        <w:rPr>
          <w:rFonts w:ascii="Times New Roman" w:hAnsi="Times New Roman" w:cs="Times New Roman"/>
          <w:b/>
          <w:bCs/>
          <w:sz w:val="24"/>
          <w:szCs w:val="24"/>
        </w:rPr>
        <w:t xml:space="preserve">PE-ddRADseq quality control and filtering. </w:t>
      </w:r>
      <w:r w:rsidRPr="00793FF5">
        <w:rPr>
          <w:rFonts w:ascii="Times New Roman" w:hAnsi="Times New Roman" w:cs="Times New Roman"/>
          <w:sz w:val="24"/>
          <w:szCs w:val="24"/>
        </w:rPr>
        <w:t xml:space="preserve">Raw data was checked with FastQC </w:t>
      </w:r>
      <w:r w:rsidRPr="00793FF5">
        <w:rPr>
          <w:rFonts w:ascii="Times New Roman" w:hAnsi="Times New Roman" w:cs="Times New Roman"/>
          <w:color w:val="000000" w:themeColor="text1"/>
          <w:sz w:val="24"/>
          <w:szCs w:val="24"/>
        </w:rPr>
        <w:t xml:space="preserve">v0.11.15 </w:t>
      </w:r>
      <w:r w:rsidRPr="00793FF5">
        <w:rPr>
          <w:rFonts w:ascii="Times New Roman" w:hAnsi="Times New Roman" w:cs="Times New Roman"/>
          <w:sz w:val="24"/>
          <w:szCs w:val="24"/>
        </w:rPr>
        <w:t>(</w:t>
      </w:r>
      <w:r w:rsidRPr="00793FF5">
        <w:rPr>
          <w:rFonts w:ascii="Times New Roman" w:hAnsi="Times New Roman" w:cs="Times New Roman"/>
          <w:color w:val="000000" w:themeColor="text1"/>
          <w:sz w:val="24"/>
          <w:szCs w:val="24"/>
        </w:rPr>
        <w:t xml:space="preserve">www.bioinformatics.babraham.ac.uk/projects/fastqc/) </w:t>
      </w:r>
      <w:r w:rsidRPr="00793FF5">
        <w:rPr>
          <w:rFonts w:ascii="Times New Roman" w:hAnsi="Times New Roman" w:cs="Times New Roman"/>
          <w:sz w:val="24"/>
          <w:szCs w:val="24"/>
        </w:rPr>
        <w:t xml:space="preserve">to assess the average Phred score of each nucleotide position, and check for the presence of artifacts such as sequencing adaptors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{"citationItems":[{"id":"ITEM-1","itemData":{"DOI":"10.1038/nrg.2015.28","ISBN":"1471-0056","ISSN":"1471-0064","PMID":"26729255","abstract":"High-throughput techniques based on restriction site-associated DNA sequencing (RADseq) are enabling the low-cost discovery and genotyping of thousands of genetic markers for any species, including non-model organisms, which is revolutionizing ecological, evolutionary and conservation genetics. Technical differences among these methods lead to important considerations for all steps of genomics studies, from the specific scientific questions that can be addressed, and the costs of library preparation and sequencing, to the types of bias and error inherent in the resulting data. In this Review, we provide a comprehensive discussion of RADseq methods to aid researchers in choosing among the many different approaches and avoiding erroneous scientific conclusions from RADseq data, a problem that has plagued other genetic marker types in the past.","author":[{"dropping-particle":"","family":"Andrews","given":"Kimberly R","non-dropping-particle":"","parse-names":false,"suffix":""},{"dropping-particle":"","family":"Good","given":"Jeffrey M","non-dropping-particle":"","parse-names":false,"suffix":""},{"dropping-particle":"","family":"Miller","given":"Michael R","non-dropping-particle":"","parse-names":false,"suffix":""},{"dropping-particle":"","family":"Luikart","given":"Gordon","non-dropping-particle":"","parse-names":false,"suffix":""},{"dropping-particle":"","family":"Hohenlohe","given":"Paul A","non-dropping-particle":"","parse-names":false,"suffix":""}],"container-title":"Nat Rev Genet","id":"ITEM-1","issue":"2","issued":{"date-parts":[["2016"]]},"page":"81-92","publisher":"Nature Publishing Group","title":"Harnessing the power of RADseq for ecological and evolutionary genomics","type":"article-journal","volume":"advance on"},"uris":["http://www.mendeley.com/documents/?uuid=d97ac8ee-d4f6-4c3c-86bd-64bcbafd96f3"]}],"mendeley":{"formattedCitation":"(50)","plainTextFormattedCitation":"(50)","previouslyFormattedCitation":"(49)"},"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(50)</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xml:space="preserve">. Quality filtering and demultiplexing were performed using the </w:t>
      </w:r>
      <w:r w:rsidRPr="00793FF5">
        <w:rPr>
          <w:rFonts w:ascii="Times New Roman" w:hAnsi="Times New Roman" w:cs="Times New Roman"/>
          <w:i/>
          <w:iCs/>
          <w:sz w:val="24"/>
          <w:szCs w:val="24"/>
        </w:rPr>
        <w:t>process_radtags</w:t>
      </w:r>
      <w:r w:rsidRPr="00793FF5">
        <w:rPr>
          <w:rFonts w:ascii="Times New Roman" w:hAnsi="Times New Roman" w:cs="Times New Roman"/>
          <w:sz w:val="24"/>
          <w:szCs w:val="24"/>
        </w:rPr>
        <w:t xml:space="preserve"> tool, which is part of the Stacks v2.59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{"citationItems":[{"id":"ITEM-1","itemData":{"DOI":"10.1111/mec.15253","ISSN":"1365294X","PMID":"31550391","abstract":"For half a century population genetics studies have put type II restriction endonucleases to work. Now, coupled with massively-parallel, short-read sequencing, the family of RAD protocols that wields these enzymes has generated vast genetic knowledge from the natural world. Here, we describe the first software natively capable of using paired-end sequencing to derive short contigs from de novo RAD data. Stacks version 2 employs a de Bruijn graph assembler to build and connect contigs from forward and reverse reads for each de novo RAD locus, which it then uses as a reference for read alignments. The new architecture allows all the individuals in a metapopulation to be considered at the same time as each RAD locus is processed. This enables a Bayesian genotype caller to provide precise SNPs, and a robust algorithm to phase those SNPs into long haplotypes, generating RAD loci that are 400–800 bp in length. To prove its recall and precision, we tested the software with simulated data and compared reference-aligned and de novo analyses of three empirical data sets. Our study shows that the latest version of Stacks is highly accurate and outperforms other software in assembling and genotyping paired-end de novo data sets.","author":[{"dropping-particle":"","family":"Rochette","given":"Nicolas C.","non-dropping-particle":"","parse-names":false,"suffix":""},{"dropping-particle":"","family":"Rivera-Colón","given":"Angel G.","non-dropping-particle":"","parse-names":false,"suffix":""},{"dropping-particle":"","family":"Catchen","given":"Julian M.","non-dropping-particle":"","parse-names":false,"suffix":""}],"container-title":"Molecular Ecology","id":"ITEM-1","issue":"21","issued":{"date-parts":[["2019"]]},"page":"4737-4754","title":"Stacks 2: Analytical methods for paired-end sequencing improve RADseq-based population genomics","type":"article-journal","volume":"28"},"uris":["http://www.mendeley.com/documents/?uuid=57a71087-2b34-4381-97f6-eb1264833486"]}],"mendeley":{"formattedCitation":"(15)","plainTextFormattedCitation":"(15)","previouslyFormattedCitation":"(15)"},"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(15)</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xml:space="preserve"> pipeline, a </w:t>
      </w:r>
      <w:r w:rsidRPr="00793FF5">
        <w:rPr>
          <w:rFonts w:ascii="Times New Roman" w:hAnsi="Times New Roman" w:cs="Times New Roman"/>
          <w:color w:val="000000" w:themeColor="text1"/>
          <w:sz w:val="24"/>
          <w:szCs w:val="24"/>
        </w:rPr>
        <w:t>package designed to analyze short-reads generated via RADseq.</w:t>
      </w:r>
      <w:r w:rsidRPr="00793FF5">
        <w:rPr>
          <w:rFonts w:ascii="Times New Roman" w:hAnsi="Times New Roman" w:cs="Times New Roman"/>
          <w:sz w:val="24"/>
          <w:szCs w:val="24"/>
        </w:rPr>
        <w:t xml:space="preserve"> Raw </w:t>
      </w:r>
      <w:r w:rsidRPr="00793FF5">
        <w:rPr>
          <w:rFonts w:ascii="Times New Roman" w:hAnsi="Times New Roman" w:cs="Times New Roman"/>
          <w:color w:val="000000" w:themeColor="text1"/>
          <w:sz w:val="24"/>
          <w:szCs w:val="24"/>
        </w:rPr>
        <w:t>sequencing reads were filtered using a Phred score threshold of 33, discarding reads with low quality scores (</w:t>
      </w:r>
      <w:r w:rsidRPr="00793FF5">
        <w:rPr>
          <w:rFonts w:ascii="Times New Roman" w:hAnsi="Times New Roman" w:cs="Times New Roman"/>
          <w:i/>
          <w:iCs/>
          <w:color w:val="000000" w:themeColor="text1"/>
          <w:sz w:val="24"/>
          <w:szCs w:val="24"/>
        </w:rPr>
        <w:t>-q</w:t>
      </w:r>
      <w:r w:rsidRPr="00793FF5">
        <w:rPr>
          <w:rFonts w:ascii="Times New Roman" w:hAnsi="Times New Roman" w:cs="Times New Roman"/>
          <w:color w:val="000000" w:themeColor="text1"/>
          <w:sz w:val="24"/>
          <w:szCs w:val="24"/>
        </w:rPr>
        <w:t>), and removing any read with an uncalled base (</w:t>
      </w:r>
      <w:r w:rsidRPr="00793FF5">
        <w:rPr>
          <w:rFonts w:ascii="Times New Roman" w:hAnsi="Times New Roman" w:cs="Times New Roman"/>
          <w:i/>
          <w:iCs/>
          <w:color w:val="000000" w:themeColor="text1"/>
          <w:sz w:val="24"/>
          <w:szCs w:val="24"/>
        </w:rPr>
        <w:t>-c</w:t>
      </w:r>
      <w:r w:rsidRPr="00793FF5">
        <w:rPr>
          <w:rFonts w:ascii="Times New Roman" w:hAnsi="Times New Roman" w:cs="Times New Roman"/>
          <w:color w:val="000000" w:themeColor="text1"/>
          <w:sz w:val="24"/>
          <w:szCs w:val="24"/>
        </w:rPr>
        <w:t>). Demultiplexed raw sequences per individual were deposited at NCBI Sequence Read Archive (SRA) (www.ncbi.nlm.nih.gov/sra).</w:t>
      </w:r>
    </w:p>
    <w:p w14:paraId="3FF47249" w14:textId="77777777" w:rsidR="004F496C" w:rsidRPr="00793FF5" w:rsidRDefault="004F496C" w:rsidP="004F496C">
      <w:pPr>
        <w:jc w:val="both"/>
        <w:rPr>
          <w:rFonts w:ascii="Times New Roman" w:hAnsi="Times New Roman" w:cs="Times New Roman"/>
          <w:color w:val="000000" w:themeColor="text1"/>
          <w:sz w:val="24"/>
          <w:szCs w:val="24"/>
        </w:rPr>
      </w:pPr>
      <w:r w:rsidRPr="00793FF5">
        <w:rPr>
          <w:rFonts w:ascii="Times New Roman" w:hAnsi="Times New Roman" w:cs="Times New Roman"/>
          <w:b/>
          <w:bCs/>
          <w:color w:val="000000" w:themeColor="text1"/>
          <w:sz w:val="24"/>
          <w:szCs w:val="24"/>
        </w:rPr>
        <w:lastRenderedPageBreak/>
        <w:t xml:space="preserve">Species ID quality control. </w:t>
      </w:r>
      <w:r w:rsidRPr="00793FF5">
        <w:rPr>
          <w:rFonts w:ascii="Times New Roman" w:hAnsi="Times New Roman" w:cs="Times New Roman"/>
          <w:sz w:val="24"/>
          <w:szCs w:val="24"/>
        </w:rPr>
        <w:t xml:space="preserve">We identified the taxonomic identity of the species using a taxonomic key for the species of </w:t>
      </w:r>
      <w:r w:rsidRPr="00793FF5">
        <w:rPr>
          <w:rFonts w:ascii="Times New Roman" w:hAnsi="Times New Roman" w:cs="Times New Roman"/>
          <w:i/>
          <w:iCs/>
          <w:sz w:val="24"/>
          <w:szCs w:val="24"/>
        </w:rPr>
        <w:t>Malacoctenus</w:t>
      </w:r>
      <w:r w:rsidRPr="00793FF5">
        <w:rPr>
          <w:rFonts w:ascii="Times New Roman" w:hAnsi="Times New Roman" w:cs="Times New Roman"/>
          <w:sz w:val="24"/>
          <w:szCs w:val="24"/>
        </w:rPr>
        <w:t xml:space="preserve">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mendeley":{"formattedCitation":"(3)","plainTextFormattedCitation":"(3)","previouslyFormattedCitation":"(3)"},"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(3)</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We corroborated the taxonomic</w:t>
      </w:r>
      <w:r w:rsidRPr="00793FF5">
        <w:rPr>
          <w:rFonts w:ascii="Helvetica" w:hAnsi="Helvetica" w:cs="Times New Roman"/>
          <w:sz w:val="24"/>
          <w:szCs w:val="24"/>
        </w:rPr>
        <w:t xml:space="preserve"> </w:t>
      </w:r>
      <w:r w:rsidRPr="00793FF5">
        <w:rPr>
          <w:rFonts w:ascii="Times New Roman" w:hAnsi="Times New Roman" w:cs="Times New Roman"/>
          <w:sz w:val="24"/>
          <w:szCs w:val="24"/>
        </w:rPr>
        <w:t xml:space="preserve">identification by comparing the mitochondrial markers </w:t>
      </w:r>
      <w:r w:rsidRPr="00793FF5">
        <w:rPr>
          <w:rFonts w:ascii="Times New Roman" w:hAnsi="Times New Roman" w:cs="Times New Roman"/>
          <w:color w:val="000000" w:themeColor="text1"/>
          <w:sz w:val="24"/>
          <w:szCs w:val="24"/>
        </w:rPr>
        <w:t>cytochrome oxidase subunit I (</w:t>
      </w:r>
      <w:r w:rsidRPr="00793FF5">
        <w:rPr>
          <w:rFonts w:ascii="Times New Roman" w:hAnsi="Times New Roman" w:cs="Times New Roman"/>
          <w:i/>
          <w:iCs/>
          <w:color w:val="000000" w:themeColor="text1"/>
          <w:sz w:val="24"/>
          <w:szCs w:val="24"/>
        </w:rPr>
        <w:t>COI</w:t>
      </w:r>
      <w:r w:rsidRPr="00793FF5">
        <w:rPr>
          <w:rFonts w:ascii="Times New Roman" w:hAnsi="Times New Roman" w:cs="Times New Roman"/>
          <w:color w:val="000000" w:themeColor="text1"/>
          <w:sz w:val="24"/>
          <w:szCs w:val="24"/>
        </w:rPr>
        <w:t xml:space="preserve">) </w:t>
      </w:r>
      <w:r w:rsidRPr="00793FF5">
        <w:rPr>
          <w:rFonts w:ascii="Times New Roman" w:hAnsi="Times New Roman" w:cs="Times New Roman"/>
          <w:sz w:val="24"/>
          <w:szCs w:val="24"/>
        </w:rPr>
        <w:t>a</w:t>
      </w:r>
      <w:r w:rsidRPr="00793FF5">
        <w:rPr>
          <w:rFonts w:ascii="Times New Roman" w:hAnsi="Times New Roman" w:cs="Times New Roman"/>
          <w:color w:val="000000" w:themeColor="text1"/>
          <w:sz w:val="24"/>
          <w:szCs w:val="24"/>
        </w:rPr>
        <w:t>nd cytochrome b (</w:t>
      </w:r>
      <w:r w:rsidRPr="00793FF5">
        <w:rPr>
          <w:rFonts w:ascii="Times New Roman" w:hAnsi="Times New Roman" w:cs="Times New Roman"/>
          <w:i/>
          <w:iCs/>
          <w:color w:val="000000" w:themeColor="text1"/>
          <w:sz w:val="24"/>
          <w:szCs w:val="24"/>
        </w:rPr>
        <w:t>Cytb</w:t>
      </w:r>
      <w:r w:rsidRPr="00793FF5">
        <w:rPr>
          <w:rFonts w:ascii="Times New Roman" w:hAnsi="Times New Roman" w:cs="Times New Roman"/>
          <w:color w:val="000000" w:themeColor="text1"/>
          <w:sz w:val="24"/>
          <w:szCs w:val="24"/>
        </w:rPr>
        <w:t xml:space="preserve">) </w:t>
      </w:r>
      <w:r w:rsidRPr="00793FF5">
        <w:rPr>
          <w:rFonts w:ascii="Times New Roman" w:hAnsi="Times New Roman" w:cs="Times New Roman"/>
          <w:sz w:val="24"/>
          <w:szCs w:val="24"/>
        </w:rPr>
        <w:t xml:space="preserve">of each individual, with reference sequences available at </w:t>
      </w:r>
      <w:r w:rsidRPr="00793FF5">
        <w:rPr>
          <w:rFonts w:ascii="Times New Roman" w:hAnsi="Times New Roman" w:cs="Times New Roman"/>
          <w:color w:val="000000" w:themeColor="text1"/>
          <w:sz w:val="24"/>
          <w:szCs w:val="24"/>
        </w:rPr>
        <w:t xml:space="preserve">the Barcode of Life Data (BOLD) system (www.boldsystems.org) and the NCBI data archive (www.ncbi.nlm.nih.gov). To this end, we first compiled a reference file that included all available </w:t>
      </w:r>
      <w:r w:rsidRPr="00793FF5">
        <w:rPr>
          <w:rFonts w:ascii="Times New Roman" w:hAnsi="Times New Roman" w:cs="Times New Roman"/>
          <w:i/>
          <w:iCs/>
          <w:color w:val="000000" w:themeColor="text1"/>
          <w:sz w:val="24"/>
          <w:szCs w:val="24"/>
        </w:rPr>
        <w:t xml:space="preserve">COI </w:t>
      </w:r>
      <w:r w:rsidRPr="00793FF5">
        <w:rPr>
          <w:rFonts w:ascii="Times New Roman" w:hAnsi="Times New Roman" w:cs="Times New Roman"/>
          <w:color w:val="000000" w:themeColor="text1"/>
          <w:sz w:val="24"/>
          <w:szCs w:val="24"/>
        </w:rPr>
        <w:t xml:space="preserve">and </w:t>
      </w:r>
      <w:r w:rsidRPr="00793FF5">
        <w:rPr>
          <w:rFonts w:ascii="Times New Roman" w:hAnsi="Times New Roman" w:cs="Times New Roman"/>
          <w:i/>
          <w:iCs/>
          <w:color w:val="000000" w:themeColor="text1"/>
          <w:sz w:val="24"/>
          <w:szCs w:val="24"/>
        </w:rPr>
        <w:t xml:space="preserve">Cytb </w:t>
      </w:r>
      <w:r w:rsidRPr="00793FF5">
        <w:rPr>
          <w:rFonts w:ascii="Times New Roman" w:hAnsi="Times New Roman" w:cs="Times New Roman"/>
          <w:color w:val="000000" w:themeColor="text1"/>
          <w:sz w:val="24"/>
          <w:szCs w:val="24"/>
        </w:rPr>
        <w:t>information for</w:t>
      </w:r>
      <w:r w:rsidRPr="00793FF5">
        <w:rPr>
          <w:rFonts w:ascii="Helvetica" w:hAnsi="Helvetica" w:cs="Times New Roman"/>
          <w:color w:val="000000" w:themeColor="text1"/>
          <w:sz w:val="24"/>
          <w:szCs w:val="24"/>
        </w:rPr>
        <w:t xml:space="preserve"> </w:t>
      </w:r>
      <w:r w:rsidRPr="00793FF5">
        <w:rPr>
          <w:rFonts w:ascii="Times New Roman" w:hAnsi="Times New Roman" w:cs="Times New Roman"/>
          <w:i/>
          <w:iCs/>
          <w:color w:val="000000" w:themeColor="text1"/>
          <w:sz w:val="24"/>
          <w:szCs w:val="24"/>
        </w:rPr>
        <w:t>Malacoctenus</w:t>
      </w:r>
      <w:r w:rsidRPr="00793FF5">
        <w:rPr>
          <w:rFonts w:ascii="Times New Roman" w:hAnsi="Times New Roman" w:cs="Times New Roman"/>
          <w:color w:val="000000" w:themeColor="text1"/>
          <w:sz w:val="24"/>
          <w:szCs w:val="24"/>
        </w:rPr>
        <w:t xml:space="preserve"> from these repositories. Then, we mined each molecular marker from the demultiplexed raw data of each individual using custom scripts and the software BWA v0.7.17 </w:t>
      </w:r>
      <w:r w:rsidRPr="00793FF5">
        <w:rPr>
          <w:rFonts w:ascii="Times New Roman" w:hAnsi="Times New Roman" w:cs="Times New Roman"/>
          <w:color w:val="000000" w:themeColor="text1"/>
          <w:sz w:val="24"/>
          <w:szCs w:val="24"/>
        </w:rPr>
        <w:fldChar w:fldCharType="begin" w:fldLock="1"/>
      </w:r>
      <w:r w:rsidRPr="00793FF5">
        <w:rPr>
          <w:rFonts w:ascii="Times New Roman" w:hAnsi="Times New Roman" w:cs="Times New Roman"/>
          <w:color w:val="000000" w:themeColor="text1"/>
          <w:sz w:val="24"/>
          <w:szCs w:val="24"/>
        </w:rPr>
        <w:instrText xml:space="preserve">ADDIN CSL_CITATION {"citationItems":[{"id":"ITEM-1","itemData":{"DOI":"10.1093/bioinformatics/btp324","ISSN":"13674803","PMID":"19451168","abstract":"Motivation: The enormous amount of short reads generated by the new DNA sequencing technologies call for the development of fast and accurate read alignment programs. A first generation of hash table-based methods has been developed, including MAQ, which is accurate, feature rich and fast enough to align short reads from a single individual. However, MAQ does not support gapped alignment for single-end reads, which makes it unsuitable for alignment of longer reads where indels may occur frequently. The speed of MAQ is also a concern when the alignment is scaled up to the resequencing of hundreds of individuals. Results: We implemented Burrows-Wheeler Alignment tool (BWA), a new read alignment package that is based on backward search with Burrows-Wheeler Transform (BWT), to efficiently align short sequencing reads against a large reference sequence such as the human genome, allowing mismatches and gaps. BWA supports both base space reads, e.g. from Illumina sequencing machines, and color space reads from AB SOLiD machines. Evaluations on both simulated and real data suggest that BWA is </w:instrText>
      </w:r>
      <w:r w:rsidRPr="00793FF5">
        <w:rPr>
          <w:rFonts w:ascii="Cambria Math" w:hAnsi="Cambria Math" w:cs="Cambria Math"/>
          <w:color w:val="000000" w:themeColor="text1"/>
          <w:sz w:val="24"/>
          <w:szCs w:val="24"/>
        </w:rPr>
        <w:instrText>∼</w:instrText>
      </w:r>
      <w:r w:rsidRPr="00793FF5">
        <w:rPr>
          <w:rFonts w:ascii="Times New Roman" w:hAnsi="Times New Roman" w:cs="Times New Roman"/>
          <w:color w:val="000000" w:themeColor="text1"/>
          <w:sz w:val="24"/>
          <w:szCs w:val="24"/>
        </w:rPr>
        <w:instrText>10-20× faster than MAQ, while achieving similar accuracy. In addition, BWA outputs alignment in the new standard SAM (Sequence Alignment/Map) format. Variant calling and other downstream analyses after the alignment can be achieved with the open source SAMtools software package. © 2009 The Author(s).","author":[{"dropping-particle":"","family":"Li","given":"Heng","non-dropping-particle":"","parse-names":false,"suffix":""},{"dropping-particle":"","family":"Durbin","given":"Richard","non-dropping-particle":"","parse-names":false,"suffix":""}],"container-title":"Bioinformatics","id":"ITEM-1","issue":"14","issued":{"date-parts":[["2009"]]},"page":"1754-1760","title":"Fast and accurate short read alignment with Burrows-Wheeler transform","type":"article-journal","volume":"25"},"uris":["http://www.mendeley.com/documents/?uuid=e05c149c-a7c5-4d86-b14c-03461e0443c3"]}],"mendeley":{"formattedCitation":"(51)","plainTextFormattedCitation":"(51)","previouslyFormattedCitation":"(50)"},"properties":{"noteIndex":0},"schema":"https://github.com/citation-style-language/schema/raw/master/csl-citation.json"}</w:instrText>
      </w:r>
      <w:r w:rsidRPr="00793FF5">
        <w:rPr>
          <w:rFonts w:ascii="Times New Roman" w:hAnsi="Times New Roman" w:cs="Times New Roman"/>
          <w:color w:val="000000" w:themeColor="text1"/>
          <w:sz w:val="24"/>
          <w:szCs w:val="24"/>
        </w:rPr>
        <w:fldChar w:fldCharType="separate"/>
      </w:r>
      <w:r w:rsidRPr="00793FF5">
        <w:rPr>
          <w:rFonts w:ascii="Times New Roman" w:hAnsi="Times New Roman" w:cs="Times New Roman"/>
          <w:noProof/>
          <w:color w:val="000000" w:themeColor="text1"/>
          <w:sz w:val="24"/>
          <w:szCs w:val="24"/>
        </w:rPr>
        <w:t>(51)</w:t>
      </w:r>
      <w:r w:rsidRPr="00793FF5">
        <w:rPr>
          <w:rFonts w:ascii="Times New Roman" w:hAnsi="Times New Roman" w:cs="Times New Roman"/>
          <w:color w:val="000000" w:themeColor="text1"/>
          <w:sz w:val="24"/>
          <w:szCs w:val="24"/>
        </w:rPr>
        <w:fldChar w:fldCharType="end"/>
      </w:r>
      <w:r w:rsidRPr="00793FF5">
        <w:rPr>
          <w:rFonts w:ascii="Times New Roman" w:hAnsi="Times New Roman" w:cs="Times New Roman"/>
          <w:color w:val="000000" w:themeColor="text1"/>
          <w:sz w:val="24"/>
          <w:szCs w:val="24"/>
        </w:rPr>
        <w:t xml:space="preserve"> and SAMtools v1.11 </w:t>
      </w:r>
      <w:r w:rsidRPr="00793FF5">
        <w:rPr>
          <w:rFonts w:ascii="Times New Roman" w:hAnsi="Times New Roman" w:cs="Times New Roman"/>
          <w:color w:val="000000" w:themeColor="text1"/>
          <w:sz w:val="24"/>
          <w:szCs w:val="24"/>
        </w:rPr>
        <w:fldChar w:fldCharType="begin" w:fldLock="1"/>
      </w:r>
      <w:r w:rsidRPr="00793FF5">
        <w:rPr>
          <w:rFonts w:ascii="Times New Roman" w:hAnsi="Times New Roman" w:cs="Times New Roman"/>
          <w:color w:val="000000" w:themeColor="text1"/>
          <w:sz w:val="24"/>
          <w:szCs w:val="24"/>
        </w:rPr>
        <w:instrText>ADDIN CSL_CITATION {"citationItems":[{"id":"ITEM-1","itemData":{"DOI":"10.1093/bioinformatics/btp352","ISBN":"1367-4803\\r1460-2059","ISSN":"13674803","PMID":"19505943","abstract":"SUMMARY: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 AVAILABILITY: http://samtools.sourceforge.net.","author":[{"dropping-particle":"","family":"Li","given":"Heng","non-dropping-particle":"","parse-names":false,"suffix":""},{"dropping-particle":"","family":"Handsaker","given":"Bob","non-dropping-particle":"","parse-names":false,"suffix":""},{"dropping-particle":"","family":"Wysoker","given":"Alec","non-dropping-particle":"","parse-names":false,"suffix":""},{"dropping-particle":"","family":"Fennell","given":"Tim","non-dropping-particle":"","parse-names":false,"suffix":""},{"dropping-particle":"","family":"Ruan","given":"Jue","non-dropping-particle":"","parse-names":false,"suffix":""},{"dropping-particle":"","family":"Homer","given":"Nils","non-dropping-particle":"","parse-names":false,"suffix":""},{"dropping-particle":"","family":"Marth","given":"Gabor","non-dropping-particle":"","parse-names":false,"suffix":""},{"dropping-particle":"","family":"Abecasis","given":"Goncalo","non-dropping-particle":"","parse-names":false,"suffix":""},{"dropping-particle":"","family":"Durbin","given":"Richard","non-dropping-particle":"","parse-names":false,"suffix":""}],"container-title":"Bioinformatics","id":"ITEM-1","issue":"16","issued":{"date-parts":[["2009"]]},"page":"2078-2079","title":"The Sequence Alignment/Map format and SAMtools","type":"article-journal","volume":"25"},"uris":["http://www.mendeley.com/documents/?uuid=4485b581-6221-45bd-8f81-abd1aa009a67"]}],"mendeley":{"formattedCitation":"(52)","plainTextFormattedCitation":"(52)","previouslyFormattedCitation":"(51)"},"properties":{"noteIndex":0},"schema":"https://github.com/citation-style-language/schema/raw/master/csl-citation.json"}</w:instrText>
      </w:r>
      <w:r w:rsidRPr="00793FF5">
        <w:rPr>
          <w:rFonts w:ascii="Times New Roman" w:hAnsi="Times New Roman" w:cs="Times New Roman"/>
          <w:color w:val="000000" w:themeColor="text1"/>
          <w:sz w:val="24"/>
          <w:szCs w:val="24"/>
        </w:rPr>
        <w:fldChar w:fldCharType="separate"/>
      </w:r>
      <w:r w:rsidRPr="00793FF5">
        <w:rPr>
          <w:rFonts w:ascii="Times New Roman" w:hAnsi="Times New Roman" w:cs="Times New Roman"/>
          <w:noProof/>
          <w:color w:val="000000" w:themeColor="text1"/>
          <w:sz w:val="24"/>
          <w:szCs w:val="24"/>
        </w:rPr>
        <w:t>(52)</w:t>
      </w:r>
      <w:r w:rsidRPr="00793FF5">
        <w:rPr>
          <w:rFonts w:ascii="Times New Roman" w:hAnsi="Times New Roman" w:cs="Times New Roman"/>
          <w:color w:val="000000" w:themeColor="text1"/>
          <w:sz w:val="24"/>
          <w:szCs w:val="24"/>
        </w:rPr>
        <w:fldChar w:fldCharType="end"/>
      </w:r>
      <w:r w:rsidRPr="00793FF5">
        <w:rPr>
          <w:rFonts w:ascii="Times New Roman" w:hAnsi="Times New Roman" w:cs="Times New Roman"/>
          <w:color w:val="000000" w:themeColor="text1"/>
          <w:sz w:val="24"/>
          <w:szCs w:val="24"/>
        </w:rPr>
        <w:t xml:space="preserve">. We retrieved 169 hits (140 bp) for </w:t>
      </w:r>
      <w:r w:rsidRPr="00793FF5">
        <w:rPr>
          <w:rFonts w:ascii="Times New Roman" w:hAnsi="Times New Roman" w:cs="Times New Roman"/>
          <w:i/>
          <w:iCs/>
          <w:color w:val="000000" w:themeColor="text1"/>
          <w:sz w:val="24"/>
          <w:szCs w:val="24"/>
        </w:rPr>
        <w:t>COI</w:t>
      </w:r>
      <w:r w:rsidRPr="00793FF5">
        <w:rPr>
          <w:rFonts w:ascii="Times New Roman" w:hAnsi="Times New Roman" w:cs="Times New Roman"/>
          <w:color w:val="000000" w:themeColor="text1"/>
          <w:sz w:val="24"/>
          <w:szCs w:val="24"/>
        </w:rPr>
        <w:t xml:space="preserve"> for 17 species, and 321 hits (141 bp) for </w:t>
      </w:r>
      <w:r w:rsidRPr="00793FF5">
        <w:rPr>
          <w:rFonts w:ascii="Times New Roman" w:hAnsi="Times New Roman" w:cs="Times New Roman"/>
          <w:i/>
          <w:iCs/>
          <w:color w:val="000000" w:themeColor="text1"/>
          <w:sz w:val="24"/>
          <w:szCs w:val="24"/>
        </w:rPr>
        <w:t xml:space="preserve">Cytb </w:t>
      </w:r>
      <w:r w:rsidRPr="00793FF5">
        <w:rPr>
          <w:rFonts w:ascii="Times New Roman" w:hAnsi="Times New Roman" w:cs="Times New Roman"/>
          <w:color w:val="000000" w:themeColor="text1"/>
          <w:sz w:val="24"/>
          <w:szCs w:val="24"/>
        </w:rPr>
        <w:t>for 18 species (Appendix S2). Despite our efforts to extract the nuclear markers rhodopsin (</w:t>
      </w:r>
      <w:r w:rsidRPr="00793FF5">
        <w:rPr>
          <w:rFonts w:ascii="Times New Roman" w:hAnsi="Times New Roman" w:cs="Times New Roman"/>
          <w:i/>
          <w:iCs/>
          <w:color w:val="000000" w:themeColor="text1"/>
          <w:sz w:val="24"/>
          <w:szCs w:val="24"/>
        </w:rPr>
        <w:t>Rhod</w:t>
      </w:r>
      <w:r w:rsidRPr="00793FF5">
        <w:rPr>
          <w:rFonts w:ascii="Times New Roman" w:hAnsi="Times New Roman" w:cs="Times New Roman"/>
          <w:color w:val="000000" w:themeColor="text1"/>
          <w:sz w:val="24"/>
          <w:szCs w:val="24"/>
        </w:rPr>
        <w:t>) and recombination activating protein 1 (</w:t>
      </w:r>
      <w:r w:rsidRPr="00793FF5">
        <w:rPr>
          <w:rFonts w:ascii="Times New Roman" w:hAnsi="Times New Roman" w:cs="Times New Roman"/>
          <w:i/>
          <w:iCs/>
          <w:color w:val="000000" w:themeColor="text1"/>
          <w:sz w:val="24"/>
          <w:szCs w:val="24"/>
        </w:rPr>
        <w:t>Rag1</w:t>
      </w:r>
      <w:r w:rsidRPr="00793FF5">
        <w:rPr>
          <w:rFonts w:ascii="Times New Roman" w:hAnsi="Times New Roman" w:cs="Times New Roman"/>
          <w:color w:val="000000" w:themeColor="text1"/>
          <w:sz w:val="24"/>
          <w:szCs w:val="24"/>
        </w:rPr>
        <w:t xml:space="preserve">), the hits we recovered were uninformative and therefore were excluded from further analyses. To provide a final corroboration of the species’ identity and to rule out any potential effects of cross contamination in RADseq demultiplexed sequences, we conducted a </w:t>
      </w:r>
      <w:r w:rsidRPr="00793FF5">
        <w:rPr>
          <w:rFonts w:ascii="Times New Roman" w:hAnsi="Times New Roman" w:cs="Times New Roman"/>
          <w:i/>
          <w:iCs/>
          <w:color w:val="000000" w:themeColor="text1"/>
          <w:sz w:val="24"/>
          <w:szCs w:val="24"/>
        </w:rPr>
        <w:t xml:space="preserve">de novo </w:t>
      </w:r>
      <w:r w:rsidRPr="00793FF5">
        <w:rPr>
          <w:rFonts w:ascii="Times New Roman" w:hAnsi="Times New Roman" w:cs="Times New Roman"/>
          <w:color w:val="000000" w:themeColor="text1"/>
          <w:sz w:val="24"/>
          <w:szCs w:val="24"/>
        </w:rPr>
        <w:t>assembly using default parameters per plate, generated matrices that included polymorphic RAD loci found in 25% of the samples and estimated a phylogenetic tree (refer to the Locus assembly, and Phylogenetic Inference sections for further details). Finally, we carefully inspected any individual that clustered with different species in the phylogenetic trees by reviewing field photos and voucher specimens to ensure their correct identification.</w:t>
      </w:r>
    </w:p>
    <w:p w14:paraId="1FD12A18" w14:textId="77777777" w:rsidR="004F496C" w:rsidRPr="00793FF5" w:rsidRDefault="004F496C" w:rsidP="004F496C">
      <w:pPr>
        <w:jc w:val="both"/>
        <w:rPr>
          <w:rFonts w:ascii="Times New Roman" w:hAnsi="Times New Roman" w:cs="Times New Roman"/>
          <w:color w:val="000000" w:themeColor="text1"/>
          <w:sz w:val="24"/>
          <w:szCs w:val="24"/>
        </w:rPr>
      </w:pPr>
    </w:p>
    <w:p w14:paraId="1DB3EA17" w14:textId="6AE57034" w:rsidR="004F496C" w:rsidRPr="00793FF5" w:rsidRDefault="004F496C" w:rsidP="004F496C">
      <w:pPr>
        <w:jc w:val="both"/>
        <w:rPr>
          <w:rFonts w:ascii="Times New Roman" w:hAnsi="Times New Roman" w:cs="Times New Roman"/>
          <w:b/>
          <w:bCs/>
          <w:color w:val="000000" w:themeColor="text1"/>
          <w:sz w:val="24"/>
          <w:szCs w:val="24"/>
        </w:rPr>
      </w:pPr>
      <w:r w:rsidRPr="00793FF5">
        <w:rPr>
          <w:rFonts w:ascii="Times New Roman" w:hAnsi="Times New Roman" w:cs="Times New Roman"/>
          <w:b/>
          <w:bCs/>
          <w:color w:val="000000" w:themeColor="text1"/>
          <w:sz w:val="24"/>
          <w:szCs w:val="24"/>
        </w:rPr>
        <w:t>MATRIX ASSEMBLY FOR EVOLUTIONARY ANALYSES AT DIFFERENT SCALES</w:t>
      </w:r>
    </w:p>
    <w:p w14:paraId="139DD042" w14:textId="3B7CCFA6" w:rsidR="004F496C" w:rsidRPr="00793FF5" w:rsidRDefault="004F496C" w:rsidP="004F496C">
      <w:pPr>
        <w:jc w:val="both"/>
        <w:rPr>
          <w:rFonts w:ascii="Times New Roman" w:hAnsi="Times New Roman" w:cs="Times New Roman"/>
          <w:sz w:val="24"/>
          <w:szCs w:val="24"/>
        </w:rPr>
      </w:pPr>
      <w:r w:rsidRPr="00793FF5">
        <w:rPr>
          <w:rFonts w:ascii="Times New Roman" w:hAnsi="Times New Roman" w:cs="Times New Roman"/>
          <w:b/>
          <w:bCs/>
          <w:color w:val="000000" w:themeColor="text1"/>
          <w:sz w:val="24"/>
          <w:szCs w:val="24"/>
        </w:rPr>
        <w:t>SNP Genotyping.</w:t>
      </w:r>
      <w:r w:rsidRPr="00793FF5">
        <w:rPr>
          <w:rFonts w:ascii="Times New Roman" w:hAnsi="Times New Roman" w:cs="Times New Roman"/>
          <w:sz w:val="24"/>
          <w:szCs w:val="24"/>
        </w:rPr>
        <w:t xml:space="preserve"> Restriction site-associated DNA sequencing (RADseq) is a next-generation sequencing (NGS) technique that uses restriction enzymes to digest DNA into fragments of a constant size across the genome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{"citationItems":[{"id":"ITEM-1","itemData":{"DOI":"10.1038/nrg.2015.28","ISSN":"1471-0056","author":[{"dropping-particle":"","family":"Andrews","given":"Kimberly R","non-dropping-particle":"","parse-names":false,"suffix":""},{"dropping-particle":"","family":"Good","given":"Jeffrey M","non-dropping-particle":"","parse-names":false,"suffix":""},{"dropping-particle":"","family":"Miller","given":"Michael R","non-dropping-particle":"","parse-names":false,"suffix":""},{"dropping-particle":"","family":"Luikart","given":"Gordon","non-dropping-particle":"","parse-names":false,"suffix":""},{"dropping-particle":"","family":"Hohenlohe","given":"Paul A","non-dropping-particle":"","parse-names":false,"suffix":""}],"container-title":"Nature Publishing Group","id":"ITEM-1","issued":{"date-parts":[["2016"]]},"publisher":"Nature Publishing Group","title":"Harnessing the power of RADseq for ecological and evolutionary genomics","type":"article-journal"},"uris":["http://www.mendeley.com/documents/?uuid=8892562f-862c-43f2-9c91-fd6ea3330fac"]},{"id":"ITEM-2","itemData":{"DOI":"10.1111/1755-0998.12635","ISSN":"17550998","PMID":"27860289","abstract":"Understanding how and why populations evolve is of fundamental importance to molecular ecology. Restriction site-associated DNA sequencing (RADseq), a popular reduced representation method, has ushered in a new era of genome-scale research for assessing population structure, hybridization, demographic history, phylogeography and migration. RADseq has also been widely used to conduct genome scans to detect loci involved in adaptive divergence among natural populations. Here, we examine the capacity of those RADseq-based genome scan studies to detect loci involved in local adaptation. To understand what proportion of the genome is missed by RADseq studies, we developed a simple model using different numbers of RAD-tags, genome sizes and extents of linkage disequilibrium (length of haplotype blocks). Under the best-case modelling scenario, we found that RADseq using six- or eight-base pair cutting restriction enzymes would fail to sample many regions of the genome, especially for species with short linkage disequilibrium. We then surveyed recent studies that have used RADseq for genome scans and found that the median density of markers across these studies was 4.08 RAD-tag markers per megabase (one marker per 245 kb). The length of linkage disequilibrium for many species is one to three orders of magnitude less than density of the typical recent RADseq study. Thus, we conclude that genome scans based on RADseq data alone, while useful for studies of neutral genetic variation and genetic population structure, will likely miss many loci under selection in studies of local adaptation.","author":[{"dropping-particle":"","family":"Lowry","given":"David B.","non-dropping-particle":"","parse-names":false,"suffix":""},{"dropping-particle":"","family":"Hoban","given":"Sean","non-dropping-particle":"","parse-names":false,"suffix":""},{"dropping-particle":"","family":"Kelley","given":"Joanna L.","non-dropping-particle":"","parse-names":false,"suffix":""},{"dropping-particle":"","family":"Lotterhos","given":"Katie E.","non-dropping-particle":"","parse-names":false,"suffix":""},{"dropping-particle":"","family":"Reed","given":"Laura K.","non-dropping-particle":"","parse-names":false,"suffix":""},{"dropping-particle":"","family":"Antolin","given":"Michael F.","non-dropping-particle":"","parse-names":false,"suffix":""},{"dropping-particle":"","family":"Storfer","given":"Andrew","non-dropping-particle":"","parse-names":false,"suffix":""}],"container-title":"Molecular ecology resources","id":"ITEM-2","issue":"2","issued":{"date-parts":[["2017"]]},"page":"142-152","title":"Breaking RAD: an evaluation of the utility of restriction site-associated DNA sequencing for genome scans of adaptation","type":"article-journal","volume":"17"},"uris":["http://www.mendeley.com/documents/?uuid=819c6699-e8e3-4c8a-8b17-66870bee854b"]}],"mendeley":{"formattedCitation":"(53, 54)","plainTextFormattedCitation":"(53, 54)","previouslyFormattedCitation":"(52, 53)"},"properties":{"noteIndex":0},"schema":"https://github.com/citation-style-language/schema/raw/master/csl-citation.json"}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(53, 54)</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xml:space="preserve">. Recently, the use of RADseq approaches has become increasingly popular in population genomic and phylogeographic studies, as they provide the opportunity to genotype thousands of genome-wide markers across many individuals in non-model systems at a reasonable cost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{"citationItems":[{"id":"ITEM-1","itemData":{"DOI":"10.1038/nprot.2017.123","ISSN":"1754-2189","author":[{"dropping-particle":"","family":"Rochette","given":"Nicolas C","non-dropping-particle":"","parse-names":false,"suffix":""},{"dropping-particle":"","family":"Catchen","given":"Julian M","non-dropping-particle":"","parse-names":false,"suffix":""}],"container-title":"Nature Publishing Group","id":"ITEM-1","issue":"12","issued":{"date-parts":[["2017"]]},"page":"2640-2659","publisher":"Nature Publishing Group","title":"Deriving genotypes from RAD-seq short-read data using Stacks","type":"article-journal","volume":"12"},"uris":["http://www.mendeley.com/documents/?uuid=9e23d543-3807-4642-914b-c350763669f4"]},{"id":"ITEM-2","itemData":{"DOI":"10.1093/bfgp/elq031","ISBN":"2041-2657 (Electronic)\\r2041-2649 (Linking)","ISSN":"20412649","PMID":"21266344","abstract":"Next-generation sequencing technologies are making a substantial impact on many areas of biology, including the analysis of genetic diversity in populations. However, genome-scale population genetic studies have been accessible only to well-funded model systems. Restriction-site associated DNA sequencing, a method that samples at reduced complexity across target genomes, promises to deliver high resolution population genomic data-thousands of sequenced markers across many individuals-for any organism at reasonable costs. It has found application in wild populations and non-traditional study species, and promises to become an important technology for ecological population genomics.","author":[{"dropping-particle":"","family":"Davey","given":"John L.","non-dropping-particle":"","parse-names":false,"suffix":""},{"dropping-particle":"","family":"Blaxter","given":"Mark W.","non-dropping-particle":"","parse-names":false,"suffix":""}],"container-title":"Briefings in Functional Genomics","id":"ITEM-2","issue":"5-6","issued":{"date-parts":[["2010"]]},"page":"416-423","title":"RADseq: Next-generation population genetics","type":"article-journal","volume":"9"},"uris":["http://www.mendeley.com/documents/?uuid=f97d6ad9-97b9-43c1-833d-7b4d8d881bd5"]},{"id":"ITEM-3","itemData":{"DOI":"10.1038/s41598-020-79778-x","ISBN":"4159802079","ISSN":"20452322","PMID":"33597550","abstract":"Multi-locus genetic data are pivotal in phylogenetics. Today, high-throughput sequencing (HTS) allows scientists to generate an unprecedented amount of such data from any organism. However, HTS is resource intense and may not be accessible to wide parts of the scientific community. In phylogeography, the use of HTS has concentrated on a few taxonomic groups, and the amount of data used to resolve a phylogeographic pattern often seems arbitrary. We explore the performance of two genetic marker sampling strategies and the effect of marker quantity in a comparative phylogeographic framework focusing on six species (arthropods and plants). The same analyses were applied to data inferred from amplified fragment length polymorphism fingerprinting (AFLP), a cheap, non-HTS based technique that is able to straightforwardly produce several hundred markers, and from restriction site associated DNA sequencing (RADseq), a more expensive, HTS-based technique that produces thousands of single nucleotide polymorphisms. We show that in four of six study species, AFLP leads to results comparable with those of RADseq. While we do not aim to contest the advantages of HTS techniques, we also show that AFLP is a robust technique to delimit evolutionary entities in both plants and animals. The demonstrated similarity of results from the two techniques also strengthens biological conclusions that were based on AFLP data in the past, an important finding given the wide utilization of AFLP over the last decades. We emphasize that whenever the delimitation of evolutionary entities is the central goal, as it is in many fields of biodiversity research, AFLP is still an adequate technique.","author":[{"dropping-particle":"","family":"Kirschner","given":"Philipp","non-dropping-particle":"","parse-names":false,"suffix":""},{"dropping-particle":"","family":"Arthofer","given":"Wolfgang","non-dropping-particle":"","parse-names":false,"suffix":""},{"dropping-particle":"","family":"Pfeifenberger","given":"Stefanie","non-dropping-particle":"","parse-names":false,"suffix":""},{"dropping-particle":"","family":"Záveská","given":"Eliška","non-dropping-particle":"","parse-names":false,"suffix":""},{"dropping-particle":"","family":"Schönswetter","given":"Peter","non-dropping-particle":"","parse-names":false,"suffix":""},{"dropping-particle":"","family":"Frajman","given":"Božo","non-dropping-particle":"","parse-names":false,"suffix":""},{"dropping-particle":"","family":"Gamisch","given":"Alexander","non-dropping-particle":"","parse-names":false,"suffix":""},{"dropping-particle":"","family":"Hilpold","given":"Andreas","non-dropping-particle":"","parse-names":false,"suffix":""},{"dropping-particle":"","family":"Paun","given":"Ovidiu","non-dropping-particle":"","parse-names":false,"suffix":""},{"dropping-particle":"","family":"Sanmartín","given":"Isabel","non-dropping-particle":"","parse-names":false,"suffix":""},{"dropping-particle":"","family":"Trucchi","given":"Emiliano","non-dropping-particle":"","parse-names":false,"suffix":""},{"dropping-particle":"","family":"Steiner","given":"Florian M.","non-dropping-particle":"","parse-names":false,"suffix":""},{"dropping-particle":"","family":"Schlick-Steiner","given":"Birgit C.","non-dropping-particle":"","parse-names":false,"suffix":""}],"container-title":"Scientific Reports","id":"ITEM-3","issue":"1","issued":{"date-parts":[["2021"]]},"page":"1-12","title":"Performance comparison of two reduced-representation based genome-wide marker-discovery strategies in a multi-taxon phylogeographic framework","type":"article-journal","volume":"11"},"uris":["http://www.mendeley.com/documents/?uuid=d5d1dd03-b248-4db1-948e-c3db830aa66b"]}],"mendeley":{"formattedCitation":"(55–57)","plainTextFormattedCitation":"(55–57)","previouslyFormattedCitation":"(54–56)"},"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(55–57)</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xml:space="preserve">. Therefore, RADseq data represents an ideal fit for our study, which aims to examine contemporary and historical barriers that have shaped the genetic diversity of multiple species across a shared geographic region, at both micro- and macro-evolutionary scales. However, this technique is prone to several sources of sequencing error that may affect population inferences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Ecology","id":"ITEM-1","issue":"15","issued":{"date-parts":[["2015"]]},"page":"28-41","title":"Restriction site-associated DNA sequencing, genotyping error estimation and de novo assembly optimization for population genetic inference","type":"article-journal"},"uris":["http://www.mendeley.com/documents/?uuid=7b2dfb57-5591-41a3-ad23-e056fe0822f1"]}],"mendeley":{"formattedCitation":"(58)","plainTextFormattedCitation":"(58)","previouslyFormattedCitation":"(57)"},"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(58)</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xml:space="preserve">. These sequencing errors may arise from laboratory procedures (e.g., library development issues due to degraded DNA) or species-specific genome properties (e.g., alleles remain unsampled due to a polymorphism at the enzyme’s cut-site—allele dropout)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Ecology","id":"ITEM-1","issue":"15","issued":{"date-parts":[["2015"]]},"page":"28-41","title":"Restriction site-associated DNA sequencing, genotyping error estimation and de novo assembly optimization for population genetic inference","type":"article-journal"},"uris":["http://www.mendeley.com/documents/?uuid=7b2dfb57-5591-41a3-ad23-e056fe0822f1"]},{"id":"ITEM-2","itemData":{"DOI":"10.1111/j.1755-0998.2010.02967.x","ISBN":"1755-098X","ISSN":"1755098X","PMID":"21429168","abstract":"The increased numbers of genetic markers produced by genomic techniques have the potential to both identify hybrid individuals and localize chromosomal regions responding to selection and contributing to introgression. We used restriction-site-associated DNA sequencing to identify a dense set of candidate SNP loci with fixed allelic differences between introduced rainbow trout (Oncorhynchus mykiss) and native westslope cutthroat trout (Oncorhynchus clarkii lewisi). We distinguished candidate SNPs from homeologs (paralogs resulting from whole-genome duplication) by detecting excessively high observed heterozygosity and deviations from Hardy-Weinberg proportions. We identified 2923 candidate species-specific SNPs from a single Illumina sequencing lane containing 24 barcode-labelled individuals. Published sequence data and ongoing genome sequencing of rainbow trout will allow physical mapping of SNP loci for genome-wide scans and will also provide flanking sequence for design of qPCR-based TaqMan(®) assays for high-throughput, low-cost hybrid identification using a subset of 50-100 loci. This study demonstrates that it is now feasible to identify thousands of informative SNPs in nonmodel species quickly and at reasonable cost, even if no prior genomic information is available.","author":[{"dropping-particle":"","family":"Hohenlohe","given":"Paul A.","non-dropping-particle":"","parse-names":false,"suffix":""},{"dropping-particle":"","family":"Amish","given":"Stephen J.","non-dropping-particle":"","parse-names":false,"suffix":""},{"dropping-particle":"","family":"Catchen","given":"Julian M.","non-dropping-particle":"","parse-names":false,"suffix":""},{"dropping-particle":"","family":"Allendorf","given":"Fred W.","non-dropping-particle":"","parse-names":false,"suffix":""},{"dropping-particle":"","family":"Luikart","given":"Gordon","non-dropping-particle":"","parse-names":false,"suffix":""}],"container-title":"Molecular Ecology Resources","id":"ITEM-2","issue":"SUPPL. 1","issued":{"date-parts":[["2011"]]},"page":"117-122","title":"Next-generation RAD sequencing identifies thousands of SNPs for assessing hybridization between rainbow and westslope cutthroat trout","type":"article-journal","volume":"11"},"uris":["http://www.mendeley.com/documents/?uuid=4d4ab130-e40c-446d-8aeb-9c04e2dd266a"]},{"id":"ITEM-3","itemData":{"DOI":"10.1111/mec.14792","ISSN":"1365294X","abstract":"Sequencing reduced‐representation libraries of restriction site‐associated DNA (RAD-seq) to identify single nucleotide polymorphisms (SNPs) is quickly becoming a standard methodology for molecular ecologists. Because of the scale of RADseq data sets, putative loci cannot be assessed individually, making the process of filtering noise and correctly identifying biologically meaningful signal more difficult. Artefacts introduced during library preparation and/or bioinformatic processing of SNP data can create patterns that are incorrectly interpreted as indicative of population structure or natural selection. Therefore, it is crucial to carefully consider types of errors that may be introduced during laboratory work and data processing, and how to minimize, detect and remove these errors. Here, we discuss issues inherent to RADseq methodologies that can result in artefacts during library preparation and locus reconstruction resulting in erroneous SNP calls and, ultimately, genotyping error. Further, we describe steps that can be implemented to create a rigorously filtered data set consisting of markers accurately representing independent loci and compare the effect of different combinations of filters on four RAD data sets. At last, we stress the importance of publishing raw sequence data along with final filtered data sets in addition to detailed documentation of filtering steps and quality control measures.","author":[{"dropping-particle":"","family":"O'Leary","given":"Shannon J.","non-dropping-particle":"","parse-names":false,"suffix":""},{"dropping-particle":"","family":"Puritz","given":"Jonathan B.","non-dropping-particle":"","parse-names":false,"suffix":""},{"dropping-particle":"","family":"Willis","given":"Stuart C.","non-dropping-particle":"","parse-names":false,"suffix":""},{"dropping-particle":"","family":"Hollenbeck","given":"Christopher M.","non-dropping-particle":"","parse-names":false,"suffix":""},{"dropping-particle":"","family":"Portnoy","given":"David S.","non-dropping-particle":"","parse-names":false,"suffix":""}],"container-title":"Molecular Ecology","id":"ITEM-3","issue":"16","issued":{"date-parts":[["2018"]]},"page":"3193-3206","title":"These aren’t the loci you’e looking for: Principles of effective SNP filtering for molecular ecologists","type":"article-journal","volume":"27"},"uris":["http://www.mendeley.com/documents/?uuid=3b7fee30-fa0b-48f1-a569-b7ff9318db66"]},{"id":"ITEM-4","itemData":{"DOI":"10.1111/2041-210X.12775","ISSN":"2041210X","abstract":"Restriction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Evolution","id":"ITEM-4","issue":"10","issued":{"date-parts":[["2017"]]},"page":"1360-1373","title":"Lost in parameter space: a road map for stacks","type":"article-journal","volume":"8"},"uris":["http://www.mendeley.com/documents/?uuid=63928161-c6fb-41de-a398-2603a959f2cd"]}],"mendeley":{"formattedCitation":"(58–61)","plainTextFormattedCitation":"(58–61)","previouslyFormattedCitation":"(57–60)"},"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(58–61)</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xml:space="preserve">. Additionally, locus assembly from RADseq data is challenging as the selection of main parameters that control </w:t>
      </w:r>
      <w:r w:rsidRPr="00793FF5">
        <w:rPr>
          <w:rFonts w:ascii="Times New Roman" w:hAnsi="Times New Roman" w:cs="Times New Roman"/>
          <w:i/>
          <w:iCs/>
          <w:sz w:val="24"/>
          <w:szCs w:val="24"/>
        </w:rPr>
        <w:t>de novo</w:t>
      </w:r>
      <w:r w:rsidRPr="00793FF5">
        <w:rPr>
          <w:rFonts w:ascii="Times New Roman" w:hAnsi="Times New Roman" w:cs="Times New Roman"/>
          <w:sz w:val="24"/>
          <w:szCs w:val="24"/>
        </w:rPr>
        <w:t xml:space="preserve"> assembly results in different levels of assembly-related error and can greatly influence genomic variation per locus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Ecology","id":"ITEM-1","issue":"15","issued":{"date-parts":[["2015"]]},"page":"28-41","title":"Restriction site-associated DNA sequencing, genotyping error estimation and de novo assembly optimization for population genetic inference","type":"article-journal"},"uris":["http://www.mendeley.com/documents/?uuid=7b2dfb57-5591-41a3-ad23-e056fe0822f1"]},{"id":"ITEM-2","itemData":{"DOI":"10.1093/sysbio/syaa101","ISSN":"1076836X","PMID":"33512506","abstract":"The diversification of modern birds has been shaped by a number of radiations. Rapid diversification events make reconstructing the evolutionary relationships among taxa challenging due to the convoluted effects of incomplete lineage sorting (ILS) and introgression. Phylogenomic data sets have the potential to detect patterns of phylogenetic incongruence, and to address their causes. However, the footprints of ILS and introgression on sequence data can vary between different phylogenomic markers at different phylogenetic scales depending on factors such as their evolutionary rates or their selection pressures. We show that combining phylogenomic markers that evolve at different rates, such as paired-end double-digest restriction site-associated DNA (PE-ddRAD) and ultraconserved elements (UCEs), allows a comprehensive exploration of the causes of phylogenetic discordance associated with short internodes at different timescales. We used thousands of UCE and PE-ddRAD markers to produce the first well-resolved phylogeny of shearwaters, a group of medium-sized pelagic seabirds that are among the most phylogenetically controversial and endangered bird groups. We found that phylogenomic conflict was mainly derived from high levels of ILS due to rapid speciation events. We also documented a case of introgression, despite the high philopatry of shearwaters to their breeding sites, which typically limits gene flow. We integrated state-of-the-art concatenated and coalescent-based approaches to expand on previous comparisons of UCE and RAD-Seq data sets for phylogenetics, divergence time estimation, and inference of introgression, and we propose a strategy to optimize RAD-Seq data for phylogenetic analyses. Our results highlight the usefulness of combining phylogenomic markers evolving at different rates to understand the causes of phylogenetic discordance at different timescales. [Aves; incomplete lineage sorting; introgression; PE-ddRAD-Seq; phylogenomics; radiations; shearwaters; UCEs.]","author":[{"dropping-particle":"","family":"Ferrer Obiol","given":"Joan","non-dropping-particle":"","parse-names":false,"suffix":""},{"dropping-particle":"","family":"James","given":"Helen F.","non-dropping-particle":"","parse-names":false,"suffix":""},{"dropping-particle":"","family":"Chesser","given":"R. Terry","non-dropping-particle":"","parse-names":false,"suffix":""},{"dropping-particle":"","family":"Bretagnolle","given":"Vincent","non-dropping-particle":"","parse-names":false,"suffix":""},{"dropping-particle":"","family":"González-Solís","given":"Jacob","non-dropping-particle":"","parse-names":false,"suffix":""},{"dropping-particle":"","family":"Rozas","given":"Julio","non-dropping-particle":"","parse-names":false,"suffix":""},{"dropping-particle":"","family":"Riutort","given":"Marta","non-dropping-particle":"","parse-names":false,"suffix":""},{"dropping-particle":"","family":"Welch","given":"Andreanna J.","non-dropping-particle":"","parse-names":false,"suffix":""}],"container-title":"Systematic Biology","id":"ITEM-2","issue":"5","issued":{"date-parts":[["2021"]]},"page":"976-996","title":"Integrating Sequence Capture and Restriction Site-Associated DNA Sequencing to Resolve Recent Radiations of Pelagic Seabirds","type":"article-journal","volume":"70"},"uris":["http://www.mendeley.com/documents/?uuid=2a61bf86-1ba1-437a-ac39-ac7573d29d85"]}],"mendeley":{"formattedCitation":"(58, 62)","plainTextFormattedCitation":"(58, 62)","previouslyFormattedCitation":"(57, 61)"},"properties":{"noteIndex":0},"schema":"https://github.com/citation-style-language/schema/raw/master/csl-citation.json"}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(58, 62)</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Nonetheless, the proportion of artifactual loci</w:t>
      </w:r>
      <w:r w:rsidRPr="00793FF5" w:rsidDel="00A861FE">
        <w:rPr>
          <w:rFonts w:ascii="Times New Roman" w:hAnsi="Times New Roman" w:cs="Times New Roman"/>
          <w:sz w:val="24"/>
          <w:szCs w:val="24"/>
        </w:rPr>
        <w:t xml:space="preserve"> </w:t>
      </w:r>
      <w:r w:rsidRPr="00793FF5">
        <w:rPr>
          <w:rFonts w:ascii="Times New Roman" w:hAnsi="Times New Roman" w:cs="Times New Roman"/>
          <w:sz w:val="24"/>
          <w:szCs w:val="24"/>
        </w:rPr>
        <w:t xml:space="preserve">can be detected due to errors during the PCR amplification steps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{"citationItems":[{"id":"ITEM-1","itemData":{"DOI":"10.1111/ijlh.12426","ISBN":"0000000247986","author":[{"dropping-particle":"","family":"Paris","given":"J. R.","non-dropping-particle":"","parse-names":false,"suffix":""},{"dropping-particle":"","family":"Stevens","given":"J.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885d9eb1-2be2-4ebd-950d-a53682e469e4"]}],"mendeley":{"formattedCitation":"(63)","plainTextFormattedCitation":"(63)","previouslyFormattedCitation":"(62)"},"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(63)</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xml:space="preserve">, while parameter optimization and proper filtering (see below) can improve the quality of the recovered loci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63928161-c6fb-41de-a398-2603a959f2cd"]}],"mendeley":{"formattedCitation":"(61)","plainTextFormattedCitation":"(61)","previouslyFormattedCitation":"(60)"},"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(61)</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w:t>
      </w:r>
    </w:p>
    <w:p w14:paraId="284B2FFF" w14:textId="49196B88" w:rsidR="004F496C" w:rsidRPr="00793FF5" w:rsidRDefault="004F496C" w:rsidP="004F496C">
      <w:pPr>
        <w:ind w:firstLine="720"/>
        <w:jc w:val="both"/>
        <w:rPr>
          <w:rFonts w:ascii="Times New Roman" w:hAnsi="Times New Roman" w:cs="Times New Roman"/>
          <w:color w:val="000000" w:themeColor="text1"/>
          <w:sz w:val="24"/>
          <w:szCs w:val="24"/>
        </w:rPr>
      </w:pPr>
      <w:r w:rsidRPr="00793FF5">
        <w:rPr>
          <w:rFonts w:ascii="Times New Roman" w:hAnsi="Times New Roman" w:cs="Times New Roman"/>
          <w:color w:val="000000" w:themeColor="text1"/>
          <w:sz w:val="24"/>
          <w:szCs w:val="24"/>
        </w:rPr>
        <w:t xml:space="preserve">In this study, we used a three-step approach to reduce the recovery of false-positive loci resulting from bioinformatic assembly-related errors. First, we conducted a parameter optimization </w:t>
      </w:r>
      <w:r w:rsidRPr="00793FF5">
        <w:rPr>
          <w:rFonts w:ascii="Times New Roman" w:hAnsi="Times New Roman" w:cs="Times New Roman"/>
          <w:color w:val="000000" w:themeColor="text1"/>
          <w:sz w:val="24"/>
          <w:szCs w:val="24"/>
        </w:rPr>
        <w:lastRenderedPageBreak/>
        <w:t>test on a subset of individuals to select the parameters that best fit the data, identifying “default”, “optimal”, and “recommended” parameter combinations. Second, we measured the assembly-error rate on the suggested parameter combinations using replicates. Third, we applied several filters to each matrix to reduce missing data, filter</w:t>
      </w:r>
      <w:r w:rsidRPr="00793FF5">
        <w:rPr>
          <w:rFonts w:ascii="Helvetica" w:hAnsi="Helvetica" w:cs="Times New Roman"/>
          <w:color w:val="000000" w:themeColor="text1"/>
          <w:sz w:val="24"/>
          <w:szCs w:val="24"/>
        </w:rPr>
        <w:t xml:space="preserve"> </w:t>
      </w:r>
      <w:r w:rsidRPr="00793FF5">
        <w:rPr>
          <w:rFonts w:ascii="Times New Roman" w:hAnsi="Times New Roman" w:cs="Times New Roman"/>
          <w:color w:val="000000" w:themeColor="text1"/>
          <w:sz w:val="24"/>
          <w:szCs w:val="24"/>
        </w:rPr>
        <w:t xml:space="preserve">paralogs, which are genes related to duplication events in the genome, and identify outlier loci </w:t>
      </w:r>
      <w:r w:rsidRPr="00793FF5">
        <w:rPr>
          <w:rFonts w:ascii="Times New Roman" w:hAnsi="Times New Roman" w:cs="Times New Roman"/>
          <w:sz w:val="24"/>
          <w:szCs w:val="24"/>
        </w:rPr>
        <w:fldChar w:fldCharType="begin" w:fldLock="1"/>
      </w:r>
      <w:r w:rsidRPr="00793FF5">
        <w:rPr>
          <w:rFonts w:ascii="Times New Roman" w:hAnsi="Times New Roman" w:cs="Times New Roman"/>
          <w:sz w:val="24"/>
          <w:szCs w:val="24"/>
        </w:rPr>
        <w:instrText>ADDIN CSL_CITATION {"citationItems":[{"id":"ITEM-1","itemData":{"DOI":"10.1111/2041-210X.12775","ISSN":"2041210X","abstract":"Restriction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63928161-c6fb-41de-a398-2603a959f2cd"]}],"mendeley":{"formattedCitation":"(61)","plainTextFormattedCitation":"(61)","previouslyFormattedCitation":"(60)"},"properties":{"noteIndex":0},"schema":"https://github.com/citation-style-language/schema/raw/master/csl-citation.json"}</w:instrText>
      </w:r>
      <w:r w:rsidRPr="00793FF5">
        <w:rPr>
          <w:rFonts w:ascii="Times New Roman" w:hAnsi="Times New Roman" w:cs="Times New Roman"/>
          <w:sz w:val="24"/>
          <w:szCs w:val="24"/>
        </w:rPr>
        <w:fldChar w:fldCharType="separate"/>
      </w:r>
      <w:r w:rsidRPr="00793FF5">
        <w:rPr>
          <w:rFonts w:ascii="Times New Roman" w:hAnsi="Times New Roman" w:cs="Times New Roman"/>
          <w:noProof/>
          <w:sz w:val="24"/>
          <w:szCs w:val="24"/>
        </w:rPr>
        <w:t>(61)</w:t>
      </w:r>
      <w:r w:rsidRPr="00793FF5">
        <w:rPr>
          <w:rFonts w:ascii="Times New Roman" w:hAnsi="Times New Roman" w:cs="Times New Roman"/>
          <w:sz w:val="24"/>
          <w:szCs w:val="24"/>
        </w:rPr>
        <w:fldChar w:fldCharType="end"/>
      </w:r>
      <w:r w:rsidRPr="00793FF5">
        <w:rPr>
          <w:rFonts w:ascii="Times New Roman" w:hAnsi="Times New Roman" w:cs="Times New Roman"/>
          <w:sz w:val="24"/>
          <w:szCs w:val="24"/>
        </w:rPr>
        <w:t xml:space="preserve"> </w:t>
      </w:r>
      <w:r w:rsidRPr="00793FF5">
        <w:rPr>
          <w:rFonts w:ascii="Times New Roman" w:hAnsi="Times New Roman" w:cs="Times New Roman"/>
          <w:color w:val="000000" w:themeColor="text1"/>
          <w:sz w:val="24"/>
          <w:szCs w:val="24"/>
        </w:rPr>
        <w:t>(see below for more details). As we were interested in analyzing the genetic structure at both intra- and inter-specific levels, we assembled SNP matrices in two different ways. The</w:t>
      </w:r>
      <w:r w:rsidRPr="00793FF5">
        <w:rPr>
          <w:rFonts w:ascii="Helvetica" w:hAnsi="Helvetica" w:cs="Times New Roman"/>
          <w:color w:val="000000" w:themeColor="text1"/>
          <w:sz w:val="24"/>
          <w:szCs w:val="24"/>
        </w:rPr>
        <w:t xml:space="preserve"> </w:t>
      </w:r>
      <w:r w:rsidRPr="00793FF5">
        <w:rPr>
          <w:rFonts w:ascii="Times New Roman" w:hAnsi="Times New Roman" w:cs="Times New Roman"/>
          <w:color w:val="000000" w:themeColor="text1"/>
          <w:sz w:val="24"/>
          <w:szCs w:val="24"/>
        </w:rPr>
        <w:t>first pipeline aimed to capture</w:t>
      </w:r>
      <w:r w:rsidRPr="00793FF5">
        <w:rPr>
          <w:rFonts w:ascii="Helvetica" w:hAnsi="Helvetica" w:cs="Times New Roman"/>
          <w:color w:val="000000" w:themeColor="text1"/>
          <w:sz w:val="24"/>
          <w:szCs w:val="24"/>
        </w:rPr>
        <w:t xml:space="preserve"> </w:t>
      </w:r>
      <w:r w:rsidRPr="00793FF5">
        <w:rPr>
          <w:rFonts w:ascii="Times New Roman" w:hAnsi="Times New Roman" w:cs="Times New Roman"/>
          <w:color w:val="000000" w:themeColor="text1"/>
          <w:sz w:val="24"/>
          <w:szCs w:val="24"/>
        </w:rPr>
        <w:t>the</w:t>
      </w:r>
      <w:r w:rsidRPr="00793FF5">
        <w:rPr>
          <w:rFonts w:ascii="Helvetica" w:hAnsi="Helvetica" w:cs="Times New Roman"/>
          <w:color w:val="000000" w:themeColor="text1"/>
          <w:sz w:val="24"/>
          <w:szCs w:val="24"/>
        </w:rPr>
        <w:t xml:space="preserve"> </w:t>
      </w:r>
      <w:r w:rsidRPr="00793FF5">
        <w:rPr>
          <w:rFonts w:ascii="Times New Roman" w:hAnsi="Times New Roman" w:cs="Times New Roman"/>
          <w:color w:val="000000" w:themeColor="text1"/>
          <w:sz w:val="24"/>
          <w:szCs w:val="24"/>
        </w:rPr>
        <w:t xml:space="preserve">genetic diversity among populations for each of the species analyzed, and the second aimed to identify SNPs common to all 23 </w:t>
      </w:r>
      <w:r w:rsidRPr="00793FF5">
        <w:rPr>
          <w:rFonts w:ascii="Times New Roman" w:hAnsi="Times New Roman" w:cs="Times New Roman"/>
          <w:i/>
          <w:iCs/>
          <w:color w:val="000000" w:themeColor="text1"/>
          <w:sz w:val="24"/>
          <w:szCs w:val="24"/>
        </w:rPr>
        <w:t>Malacoctenus</w:t>
      </w:r>
      <w:r w:rsidRPr="00793FF5">
        <w:rPr>
          <w:rFonts w:ascii="Times New Roman" w:hAnsi="Times New Roman" w:cs="Times New Roman"/>
          <w:color w:val="000000" w:themeColor="text1"/>
          <w:sz w:val="24"/>
          <w:szCs w:val="24"/>
        </w:rPr>
        <w:t xml:space="preserve"> species and </w:t>
      </w:r>
      <w:r w:rsidRPr="00793FF5">
        <w:rPr>
          <w:rFonts w:ascii="Times New Roman" w:hAnsi="Times New Roman" w:cs="Times New Roman"/>
          <w:i/>
          <w:iCs/>
          <w:color w:val="000000" w:themeColor="text1"/>
          <w:sz w:val="24"/>
          <w:szCs w:val="24"/>
        </w:rPr>
        <w:t>L. striatus</w:t>
      </w:r>
      <w:r w:rsidRPr="00793FF5">
        <w:rPr>
          <w:rFonts w:ascii="Times New Roman" w:hAnsi="Times New Roman" w:cs="Times New Roman"/>
          <w:color w:val="000000" w:themeColor="text1"/>
          <w:sz w:val="24"/>
          <w:szCs w:val="24"/>
        </w:rPr>
        <w:t>. In both pipelines, we applied the three-step approach to generate the final matrices that were used to conduct population differentiation and phylogenomic analyses (Fig. S2</w:t>
      </w:r>
      <w:r w:rsidRPr="00793FF5">
        <w:rPr>
          <w:rFonts w:ascii="Times New Roman" w:hAnsi="Times New Roman" w:cs="Times New Roman"/>
          <w:color w:val="231F20"/>
          <w:sz w:val="24"/>
          <w:szCs w:val="24"/>
        </w:rPr>
        <w:t>)</w:t>
      </w:r>
      <w:r w:rsidRPr="00793FF5">
        <w:rPr>
          <w:rFonts w:ascii="Times New Roman" w:hAnsi="Times New Roman" w:cs="Times New Roman"/>
          <w:color w:val="000000" w:themeColor="text1"/>
          <w:sz w:val="24"/>
          <w:szCs w:val="24"/>
        </w:rPr>
        <w:t>. At the macroevolutionary level, we also assembled the data using the closest genome available (see below for more details).</w:t>
      </w:r>
    </w:p>
    <w:p w14:paraId="677D1011" w14:textId="6F3F2C86" w:rsidR="004F496C" w:rsidRDefault="00793FF5" w:rsidP="004F496C">
      <w:pPr>
        <w:jc w:val="both"/>
        <w:rPr>
          <w:rFonts w:ascii="Times New Roman" w:hAnsi="Times New Roman" w:cs="Times New Roman"/>
          <w:color w:val="000000" w:themeColor="text1"/>
        </w:rPr>
      </w:pPr>
      <w:r w:rsidRPr="007F5C03">
        <w:rPr>
          <w:rFonts w:ascii="Times New Roman" w:hAnsi="Times New Roman" w:cs="Times New Roman"/>
          <w:noProof/>
          <w:color w:val="000000" w:themeColor="text1"/>
        </w:rPr>
        <w:drawing>
          <wp:anchor distT="0" distB="0" distL="114300" distR="114300" simplePos="0" relativeHeight="251716608" behindDoc="0" locked="0" layoutInCell="1" allowOverlap="1" wp14:anchorId="4F472AA3" wp14:editId="0D43EA0A">
            <wp:simplePos x="0" y="0"/>
            <wp:positionH relativeFrom="column">
              <wp:posOffset>1090237</wp:posOffset>
            </wp:positionH>
            <wp:positionV relativeFrom="paragraph">
              <wp:posOffset>40036</wp:posOffset>
            </wp:positionV>
            <wp:extent cx="3865757" cy="5029200"/>
            <wp:effectExtent l="0" t="0" r="0" b="0"/>
            <wp:wrapNone/>
            <wp:docPr id="174187245" name="Picture 1" descr="A diagram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7245" name="Picture 1" descr="A diagram of a computer&#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865757" cy="5029200"/>
                    </a:xfrm>
                    <a:prstGeom prst="rect">
                      <a:avLst/>
                    </a:prstGeom>
                  </pic:spPr>
                </pic:pic>
              </a:graphicData>
            </a:graphic>
            <wp14:sizeRelH relativeFrom="page">
              <wp14:pctWidth>0</wp14:pctWidth>
            </wp14:sizeRelH>
            <wp14:sizeRelV relativeFrom="page">
              <wp14:pctHeight>0</wp14:pctHeight>
            </wp14:sizeRelV>
          </wp:anchor>
        </w:drawing>
      </w:r>
    </w:p>
    <w:p w14:paraId="43DE527D" w14:textId="275F9467" w:rsidR="004F496C" w:rsidRDefault="004F496C" w:rsidP="004F496C">
      <w:pPr>
        <w:jc w:val="both"/>
        <w:rPr>
          <w:rFonts w:ascii="Times New Roman" w:hAnsi="Times New Roman" w:cs="Times New Roman"/>
          <w:color w:val="000000" w:themeColor="text1"/>
        </w:rPr>
      </w:pPr>
    </w:p>
    <w:p w14:paraId="430F57FB" w14:textId="77777777" w:rsidR="004F496C" w:rsidRDefault="004F496C" w:rsidP="004F496C">
      <w:pPr>
        <w:jc w:val="both"/>
        <w:rPr>
          <w:rFonts w:ascii="Times New Roman" w:hAnsi="Times New Roman" w:cs="Times New Roman"/>
          <w:color w:val="000000" w:themeColor="text1"/>
        </w:rPr>
      </w:pPr>
    </w:p>
    <w:p w14:paraId="3EAF1878" w14:textId="1F98AE79" w:rsidR="004F496C" w:rsidRDefault="004F496C" w:rsidP="004F496C">
      <w:pPr>
        <w:jc w:val="both"/>
        <w:rPr>
          <w:rFonts w:ascii="Times New Roman" w:hAnsi="Times New Roman" w:cs="Times New Roman"/>
          <w:color w:val="000000" w:themeColor="text1"/>
        </w:rPr>
      </w:pPr>
    </w:p>
    <w:p w14:paraId="5E4A76BA" w14:textId="0DAB0442" w:rsidR="004F496C" w:rsidRDefault="004F496C" w:rsidP="004F496C">
      <w:pPr>
        <w:jc w:val="both"/>
        <w:rPr>
          <w:rFonts w:ascii="Times New Roman" w:hAnsi="Times New Roman" w:cs="Times New Roman"/>
          <w:color w:val="000000" w:themeColor="text1"/>
        </w:rPr>
      </w:pPr>
    </w:p>
    <w:p w14:paraId="69B9B42E" w14:textId="77777777" w:rsidR="004F496C" w:rsidRDefault="004F496C" w:rsidP="004F496C">
      <w:pPr>
        <w:jc w:val="both"/>
        <w:rPr>
          <w:rFonts w:ascii="Times New Roman" w:hAnsi="Times New Roman" w:cs="Times New Roman"/>
          <w:color w:val="000000" w:themeColor="text1"/>
        </w:rPr>
      </w:pPr>
    </w:p>
    <w:p w14:paraId="14423729" w14:textId="77777777" w:rsidR="004F496C" w:rsidRDefault="004F496C" w:rsidP="004F496C">
      <w:pPr>
        <w:jc w:val="both"/>
        <w:rPr>
          <w:rFonts w:ascii="Times New Roman" w:hAnsi="Times New Roman" w:cs="Times New Roman"/>
          <w:color w:val="000000" w:themeColor="text1"/>
        </w:rPr>
      </w:pPr>
    </w:p>
    <w:p w14:paraId="4B4AC954" w14:textId="77777777" w:rsidR="004F496C" w:rsidRDefault="004F496C" w:rsidP="004F496C">
      <w:pPr>
        <w:jc w:val="both"/>
        <w:rPr>
          <w:rFonts w:ascii="Times New Roman" w:hAnsi="Times New Roman" w:cs="Times New Roman"/>
          <w:color w:val="000000" w:themeColor="text1"/>
        </w:rPr>
      </w:pPr>
    </w:p>
    <w:p w14:paraId="0F1A8684" w14:textId="77777777" w:rsidR="004F496C" w:rsidRDefault="004F496C" w:rsidP="004F496C">
      <w:pPr>
        <w:jc w:val="both"/>
        <w:rPr>
          <w:rFonts w:ascii="Times New Roman" w:hAnsi="Times New Roman" w:cs="Times New Roman"/>
          <w:color w:val="000000" w:themeColor="text1"/>
        </w:rPr>
      </w:pPr>
    </w:p>
    <w:p w14:paraId="07A7381E" w14:textId="77777777" w:rsidR="004F496C" w:rsidRDefault="004F496C" w:rsidP="004F496C">
      <w:pPr>
        <w:jc w:val="both"/>
        <w:rPr>
          <w:rFonts w:ascii="Times New Roman" w:hAnsi="Times New Roman" w:cs="Times New Roman"/>
          <w:color w:val="000000" w:themeColor="text1"/>
        </w:rPr>
      </w:pPr>
    </w:p>
    <w:p w14:paraId="35209949" w14:textId="77777777" w:rsidR="004F496C" w:rsidRDefault="004F496C" w:rsidP="004F496C">
      <w:pPr>
        <w:jc w:val="both"/>
        <w:rPr>
          <w:rFonts w:ascii="Times New Roman" w:hAnsi="Times New Roman" w:cs="Times New Roman"/>
          <w:color w:val="000000" w:themeColor="text1"/>
        </w:rPr>
      </w:pPr>
    </w:p>
    <w:p w14:paraId="3EA55CD0" w14:textId="77777777" w:rsidR="004F496C" w:rsidRDefault="004F496C" w:rsidP="004F496C">
      <w:pPr>
        <w:jc w:val="both"/>
        <w:rPr>
          <w:rFonts w:ascii="Times New Roman" w:hAnsi="Times New Roman" w:cs="Times New Roman"/>
          <w:color w:val="000000" w:themeColor="text1"/>
        </w:rPr>
      </w:pPr>
    </w:p>
    <w:p w14:paraId="68E6627D" w14:textId="77777777" w:rsidR="004F496C" w:rsidRDefault="004F496C" w:rsidP="004F496C">
      <w:pPr>
        <w:jc w:val="both"/>
        <w:rPr>
          <w:rFonts w:ascii="Times New Roman" w:hAnsi="Times New Roman" w:cs="Times New Roman"/>
          <w:color w:val="000000" w:themeColor="text1"/>
        </w:rPr>
      </w:pPr>
    </w:p>
    <w:p w14:paraId="695D47D3" w14:textId="77777777" w:rsidR="004F496C" w:rsidRDefault="004F496C" w:rsidP="004F496C">
      <w:pPr>
        <w:jc w:val="both"/>
        <w:rPr>
          <w:rFonts w:ascii="Times New Roman" w:hAnsi="Times New Roman" w:cs="Times New Roman"/>
          <w:color w:val="000000" w:themeColor="text1"/>
        </w:rPr>
      </w:pPr>
    </w:p>
    <w:p w14:paraId="3A995181" w14:textId="77777777" w:rsidR="004F496C" w:rsidRDefault="004F496C" w:rsidP="004F496C">
      <w:pPr>
        <w:jc w:val="both"/>
        <w:rPr>
          <w:rFonts w:ascii="Times New Roman" w:hAnsi="Times New Roman" w:cs="Times New Roman"/>
          <w:color w:val="000000" w:themeColor="text1"/>
        </w:rPr>
      </w:pPr>
    </w:p>
    <w:p w14:paraId="26D89243" w14:textId="77777777" w:rsidR="004F496C" w:rsidRDefault="004F496C" w:rsidP="004F496C">
      <w:pPr>
        <w:jc w:val="both"/>
        <w:rPr>
          <w:rFonts w:ascii="Times New Roman" w:hAnsi="Times New Roman" w:cs="Times New Roman"/>
          <w:color w:val="000000" w:themeColor="text1"/>
        </w:rPr>
      </w:pPr>
    </w:p>
    <w:p w14:paraId="297E92FB" w14:textId="579C8EF5" w:rsidR="004F496C" w:rsidRDefault="004F496C" w:rsidP="004F496C">
      <w:pPr>
        <w:jc w:val="both"/>
        <w:rPr>
          <w:rFonts w:ascii="Times New Roman" w:hAnsi="Times New Roman" w:cs="Times New Roman"/>
          <w:color w:val="000000" w:themeColor="text1"/>
        </w:rPr>
      </w:pPr>
    </w:p>
    <w:p w14:paraId="5D80EFF8" w14:textId="77777777" w:rsidR="00793FF5" w:rsidRDefault="00793FF5" w:rsidP="004F496C">
      <w:pPr>
        <w:jc w:val="both"/>
        <w:rPr>
          <w:rFonts w:ascii="Times New Roman" w:hAnsi="Times New Roman" w:cs="Times New Roman"/>
          <w:color w:val="000000" w:themeColor="text1"/>
        </w:rPr>
      </w:pPr>
    </w:p>
    <w:p w14:paraId="77D96C90" w14:textId="062EFCA7" w:rsidR="004F496C" w:rsidRDefault="00793FF5" w:rsidP="004F496C">
      <w:pPr>
        <w:jc w:val="both"/>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715584" behindDoc="0" locked="0" layoutInCell="1" allowOverlap="1" wp14:anchorId="1ECF1238" wp14:editId="68A19697">
                <wp:simplePos x="0" y="0"/>
                <wp:positionH relativeFrom="column">
                  <wp:posOffset>28171</wp:posOffset>
                </wp:positionH>
                <wp:positionV relativeFrom="paragraph">
                  <wp:posOffset>233045</wp:posOffset>
                </wp:positionV>
                <wp:extent cx="5837555" cy="562610"/>
                <wp:effectExtent l="0" t="0" r="0" b="0"/>
                <wp:wrapNone/>
                <wp:docPr id="1434077086" name="Text Box 2"/>
                <wp:cNvGraphicFramePr/>
                <a:graphic xmlns:a="http://schemas.openxmlformats.org/drawingml/2006/main">
                  <a:graphicData uri="http://schemas.microsoft.com/office/word/2010/wordprocessingShape">
                    <wps:wsp>
                      <wps:cNvSpPr txBox="1"/>
                      <wps:spPr>
                        <a:xfrm>
                          <a:off x="0" y="0"/>
                          <a:ext cx="5837555" cy="562610"/>
                        </a:xfrm>
                        <a:prstGeom prst="rect">
                          <a:avLst/>
                        </a:prstGeom>
                        <a:noFill/>
                        <a:ln w="6350">
                          <a:noFill/>
                        </a:ln>
                      </wps:spPr>
                      <wps:txbx>
                        <w:txbxContent>
                          <w:p w14:paraId="667D3850" w14:textId="77777777" w:rsidR="004F496C" w:rsidRPr="001D608F" w:rsidRDefault="004F496C" w:rsidP="004F496C">
                            <w:pPr>
                              <w:jc w:val="both"/>
                              <w:rPr>
                                <w:rFonts w:ascii="Times New Roman" w:hAnsi="Times New Roman" w:cs="Times New Roman"/>
                                <w:color w:val="000000" w:themeColor="text1"/>
                                <w:sz w:val="20"/>
                                <w:szCs w:val="20"/>
                              </w:rPr>
                            </w:pPr>
                            <w:bookmarkStart w:id="5" w:name="FigS2"/>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w:t>
                            </w:r>
                            <w:bookmarkEnd w:id="5"/>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Scheme illustrating the pipeline used to produce genomic matrices for analyses. This pipeline includes quality control, locus assembly, and SNP filtering steps employed in this study, both at the micro- and macroevolutionary scales.</w:t>
                            </w:r>
                          </w:p>
                          <w:p w14:paraId="6CE64B12" w14:textId="77777777" w:rsidR="004F496C" w:rsidRDefault="004F496C" w:rsidP="004F49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F1238" id="Text Box 2" o:spid="_x0000_s1039" type="#_x0000_t202" style="position:absolute;left:0;text-align:left;margin-left:2.2pt;margin-top:18.35pt;width:459.65pt;height:44.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" filled="f" stroked="f" strokeweight=".5pt">
                <v:textbox>
                  <w:txbxContent>
                    <w:p w14:paraId="667D3850" w14:textId="77777777" w:rsidR="004F496C" w:rsidRPr="001D608F" w:rsidRDefault="004F496C" w:rsidP="004F496C">
                      <w:pPr>
                        <w:jc w:val="both"/>
                        <w:rPr>
                          <w:rFonts w:ascii="Times New Roman" w:hAnsi="Times New Roman" w:cs="Times New Roman"/>
                          <w:color w:val="000000" w:themeColor="text1"/>
                          <w:sz w:val="20"/>
                          <w:szCs w:val="20"/>
                        </w:rPr>
                      </w:pPr>
                      <w:bookmarkStart w:id="7" w:name="FigS2"/>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w:t>
                      </w:r>
                      <w:bookmarkEnd w:id="7"/>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Scheme illustrating the pipeline used to produce genomic matrices for analyses. This pipeline includes quality control, locus assembly, and SNP filtering steps employed in this study, both at the micro- and macroevolutionary scales.</w:t>
                      </w:r>
                    </w:p>
                    <w:p w14:paraId="6CE64B12" w14:textId="77777777" w:rsidR="004F496C" w:rsidRDefault="004F496C" w:rsidP="004F496C"/>
                  </w:txbxContent>
                </v:textbox>
              </v:shape>
            </w:pict>
          </mc:Fallback>
        </mc:AlternateContent>
      </w:r>
    </w:p>
    <w:p w14:paraId="6B26D828" w14:textId="34F6496B" w:rsidR="004F496C" w:rsidRDefault="004F496C" w:rsidP="004F496C">
      <w:pPr>
        <w:jc w:val="both"/>
        <w:rPr>
          <w:rFonts w:ascii="Times New Roman" w:hAnsi="Times New Roman" w:cs="Times New Roman"/>
          <w:color w:val="000000" w:themeColor="text1"/>
        </w:rPr>
      </w:pPr>
    </w:p>
    <w:p w14:paraId="4C3F5C82" w14:textId="48A29416" w:rsidR="004F496C" w:rsidRDefault="004F496C" w:rsidP="004F496C">
      <w:pPr>
        <w:jc w:val="both"/>
        <w:rPr>
          <w:rFonts w:ascii="Times New Roman" w:hAnsi="Times New Roman" w:cs="Times New Roman"/>
          <w:color w:val="000000" w:themeColor="text1"/>
        </w:rPr>
      </w:pPr>
    </w:p>
    <w:p w14:paraId="651D995C" w14:textId="5155D9DB" w:rsidR="00780D40" w:rsidRPr="000273A9" w:rsidRDefault="00780D40" w:rsidP="00780D40">
      <w:pPr>
        <w:jc w:val="both"/>
        <w:rPr>
          <w:rFonts w:ascii="Times New Roman" w:hAnsi="Times New Roman" w:cs="Times New Roman"/>
          <w:sz w:val="24"/>
          <w:szCs w:val="24"/>
        </w:rPr>
      </w:pPr>
      <w:r w:rsidRPr="000273A9">
        <w:rPr>
          <w:rFonts w:ascii="Times New Roman" w:hAnsi="Times New Roman" w:cs="Times New Roman"/>
          <w:b/>
          <w:bCs/>
          <w:color w:val="000000" w:themeColor="text1"/>
          <w:sz w:val="24"/>
          <w:szCs w:val="24"/>
        </w:rPr>
        <w:lastRenderedPageBreak/>
        <w:t>Locus assembly at microevolutionary scales</w:t>
      </w:r>
    </w:p>
    <w:p w14:paraId="519D60AB" w14:textId="65937D19" w:rsidR="00780D40" w:rsidRPr="000273A9" w:rsidRDefault="00780D40" w:rsidP="00780D40">
      <w:pPr>
        <w:jc w:val="both"/>
        <w:rPr>
          <w:rFonts w:ascii="Times New Roman" w:hAnsi="Times New Roman" w:cs="Times New Roman"/>
          <w:sz w:val="24"/>
          <w:szCs w:val="24"/>
        </w:rPr>
      </w:pPr>
      <w:r w:rsidRPr="000273A9">
        <w:rPr>
          <w:rFonts w:ascii="Times New Roman" w:hAnsi="Times New Roman" w:cs="Times New Roman"/>
          <w:b/>
          <w:bCs/>
          <w:i/>
          <w:iCs/>
          <w:color w:val="000000" w:themeColor="text1"/>
          <w:sz w:val="24"/>
          <w:szCs w:val="24"/>
        </w:rPr>
        <w:t>1)</w:t>
      </w:r>
      <w:r w:rsidRPr="000273A9">
        <w:rPr>
          <w:rFonts w:ascii="Times New Roman" w:hAnsi="Times New Roman" w:cs="Times New Roman"/>
          <w:b/>
          <w:bCs/>
          <w:color w:val="000000" w:themeColor="text1"/>
          <w:sz w:val="24"/>
          <w:szCs w:val="24"/>
        </w:rPr>
        <w:t xml:space="preserve"> </w:t>
      </w:r>
      <w:r w:rsidRPr="000273A9">
        <w:rPr>
          <w:rFonts w:ascii="Times New Roman" w:hAnsi="Times New Roman" w:cs="Times New Roman"/>
          <w:b/>
          <w:bCs/>
          <w:i/>
          <w:iCs/>
          <w:color w:val="000000" w:themeColor="text1"/>
          <w:sz w:val="24"/>
          <w:szCs w:val="24"/>
        </w:rPr>
        <w:t>De novo</w:t>
      </w:r>
      <w:r w:rsidRPr="000273A9">
        <w:rPr>
          <w:rFonts w:ascii="Times New Roman" w:hAnsi="Times New Roman" w:cs="Times New Roman"/>
          <w:b/>
          <w:bCs/>
          <w:color w:val="000000" w:themeColor="text1"/>
          <w:sz w:val="24"/>
          <w:szCs w:val="24"/>
        </w:rPr>
        <w:t xml:space="preserve"> assembly optimization.</w:t>
      </w:r>
      <w:r w:rsidRPr="000273A9">
        <w:rPr>
          <w:rFonts w:ascii="Times New Roman" w:hAnsi="Times New Roman" w:cs="Times New Roman"/>
          <w:color w:val="000000" w:themeColor="text1"/>
          <w:sz w:val="24"/>
          <w:szCs w:val="24"/>
        </w:rPr>
        <w:t xml:space="preserve"> Assembly of RADseq data in the absence of a reference genome is a daunting task, as the parameter values applied greatly influence the level of locus polymorphism allowed in each dataset </w:t>
      </w:r>
      <w:r w:rsidRPr="000273A9">
        <w:rPr>
          <w:rFonts w:ascii="Times New Roman" w:hAnsi="Times New Roman" w:cs="Times New Roman"/>
          <w:color w:val="000000" w:themeColor="text1"/>
          <w:sz w:val="24"/>
          <w:szCs w:val="24"/>
        </w:rPr>
        <w:fldChar w:fldCharType="begin" w:fldLock="1"/>
      </w:r>
      <w:r w:rsidRPr="000273A9">
        <w:rPr>
          <w:rFonts w:ascii="Times New Roman" w:hAnsi="Times New Roman" w:cs="Times New Roman"/>
          <w:color w:val="000000" w:themeColor="text1"/>
          <w:sz w:val="24"/>
          <w:szCs w:val="24"/>
        </w:rPr>
        <w:instrText>ADDIN CSL_CITATION {"citationItems":[{"id":"ITEM-1","itemData":{"DOI":"10.1093/sysbio/syaa101","ISSN":"1076836X","PMID":"33512506","abstract":"The diversification of modern birds has been shaped by a number of radiations. Rapid diversification events make reconstructing the evolutionary relationships among taxa challenging due to the convoluted effects of incomplete lineage sorting (ILS) and introgression. Phylogenomic data sets have the potential to detect patterns of phylogenetic incongruence, and to address their causes. However, the footprints of ILS and introgression on sequence data can vary between different phylogenomic markers at different phylogenetic scales depending on factors such as their evolutionary rates or their selection pressures. We show that combining phylogenomic markers that evolve at different rates, such as paired-end double-digest restriction site-associated DNA (PE-ddRAD) and ultraconserved elements (UCEs), allows a comprehensive exploration of the causes of phylogenetic discordance associated with short internodes at different timescales. We used thousands of UCE and PE-ddRAD markers to produce the first well-resolved phylogeny of shearwaters, a group of medium-sized pelagic seabirds that are among the most phylogenetically controversial and endangered bird groups. We found that phylogenomic conflict was mainly derived from high levels of ILS due to rapid speciation events. We also documented a case of introgression, despite the high philopatry of shearwaters to their breeding sites, which typically limits gene flow. We integrated state-of-the-art concatenated and coalescent-based approaches to expand on previous comparisons of UCE and RAD-Seq data sets for phylogenetics, divergence time estimation, and inference of introgression, and we propose a strategy to optimize RAD-Seq data for phylogenetic analyses. Our results highlight the usefulness of combining phylogenomic markers evolving at different rates to understand the causes of phylogenetic discordance at different timescales. [Aves; incomplete lineage sorting; introgression; PE-ddRAD-Seq; phylogenomics; radiations; shearwaters; UCEs.]","author":[{"dropping-particle":"","family":"Ferrer Obiol","given":"Joan","non-dropping-particle":"","parse-names":false,"suffix":""},{"dropping-particle":"","family":"James","given":"Helen F.","non-dropping-particle":"","parse-names":false,"suffix":""},{"dropping-particle":"","family":"Chesser","given":"R. Terry","non-dropping-particle":"","parse-names":false,"suffix":""},{"dropping-particle":"","family":"Bretagnolle","given":"Vincent","non-dropping-particle":"","parse-names":false,"suffix":""},{"dropping-particle":"","family":"González-Solís","given":"Jacob","non-dropping-particle":"","parse-names":false,"suffix":""},{"dropping-particle":"","family":"Rozas","given":"Julio","non-dropping-particle":"","parse-names":false,"suffix":""},{"dropping-particle":"","family":"Riutort","given":"Marta","non-dropping-particle":"","parse-names":false,"suffix":""},{"dropping-particle":"","family":"Welch","given":"Andreanna J.","non-dropping-particle":"","parse-names":false,"suffix":""}],"container-title":"Systematic Biology","id":"ITEM-1","issue":"5","issued":{"date-parts":[["2021"]]},"page":"976-996","title":"Integrating Sequence Capture and Restriction Site-Associated DNA Sequencing to Resolve Recent Radiations of Pelagic Seabirds","type":"article-journal","volume":"70"},"uris":["http://www.mendeley.com/documents/?uuid=2a61bf86-1ba1-437a-ac39-ac7573d29d85"]},{"id":"ITEM-2","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Ecology","id":"ITEM-2","issue":"15","issued":{"date-parts":[["2015"]]},"page":"28-41","title":"Restriction site-associated DNA sequencing, genotyping error estimation and de novo assembly optimization for population genetic inference","type":"article-journal"},"uris":["http://www.mendeley.com/documents/?uuid=7b2dfb57-5591-41a3-ad23-e056fe0822f1"]}],"mendeley":{"formattedCitation":"(58, 62)","plainTextFormattedCitation":"(58, 62)","previouslyFormattedCitation":"(57, 61)"},"properties":{"noteIndex":0},"schema":"https://github.com/citation-style-language/schema/raw/master/csl-citation.json"}</w:instrText>
      </w:r>
      <w:r w:rsidRPr="000273A9">
        <w:rPr>
          <w:rFonts w:ascii="Times New Roman" w:hAnsi="Times New Roman" w:cs="Times New Roman"/>
          <w:color w:val="000000" w:themeColor="text1"/>
          <w:sz w:val="24"/>
          <w:szCs w:val="24"/>
        </w:rPr>
        <w:fldChar w:fldCharType="separate"/>
      </w:r>
      <w:r w:rsidRPr="000273A9">
        <w:rPr>
          <w:rFonts w:ascii="Times New Roman" w:hAnsi="Times New Roman" w:cs="Times New Roman"/>
          <w:noProof/>
          <w:color w:val="000000" w:themeColor="text1"/>
          <w:sz w:val="24"/>
          <w:szCs w:val="24"/>
        </w:rPr>
        <w:t>(58, 62)</w:t>
      </w:r>
      <w:r w:rsidRPr="000273A9">
        <w:rPr>
          <w:rFonts w:ascii="Times New Roman" w:hAnsi="Times New Roman" w:cs="Times New Roman"/>
          <w:color w:val="000000" w:themeColor="text1"/>
          <w:sz w:val="24"/>
          <w:szCs w:val="24"/>
        </w:rPr>
        <w:fldChar w:fldCharType="end"/>
      </w:r>
      <w:r w:rsidRPr="000273A9">
        <w:rPr>
          <w:rFonts w:ascii="Times New Roman" w:hAnsi="Times New Roman" w:cs="Times New Roman"/>
          <w:color w:val="000000" w:themeColor="text1"/>
          <w:sz w:val="24"/>
          <w:szCs w:val="24"/>
        </w:rPr>
        <w:t xml:space="preserve">. </w:t>
      </w:r>
      <w:r w:rsidRPr="000273A9">
        <w:rPr>
          <w:rFonts w:ascii="Times New Roman" w:hAnsi="Times New Roman" w:cs="Times New Roman"/>
          <w:sz w:val="24"/>
          <w:szCs w:val="24"/>
        </w:rPr>
        <w:t>The main parameters that control locus assembly and polymorphism within a locus are the minimum depth of coverage (-</w:t>
      </w:r>
      <w:r w:rsidRPr="000273A9">
        <w:rPr>
          <w:rFonts w:ascii="Times New Roman" w:hAnsi="Times New Roman" w:cs="Times New Roman"/>
          <w:i/>
          <w:iCs/>
          <w:sz w:val="24"/>
          <w:szCs w:val="24"/>
        </w:rPr>
        <w:t>m</w:t>
      </w:r>
      <w:r w:rsidRPr="000273A9">
        <w:rPr>
          <w:rFonts w:ascii="Times New Roman" w:hAnsi="Times New Roman" w:cs="Times New Roman"/>
          <w:sz w:val="24"/>
          <w:szCs w:val="24"/>
        </w:rPr>
        <w:t>), the distance allowed between stacks (-</w:t>
      </w:r>
      <w:r w:rsidRPr="000273A9">
        <w:rPr>
          <w:rFonts w:ascii="Times New Roman" w:hAnsi="Times New Roman" w:cs="Times New Roman"/>
          <w:i/>
          <w:iCs/>
          <w:sz w:val="24"/>
          <w:szCs w:val="24"/>
        </w:rPr>
        <w:t>M</w:t>
      </w:r>
      <w:r w:rsidRPr="000273A9">
        <w:rPr>
          <w:rFonts w:ascii="Times New Roman" w:hAnsi="Times New Roman" w:cs="Times New Roman"/>
          <w:sz w:val="24"/>
          <w:szCs w:val="24"/>
        </w:rPr>
        <w:t>), and the distance allowed between catalog loci (-</w:t>
      </w:r>
      <w:r w:rsidRPr="000273A9">
        <w:rPr>
          <w:rFonts w:ascii="Times New Roman" w:hAnsi="Times New Roman" w:cs="Times New Roman"/>
          <w:i/>
          <w:iCs/>
          <w:sz w:val="24"/>
          <w:szCs w:val="24"/>
        </w:rPr>
        <w:t>n</w:t>
      </w:r>
      <w:r w:rsidRPr="000273A9">
        <w:rPr>
          <w:rFonts w:ascii="Times New Roman" w:hAnsi="Times New Roman" w:cs="Times New Roman"/>
          <w:sz w:val="24"/>
          <w:szCs w:val="24"/>
        </w:rPr>
        <w:t xml:space="preserve">) </w:t>
      </w:r>
      <w:r w:rsidRPr="000273A9">
        <w:rPr>
          <w:rFonts w:ascii="Times New Roman" w:hAnsi="Times New Roman" w:cs="Times New Roman"/>
          <w:sz w:val="24"/>
          <w:szCs w:val="24"/>
        </w:rPr>
        <w:fldChar w:fldCharType="begin" w:fldLock="1"/>
      </w:r>
      <w:r w:rsidRPr="000273A9">
        <w:rPr>
          <w:rFonts w:ascii="Times New Roman" w:hAnsi="Times New Roman" w:cs="Times New Roman"/>
          <w:sz w:val="24"/>
          <w:szCs w:val="24"/>
        </w:rPr>
        <w:instrText>ADDIN CSL_CITATION {"citationItems":[{"id":"ITEM-1","itemData":{"DOI":"10.1111/mec.12354.Stacks","author":[{"dropping-particle":"","family":"Catchen","given":"Julian M.","non-dropping-particle":"","parse-names":false,"suffix":""},{"dropping-particle":"","family":"Hohenlohe","given":"Paul A.","non-dropping-particle":"","parse-names":false,"suffix":""},{"dropping-particle":"","family":"Bassham","given":"Susan","non-dropping-particle":"","parse-names":false,"suffix":""},{"dropping-particle":"","family":"Amores","given":"Angel","non-dropping-particle":"","parse-names":false,"suffix":""},{"dropping-particle":"","family":"Cresko","given":"William A.","non-dropping-particle":"","parse-names":false,"suffix":""}],"container-title":"Molecular Ecology","id":"ITEM-1","issue":"11","issued":{"date-parts":[["2013"]]},"page":"3124-3140","title":"Stacks: an analysis tool set for population genomics","type":"article-journal","volume":"22"},"uris":["http://www.mendeley.com/documents/?uuid=508cf26b-45a4-4e03-91b5-8e4b0d1d311f"]},{"id":"ITEM-2","itemData":{"DOI":"10.1111/2041-210X.12775","ISSN":"2041210X","abstract":"Restriction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Evolution","id":"ITEM-2","issue":"10","issued":{"date-parts":[["2017"]]},"page":"1360-1373","title":"Lost in parameter space: a road map for stacks","type":"article-journal","volume":"8"},"uris":["http://www.mendeley.com/documents/?uuid=63928161-c6fb-41de-a398-2603a959f2cd"]}],"mendeley":{"formattedCitation":"(61, 64)","plainTextFormattedCitation":"(61, 64)","previouslyFormattedCitation":"(60, 63)"},"properties":{"noteIndex":0},"schema":"https://github.com/citation-style-language/schema/raw/master/csl-citation.json"}</w:instrText>
      </w:r>
      <w:r w:rsidRPr="000273A9">
        <w:rPr>
          <w:rFonts w:ascii="Times New Roman" w:hAnsi="Times New Roman" w:cs="Times New Roman"/>
          <w:sz w:val="24"/>
          <w:szCs w:val="24"/>
        </w:rPr>
        <w:fldChar w:fldCharType="separate"/>
      </w:r>
      <w:r w:rsidRPr="000273A9">
        <w:rPr>
          <w:rFonts w:ascii="Times New Roman" w:hAnsi="Times New Roman" w:cs="Times New Roman"/>
          <w:noProof/>
          <w:sz w:val="24"/>
          <w:szCs w:val="24"/>
        </w:rPr>
        <w:t>(61, 64)</w:t>
      </w:r>
      <w:r w:rsidRPr="000273A9">
        <w:rPr>
          <w:rFonts w:ascii="Times New Roman" w:hAnsi="Times New Roman" w:cs="Times New Roman"/>
          <w:sz w:val="24"/>
          <w:szCs w:val="24"/>
        </w:rPr>
        <w:fldChar w:fldCharType="end"/>
      </w:r>
      <w:r w:rsidRPr="000273A9">
        <w:rPr>
          <w:rFonts w:ascii="Times New Roman" w:hAnsi="Times New Roman" w:cs="Times New Roman"/>
          <w:sz w:val="24"/>
          <w:szCs w:val="24"/>
        </w:rPr>
        <w:t xml:space="preserve">. Selecting these parameters to high values may collapse loci leading to an artificial effect of higher heterozygosity. Conversely, setting them too low may result in a higher proportion of homozygotes being falsely produced </w:t>
      </w:r>
      <w:r w:rsidRPr="000273A9">
        <w:rPr>
          <w:rFonts w:ascii="Times New Roman" w:hAnsi="Times New Roman" w:cs="Times New Roman"/>
          <w:color w:val="000000" w:themeColor="text1"/>
          <w:sz w:val="24"/>
          <w:szCs w:val="24"/>
        </w:rPr>
        <w:fldChar w:fldCharType="begin" w:fldLock="1"/>
      </w:r>
      <w:r w:rsidRPr="000273A9">
        <w:rPr>
          <w:rFonts w:ascii="Times New Roman" w:hAnsi="Times New Roman" w:cs="Times New Roman"/>
          <w:color w:val="000000" w:themeColor="text1"/>
          <w:sz w:val="24"/>
          <w:szCs w:val="24"/>
        </w:rPr>
        <w:instrText>ADDIN CSL_CITATION {"citationItems":[{"id":"ITEM-1","itemData":{"DOI":"10.1093/sysbio/syaa101","ISSN":"1076836X","PMID":"33512506","abstract":"The diversification of modern birds has been shaped by a number of radiations. Rapid diversification events make reconstructing the evolutionary relationships among taxa challenging due to the convoluted effects of incomplete lineage sorting (ILS) and introgression. Phylogenomic data sets have the potential to detect patterns of phylogenetic incongruence, and to address their causes. However, the footprints of ILS and introgression on sequence data can vary between different phylogenomic markers at different phylogenetic scales depending on factors such as their evolutionary rates or their selection pressures. We show that combining phylogenomic markers that evolve at different rates, such as paired-end double-digest restriction site-associated DNA (PE-ddRAD) and ultraconserved elements (UCEs), allows a comprehensive exploration of the causes of phylogenetic discordance associated with short internodes at different timescales. We used thousands of UCE and PE-ddRAD markers to produce the first well-resolved phylogeny of shearwaters, a group of medium-sized pelagic seabirds that are among the most phylogenetically controversial and endangered bird groups. We found that phylogenomic conflict was mainly derived from high levels of ILS due to rapid speciation events. We also documented a case of introgression, despite the high philopatry of shearwaters to their breeding sites, which typically limits gene flow. We integrated state-of-the-art concatenated and coalescent-based approaches to expand on previous comparisons of UCE and RAD-Seq data sets for phylogenetics, divergence time estimation, and inference of introgression, and we propose a strategy to optimize RAD-Seq data for phylogenetic analyses. Our results highlight the usefulness of combining phylogenomic markers evolving at different rates to understand the causes of phylogenetic discordance at different timescales. [Aves; incomplete lineage sorting; introgression; PE-ddRAD-Seq; phylogenomics; radiations; shearwaters; UCEs.]","author":[{"dropping-particle":"","family":"Ferrer Obiol","given":"Joan","non-dropping-particle":"","parse-names":false,"suffix":""},{"dropping-particle":"","family":"James","given":"Helen F.","non-dropping-particle":"","parse-names":false,"suffix":""},{"dropping-particle":"","family":"Chesser","given":"R. Terry","non-dropping-particle":"","parse-names":false,"suffix":""},{"dropping-particle":"","family":"Bretagnolle","given":"Vincent","non-dropping-particle":"","parse-names":false,"suffix":""},{"dropping-particle":"","family":"González-Solís","given":"Jacob","non-dropping-particle":"","parse-names":false,"suffix":""},{"dropping-particle":"","family":"Rozas","given":"Julio","non-dropping-particle":"","parse-names":false,"suffix":""},{"dropping-particle":"","family":"Riutort","given":"Marta","non-dropping-particle":"","parse-names":false,"suffix":""},{"dropping-particle":"","family":"Welch","given":"Andreanna J.","non-dropping-particle":"","parse-names":false,"suffix":""}],"container-title":"Systematic Biology","id":"ITEM-1","issue":"5","issued":{"date-parts":[["2021"]]},"page":"976-996","title":"Integrating Sequence Capture and Restriction Site-Associated DNA Sequencing to Resolve Recent Radiations of Pelagic Seabirds","type":"article-journal","volume":"70"},"uris":["http://www.mendeley.com/documents/?uuid=2a61bf86-1ba1-437a-ac39-ac7573d29d85"]},{"id":"ITEM-2","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Ecology","id":"ITEM-2","issue":"15","issued":{"date-parts":[["2015"]]},"page":"28-41","title":"Restriction site-associated DNA sequencing, genotyping error estimation and de novo assembly optimization for population genetic inference","type":"article-journal"},"uris":["http://www.mendeley.com/documents/?uuid=7b2dfb57-5591-41a3-ad23-e056fe0822f1"]}],"mendeley":{"formattedCitation":"(58, 62)","plainTextFormattedCitation":"(58, 62)","previouslyFormattedCitation":"(57, 61)"},"properties":{"noteIndex":0},"schema":"https://github.com/citation-style-language/schema/raw/master/csl-citation.json"}</w:instrText>
      </w:r>
      <w:r w:rsidRPr="000273A9">
        <w:rPr>
          <w:rFonts w:ascii="Times New Roman" w:hAnsi="Times New Roman" w:cs="Times New Roman"/>
          <w:color w:val="000000" w:themeColor="text1"/>
          <w:sz w:val="24"/>
          <w:szCs w:val="24"/>
        </w:rPr>
        <w:fldChar w:fldCharType="separate"/>
      </w:r>
      <w:r w:rsidRPr="000273A9">
        <w:rPr>
          <w:rFonts w:ascii="Times New Roman" w:hAnsi="Times New Roman" w:cs="Times New Roman"/>
          <w:noProof/>
          <w:color w:val="000000" w:themeColor="text1"/>
          <w:sz w:val="24"/>
          <w:szCs w:val="24"/>
        </w:rPr>
        <w:t>(58, 62)</w:t>
      </w:r>
      <w:r w:rsidRPr="000273A9">
        <w:rPr>
          <w:rFonts w:ascii="Times New Roman" w:hAnsi="Times New Roman" w:cs="Times New Roman"/>
          <w:color w:val="000000" w:themeColor="text1"/>
          <w:sz w:val="24"/>
          <w:szCs w:val="24"/>
        </w:rPr>
        <w:fldChar w:fldCharType="end"/>
      </w:r>
      <w:r w:rsidRPr="000273A9">
        <w:rPr>
          <w:rFonts w:ascii="Times New Roman" w:hAnsi="Times New Roman" w:cs="Times New Roman"/>
          <w:color w:val="000000" w:themeColor="text1"/>
          <w:sz w:val="24"/>
          <w:szCs w:val="24"/>
        </w:rPr>
        <w:t>.</w:t>
      </w:r>
      <w:r w:rsidRPr="000273A9">
        <w:rPr>
          <w:rFonts w:ascii="Times New Roman" w:hAnsi="Times New Roman" w:cs="Times New Roman"/>
          <w:sz w:val="24"/>
          <w:szCs w:val="24"/>
        </w:rPr>
        <w:t xml:space="preserve"> Therefore, selecting optimal parameters requires a careful balance between accommodating genetic variation and sequencing errors, while also being stringent enough to reduce false positive or paralogous loci</w:t>
      </w:r>
      <w:r w:rsidRPr="000273A9">
        <w:rPr>
          <w:rFonts w:ascii="Times New Roman" w:hAnsi="Times New Roman" w:cs="Times New Roman"/>
          <w:color w:val="000000" w:themeColor="text1"/>
          <w:sz w:val="24"/>
          <w:szCs w:val="24"/>
        </w:rPr>
        <w:t xml:space="preserve"> </w:t>
      </w:r>
      <w:r w:rsidRPr="000273A9">
        <w:rPr>
          <w:rFonts w:ascii="Times New Roman" w:hAnsi="Times New Roman" w:cs="Times New Roman"/>
          <w:sz w:val="24"/>
          <w:szCs w:val="24"/>
        </w:rPr>
        <w:fldChar w:fldCharType="begin" w:fldLock="1"/>
      </w:r>
      <w:r w:rsidRPr="000273A9">
        <w:rPr>
          <w:rFonts w:ascii="Times New Roman" w:hAnsi="Times New Roman" w:cs="Times New Roman"/>
          <w:sz w:val="24"/>
          <w:szCs w:val="24"/>
        </w:rPr>
        <w:instrText>ADDIN CSL_CITATION {"citationItems":[{"id":"ITEM-1","itemData":{"DOI":"10.1111/2041-210X.12775","ISSN":"2041210X","abstract":"Restriction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63928161-c6fb-41de-a398-2603a959f2cd"]}],"mendeley":{"formattedCitation":"(61)","plainTextFormattedCitation":"(61)","previouslyFormattedCitation":"(60)"},"properties":{"noteIndex":0},"schema":"https://github.com/citation-style-language/schema/raw/master/csl-citation.json"}</w:instrText>
      </w:r>
      <w:r w:rsidRPr="000273A9">
        <w:rPr>
          <w:rFonts w:ascii="Times New Roman" w:hAnsi="Times New Roman" w:cs="Times New Roman"/>
          <w:sz w:val="24"/>
          <w:szCs w:val="24"/>
        </w:rPr>
        <w:fldChar w:fldCharType="separate"/>
      </w:r>
      <w:r w:rsidRPr="000273A9">
        <w:rPr>
          <w:rFonts w:ascii="Times New Roman" w:hAnsi="Times New Roman" w:cs="Times New Roman"/>
          <w:noProof/>
          <w:sz w:val="24"/>
          <w:szCs w:val="24"/>
        </w:rPr>
        <w:t>(61)</w:t>
      </w:r>
      <w:r w:rsidRPr="000273A9">
        <w:rPr>
          <w:rFonts w:ascii="Times New Roman" w:hAnsi="Times New Roman" w:cs="Times New Roman"/>
          <w:sz w:val="24"/>
          <w:szCs w:val="24"/>
        </w:rPr>
        <w:fldChar w:fldCharType="end"/>
      </w:r>
      <w:r w:rsidRPr="000273A9">
        <w:rPr>
          <w:rFonts w:ascii="Times New Roman" w:hAnsi="Times New Roman" w:cs="Times New Roman"/>
          <w:sz w:val="24"/>
          <w:szCs w:val="24"/>
        </w:rPr>
        <w:t xml:space="preserve">. Optimal parameters are study-specific, as the level of genetic diversity present in each raw sequencing data varies across taxa, and the amount of sequencing error depends on the properties of each dataset </w:t>
      </w:r>
      <w:r w:rsidRPr="000273A9">
        <w:rPr>
          <w:rFonts w:ascii="Times New Roman" w:hAnsi="Times New Roman" w:cs="Times New Roman"/>
          <w:sz w:val="24"/>
          <w:szCs w:val="24"/>
        </w:rPr>
        <w:fldChar w:fldCharType="begin" w:fldLock="1"/>
      </w:r>
      <w:r w:rsidRPr="000273A9">
        <w:rPr>
          <w:rFonts w:ascii="Times New Roman" w:hAnsi="Times New Roman" w:cs="Times New Roman"/>
          <w:sz w:val="24"/>
          <w:szCs w:val="24"/>
        </w:rPr>
        <w:instrText>ADDIN CSL_CITATION {"citationItems":[{"id":"ITEM-1","itemData":{"DOI":"10.1111/2041-210X.12775","ISSN":"2041210X","abstract":"Restriction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stacks","type":"article-journal","volume":"8"},"uris":["http://www.mendeley.com/documents/?uuid=63928161-c6fb-41de-a398-2603a959f2cd"]},{"id":"ITEM-2","itemData":{"DOI":"10.1111/mec.12354.Stacks","author":[{"dropping-particle":"","family":"Catchen","given":"Julian M.","non-dropping-particle":"","parse-names":false,"suffix":""},{"dropping-particle":"","family":"Hohenlohe","given":"Paul A.","non-dropping-particle":"","parse-names":false,"suffix":""},{"dropping-particle":"","family":"Bassham","given":"Susan","non-dropping-particle":"","parse-names":false,"suffix":""},{"dropping-particle":"","family":"Amores","given":"Angel","non-dropping-particle":"","parse-names":false,"suffix":""},{"dropping-particle":"","family":"Cresko","given":"William A.","non-dropping-particle":"","parse-names":false,"suffix":""}],"container-title":"Molecular Ecology","id":"ITEM-2","issue":"11","issued":{"date-parts":[["2013"]]},"page":"3124-3140","title":"Stacks: an analysis tool set for population genomics","type":"article-journal","volume":"22"},"uris":["http://www.mendeley.com/documents/?uuid=508cf26b-45a4-4e03-91b5-8e4b0d1d311f"]}],"mendeley":{"formattedCitation":"(61, 64)","plainTextFormattedCitation":"(61, 64)","previouslyFormattedCitation":"(60, 63)"},"properties":{"noteIndex":0},"schema":"https://github.com/citation-style-language/schema/raw/master/csl-citation.json"}</w:instrText>
      </w:r>
      <w:r w:rsidRPr="000273A9">
        <w:rPr>
          <w:rFonts w:ascii="Times New Roman" w:hAnsi="Times New Roman" w:cs="Times New Roman"/>
          <w:sz w:val="24"/>
          <w:szCs w:val="24"/>
        </w:rPr>
        <w:fldChar w:fldCharType="separate"/>
      </w:r>
      <w:r w:rsidRPr="000273A9">
        <w:rPr>
          <w:rFonts w:ascii="Times New Roman" w:hAnsi="Times New Roman" w:cs="Times New Roman"/>
          <w:noProof/>
          <w:sz w:val="24"/>
          <w:szCs w:val="24"/>
        </w:rPr>
        <w:t>(61, 64)</w:t>
      </w:r>
      <w:r w:rsidRPr="000273A9">
        <w:rPr>
          <w:rFonts w:ascii="Times New Roman" w:hAnsi="Times New Roman" w:cs="Times New Roman"/>
          <w:sz w:val="24"/>
          <w:szCs w:val="24"/>
        </w:rPr>
        <w:fldChar w:fldCharType="end"/>
      </w:r>
      <w:r w:rsidRPr="000273A9">
        <w:rPr>
          <w:rFonts w:ascii="Times New Roman" w:hAnsi="Times New Roman" w:cs="Times New Roman"/>
          <w:sz w:val="24"/>
          <w:szCs w:val="24"/>
        </w:rPr>
        <w:t xml:space="preserve">. To optimize our RADseq data assembly, we followed recent recommendations </w:t>
      </w:r>
      <w:r w:rsidRPr="000273A9">
        <w:rPr>
          <w:rFonts w:ascii="Times New Roman" w:hAnsi="Times New Roman" w:cs="Times New Roman"/>
          <w:sz w:val="24"/>
          <w:szCs w:val="24"/>
        </w:rPr>
        <w:fldChar w:fldCharType="begin" w:fldLock="1"/>
      </w:r>
      <w:r w:rsidRPr="000273A9">
        <w:rPr>
          <w:rFonts w:ascii="Times New Roman" w:hAnsi="Times New Roman" w:cs="Times New Roman"/>
          <w:sz w:val="24"/>
          <w:szCs w:val="24"/>
        </w:rPr>
        <w:instrText>ADDIN CSL_CITATION {"citationItems":[{"id":"ITEM-1","itemData":{"DOI":"10.1111/1755-0998.12291","ISSN":"17550998","PMID":"24916682","abstract":"Restriction site-associated DNA sequencing (RADseq) provides researchers with the ability to record genetic polymorphism across thousands of loci for nonmodel organisms, potentially revolutionizing the field of molecular ecology. However, as with other genotyping methods, RADseq is prone to a number of sources of error that may have consequential effects for population genetic inferences, and these have received only limited attention in terms of the estimation and reporting of genotyping error rates. Here we use individual sample replicates, under the expectation of identical genotypes, to quantify genotyping error in the absence of a reference genome. We then use sample replicates to (i) optimize de novo assembly parameters within the program Stacks, by minimizing error and maximizing the retrieval of informative loci; and (ii) quantify error rates for loci, alleles and single-nucleotide polymorphisms. As an empirical example, we use a double-digest RAD data set of a nonmodel plant species, Berberis alpina, collected from high-altitude mountains in Mexico.","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H.","non-dropping-particle":"","parse-names":false,"suffix":""},{"dropping-particle":"","family":"Piñero","given":"D.","non-dropping-particle":"","parse-names":false,"suffix":""},{"dropping-particle":"","family":"Emerson","given":"B. C.","non-dropping-particle":"","parse-names":false,"suffix":""}],"container-title":"Molecular Ecology Resources","id":"ITEM-1","issue":"1","issued":{"date-parts":[["2015"]]},"page":"28-41","title":"Restriction site-associated DNA sequencing, genotyping error estimation and de novo assembly optimization for population genetic inference","type":"article-journal","volume":"15"},"uris":["http://www.mendeley.com/documents/?uuid=c46cb271-ec22-476a-8ba1-3639424b5d2d"]},{"id":"ITEM-2","itemData":{"DOI":"10.1111/2041-210X.12775","ISSN":"2041210X","abstract":"Restriction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Evolution","id":"ITEM-2","issue":"10","issued":{"date-parts":[["2017"]]},"page":"1360-1373","title":"Lost in parameter space: a road map for stacks","type":"article-journal","volume":"8"},"uris":["http://www.mendeley.com/documents/?uuid=63928161-c6fb-41de-a398-2603a959f2cd"]},{"id":"ITEM-3","itemData":{"DOI":"10.1038/nprot.2017.123","ISSN":"1754-2189","author":[{"dropping-particle":"","family":"Rochette","given":"Nicolas C","non-dropping-particle":"","parse-names":false,"suffix":""},{"dropping-particle":"","family":"Catchen","given":"Julian M","non-dropping-particle":"","parse-names":false,"suffix":""}],"container-title":"Nature Publishing Group","id":"ITEM-3","issue":"12","issued":{"date-parts":[["2017"]]},"page":"2640-2659","publisher":"Nature Publishing Group","title":"Deriving genotypes from RAD-seq short-read data using Stacks","type":"article-journal","volume":"12"},"uris":["http://www.mendeley.com/documents/?uuid=9e23d543-3807-4642-914b-c350763669f4"]}],"mendeley":{"formattedCitation":"(55, 61, 65)","plainTextFormattedCitation":"(55, 61, 65)","previouslyFormattedCitation":"(54, 60, 64)"},"properties":{"noteIndex":0},"schema":"https://github.com/citation-style-language/schema/raw/master/csl-citation.json"}</w:instrText>
      </w:r>
      <w:r w:rsidRPr="000273A9">
        <w:rPr>
          <w:rFonts w:ascii="Times New Roman" w:hAnsi="Times New Roman" w:cs="Times New Roman"/>
          <w:sz w:val="24"/>
          <w:szCs w:val="24"/>
        </w:rPr>
        <w:fldChar w:fldCharType="separate"/>
      </w:r>
      <w:r w:rsidRPr="000273A9">
        <w:rPr>
          <w:rFonts w:ascii="Times New Roman" w:hAnsi="Times New Roman" w:cs="Times New Roman"/>
          <w:noProof/>
          <w:sz w:val="24"/>
          <w:szCs w:val="24"/>
        </w:rPr>
        <w:t>(55, 61, 65)</w:t>
      </w:r>
      <w:r w:rsidRPr="000273A9">
        <w:rPr>
          <w:rFonts w:ascii="Times New Roman" w:hAnsi="Times New Roman" w:cs="Times New Roman"/>
          <w:sz w:val="24"/>
          <w:szCs w:val="24"/>
        </w:rPr>
        <w:fldChar w:fldCharType="end"/>
      </w:r>
      <w:r w:rsidRPr="000273A9">
        <w:rPr>
          <w:rFonts w:ascii="Times New Roman" w:hAnsi="Times New Roman" w:cs="Times New Roman"/>
          <w:sz w:val="24"/>
          <w:szCs w:val="24"/>
        </w:rPr>
        <w:t xml:space="preserve"> to tackle this using</w:t>
      </w:r>
      <w:r w:rsidRPr="000273A9" w:rsidDel="00D80FBB">
        <w:rPr>
          <w:rFonts w:ascii="Times New Roman" w:hAnsi="Times New Roman" w:cs="Times New Roman"/>
          <w:sz w:val="24"/>
          <w:szCs w:val="24"/>
        </w:rPr>
        <w:t xml:space="preserve"> </w:t>
      </w:r>
      <w:r w:rsidRPr="000273A9">
        <w:rPr>
          <w:rFonts w:ascii="Times New Roman" w:hAnsi="Times New Roman" w:cs="Times New Roman"/>
          <w:sz w:val="24"/>
          <w:szCs w:val="24"/>
        </w:rPr>
        <w:t xml:space="preserve"> </w:t>
      </w:r>
      <w:r w:rsidRPr="000273A9">
        <w:rPr>
          <w:rFonts w:ascii="Times New Roman" w:hAnsi="Times New Roman" w:cs="Times New Roman"/>
          <w:color w:val="000000" w:themeColor="text1"/>
          <w:sz w:val="24"/>
          <w:szCs w:val="24"/>
        </w:rPr>
        <w:t>Stacks</w:t>
      </w:r>
      <w:r w:rsidRPr="000273A9">
        <w:rPr>
          <w:rFonts w:ascii="Times New Roman" w:hAnsi="Times New Roman" w:cs="Times New Roman"/>
          <w:sz w:val="24"/>
          <w:szCs w:val="24"/>
        </w:rPr>
        <w:t xml:space="preserve">. First, </w:t>
      </w:r>
      <w:r w:rsidRPr="000273A9">
        <w:rPr>
          <w:rFonts w:ascii="Times New Roman" w:hAnsi="Times New Roman" w:cs="Times New Roman"/>
          <w:color w:val="000000" w:themeColor="text1"/>
          <w:sz w:val="24"/>
          <w:szCs w:val="24"/>
        </w:rPr>
        <w:t xml:space="preserve">we conducted an initial </w:t>
      </w:r>
      <w:r w:rsidRPr="000273A9">
        <w:rPr>
          <w:rFonts w:ascii="Times New Roman" w:hAnsi="Times New Roman" w:cs="Times New Roman"/>
          <w:i/>
          <w:iCs/>
          <w:color w:val="000000" w:themeColor="text1"/>
          <w:sz w:val="24"/>
          <w:szCs w:val="24"/>
        </w:rPr>
        <w:t>de novo</w:t>
      </w:r>
      <w:r w:rsidRPr="000273A9">
        <w:rPr>
          <w:rFonts w:ascii="Times New Roman" w:hAnsi="Times New Roman" w:cs="Times New Roman"/>
          <w:color w:val="000000" w:themeColor="text1"/>
          <w:sz w:val="24"/>
          <w:szCs w:val="24"/>
        </w:rPr>
        <w:t xml:space="preserve"> assembly of putative loci on the 506 individuals using default values. </w:t>
      </w:r>
      <w:r w:rsidRPr="000273A9">
        <w:rPr>
          <w:rFonts w:ascii="Times New Roman" w:hAnsi="Times New Roman" w:cs="Times New Roman"/>
          <w:sz w:val="24"/>
          <w:szCs w:val="24"/>
        </w:rPr>
        <w:t xml:space="preserve">Next, we selected the 15 individuals with the highest coverage after the initial </w:t>
      </w:r>
      <w:r w:rsidRPr="000273A9">
        <w:rPr>
          <w:rFonts w:ascii="Times New Roman" w:hAnsi="Times New Roman" w:cs="Times New Roman"/>
          <w:i/>
          <w:iCs/>
          <w:sz w:val="24"/>
          <w:szCs w:val="24"/>
        </w:rPr>
        <w:t>de novo</w:t>
      </w:r>
      <w:r w:rsidRPr="000273A9">
        <w:rPr>
          <w:rFonts w:ascii="Times New Roman" w:hAnsi="Times New Roman" w:cs="Times New Roman"/>
          <w:sz w:val="24"/>
          <w:szCs w:val="24"/>
        </w:rPr>
        <w:t xml:space="preserve"> test from four </w:t>
      </w:r>
      <w:r w:rsidRPr="000273A9">
        <w:rPr>
          <w:rFonts w:ascii="Times New Roman" w:hAnsi="Times New Roman" w:cs="Times New Roman"/>
          <w:i/>
          <w:iCs/>
          <w:sz w:val="24"/>
          <w:szCs w:val="24"/>
        </w:rPr>
        <w:t>Malacoctenus</w:t>
      </w:r>
      <w:r w:rsidRPr="000273A9">
        <w:rPr>
          <w:rFonts w:ascii="Times New Roman" w:hAnsi="Times New Roman" w:cs="Times New Roman"/>
          <w:sz w:val="24"/>
          <w:szCs w:val="24"/>
        </w:rPr>
        <w:t xml:space="preserve"> species (</w:t>
      </w:r>
      <w:r w:rsidRPr="000273A9">
        <w:rPr>
          <w:rFonts w:ascii="Times New Roman" w:hAnsi="Times New Roman" w:cs="Times New Roman"/>
          <w:i/>
          <w:iCs/>
          <w:sz w:val="24"/>
          <w:szCs w:val="24"/>
        </w:rPr>
        <w:t>M. tetranemus</w:t>
      </w:r>
      <w:r w:rsidRPr="000273A9">
        <w:rPr>
          <w:rFonts w:ascii="Times New Roman" w:hAnsi="Times New Roman" w:cs="Times New Roman"/>
          <w:sz w:val="24"/>
          <w:szCs w:val="24"/>
        </w:rPr>
        <w:t xml:space="preserve">, </w:t>
      </w:r>
      <w:r w:rsidRPr="000273A9">
        <w:rPr>
          <w:rFonts w:ascii="Times New Roman" w:hAnsi="Times New Roman" w:cs="Times New Roman"/>
          <w:i/>
          <w:iCs/>
          <w:sz w:val="24"/>
          <w:szCs w:val="24"/>
        </w:rPr>
        <w:t>M. zacae</w:t>
      </w:r>
      <w:r w:rsidRPr="000273A9">
        <w:rPr>
          <w:rFonts w:ascii="Times New Roman" w:hAnsi="Times New Roman" w:cs="Times New Roman"/>
          <w:sz w:val="24"/>
          <w:szCs w:val="24"/>
        </w:rPr>
        <w:t xml:space="preserve"> from the TEP, and </w:t>
      </w:r>
      <w:r w:rsidRPr="000273A9">
        <w:rPr>
          <w:rFonts w:ascii="Times New Roman" w:hAnsi="Times New Roman" w:cs="Times New Roman"/>
          <w:i/>
          <w:iCs/>
          <w:sz w:val="24"/>
          <w:szCs w:val="24"/>
        </w:rPr>
        <w:t>M. macropus</w:t>
      </w:r>
      <w:r w:rsidRPr="000273A9">
        <w:rPr>
          <w:rFonts w:ascii="Times New Roman" w:hAnsi="Times New Roman" w:cs="Times New Roman"/>
          <w:sz w:val="24"/>
          <w:szCs w:val="24"/>
        </w:rPr>
        <w:t xml:space="preserve">, and </w:t>
      </w:r>
      <w:r w:rsidRPr="000273A9">
        <w:rPr>
          <w:rFonts w:ascii="Times New Roman" w:hAnsi="Times New Roman" w:cs="Times New Roman"/>
          <w:i/>
          <w:iCs/>
          <w:sz w:val="24"/>
          <w:szCs w:val="24"/>
        </w:rPr>
        <w:t>M. triangulatus</w:t>
      </w:r>
      <w:r w:rsidRPr="000273A9">
        <w:rPr>
          <w:rFonts w:ascii="Times New Roman" w:hAnsi="Times New Roman" w:cs="Times New Roman"/>
          <w:sz w:val="24"/>
          <w:szCs w:val="24"/>
        </w:rPr>
        <w:t xml:space="preserve"> from the TA) to represented phylogenetic diversity (based on the</w:t>
      </w:r>
      <w:r w:rsidRPr="000273A9">
        <w:rPr>
          <w:rFonts w:ascii="Times New Roman" w:hAnsi="Times New Roman" w:cs="Times New Roman"/>
          <w:i/>
          <w:iCs/>
          <w:sz w:val="24"/>
          <w:szCs w:val="24"/>
        </w:rPr>
        <w:t xml:space="preserve"> mtDNA</w:t>
      </w:r>
      <w:r w:rsidRPr="000273A9">
        <w:rPr>
          <w:rFonts w:ascii="Times New Roman" w:hAnsi="Times New Roman" w:cs="Times New Roman"/>
          <w:sz w:val="24"/>
          <w:szCs w:val="24"/>
        </w:rPr>
        <w:t xml:space="preserve"> phylogenetic tree, Fig. S37). Because this approach was computationally demanding as some individuals had very high coverage values, the assembly of </w:t>
      </w:r>
      <w:r w:rsidRPr="000273A9">
        <w:rPr>
          <w:rFonts w:ascii="Times New Roman" w:hAnsi="Times New Roman" w:cs="Times New Roman"/>
          <w:i/>
          <w:iCs/>
          <w:sz w:val="24"/>
          <w:szCs w:val="24"/>
        </w:rPr>
        <w:t>M. zacae</w:t>
      </w:r>
      <w:r w:rsidRPr="000273A9">
        <w:rPr>
          <w:rFonts w:ascii="Times New Roman" w:hAnsi="Times New Roman" w:cs="Times New Roman"/>
          <w:sz w:val="24"/>
          <w:szCs w:val="24"/>
        </w:rPr>
        <w:t xml:space="preserve"> was excluded from further parametrization tests.</w:t>
      </w:r>
      <w:r w:rsidRPr="000273A9">
        <w:rPr>
          <w:rFonts w:ascii="Times New Roman" w:hAnsi="Times New Roman" w:cs="Times New Roman"/>
          <w:color w:val="000000" w:themeColor="text1"/>
          <w:sz w:val="24"/>
          <w:szCs w:val="24"/>
        </w:rPr>
        <w:t xml:space="preserve"> </w:t>
      </w:r>
      <w:r w:rsidRPr="000273A9">
        <w:rPr>
          <w:rFonts w:ascii="Times New Roman" w:hAnsi="Times New Roman" w:cs="Times New Roman"/>
          <w:sz w:val="24"/>
          <w:szCs w:val="24"/>
        </w:rPr>
        <w:t>For the three remaining species we selected parameter combinations using three different methods:</w:t>
      </w:r>
    </w:p>
    <w:p w14:paraId="14890D69" w14:textId="404B36D1" w:rsidR="00780D40" w:rsidRPr="000273A9" w:rsidRDefault="00780D40" w:rsidP="00780D40">
      <w:pPr>
        <w:ind w:left="720"/>
        <w:jc w:val="both"/>
        <w:rPr>
          <w:rFonts w:ascii="Times New Roman" w:hAnsi="Times New Roman" w:cs="Times New Roman"/>
          <w:color w:val="000000" w:themeColor="text1"/>
          <w:sz w:val="24"/>
          <w:szCs w:val="24"/>
        </w:rPr>
      </w:pPr>
      <w:r w:rsidRPr="000273A9">
        <w:rPr>
          <w:rFonts w:ascii="Times New Roman" w:hAnsi="Times New Roman" w:cs="Times New Roman"/>
          <w:b/>
          <w:bCs/>
          <w:i/>
          <w:iCs/>
          <w:color w:val="000000" w:themeColor="text1"/>
          <w:sz w:val="24"/>
          <w:szCs w:val="24"/>
        </w:rPr>
        <w:t>1.1)</w:t>
      </w:r>
      <w:r w:rsidRPr="000273A9">
        <w:rPr>
          <w:rFonts w:ascii="Times New Roman" w:hAnsi="Times New Roman" w:cs="Times New Roman"/>
          <w:b/>
          <w:bCs/>
          <w:color w:val="000000" w:themeColor="text1"/>
          <w:sz w:val="24"/>
          <w:szCs w:val="24"/>
        </w:rPr>
        <w:t xml:space="preserve"> Default. </w:t>
      </w:r>
      <w:r w:rsidRPr="000273A9">
        <w:rPr>
          <w:rFonts w:ascii="Times New Roman" w:hAnsi="Times New Roman" w:cs="Times New Roman"/>
          <w:color w:val="000000" w:themeColor="text1"/>
          <w:sz w:val="24"/>
          <w:szCs w:val="24"/>
        </w:rPr>
        <w:t>We used default values (</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3</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2</w:t>
      </w:r>
      <w:r w:rsidRPr="000273A9">
        <w:rPr>
          <w:rFonts w:ascii="Times New Roman" w:hAnsi="Times New Roman" w:cs="Times New Roman"/>
          <w:i/>
          <w:iCs/>
          <w:color w:val="000000" w:themeColor="text1"/>
          <w:sz w:val="24"/>
          <w:szCs w:val="24"/>
        </w:rPr>
        <w:t>n</w:t>
      </w:r>
      <w:r w:rsidRPr="000273A9">
        <w:rPr>
          <w:rFonts w:ascii="Times New Roman" w:hAnsi="Times New Roman" w:cs="Times New Roman"/>
          <w:color w:val="000000" w:themeColor="text1"/>
          <w:sz w:val="24"/>
          <w:szCs w:val="24"/>
        </w:rPr>
        <w:t xml:space="preserve">1) from Stacks which are suitable for population genomic analyses </w:t>
      </w:r>
      <w:r w:rsidRPr="000273A9">
        <w:rPr>
          <w:rFonts w:ascii="Times New Roman" w:hAnsi="Times New Roman" w:cs="Times New Roman"/>
          <w:color w:val="000000" w:themeColor="text1"/>
          <w:sz w:val="24"/>
          <w:szCs w:val="24"/>
        </w:rPr>
        <w:fldChar w:fldCharType="begin" w:fldLock="1"/>
      </w:r>
      <w:r w:rsidRPr="000273A9">
        <w:rPr>
          <w:rFonts w:ascii="Times New Roman" w:hAnsi="Times New Roman" w:cs="Times New Roman"/>
          <w:color w:val="000000" w:themeColor="text1"/>
          <w:sz w:val="24"/>
          <w:szCs w:val="24"/>
        </w:rPr>
        <w:instrText>ADDIN CSL_CITATION {"citationItems":[{"id":"ITEM-1","itemData":{"DOI":"10.1093/sysbio/syaa101","ISSN":"1076836X","PMID":"33512506","abstract":"The diversification of modern birds has been shaped by a number of radiations. Rapid diversification events make reconstructing the evolutionary relationships among taxa challenging due to the convoluted effects of incomplete lineage sorting (ILS) and introgression. Phylogenomic data sets have the potential to detect patterns of phylogenetic incongruence, and to address their causes. However, the footprints of ILS and introgression on sequence data can vary between different phylogenomic markers at different phylogenetic scales depending on factors such as their evolutionary rates or their selection pressures. We show that combining phylogenomic markers that evolve at different rates, such as paired-end double-digest restriction site-associated DNA (PE-ddRAD) and ultraconserved elements (UCEs), allows a comprehensive exploration of the causes of phylogenetic discordance associated with short internodes at different timescales. We used thousands of UCE and PE-ddRAD markers to produce the first well-resolved phylogeny of shearwaters, a group of medium-sized pelagic seabirds that are among the most phylogenetically controversial and endangered bird groups. We found that phylogenomic conflict was mainly derived from high levels of ILS due to rapid speciation events. We also documented a case of introgression, despite the high philopatry of shearwaters to their breeding sites, which typically limits gene flow. We integrated state-of-the-art concatenated and coalescent-based approaches to expand on previous comparisons of UCE and RAD-Seq data sets for phylogenetics, divergence time estimation, and inference of introgression, and we propose a strategy to optimize RAD-Seq data for phylogenetic analyses. Our results highlight the usefulness of combining phylogenomic markers evolving at different rates to understand the causes of phylogenetic discordance at different timescales. [Aves; incomplete lineage sorting; introgression; PE-ddRAD-Seq; phylogenomics; radiations; shearwaters; UCEs.]","author":[{"dropping-particle":"","family":"Ferrer Obiol","given":"Joan","non-dropping-particle":"","parse-names":false,"suffix":""},{"dropping-particle":"","family":"James","given":"Helen F.","non-dropping-particle":"","parse-names":false,"suffix":""},{"dropping-particle":"","family":"Chesser","given":"R. Terry","non-dropping-particle":"","parse-names":false,"suffix":""},{"dropping-particle":"","family":"Bretagnolle","given":"Vincent","non-dropping-particle":"","parse-names":false,"suffix":""},{"dropping-particle":"","family":"González-Solís","given":"Jacob","non-dropping-particle":"","parse-names":false,"suffix":""},{"dropping-particle":"","family":"Rozas","given":"Julio","non-dropping-particle":"","parse-names":false,"suffix":""},{"dropping-particle":"","family":"Riutort","given":"Marta","non-dropping-particle":"","parse-names":false,"suffix":""},{"dropping-particle":"","family":"Welch","given":"Andreanna J.","non-dropping-particle":"","parse-names":false,"suffix":""}],"container-title":"Systematic Biology","id":"ITEM-1","issue":"5","issued":{"date-parts":[["2021"]]},"page":"976-996","title":"Integrating Sequence Capture and Restriction Site-Associated DNA Sequencing to Resolve Recent Radiations of Pelagic Seabirds","type":"article-journal","volume":"70"},"uris":["http://www.mendeley.com/documents/?uuid=2a61bf86-1ba1-437a-ac39-ac7573d29d85"]},{"id":"ITEM-2","itemData":{"DOI":"10.1534/g3.111.000240","author":[{"dropping-particle":"","family":"Catchen","given":"Julian M","non-dropping-particle":"","parse-names":false,"suffix":""},{"dropping-particle":"","family":"Amores","given":"Angel","non-dropping-particle":"","parse-names":false,"suffix":""},{"dropping-particle":"","family":"Hohenlohe","given":"Paul","non-dropping-particle":"","parse-names":false,"suffix":""},{"dropping-particle":"","family":"Cresko","given":"William","non-dropping-particle":"","parse-names":false,"suffix":""},{"dropping-particle":"","family":"Postlethwait","given":"John H","non-dropping-particle":"","parse-names":false,"suffix":""}],"container-title":"Genes, Genomes","id":"ITEM-2","issue":"August","issued":{"date-parts":[["2011"]]},"page":"171-182","title":"Stacks : Building and Genotyping Loci De Novo From Short-Read Sequences","type":"article-journal","volume":"1"},"uris":["http://www.mendeley.com/documents/?uuid=194ede90-fde4-47aa-891c-e414bc7cff4d"]}],"mendeley":{"formattedCitation":"(62, 66)","plainTextFormattedCitation":"(62, 66)","previouslyFormattedCitation":"(61, 65)"},"properties":{"noteIndex":0},"schema":"https://github.com/citation-style-language/schema/raw/master/csl-citation.json"}</w:instrText>
      </w:r>
      <w:r w:rsidRPr="000273A9">
        <w:rPr>
          <w:rFonts w:ascii="Times New Roman" w:hAnsi="Times New Roman" w:cs="Times New Roman"/>
          <w:color w:val="000000" w:themeColor="text1"/>
          <w:sz w:val="24"/>
          <w:szCs w:val="24"/>
        </w:rPr>
        <w:fldChar w:fldCharType="separate"/>
      </w:r>
      <w:r w:rsidRPr="000273A9">
        <w:rPr>
          <w:rFonts w:ascii="Times New Roman" w:hAnsi="Times New Roman" w:cs="Times New Roman"/>
          <w:noProof/>
          <w:color w:val="000000" w:themeColor="text1"/>
          <w:sz w:val="24"/>
          <w:szCs w:val="24"/>
        </w:rPr>
        <w:t>(62, 66)</w:t>
      </w:r>
      <w:r w:rsidRPr="000273A9">
        <w:rPr>
          <w:rFonts w:ascii="Times New Roman" w:hAnsi="Times New Roman" w:cs="Times New Roman"/>
          <w:color w:val="000000" w:themeColor="text1"/>
          <w:sz w:val="24"/>
          <w:szCs w:val="24"/>
        </w:rPr>
        <w:fldChar w:fldCharType="end"/>
      </w:r>
      <w:r w:rsidRPr="000273A9">
        <w:rPr>
          <w:rFonts w:ascii="Times New Roman" w:hAnsi="Times New Roman" w:cs="Times New Roman"/>
          <w:color w:val="000000" w:themeColor="text1"/>
          <w:sz w:val="24"/>
          <w:szCs w:val="24"/>
        </w:rPr>
        <w:t>.</w:t>
      </w:r>
    </w:p>
    <w:p w14:paraId="2F3E00E4" w14:textId="2082CE1D" w:rsidR="00780D40" w:rsidRPr="000273A9" w:rsidRDefault="00780D40" w:rsidP="00780D40">
      <w:pPr>
        <w:ind w:left="720"/>
        <w:jc w:val="both"/>
        <w:rPr>
          <w:rFonts w:ascii="Times New Roman" w:hAnsi="Times New Roman" w:cs="Times New Roman"/>
          <w:sz w:val="24"/>
          <w:szCs w:val="24"/>
        </w:rPr>
      </w:pPr>
      <w:r w:rsidRPr="000273A9">
        <w:rPr>
          <w:rFonts w:ascii="Times New Roman" w:hAnsi="Times New Roman" w:cs="Times New Roman"/>
          <w:b/>
          <w:bCs/>
          <w:i/>
          <w:iCs/>
          <w:color w:val="000000" w:themeColor="text1"/>
          <w:sz w:val="24"/>
          <w:szCs w:val="24"/>
        </w:rPr>
        <w:t>1.2)</w:t>
      </w:r>
      <w:r w:rsidRPr="000273A9">
        <w:rPr>
          <w:rFonts w:ascii="Times New Roman" w:hAnsi="Times New Roman" w:cs="Times New Roman"/>
          <w:b/>
          <w:bCs/>
          <w:color w:val="000000" w:themeColor="text1"/>
          <w:sz w:val="24"/>
          <w:szCs w:val="24"/>
        </w:rPr>
        <w:t xml:space="preserve"> Optimal. </w:t>
      </w:r>
      <w:r w:rsidRPr="000273A9">
        <w:rPr>
          <w:rFonts w:ascii="Times New Roman" w:hAnsi="Times New Roman" w:cs="Times New Roman"/>
          <w:color w:val="000000" w:themeColor="text1"/>
          <w:sz w:val="24"/>
          <w:szCs w:val="24"/>
        </w:rPr>
        <w:t xml:space="preserve">We conducted parameter optimization tests based on </w:t>
      </w:r>
      <w:r w:rsidRPr="000273A9">
        <w:rPr>
          <w:rFonts w:ascii="Times New Roman" w:hAnsi="Times New Roman" w:cs="Times New Roman"/>
          <w:sz w:val="24"/>
          <w:szCs w:val="24"/>
        </w:rPr>
        <w:fldChar w:fldCharType="begin" w:fldLock="1"/>
      </w:r>
      <w:r w:rsidRPr="000273A9">
        <w:rPr>
          <w:rFonts w:ascii="Times New Roman" w:hAnsi="Times New Roman" w:cs="Times New Roman"/>
          <w:sz w:val="24"/>
          <w:szCs w:val="24"/>
        </w:rPr>
        <w:instrText>ADDIN CSL_CITATION {"citationItems":[{"id":"ITEM-1","itemData":{"DOI":"10.1098/rspb.2018.2924","ISSN":"14712954","abstract":"Species delimitation is a major quest in biology and is essential for adequate management of the organismal diversity. A challenging example comprises the fish species of red snappers in the Western Atlantic. Red snappers have been traditionally recognized as two separate species based on morphology: Lutjanus campechanus (northern red snapper) and L. purpureus (southern red snapper). Recent genetic studies using mitochondrial markers, however, failed to delineate these nominal species, leading to the current lumping of the northern and southern populations into a single species (L. campechanus). This decision carries broad implications for conservation and management as red snappers have been commercially over-exploited across the Western Atlantic and are currently listed as vulnerable. To address this conflict, we examine genome-wide data collected throughout the range of the two species. Population genomics, phylogenetic and coalescent analyses favour the existence of two independent evolutionary lineages, a result that confirms the morphology-based delimitation scenario in agreement with conventional taxonomy. Despite finding evidence of introgression in geographically neighbouring populations in northern South America, our genomic analyses strongly support isolation and differentiation of these species, suggesting that the northern and southern red snappers should be treated as distinct taxonomic entities.","author":[{"dropping-particle":"","family":"Pedraza-Marrón","given":"C. del R.","non-dropping-particle":"","parse-names":false,"suffix":""},{"dropping-particle":"","family":"Silva","given":"Raimundo","non-dropping-particle":"","parse-names":false,"suffix":""},{"dropping-particle":"","family":"Deeds","given":"Jonathan","non-dropping-particle":"","parse-names":false,"suffix":""},{"dropping-particle":"","family":"Belleghem","given":"Steven M.","non-dropping-particle":"Van","parse-names":false,"suffix":""},{"dropping-particle":"","family":"Mastretta-Yanes","given":"Alicia","non-dropping-particle":"","parse-names":false,"suffix":""},{"dropping-particle":"","family":"Domínguez-Domínguez","given":"Omar","non-dropping-particle":"","parse-names":false,"suffix":""},{"dropping-particle":"","family":"Rivero-Vega","given":"Rafael A.","non-dropping-particle":"","parse-names":false,"suffix":""},{"dropping-particle":"","family":"Lutackas","given":"Loretta","non-dropping-particle":"","parse-names":false,"suffix":""},{"dropping-particle":"","family":"Murie","given":"Debra","non-dropping-particle":"","parse-names":false,"suffix":""},{"dropping-particle":"","family":"Parkyn","given":"Daryl","non-dropping-particle":"","parse-names":false,"suffix":""},{"dropping-particle":"","family":"Bullock","given":"Lewis H.","non-dropping-particle":"","parse-names":false,"suffix":""},{"dropping-particle":"","family":"Foss","given":"Kristin","non-dropping-particle":"","parse-names":false,"suffix":""},{"dropping-particle":"","family":"Ortiz-Zuazaga","given":"Humberto","non-dropping-particle":"","parse-names":false,"suffix":""},{"dropping-particle":"","family":"Narváez-Barandica","given":"Juan","non-dropping-particle":"","parse-names":false,"suffix":""},{"dropping-particle":"","family":"Acero","given":"Arturo","non-dropping-particle":"","parse-names":false,"suffix":""},{"dropping-particle":"","family":"Gomes","given":"Grazielle","non-dropping-particle":"","parse-names":false,"suffix":""},{"dropping-particle":"","family":"Betancur-R","given":"Ricardo","non-dropping-particle":"","parse-names":false,"suffix":""}],"container-title":"Proceedings of the Royal Society B: Biological Sciences","id":"ITEM-1","issue":"1900","issued":{"date-parts":[["2019"]]},"title":"Genomics overrules mitochondrial DNA, siding with morphology on a controversial case of species delimitation","type":"article-journal","volume":"286"},"uris":["http://www.mendeley.com/documents/?uuid=6afe113b-b394-4e4e-9962-0ad944897b77"]},{"id":"ITEM-2","itemData":{"DOI":"10.1111/1755-0998.12291","ISSN":"17550998","PMID":"24916682","abstract":"Restriction site-associated DNA sequencing (RADseq) provides researchers with the ability to record genetic polymorphism across thousands of loci for nonmodel organisms, potentially revolutionizing the field of molecular ecology. However, as with other genotyping methods, RADseq is prone to a number of sources of error that may have consequential effects for population genetic inferences, and these have received only limited attention in terms of the estimation and reporting of genotyping error rates. Here we use individual sample replicates, under the expectation of identical genotypes, to quantify genotyping error in the absence of a reference genome. We then use sample replicates to (i) optimize de novo assembly parameters within the program Stacks, by minimizing error and maximizing the retrieval of informative loci; and (ii) quantify error rates for loci, alleles and single-nucleotide polymorphisms. As an empirical example, we use a double-digest RAD data set of a nonmodel plant species, Berberis alpina, collected from high-altitude mountains in Mexico.","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H.","non-dropping-particle":"","parse-names":false,"suffix":""},{"dropping-particle":"","family":"Piñero","given":"D.","non-dropping-particle":"","parse-names":false,"suffix":""},{"dropping-particle":"","family":"Emerson","given":"B. C.","non-dropping-particle":"","parse-names":false,"suffix":""}],"container-title":"Molecular Ecology Resources","id":"ITEM-2","issue":"1","issued":{"date-parts":[["2015"]]},"page":"28-41","title":"Restriction site-associated DNA sequencing, genotyping error estimation and de novo assembly optimization for population genetic inference","type":"article-journal","volume":"15"},"uris":["http://www.mendeley.com/documents/?uuid=c46cb271-ec22-476a-8ba1-3639424b5d2d"]},{"id":"ITEM-3","itemData":{"DOI":"10.1111/2041-210X.12775","ISSN":"2041210X","abstract":"Restriction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Evolution","id":"ITEM-3","issue":"10","issued":{"date-parts":[["2017"]]},"page":"1360-1373","title":"Lost in parameter space: a road map for stacks","type":"article-journal","volume":"8"},"uris":["http://www.mendeley.com/documents/?uuid=63928161-c6fb-41de-a398-2603a959f2cd"]},{"id":"ITEM-4","itemData":{"DOI":"10.1093/sysbio/syaa101","ISSN":"1076836X","PMID":"33512506","abstract":"The diversification of modern birds has been shaped by a number of radiations. Rapid diversification events make reconstructing the evolutionary relationships among taxa challenging due to the convoluted effects of incomplete lineage sorting (ILS) and introgression. Phylogenomic data sets have the potential to detect patterns of phylogenetic incongruence, and to address their causes. However, the footprints of ILS and introgression on sequence data can vary between different phylogenomic markers at different phylogenetic scales depending on factors such as their evolutionary rates or their selection pressures. We show that combining phylogenomic markers that evolve at different rates, such as paired-end double-digest restriction site-associated DNA (PE-ddRAD) and ultraconserved elements (UCEs), allows a comprehensive exploration of the causes of phylogenetic discordance associated with short internodes at different timescales. We used thousands of UCE and PE-ddRAD markers to produce the first well-resolved phylogeny of shearwaters, a group of medium-sized pelagic seabirds that are among the most phylogenetically controversial and endangered bird groups. We found that phylogenomic conflict was mainly derived from high levels of ILS due to rapid speciation events. We also documented a case of introgression, despite the high philopatry of shearwaters to their breeding sites, which typically limits gene flow. We integrated state-of-the-art concatenated and coalescent-based approaches to expand on previous comparisons of UCE and RAD-Seq data sets for phylogenetics, divergence time estimation, and inference of introgression, and we propose a strategy to optimize RAD-Seq data for phylogenetic analyses. Our results highlight the usefulness of combining phylogenomic markers evolving at different rates to understand the causes of phylogenetic discordance at different timescales. [Aves; incomplete lineage sorting; introgression; PE-ddRAD-Seq; phylogenomics; radiations; shearwaters; UCEs.]","author":[{"dropping-particle":"","family":"Ferrer Obiol","given":"Joan","non-dropping-particle":"","parse-names":false,"suffix":""},{"dropping-particle":"","family":"James","given":"Helen F.","non-dropping-particle":"","parse-names":false,"suffix":""},{"dropping-particle":"","family":"Chesser","given":"R. Terry","non-dropping-particle":"","parse-names":false,"suffix":""},{"dropping-particle":"","family":"Bretagnolle","given":"Vincent","non-dropping-particle":"","parse-names":false,"suffix":""},{"dropping-particle":"","family":"González-Solís","given":"Jacob","non-dropping-particle":"","parse-names":false,"suffix":""},{"dropping-particle":"","family":"Rozas","given":"Julio","non-dropping-particle":"","parse-names":false,"suffix":""},{"dropping-particle":"","family":"Riutort","given":"Marta","non-dropping-particle":"","parse-names":false,"suffix":""},{"dropping-particle":"","family":"Welch","given":"Andreanna J.","non-dropping-particle":"","parse-names":false,"suffix":""}],"container-title":"Systematic Biology","id":"ITEM-4","issue":"5","issued":{"date-parts":[["2021"]]},"page":"976-996","title":"Integrating Sequence Capture and Restriction Site-Associated DNA Sequencing to Resolve Recent Radiations of Pelagic Seabirds","type":"article-journal","volume":"70"},"uris":["http://www.mendeley.com/documents/?uuid=2a61bf86-1ba1-437a-ac39-ac7573d29d85"]}],"mendeley":{"formattedCitation":"(61, 62, 65, 67)","manualFormatting":"(based on 62, 63, 66, 68)","plainTextFormattedCitation":"(61, 62, 65, 67)","previouslyFormattedCitation":"(60, 61, 64, 66)"},"properties":{"noteIndex":0},"schema":"https://github.com/citation-style-language/schema/raw/master/csl-citation.json"}</w:instrText>
      </w:r>
      <w:r w:rsidRPr="000273A9">
        <w:rPr>
          <w:rFonts w:ascii="Times New Roman" w:hAnsi="Times New Roman" w:cs="Times New Roman"/>
          <w:sz w:val="24"/>
          <w:szCs w:val="24"/>
        </w:rPr>
        <w:fldChar w:fldCharType="separate"/>
      </w:r>
      <w:r w:rsidRPr="000273A9">
        <w:rPr>
          <w:rFonts w:ascii="Times New Roman" w:hAnsi="Times New Roman" w:cs="Times New Roman"/>
          <w:noProof/>
          <w:sz w:val="24"/>
          <w:szCs w:val="24"/>
        </w:rPr>
        <w:t>(based on 62, 63, 66, 68)</w:t>
      </w:r>
      <w:r w:rsidRPr="000273A9">
        <w:rPr>
          <w:rFonts w:ascii="Times New Roman" w:hAnsi="Times New Roman" w:cs="Times New Roman"/>
          <w:sz w:val="24"/>
          <w:szCs w:val="24"/>
        </w:rPr>
        <w:fldChar w:fldCharType="end"/>
      </w:r>
      <w:r w:rsidRPr="000273A9">
        <w:rPr>
          <w:rFonts w:ascii="Times New Roman" w:hAnsi="Times New Roman" w:cs="Times New Roman"/>
          <w:sz w:val="24"/>
          <w:szCs w:val="24"/>
        </w:rPr>
        <w:t>. These tests consisted of assembling the data multiple times, varying one parameter at the time (-</w:t>
      </w:r>
      <w:r w:rsidRPr="000273A9">
        <w:rPr>
          <w:rFonts w:ascii="Times New Roman" w:hAnsi="Times New Roman" w:cs="Times New Roman"/>
          <w:i/>
          <w:iCs/>
          <w:color w:val="000000" w:themeColor="text1"/>
          <w:sz w:val="24"/>
          <w:szCs w:val="24"/>
        </w:rPr>
        <w:t xml:space="preserve">m </w:t>
      </w:r>
      <w:r w:rsidRPr="000273A9">
        <w:rPr>
          <w:rFonts w:ascii="Times New Roman" w:hAnsi="Times New Roman" w:cs="Times New Roman"/>
          <w:color w:val="000000" w:themeColor="text1"/>
          <w:sz w:val="24"/>
          <w:szCs w:val="24"/>
        </w:rPr>
        <w:t>=</w:t>
      </w:r>
      <w:r w:rsidRPr="000273A9">
        <w:rPr>
          <w:rFonts w:ascii="Times New Roman" w:hAnsi="Times New Roman" w:cs="Times New Roman"/>
          <w:i/>
          <w:iCs/>
          <w:color w:val="000000" w:themeColor="text1"/>
          <w:sz w:val="24"/>
          <w:szCs w:val="24"/>
        </w:rPr>
        <w:t xml:space="preserve"> </w:t>
      </w:r>
      <w:r w:rsidRPr="000273A9">
        <w:rPr>
          <w:rFonts w:ascii="Times New Roman" w:hAnsi="Times New Roman" w:cs="Times New Roman"/>
          <w:color w:val="000000" w:themeColor="text1"/>
          <w:sz w:val="24"/>
          <w:szCs w:val="24"/>
        </w:rPr>
        <w:t>3</w:t>
      </w:r>
      <w:r w:rsidRPr="000273A9">
        <w:rPr>
          <w:rFonts w:ascii="Times New Roman" w:hAnsi="Times New Roman" w:cs="Times New Roman"/>
          <w:noProof/>
          <w:sz w:val="24"/>
          <w:szCs w:val="24"/>
        </w:rPr>
        <w:t>–</w:t>
      </w:r>
      <w:r w:rsidRPr="000273A9">
        <w:rPr>
          <w:rFonts w:ascii="Times New Roman" w:hAnsi="Times New Roman" w:cs="Times New Roman"/>
          <w:color w:val="000000" w:themeColor="text1"/>
          <w:sz w:val="24"/>
          <w:szCs w:val="24"/>
        </w:rPr>
        <w:t>6, -</w:t>
      </w:r>
      <w:r w:rsidRPr="000273A9">
        <w:rPr>
          <w:rFonts w:ascii="Times New Roman" w:hAnsi="Times New Roman" w:cs="Times New Roman"/>
          <w:i/>
          <w:iCs/>
          <w:color w:val="000000" w:themeColor="text1"/>
          <w:sz w:val="24"/>
          <w:szCs w:val="24"/>
        </w:rPr>
        <w:t xml:space="preserve">M </w:t>
      </w:r>
      <w:r w:rsidRPr="000273A9">
        <w:rPr>
          <w:rFonts w:ascii="Times New Roman" w:hAnsi="Times New Roman" w:cs="Times New Roman"/>
          <w:color w:val="000000" w:themeColor="text1"/>
          <w:sz w:val="24"/>
          <w:szCs w:val="24"/>
        </w:rPr>
        <w:t>=</w:t>
      </w:r>
      <w:r w:rsidRPr="000273A9">
        <w:rPr>
          <w:rFonts w:ascii="Times New Roman" w:hAnsi="Times New Roman" w:cs="Times New Roman"/>
          <w:i/>
          <w:iCs/>
          <w:color w:val="000000" w:themeColor="text1"/>
          <w:sz w:val="24"/>
          <w:szCs w:val="24"/>
        </w:rPr>
        <w:t xml:space="preserve"> </w:t>
      </w:r>
      <w:r w:rsidRPr="000273A9">
        <w:rPr>
          <w:rFonts w:ascii="Times New Roman" w:hAnsi="Times New Roman" w:cs="Times New Roman"/>
          <w:color w:val="000000" w:themeColor="text1"/>
          <w:sz w:val="24"/>
          <w:szCs w:val="24"/>
        </w:rPr>
        <w:t>2</w:t>
      </w:r>
      <w:r w:rsidRPr="000273A9">
        <w:rPr>
          <w:rFonts w:ascii="Times New Roman" w:hAnsi="Times New Roman" w:cs="Times New Roman"/>
          <w:noProof/>
          <w:sz w:val="24"/>
          <w:szCs w:val="24"/>
        </w:rPr>
        <w:t>–</w:t>
      </w:r>
      <w:r w:rsidRPr="000273A9">
        <w:rPr>
          <w:rFonts w:ascii="Times New Roman" w:hAnsi="Times New Roman" w:cs="Times New Roman"/>
          <w:color w:val="000000" w:themeColor="text1"/>
          <w:sz w:val="24"/>
          <w:szCs w:val="24"/>
        </w:rPr>
        <w:t>8, -</w:t>
      </w:r>
      <w:r w:rsidRPr="000273A9">
        <w:rPr>
          <w:rFonts w:ascii="Times New Roman" w:hAnsi="Times New Roman" w:cs="Times New Roman"/>
          <w:i/>
          <w:iCs/>
          <w:color w:val="000000" w:themeColor="text1"/>
          <w:sz w:val="24"/>
          <w:szCs w:val="24"/>
        </w:rPr>
        <w:t xml:space="preserve">n </w:t>
      </w:r>
      <w:r w:rsidRPr="000273A9">
        <w:rPr>
          <w:rFonts w:ascii="Times New Roman" w:hAnsi="Times New Roman" w:cs="Times New Roman"/>
          <w:color w:val="000000" w:themeColor="text1"/>
          <w:sz w:val="24"/>
          <w:szCs w:val="24"/>
        </w:rPr>
        <w:t>=</w:t>
      </w:r>
      <w:r w:rsidRPr="000273A9">
        <w:rPr>
          <w:rFonts w:ascii="Times New Roman" w:hAnsi="Times New Roman" w:cs="Times New Roman"/>
          <w:i/>
          <w:iCs/>
          <w:color w:val="000000" w:themeColor="text1"/>
          <w:sz w:val="24"/>
          <w:szCs w:val="24"/>
        </w:rPr>
        <w:t xml:space="preserve"> </w:t>
      </w:r>
      <w:r w:rsidRPr="000273A9">
        <w:rPr>
          <w:rFonts w:ascii="Times New Roman" w:hAnsi="Times New Roman" w:cs="Times New Roman"/>
          <w:color w:val="000000" w:themeColor="text1"/>
          <w:sz w:val="24"/>
          <w:szCs w:val="24"/>
        </w:rPr>
        <w:t>0</w:t>
      </w:r>
      <w:r w:rsidRPr="000273A9">
        <w:rPr>
          <w:rFonts w:ascii="Times New Roman" w:hAnsi="Times New Roman" w:cs="Times New Roman"/>
          <w:noProof/>
          <w:sz w:val="24"/>
          <w:szCs w:val="24"/>
        </w:rPr>
        <w:t>–</w:t>
      </w:r>
      <w:r w:rsidRPr="000273A9">
        <w:rPr>
          <w:rFonts w:ascii="Times New Roman" w:hAnsi="Times New Roman" w:cs="Times New Roman"/>
          <w:color w:val="000000" w:themeColor="text1"/>
          <w:sz w:val="24"/>
          <w:szCs w:val="24"/>
        </w:rPr>
        <w:t>11),</w:t>
      </w:r>
      <w:r w:rsidRPr="000273A9">
        <w:rPr>
          <w:rFonts w:ascii="Times New Roman" w:hAnsi="Times New Roman" w:cs="Times New Roman"/>
          <w:sz w:val="24"/>
          <w:szCs w:val="24"/>
        </w:rPr>
        <w:t xml:space="preserve"> while keeping the other parameters fixed at their default values </w:t>
      </w:r>
      <w:r w:rsidRPr="000273A9">
        <w:rPr>
          <w:rFonts w:ascii="Times New Roman" w:hAnsi="Times New Roman" w:cs="Times New Roman"/>
          <w:color w:val="000000" w:themeColor="text1"/>
          <w:sz w:val="24"/>
          <w:szCs w:val="24"/>
        </w:rPr>
        <w:t>(</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3</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2</w:t>
      </w:r>
      <w:r w:rsidRPr="000273A9">
        <w:rPr>
          <w:rFonts w:ascii="Times New Roman" w:hAnsi="Times New Roman" w:cs="Times New Roman"/>
          <w:i/>
          <w:iCs/>
          <w:color w:val="000000" w:themeColor="text1"/>
          <w:sz w:val="24"/>
          <w:szCs w:val="24"/>
        </w:rPr>
        <w:t>n</w:t>
      </w:r>
      <w:r w:rsidRPr="000273A9">
        <w:rPr>
          <w:rFonts w:ascii="Times New Roman" w:hAnsi="Times New Roman" w:cs="Times New Roman"/>
          <w:color w:val="000000" w:themeColor="text1"/>
          <w:sz w:val="24"/>
          <w:szCs w:val="24"/>
        </w:rPr>
        <w:t xml:space="preserve">1). </w:t>
      </w:r>
      <w:r w:rsidRPr="000273A9">
        <w:rPr>
          <w:rFonts w:ascii="Times New Roman" w:hAnsi="Times New Roman" w:cs="Times New Roman"/>
          <w:sz w:val="24"/>
          <w:szCs w:val="24"/>
        </w:rPr>
        <w:t>For each run, we recorded</w:t>
      </w:r>
      <w:r w:rsidRPr="000273A9">
        <w:rPr>
          <w:rFonts w:ascii="Times New Roman" w:hAnsi="Times New Roman" w:cs="Times New Roman"/>
          <w:color w:val="000000" w:themeColor="text1"/>
          <w:sz w:val="24"/>
          <w:szCs w:val="24"/>
        </w:rPr>
        <w:t xml:space="preserve"> the number of assembled loci, the number of polymorphic loci, and the number of SNPs generated </w:t>
      </w:r>
      <w:r w:rsidRPr="000273A9">
        <w:rPr>
          <w:rFonts w:ascii="Times New Roman" w:hAnsi="Times New Roman" w:cs="Times New Roman"/>
          <w:sz w:val="24"/>
          <w:szCs w:val="24"/>
        </w:rPr>
        <w:t>(Fig. S3)</w:t>
      </w:r>
      <w:r w:rsidRPr="000273A9">
        <w:rPr>
          <w:rFonts w:ascii="Times New Roman" w:hAnsi="Times New Roman" w:cs="Times New Roman"/>
          <w:color w:val="000000" w:themeColor="text1"/>
          <w:sz w:val="24"/>
          <w:szCs w:val="24"/>
        </w:rPr>
        <w:t>. In addition, we collected data on individual coverage while varying the -</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 xml:space="preserve"> parameter </w:t>
      </w:r>
      <w:r w:rsidRPr="000273A9">
        <w:rPr>
          <w:rFonts w:ascii="Times New Roman" w:hAnsi="Times New Roman" w:cs="Times New Roman"/>
          <w:sz w:val="24"/>
          <w:szCs w:val="24"/>
        </w:rPr>
        <w:t>(Fig. S4)</w:t>
      </w:r>
      <w:r w:rsidRPr="000273A9">
        <w:rPr>
          <w:rFonts w:ascii="Times New Roman" w:hAnsi="Times New Roman" w:cs="Times New Roman"/>
          <w:color w:val="000000" w:themeColor="text1"/>
          <w:sz w:val="24"/>
          <w:szCs w:val="24"/>
        </w:rPr>
        <w:t xml:space="preserve">, as setting it too high may result on dropping low-coverage alleles, while extremely low values may falsely validate sequencing errors as putative loci </w:t>
      </w:r>
      <w:r w:rsidRPr="000273A9">
        <w:rPr>
          <w:rFonts w:ascii="Times New Roman" w:hAnsi="Times New Roman" w:cs="Times New Roman"/>
          <w:color w:val="000000" w:themeColor="text1"/>
          <w:sz w:val="24"/>
          <w:szCs w:val="24"/>
        </w:rPr>
        <w:fldChar w:fldCharType="begin" w:fldLock="1"/>
      </w:r>
      <w:r w:rsidRPr="000273A9">
        <w:rPr>
          <w:rFonts w:ascii="Times New Roman" w:hAnsi="Times New Roman" w:cs="Times New Roman"/>
          <w:color w:val="000000" w:themeColor="text1"/>
          <w:sz w:val="24"/>
          <w:szCs w:val="24"/>
        </w:rPr>
        <w:instrText>ADDIN CSL_CITATION {"citationItems":[{"id":"ITEM-1","itemData":{"DOI":"10.1111/2041-210X.12775","ISSN":"2041210X","abstract":"Restriction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63928161-c6fb-41de-a398-2603a959f2cd"]}],"mendeley":{"formattedCitation":"(61)","plainTextFormattedCitation":"(61)","previouslyFormattedCitation":"(60)"},"properties":{"noteIndex":0},"schema":"https://github.com/citation-style-language/schema/raw/master/csl-citation.json"}</w:instrText>
      </w:r>
      <w:r w:rsidRPr="000273A9">
        <w:rPr>
          <w:rFonts w:ascii="Times New Roman" w:hAnsi="Times New Roman" w:cs="Times New Roman"/>
          <w:color w:val="000000" w:themeColor="text1"/>
          <w:sz w:val="24"/>
          <w:szCs w:val="24"/>
        </w:rPr>
        <w:fldChar w:fldCharType="separate"/>
      </w:r>
      <w:r w:rsidRPr="000273A9">
        <w:rPr>
          <w:rFonts w:ascii="Times New Roman" w:hAnsi="Times New Roman" w:cs="Times New Roman"/>
          <w:noProof/>
          <w:color w:val="000000" w:themeColor="text1"/>
          <w:sz w:val="24"/>
          <w:szCs w:val="24"/>
        </w:rPr>
        <w:t>(61)</w:t>
      </w:r>
      <w:r w:rsidRPr="000273A9">
        <w:rPr>
          <w:rFonts w:ascii="Times New Roman" w:hAnsi="Times New Roman" w:cs="Times New Roman"/>
          <w:color w:val="000000" w:themeColor="text1"/>
          <w:sz w:val="24"/>
          <w:szCs w:val="24"/>
        </w:rPr>
        <w:fldChar w:fldCharType="end"/>
      </w:r>
      <w:r w:rsidRPr="000273A9">
        <w:rPr>
          <w:rFonts w:ascii="Times New Roman" w:hAnsi="Times New Roman" w:cs="Times New Roman"/>
          <w:color w:val="000000" w:themeColor="text1"/>
          <w:sz w:val="24"/>
          <w:szCs w:val="24"/>
        </w:rPr>
        <w:t xml:space="preserve">. To account for biological differences in polymorphisms and sequencing read depths </w:t>
      </w:r>
      <w:r w:rsidRPr="000273A9">
        <w:rPr>
          <w:rFonts w:ascii="Times New Roman" w:hAnsi="Times New Roman" w:cs="Times New Roman"/>
          <w:color w:val="000000" w:themeColor="text1"/>
          <w:sz w:val="24"/>
          <w:szCs w:val="24"/>
        </w:rPr>
        <w:fldChar w:fldCharType="begin" w:fldLock="1"/>
      </w:r>
      <w:r w:rsidRPr="000273A9">
        <w:rPr>
          <w:rFonts w:ascii="Times New Roman" w:hAnsi="Times New Roman" w:cs="Times New Roman"/>
          <w:color w:val="000000" w:themeColor="text1"/>
          <w:sz w:val="24"/>
          <w:szCs w:val="24"/>
        </w:rPr>
        <w:instrText>ADDIN CSL_CITATION {"citationItems":[{"id":"ITEM-1","itemData":{"DOI":"10.1111/mec.12084","ISSN":"09621083","PMID":"23110438","abstract":"Restriction site-associated DNA Sequencing (RAD-Seq) is an economical and efficient method for SNP discovery and genotyping. As with other sequencing-by-synthesis methods, RAD-Seq produces stochastic count data and requires sensitive analysis to develop or genotype markers accurately. We show that there are several sources of bias specific to RAD-Seq that are not explicitly addressed by current genotyping tools, namely restriction fragment bias, restriction site heterozygosity and PCR GC content bias. We explore the performance of existing analysis tools given these biases and discuss approaches to limiting or handling biases in RAD-Seq data. While these biases need to be taken seriously, we believe RAD loci affected by them can be excluded or processed with relative ease in most cases and that most RAD loci will be accurately genotyped by existing tools. © 2012 John Wiley &amp; Sons Ltd.","author":[{"dropping-particle":"","family":"Davey","given":"John W.","non-dropping-particle":"","parse-names":false,"suffix":""},{"dropping-particle":"","family":"Cezard","given":"Timothée","non-dropping-particle":"","parse-names":false,"suffix":""},{"dropping-particle":"","family":"Fuentes-Utrilla","given":"Pablo","non-dropping-particle":"","parse-names":false,"suffix":""},{"dropping-particle":"","family":"Eland","given":"Cathlene","non-dropping-particle":"","parse-names":false,"suffix":""},{"dropping-particle":"","family":"Gharbi","given":"Karim","non-dropping-particle":"","parse-names":false,"suffix":""},{"dropping-particle":"","family":"Blaxter","given":"Mark L.","non-dropping-particle":"","parse-names":false,"suffix":""}],"container-title":"Molecular Ecology","id":"ITEM-1","issue":"11","issued":{"date-parts":[["2013"]]},"page":"3151-3164","title":"Special features of RAD Sequencing data: Implications for genotyping","type":"article-journal","volume":"22"},"uris":["http://www.mendeley.com/documents/?uuid=e3d03ec9-3e38-4d36-8eb1-9e2a70a7f21c"]}],"mendeley":{"formattedCitation":"(68)","plainTextFormattedCitation":"(68)","previouslyFormattedCitation":"(67)"},"properties":{"noteIndex":0},"schema":"https://github.com/citation-style-language/schema/raw/master/csl-citation.json"}</w:instrText>
      </w:r>
      <w:r w:rsidRPr="000273A9">
        <w:rPr>
          <w:rFonts w:ascii="Times New Roman" w:hAnsi="Times New Roman" w:cs="Times New Roman"/>
          <w:color w:val="000000" w:themeColor="text1"/>
          <w:sz w:val="24"/>
          <w:szCs w:val="24"/>
        </w:rPr>
        <w:fldChar w:fldCharType="separate"/>
      </w:r>
      <w:r w:rsidRPr="000273A9">
        <w:rPr>
          <w:rFonts w:ascii="Times New Roman" w:hAnsi="Times New Roman" w:cs="Times New Roman"/>
          <w:noProof/>
          <w:color w:val="000000" w:themeColor="text1"/>
          <w:sz w:val="24"/>
          <w:szCs w:val="24"/>
        </w:rPr>
        <w:t>(68)</w:t>
      </w:r>
      <w:r w:rsidRPr="000273A9">
        <w:rPr>
          <w:rFonts w:ascii="Times New Roman" w:hAnsi="Times New Roman" w:cs="Times New Roman"/>
          <w:color w:val="000000" w:themeColor="text1"/>
          <w:sz w:val="24"/>
          <w:szCs w:val="24"/>
        </w:rPr>
        <w:fldChar w:fldCharType="end"/>
      </w:r>
      <w:r w:rsidRPr="000273A9">
        <w:rPr>
          <w:rFonts w:ascii="Times New Roman" w:hAnsi="Times New Roman" w:cs="Times New Roman"/>
          <w:color w:val="000000" w:themeColor="text1"/>
          <w:sz w:val="24"/>
          <w:szCs w:val="24"/>
        </w:rPr>
        <w:t>, we varied the minimum percentage of individuals in a population required to process a locus (-</w:t>
      </w:r>
      <w:r w:rsidRPr="000273A9">
        <w:rPr>
          <w:rFonts w:ascii="Times New Roman" w:hAnsi="Times New Roman" w:cs="Times New Roman"/>
          <w:i/>
          <w:iCs/>
          <w:color w:val="000000" w:themeColor="text1"/>
          <w:sz w:val="24"/>
          <w:szCs w:val="24"/>
        </w:rPr>
        <w:t>r</w:t>
      </w:r>
      <w:r w:rsidRPr="000273A9">
        <w:rPr>
          <w:rFonts w:ascii="Times New Roman" w:hAnsi="Times New Roman" w:cs="Times New Roman"/>
          <w:color w:val="000000" w:themeColor="text1"/>
          <w:sz w:val="24"/>
          <w:szCs w:val="24"/>
        </w:rPr>
        <w:t xml:space="preserve"> = 40, 60, and 80) and recorded the </w:t>
      </w:r>
      <w:r w:rsidRPr="000273A9">
        <w:rPr>
          <w:rFonts w:ascii="Times New Roman" w:hAnsi="Times New Roman" w:cs="Times New Roman"/>
          <w:sz w:val="24"/>
          <w:szCs w:val="24"/>
        </w:rPr>
        <w:t>amount of putative loci (Fig. S3)</w:t>
      </w:r>
      <w:r w:rsidRPr="000273A9">
        <w:rPr>
          <w:rFonts w:ascii="Times New Roman" w:hAnsi="Times New Roman" w:cs="Times New Roman"/>
          <w:color w:val="000000" w:themeColor="text1"/>
          <w:sz w:val="24"/>
          <w:szCs w:val="24"/>
        </w:rPr>
        <w:t>. Additionally, since -</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 xml:space="preserve"> parameter controls the collapsing of alleles from the same locus, increasing this parameter would be expected to stabilize the number of loci found, with any newly added polymorphic loci representing paralogous loci </w:t>
      </w:r>
      <w:r w:rsidRPr="000273A9">
        <w:rPr>
          <w:rFonts w:ascii="Times New Roman" w:hAnsi="Times New Roman" w:cs="Times New Roman"/>
          <w:color w:val="000000" w:themeColor="text1"/>
          <w:sz w:val="24"/>
          <w:szCs w:val="24"/>
        </w:rPr>
        <w:fldChar w:fldCharType="begin" w:fldLock="1"/>
      </w:r>
      <w:r w:rsidRPr="000273A9">
        <w:rPr>
          <w:rFonts w:ascii="Times New Roman" w:hAnsi="Times New Roman" w:cs="Times New Roman"/>
          <w:color w:val="000000" w:themeColor="text1"/>
          <w:sz w:val="24"/>
          <w:szCs w:val="24"/>
        </w:rPr>
        <w:instrText>ADDIN CSL_CITATION {"citationItems":[{"id":"ITEM-1","itemData":{"DOI":"10.1093/sysbio/syaa101","ISSN":"1076836X","PMID":"33512506","abstract":"The diversification of modern birds has been shaped by a number of radiations. Rapid diversification events make reconstructing the evolutionary relationships among taxa challenging due to the convoluted effects of incomplete lineage sorting (ILS) and introgression. Phylogenomic data sets have the potential to detect patterns of phylogenetic incongruence, and to address their causes. However, the footprints of ILS and introgression on sequence data can vary between different phylogenomic markers at different phylogenetic scales depending on factors such as their evolutionary rates or their selection pressures. We show that combining phylogenomic markers that evolve at different rates, such as paired-end double-digest restriction site-associated DNA (PE-ddRAD) and ultraconserved elements (UCEs), allows a comprehensive exploration of the causes of phylogenetic discordance associated with short internodes at different timescales. We used thousands of UCE and PE-ddRAD markers to produce the first well-resolved phylogeny of shearwaters, a group of medium-sized pelagic seabirds that are among the most phylogenetically controversial and endangered bird groups. We found that phylogenomic conflict was mainly derived from high levels of ILS due to rapid speciation events. We also documented a case of introgression, despite the high philopatry of shearwaters to their breeding sites, which typically limits gene flow. We integrated state-of-the-art concatenated and coalescent-based approaches to expand on previous comparisons of UCE and RAD-Seq data sets for phylogenetics, divergence time estimation, and inference of introgression, and we propose a strategy to optimize RAD-Seq data for phylogenetic analyses. Our results highlight the usefulness of combining phylogenomic markers evolving at different rates to understand the causes of phylogenetic discordance at different timescales. [Aves; incomplete lineage sorting; introgression; PE-ddRAD-Seq; phylogenomics; radiations; shearwaters; UCEs.]","author":[{"dropping-particle":"","family":"Ferrer Obiol","given":"Joan","non-dropping-particle":"","parse-names":false,"suffix":""},{"dropping-particle":"","family":"James","given":"Helen F.","non-dropping-particle":"","parse-names":false,"suffix":""},{"dropping-particle":"","family":"Chesser","given":"R. Terry","non-dropping-particle":"","parse-names":false,"suffix":""},{"dropping-particle":"","family":"Bretagnolle","given":"Vincent","non-dropping-particle":"","parse-names":false,"suffix":""},{"dropping-particle":"","family":"González-Solís","given":"Jacob","non-dropping-particle":"","parse-names":false,"suffix":""},{"dropping-particle":"","family":"Rozas","given":"Julio","non-dropping-particle":"","parse-names":false,"suffix":""},{"dropping-particle":"","family":"Riutort","given":"Marta","non-dropping-particle":"","parse-names":false,"suffix":""},{"dropping-particle":"","family":"Welch","given":"Andreanna J.","non-dropping-particle":"","parse-names":false,"suffix":""}],"container-title":"Systematic Biology","id":"ITEM-1","issue":"5","issued":{"date-parts":[["2021"]]},"page":"976-996","title":"Integrating Sequence Capture and Restriction Site-Associated DNA Sequencing to Resolve Recent Radiations of Pelagic Seabirds","type":"article-journal","volume":"70"},"uris":["http://www.mendeley.com/documents/?uuid=2a61bf86-1ba1-437a-ac39-ac7573d29d85"]}],"mendeley":{"formattedCitation":"(62)","plainTextFormattedCitation":"(62)","previouslyFormattedCitation":"(61)"},"properties":{"noteIndex":0},"schema":"https://github.com/citation-style-language/schema/raw/master/csl-citation.json"}</w:instrText>
      </w:r>
      <w:r w:rsidRPr="000273A9">
        <w:rPr>
          <w:rFonts w:ascii="Times New Roman" w:hAnsi="Times New Roman" w:cs="Times New Roman"/>
          <w:color w:val="000000" w:themeColor="text1"/>
          <w:sz w:val="24"/>
          <w:szCs w:val="24"/>
        </w:rPr>
        <w:fldChar w:fldCharType="separate"/>
      </w:r>
      <w:r w:rsidRPr="000273A9">
        <w:rPr>
          <w:rFonts w:ascii="Times New Roman" w:hAnsi="Times New Roman" w:cs="Times New Roman"/>
          <w:noProof/>
          <w:color w:val="000000" w:themeColor="text1"/>
          <w:sz w:val="24"/>
          <w:szCs w:val="24"/>
        </w:rPr>
        <w:t>(62)</w:t>
      </w:r>
      <w:r w:rsidRPr="000273A9">
        <w:rPr>
          <w:rFonts w:ascii="Times New Roman" w:hAnsi="Times New Roman" w:cs="Times New Roman"/>
          <w:color w:val="000000" w:themeColor="text1"/>
          <w:sz w:val="24"/>
          <w:szCs w:val="24"/>
        </w:rPr>
        <w:fldChar w:fldCharType="end"/>
      </w:r>
      <w:r w:rsidRPr="000273A9">
        <w:rPr>
          <w:rFonts w:ascii="Times New Roman" w:hAnsi="Times New Roman" w:cs="Times New Roman"/>
          <w:color w:val="000000" w:themeColor="text1"/>
          <w:sz w:val="24"/>
          <w:szCs w:val="24"/>
        </w:rPr>
        <w:t>. Therefore, we measured the increment polymorphic loci (with -</w:t>
      </w:r>
      <w:r w:rsidRPr="000273A9">
        <w:rPr>
          <w:rFonts w:ascii="Times New Roman" w:hAnsi="Times New Roman" w:cs="Times New Roman"/>
          <w:i/>
          <w:iCs/>
          <w:color w:val="000000" w:themeColor="text1"/>
          <w:sz w:val="24"/>
          <w:szCs w:val="24"/>
        </w:rPr>
        <w:t>r</w:t>
      </w:r>
      <w:r w:rsidRPr="000273A9">
        <w:rPr>
          <w:rFonts w:ascii="Times New Roman" w:hAnsi="Times New Roman" w:cs="Times New Roman"/>
          <w:color w:val="000000" w:themeColor="text1"/>
          <w:sz w:val="24"/>
          <w:szCs w:val="24"/>
        </w:rPr>
        <w:t xml:space="preserve"> set to 80) and recorded the corresponding difference in putative loci at each increment. We selected values </w:t>
      </w:r>
      <w:r w:rsidRPr="000273A9">
        <w:rPr>
          <w:rFonts w:ascii="Times New Roman" w:hAnsi="Times New Roman" w:cs="Times New Roman"/>
          <w:sz w:val="24"/>
          <w:szCs w:val="24"/>
        </w:rPr>
        <w:t>for -</w:t>
      </w:r>
      <w:r w:rsidRPr="000273A9">
        <w:rPr>
          <w:rFonts w:ascii="Times New Roman" w:hAnsi="Times New Roman" w:cs="Times New Roman"/>
          <w:i/>
          <w:iCs/>
          <w:sz w:val="24"/>
          <w:szCs w:val="24"/>
        </w:rPr>
        <w:t>m</w:t>
      </w:r>
      <w:r w:rsidRPr="000273A9">
        <w:rPr>
          <w:rFonts w:ascii="Times New Roman" w:hAnsi="Times New Roman" w:cs="Times New Roman"/>
          <w:sz w:val="24"/>
          <w:szCs w:val="24"/>
        </w:rPr>
        <w:t>, -</w:t>
      </w:r>
      <w:r w:rsidRPr="000273A9">
        <w:rPr>
          <w:rFonts w:ascii="Times New Roman" w:hAnsi="Times New Roman" w:cs="Times New Roman"/>
          <w:i/>
          <w:iCs/>
          <w:sz w:val="24"/>
          <w:szCs w:val="24"/>
        </w:rPr>
        <w:t>M</w:t>
      </w:r>
      <w:r w:rsidRPr="000273A9">
        <w:rPr>
          <w:rFonts w:ascii="Times New Roman" w:hAnsi="Times New Roman" w:cs="Times New Roman"/>
          <w:sz w:val="24"/>
          <w:szCs w:val="24"/>
        </w:rPr>
        <w:t>, and -</w:t>
      </w:r>
      <w:r w:rsidRPr="000273A9">
        <w:rPr>
          <w:rFonts w:ascii="Times New Roman" w:hAnsi="Times New Roman" w:cs="Times New Roman"/>
          <w:i/>
          <w:iCs/>
          <w:sz w:val="24"/>
          <w:szCs w:val="24"/>
        </w:rPr>
        <w:t>n</w:t>
      </w:r>
      <w:r w:rsidRPr="000273A9">
        <w:rPr>
          <w:rFonts w:ascii="Times New Roman" w:hAnsi="Times New Roman" w:cs="Times New Roman"/>
          <w:color w:val="000000" w:themeColor="text1"/>
          <w:sz w:val="24"/>
          <w:szCs w:val="24"/>
        </w:rPr>
        <w:t xml:space="preserve"> that resulted in</w:t>
      </w:r>
      <w:r w:rsidRPr="000273A9">
        <w:rPr>
          <w:rFonts w:ascii="Times New Roman" w:hAnsi="Times New Roman" w:cs="Times New Roman"/>
          <w:sz w:val="24"/>
          <w:szCs w:val="24"/>
        </w:rPr>
        <w:t xml:space="preserve"> a stable number of putative loci, as well as values of -</w:t>
      </w:r>
      <w:r w:rsidRPr="000273A9">
        <w:rPr>
          <w:rFonts w:ascii="Times New Roman" w:hAnsi="Times New Roman" w:cs="Times New Roman"/>
          <w:i/>
          <w:iCs/>
          <w:sz w:val="24"/>
          <w:szCs w:val="24"/>
        </w:rPr>
        <w:t>M</w:t>
      </w:r>
      <w:r w:rsidRPr="000273A9">
        <w:rPr>
          <w:rFonts w:ascii="Times New Roman" w:hAnsi="Times New Roman" w:cs="Times New Roman"/>
          <w:sz w:val="24"/>
          <w:szCs w:val="24"/>
        </w:rPr>
        <w:t xml:space="preserve"> that yield low numbers of newly recovered loci. Based on </w:t>
      </w:r>
      <w:r w:rsidRPr="000273A9">
        <w:rPr>
          <w:rFonts w:ascii="Times New Roman" w:hAnsi="Times New Roman" w:cs="Times New Roman"/>
          <w:sz w:val="24"/>
          <w:szCs w:val="24"/>
        </w:rPr>
        <w:lastRenderedPageBreak/>
        <w:t>these analyses, the combination of parameters -</w:t>
      </w:r>
      <w:r w:rsidRPr="000273A9">
        <w:rPr>
          <w:rFonts w:ascii="Times New Roman" w:hAnsi="Times New Roman" w:cs="Times New Roman"/>
          <w:i/>
          <w:iCs/>
          <w:sz w:val="24"/>
          <w:szCs w:val="24"/>
        </w:rPr>
        <w:t>m</w:t>
      </w:r>
      <w:r w:rsidRPr="000273A9">
        <w:rPr>
          <w:rFonts w:ascii="Times New Roman" w:hAnsi="Times New Roman" w:cs="Times New Roman"/>
          <w:sz w:val="24"/>
          <w:szCs w:val="24"/>
        </w:rPr>
        <w:t xml:space="preserve"> = 5, -</w:t>
      </w:r>
      <w:r w:rsidRPr="000273A9">
        <w:rPr>
          <w:rFonts w:ascii="Times New Roman" w:hAnsi="Times New Roman" w:cs="Times New Roman"/>
          <w:i/>
          <w:iCs/>
          <w:sz w:val="24"/>
          <w:szCs w:val="24"/>
        </w:rPr>
        <w:t>M</w:t>
      </w:r>
      <w:r w:rsidRPr="000273A9">
        <w:rPr>
          <w:rFonts w:ascii="Times New Roman" w:hAnsi="Times New Roman" w:cs="Times New Roman"/>
          <w:sz w:val="24"/>
          <w:szCs w:val="24"/>
        </w:rPr>
        <w:t xml:space="preserve"> = 6, and -</w:t>
      </w:r>
      <w:r w:rsidRPr="000273A9">
        <w:rPr>
          <w:rFonts w:ascii="Times New Roman" w:hAnsi="Times New Roman" w:cs="Times New Roman"/>
          <w:i/>
          <w:iCs/>
          <w:sz w:val="24"/>
          <w:szCs w:val="24"/>
        </w:rPr>
        <w:t>n</w:t>
      </w:r>
      <w:r w:rsidRPr="000273A9">
        <w:rPr>
          <w:rFonts w:ascii="Times New Roman" w:hAnsi="Times New Roman" w:cs="Times New Roman"/>
          <w:sz w:val="24"/>
          <w:szCs w:val="24"/>
        </w:rPr>
        <w:t xml:space="preserve"> = 6 were deemed as “optimal”.</w:t>
      </w:r>
    </w:p>
    <w:p w14:paraId="78B4F41B" w14:textId="77777777" w:rsidR="00780D40" w:rsidRPr="000273A9" w:rsidRDefault="00780D40" w:rsidP="00780D40">
      <w:pPr>
        <w:ind w:left="720"/>
        <w:jc w:val="both"/>
        <w:rPr>
          <w:rFonts w:ascii="Times New Roman" w:hAnsi="Times New Roman" w:cs="Times New Roman"/>
          <w:color w:val="000000" w:themeColor="text1"/>
          <w:sz w:val="24"/>
          <w:szCs w:val="24"/>
        </w:rPr>
      </w:pPr>
      <w:r w:rsidRPr="000273A9">
        <w:rPr>
          <w:rFonts w:ascii="Times New Roman" w:hAnsi="Times New Roman" w:cs="Times New Roman"/>
          <w:b/>
          <w:bCs/>
          <w:i/>
          <w:iCs/>
          <w:color w:val="000000" w:themeColor="text1"/>
          <w:sz w:val="24"/>
          <w:szCs w:val="24"/>
        </w:rPr>
        <w:t>1.3)</w:t>
      </w:r>
      <w:r w:rsidRPr="000273A9">
        <w:rPr>
          <w:rFonts w:ascii="Times New Roman" w:hAnsi="Times New Roman" w:cs="Times New Roman"/>
          <w:b/>
          <w:bCs/>
          <w:color w:val="000000" w:themeColor="text1"/>
          <w:sz w:val="24"/>
          <w:szCs w:val="24"/>
        </w:rPr>
        <w:t xml:space="preserve"> Recommended. </w:t>
      </w:r>
      <w:r w:rsidRPr="000273A9">
        <w:rPr>
          <w:rFonts w:ascii="Times New Roman" w:hAnsi="Times New Roman" w:cs="Times New Roman"/>
          <w:color w:val="000000" w:themeColor="text1"/>
          <w:sz w:val="24"/>
          <w:szCs w:val="24"/>
        </w:rPr>
        <w:t xml:space="preserve">This approach consisted in using the R packages RADstackhelpR  (https://devonderaad.github.io/RADstackshelpR/index.html) and </w:t>
      </w:r>
      <w:r w:rsidRPr="000273A9">
        <w:rPr>
          <w:rFonts w:ascii="Times New Roman" w:hAnsi="Times New Roman" w:cs="Times New Roman"/>
          <w:i/>
          <w:iCs/>
          <w:color w:val="000000" w:themeColor="text1"/>
          <w:sz w:val="24"/>
          <w:szCs w:val="24"/>
        </w:rPr>
        <w:t>vcfR</w:t>
      </w:r>
      <w:r w:rsidRPr="000273A9">
        <w:rPr>
          <w:rFonts w:ascii="Times New Roman" w:hAnsi="Times New Roman" w:cs="Times New Roman"/>
          <w:color w:val="000000" w:themeColor="text1"/>
          <w:sz w:val="24"/>
          <w:szCs w:val="24"/>
        </w:rPr>
        <w:t xml:space="preserve"> </w:t>
      </w:r>
      <w:r w:rsidRPr="000273A9">
        <w:rPr>
          <w:rFonts w:ascii="Times New Roman" w:hAnsi="Times New Roman" w:cs="Times New Roman"/>
          <w:color w:val="000000" w:themeColor="text1"/>
          <w:sz w:val="24"/>
          <w:szCs w:val="24"/>
        </w:rPr>
        <w:fldChar w:fldCharType="begin" w:fldLock="1"/>
      </w:r>
      <w:r w:rsidRPr="000273A9">
        <w:rPr>
          <w:rFonts w:ascii="Times New Roman" w:hAnsi="Times New Roman" w:cs="Times New Roman"/>
          <w:color w:val="000000" w:themeColor="text1"/>
          <w:sz w:val="24"/>
          <w:szCs w:val="24"/>
        </w:rPr>
        <w:instrText>ADDIN CSL_CITATION {"citationItems":[{"id":"ITEM-1","itemData":{"DOI":"10.1111/1755-0998.12549","ISSN":"17550998","PMID":"27401132","abstract":"Software to call single-nucleotide polymorphisms or related genetic variants has converged on the variant call format (VCF) as the output format of choice. This has created a need for tools to work with VCF files. While an increasing number of software exists to read VCF data, many only extract the genotypes without including the data associated with each genotype that describes its quality. We created the r package vcfr to address this issue. We developed a VCF file exploration tool implemented in the r language because r provides an interactive experience and an environment that is commonly used for genetic data analysis. Functions to read and write VCF files into r as well as functions to extract portions of the data and to plot summary statistics of the data are implemented. vcfr further provides the ability to visualize how various parameterizations of the data affect the results. Additional tools are included to integrate sequence (fasta) and annotation data (GFF) for visualization of genomic regions such as chromosomes. Conversion functions translate data from the vcfr data structure to formats used by other r genetics packages. Computationally intensive functions are implemented in C++ to improve performance. Use of these tools is intended to facilitate VCF data exploration, including intuitive methods for data quality control and easy export to other r packages for further analysis. vcfr thus provides essential, novel tools currently not available in r.","author":[{"dropping-particle":"","family":"Knaus","given":"Brian J.","non-dropping-particle":"","parse-names":false,"suffix":""},{"dropping-particle":"","family":"Grünwald","given":"Niklaus J.","non-dropping-particle":"","parse-names":false,"suffix":""}],"container-title":"Molecular Ecology Resources","id":"ITEM-1","issue":"1","issued":{"date-parts":[["2017"]]},"page":"44-53","title":"vcfr: a package to manipulate and visualize variant call format data in R","type":"article-journal","volume":"17"},"uris":["http://www.mendeley.com/documents/?uuid=667f1487-4379-46f2-be86-0ab35e778cb4"]}],"mendeley":{"formattedCitation":"(69)","plainTextFormattedCitation":"(69)","previouslyFormattedCitation":"(68)"},"properties":{"noteIndex":0},"schema":"https://github.com/citation-style-language/schema/raw/master/csl-citation.json"}</w:instrText>
      </w:r>
      <w:r w:rsidRPr="000273A9">
        <w:rPr>
          <w:rFonts w:ascii="Times New Roman" w:hAnsi="Times New Roman" w:cs="Times New Roman"/>
          <w:color w:val="000000" w:themeColor="text1"/>
          <w:sz w:val="24"/>
          <w:szCs w:val="24"/>
        </w:rPr>
        <w:fldChar w:fldCharType="separate"/>
      </w:r>
      <w:r w:rsidRPr="000273A9">
        <w:rPr>
          <w:rFonts w:ascii="Times New Roman" w:hAnsi="Times New Roman" w:cs="Times New Roman"/>
          <w:noProof/>
          <w:color w:val="000000" w:themeColor="text1"/>
          <w:sz w:val="24"/>
          <w:szCs w:val="24"/>
        </w:rPr>
        <w:t>(69)</w:t>
      </w:r>
      <w:r w:rsidRPr="000273A9">
        <w:rPr>
          <w:rFonts w:ascii="Times New Roman" w:hAnsi="Times New Roman" w:cs="Times New Roman"/>
          <w:color w:val="000000" w:themeColor="text1"/>
          <w:sz w:val="24"/>
          <w:szCs w:val="24"/>
        </w:rPr>
        <w:fldChar w:fldCharType="end"/>
      </w:r>
      <w:r w:rsidRPr="000273A9">
        <w:rPr>
          <w:rFonts w:ascii="Times New Roman" w:hAnsi="Times New Roman" w:cs="Times New Roman"/>
          <w:color w:val="000000" w:themeColor="text1"/>
          <w:sz w:val="24"/>
          <w:szCs w:val="24"/>
        </w:rPr>
        <w:t xml:space="preserve"> to optimize the </w:t>
      </w:r>
      <w:r w:rsidRPr="000273A9">
        <w:rPr>
          <w:rFonts w:ascii="Times New Roman" w:hAnsi="Times New Roman" w:cs="Times New Roman"/>
          <w:i/>
          <w:iCs/>
          <w:color w:val="000000" w:themeColor="text1"/>
          <w:sz w:val="24"/>
          <w:szCs w:val="24"/>
        </w:rPr>
        <w:t>de novo</w:t>
      </w:r>
      <w:r w:rsidRPr="000273A9">
        <w:rPr>
          <w:rFonts w:ascii="Times New Roman" w:hAnsi="Times New Roman" w:cs="Times New Roman"/>
          <w:color w:val="000000" w:themeColor="text1"/>
          <w:sz w:val="24"/>
          <w:szCs w:val="24"/>
        </w:rPr>
        <w:t xml:space="preserve"> assembly pipeline. These packages offer an easy-to-follow and well-documented pipeline that incorporates the recommendations of </w:t>
      </w:r>
      <w:r w:rsidRPr="000273A9">
        <w:rPr>
          <w:rFonts w:ascii="Times New Roman" w:hAnsi="Times New Roman" w:cs="Times New Roman"/>
          <w:color w:val="000000" w:themeColor="text1"/>
          <w:sz w:val="24"/>
          <w:szCs w:val="24"/>
        </w:rPr>
        <w:fldChar w:fldCharType="begin" w:fldLock="1"/>
      </w:r>
      <w:r w:rsidRPr="000273A9">
        <w:rPr>
          <w:rFonts w:ascii="Times New Roman" w:hAnsi="Times New Roman" w:cs="Times New Roman"/>
          <w:color w:val="000000" w:themeColor="text1"/>
          <w:sz w:val="24"/>
          <w:szCs w:val="24"/>
        </w:rPr>
        <w:instrText>ADDIN CSL_CITATION {"citationItems":[{"id":"ITEM-1","itemData":{"DOI":"10.1111/2041-210X.12775","ISSN":"2041210X","abstract":"Restriction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63928161-c6fb-41de-a398-2603a959f2cd"]}],"mendeley":{"formattedCitation":"(61)","plainTextFormattedCitation":"(61)","previouslyFormattedCitation":"(60)"},"properties":{"noteIndex":0},"schema":"https://github.com/citation-style-language/schema/raw/master/csl-citation.json"}</w:instrText>
      </w:r>
      <w:r w:rsidRPr="000273A9">
        <w:rPr>
          <w:rFonts w:ascii="Times New Roman" w:hAnsi="Times New Roman" w:cs="Times New Roman"/>
          <w:color w:val="000000" w:themeColor="text1"/>
          <w:sz w:val="24"/>
          <w:szCs w:val="24"/>
        </w:rPr>
        <w:fldChar w:fldCharType="separate"/>
      </w:r>
      <w:r w:rsidRPr="000273A9">
        <w:rPr>
          <w:rFonts w:ascii="Times New Roman" w:hAnsi="Times New Roman" w:cs="Times New Roman"/>
          <w:noProof/>
          <w:color w:val="000000" w:themeColor="text1"/>
          <w:sz w:val="24"/>
          <w:szCs w:val="24"/>
        </w:rPr>
        <w:t>(61)</w:t>
      </w:r>
      <w:r w:rsidRPr="000273A9">
        <w:rPr>
          <w:rFonts w:ascii="Times New Roman" w:hAnsi="Times New Roman" w:cs="Times New Roman"/>
          <w:color w:val="000000" w:themeColor="text1"/>
          <w:sz w:val="24"/>
          <w:szCs w:val="24"/>
        </w:rPr>
        <w:fldChar w:fldCharType="end"/>
      </w:r>
      <w:r w:rsidRPr="000273A9">
        <w:rPr>
          <w:rFonts w:ascii="Times New Roman" w:hAnsi="Times New Roman" w:cs="Times New Roman"/>
          <w:color w:val="000000" w:themeColor="text1"/>
          <w:sz w:val="24"/>
          <w:szCs w:val="24"/>
        </w:rPr>
        <w:t xml:space="preserve"> for selecting optimal parameter values. We evaluated each parameter using the same range of values as the optimal step </w:t>
      </w:r>
      <w:r w:rsidRPr="000273A9">
        <w:rPr>
          <w:rFonts w:ascii="Times New Roman" w:hAnsi="Times New Roman" w:cs="Times New Roman"/>
          <w:sz w:val="24"/>
          <w:szCs w:val="24"/>
        </w:rPr>
        <w:t>(-</w:t>
      </w:r>
      <w:r w:rsidRPr="000273A9">
        <w:rPr>
          <w:rFonts w:ascii="Times New Roman" w:hAnsi="Times New Roman" w:cs="Times New Roman"/>
          <w:i/>
          <w:iCs/>
          <w:color w:val="000000" w:themeColor="text1"/>
          <w:sz w:val="24"/>
          <w:szCs w:val="24"/>
        </w:rPr>
        <w:t xml:space="preserve">m </w:t>
      </w:r>
      <w:r w:rsidRPr="000273A9">
        <w:rPr>
          <w:rFonts w:ascii="Times New Roman" w:hAnsi="Times New Roman" w:cs="Times New Roman"/>
          <w:color w:val="000000" w:themeColor="text1"/>
          <w:sz w:val="24"/>
          <w:szCs w:val="24"/>
        </w:rPr>
        <w:t>=</w:t>
      </w:r>
      <w:r w:rsidRPr="000273A9">
        <w:rPr>
          <w:rFonts w:ascii="Times New Roman" w:hAnsi="Times New Roman" w:cs="Times New Roman"/>
          <w:i/>
          <w:iCs/>
          <w:color w:val="000000" w:themeColor="text1"/>
          <w:sz w:val="24"/>
          <w:szCs w:val="24"/>
        </w:rPr>
        <w:t xml:space="preserve"> </w:t>
      </w:r>
      <w:r w:rsidRPr="000273A9">
        <w:rPr>
          <w:rFonts w:ascii="Times New Roman" w:hAnsi="Times New Roman" w:cs="Times New Roman"/>
          <w:color w:val="000000" w:themeColor="text1"/>
          <w:sz w:val="24"/>
          <w:szCs w:val="24"/>
        </w:rPr>
        <w:t>3</w:t>
      </w:r>
      <w:r w:rsidRPr="000273A9">
        <w:rPr>
          <w:rFonts w:ascii="Times New Roman" w:hAnsi="Times New Roman" w:cs="Times New Roman"/>
          <w:noProof/>
          <w:sz w:val="24"/>
          <w:szCs w:val="24"/>
        </w:rPr>
        <w:t>–</w:t>
      </w:r>
      <w:r w:rsidRPr="000273A9">
        <w:rPr>
          <w:rFonts w:ascii="Times New Roman" w:hAnsi="Times New Roman" w:cs="Times New Roman"/>
          <w:color w:val="000000" w:themeColor="text1"/>
          <w:sz w:val="24"/>
          <w:szCs w:val="24"/>
        </w:rPr>
        <w:t>6, -</w:t>
      </w:r>
      <w:r w:rsidRPr="000273A9">
        <w:rPr>
          <w:rFonts w:ascii="Times New Roman" w:hAnsi="Times New Roman" w:cs="Times New Roman"/>
          <w:i/>
          <w:iCs/>
          <w:color w:val="000000" w:themeColor="text1"/>
          <w:sz w:val="24"/>
          <w:szCs w:val="24"/>
        </w:rPr>
        <w:t xml:space="preserve">M </w:t>
      </w:r>
      <w:r w:rsidRPr="000273A9">
        <w:rPr>
          <w:rFonts w:ascii="Times New Roman" w:hAnsi="Times New Roman" w:cs="Times New Roman"/>
          <w:color w:val="000000" w:themeColor="text1"/>
          <w:sz w:val="24"/>
          <w:szCs w:val="24"/>
        </w:rPr>
        <w:t>=</w:t>
      </w:r>
      <w:r w:rsidRPr="000273A9">
        <w:rPr>
          <w:rFonts w:ascii="Times New Roman" w:hAnsi="Times New Roman" w:cs="Times New Roman"/>
          <w:i/>
          <w:iCs/>
          <w:color w:val="000000" w:themeColor="text1"/>
          <w:sz w:val="24"/>
          <w:szCs w:val="24"/>
        </w:rPr>
        <w:t xml:space="preserve"> </w:t>
      </w:r>
      <w:r w:rsidRPr="000273A9">
        <w:rPr>
          <w:rFonts w:ascii="Times New Roman" w:hAnsi="Times New Roman" w:cs="Times New Roman"/>
          <w:color w:val="000000" w:themeColor="text1"/>
          <w:sz w:val="24"/>
          <w:szCs w:val="24"/>
        </w:rPr>
        <w:t>2</w:t>
      </w:r>
      <w:r w:rsidRPr="000273A9">
        <w:rPr>
          <w:rFonts w:ascii="Times New Roman" w:hAnsi="Times New Roman" w:cs="Times New Roman"/>
          <w:noProof/>
          <w:sz w:val="24"/>
          <w:szCs w:val="24"/>
        </w:rPr>
        <w:t>–</w:t>
      </w:r>
      <w:r w:rsidRPr="000273A9">
        <w:rPr>
          <w:rFonts w:ascii="Times New Roman" w:hAnsi="Times New Roman" w:cs="Times New Roman"/>
          <w:color w:val="000000" w:themeColor="text1"/>
          <w:sz w:val="24"/>
          <w:szCs w:val="24"/>
        </w:rPr>
        <w:t>8, -</w:t>
      </w:r>
      <w:r w:rsidRPr="000273A9">
        <w:rPr>
          <w:rFonts w:ascii="Times New Roman" w:hAnsi="Times New Roman" w:cs="Times New Roman"/>
          <w:i/>
          <w:iCs/>
          <w:color w:val="000000" w:themeColor="text1"/>
          <w:sz w:val="24"/>
          <w:szCs w:val="24"/>
        </w:rPr>
        <w:t xml:space="preserve">n </w:t>
      </w:r>
      <w:r w:rsidRPr="000273A9">
        <w:rPr>
          <w:rFonts w:ascii="Times New Roman" w:hAnsi="Times New Roman" w:cs="Times New Roman"/>
          <w:color w:val="000000" w:themeColor="text1"/>
          <w:sz w:val="24"/>
          <w:szCs w:val="24"/>
        </w:rPr>
        <w:t>=</w:t>
      </w:r>
      <w:r w:rsidRPr="000273A9">
        <w:rPr>
          <w:rFonts w:ascii="Times New Roman" w:hAnsi="Times New Roman" w:cs="Times New Roman"/>
          <w:i/>
          <w:iCs/>
          <w:color w:val="000000" w:themeColor="text1"/>
          <w:sz w:val="24"/>
          <w:szCs w:val="24"/>
        </w:rPr>
        <w:t xml:space="preserve"> </w:t>
      </w:r>
      <w:r w:rsidRPr="000273A9">
        <w:rPr>
          <w:rFonts w:ascii="Times New Roman" w:hAnsi="Times New Roman" w:cs="Times New Roman"/>
          <w:color w:val="000000" w:themeColor="text1"/>
          <w:sz w:val="24"/>
          <w:szCs w:val="24"/>
        </w:rPr>
        <w:t>0</w:t>
      </w:r>
      <w:r w:rsidRPr="000273A9">
        <w:rPr>
          <w:rFonts w:ascii="Times New Roman" w:hAnsi="Times New Roman" w:cs="Times New Roman"/>
          <w:noProof/>
          <w:sz w:val="24"/>
          <w:szCs w:val="24"/>
        </w:rPr>
        <w:t>–</w:t>
      </w:r>
      <w:r w:rsidRPr="000273A9">
        <w:rPr>
          <w:rFonts w:ascii="Times New Roman" w:hAnsi="Times New Roman" w:cs="Times New Roman"/>
          <w:color w:val="000000" w:themeColor="text1"/>
          <w:sz w:val="24"/>
          <w:szCs w:val="24"/>
        </w:rPr>
        <w:t>11). We followed the tutorial available at devonderaad.github.io/RADstackshelpR, which involved testing the parameters -</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 -</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 and -</w:t>
      </w:r>
      <w:r w:rsidRPr="000273A9">
        <w:rPr>
          <w:rFonts w:ascii="Times New Roman" w:hAnsi="Times New Roman" w:cs="Times New Roman"/>
          <w:i/>
          <w:iCs/>
          <w:color w:val="000000" w:themeColor="text1"/>
          <w:sz w:val="24"/>
          <w:szCs w:val="24"/>
        </w:rPr>
        <w:t>n</w:t>
      </w:r>
      <w:r w:rsidRPr="000273A9">
        <w:rPr>
          <w:rFonts w:ascii="Times New Roman" w:hAnsi="Times New Roman" w:cs="Times New Roman"/>
          <w:color w:val="000000" w:themeColor="text1"/>
          <w:sz w:val="24"/>
          <w:szCs w:val="24"/>
        </w:rPr>
        <w:t xml:space="preserve"> in that order. The selected parameter combinations were</w:t>
      </w:r>
      <w:r w:rsidRPr="000273A9">
        <w:rPr>
          <w:rFonts w:ascii="Times New Roman" w:hAnsi="Times New Roman" w:cs="Times New Roman"/>
          <w:i/>
          <w:iCs/>
          <w:color w:val="000000" w:themeColor="text1"/>
          <w:sz w:val="24"/>
          <w:szCs w:val="24"/>
        </w:rPr>
        <w:t xml:space="preserve"> m</w:t>
      </w:r>
      <w:r w:rsidRPr="000273A9">
        <w:rPr>
          <w:rFonts w:ascii="Times New Roman" w:hAnsi="Times New Roman" w:cs="Times New Roman"/>
          <w:color w:val="000000" w:themeColor="text1"/>
          <w:sz w:val="24"/>
          <w:szCs w:val="24"/>
        </w:rPr>
        <w:t>4</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6</w:t>
      </w:r>
      <w:r w:rsidRPr="000273A9">
        <w:rPr>
          <w:rFonts w:ascii="Times New Roman" w:hAnsi="Times New Roman" w:cs="Times New Roman"/>
          <w:i/>
          <w:iCs/>
          <w:color w:val="000000" w:themeColor="text1"/>
          <w:sz w:val="24"/>
          <w:szCs w:val="24"/>
        </w:rPr>
        <w:t>n</w:t>
      </w:r>
      <w:r w:rsidRPr="000273A9">
        <w:rPr>
          <w:rFonts w:ascii="Times New Roman" w:hAnsi="Times New Roman" w:cs="Times New Roman"/>
          <w:color w:val="000000" w:themeColor="text1"/>
          <w:sz w:val="24"/>
          <w:szCs w:val="24"/>
        </w:rPr>
        <w:t xml:space="preserve">7 for </w:t>
      </w:r>
      <w:r w:rsidRPr="000273A9">
        <w:rPr>
          <w:rFonts w:ascii="Times New Roman" w:hAnsi="Times New Roman" w:cs="Times New Roman"/>
          <w:i/>
          <w:iCs/>
          <w:color w:val="000000" w:themeColor="text1"/>
          <w:sz w:val="24"/>
          <w:szCs w:val="24"/>
        </w:rPr>
        <w:t xml:space="preserve">M. tetranemus </w:t>
      </w:r>
      <w:r w:rsidRPr="000273A9">
        <w:rPr>
          <w:rFonts w:ascii="Times New Roman" w:hAnsi="Times New Roman" w:cs="Times New Roman"/>
          <w:sz w:val="24"/>
          <w:szCs w:val="24"/>
        </w:rPr>
        <w:t>(Fig. S5)</w:t>
      </w:r>
      <w:r w:rsidRPr="000273A9">
        <w:rPr>
          <w:rFonts w:ascii="Times New Roman" w:hAnsi="Times New Roman" w:cs="Times New Roman"/>
          <w:color w:val="000000" w:themeColor="text1"/>
          <w:sz w:val="24"/>
          <w:szCs w:val="24"/>
        </w:rPr>
        <w:t xml:space="preserve">, </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4</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5</w:t>
      </w:r>
      <w:r w:rsidRPr="000273A9">
        <w:rPr>
          <w:rFonts w:ascii="Times New Roman" w:hAnsi="Times New Roman" w:cs="Times New Roman"/>
          <w:i/>
          <w:iCs/>
          <w:color w:val="000000" w:themeColor="text1"/>
          <w:sz w:val="24"/>
          <w:szCs w:val="24"/>
        </w:rPr>
        <w:t>n</w:t>
      </w:r>
      <w:r w:rsidRPr="000273A9">
        <w:rPr>
          <w:rFonts w:ascii="Times New Roman" w:hAnsi="Times New Roman" w:cs="Times New Roman"/>
          <w:color w:val="000000" w:themeColor="text1"/>
          <w:sz w:val="24"/>
          <w:szCs w:val="24"/>
        </w:rPr>
        <w:t xml:space="preserve">6 for </w:t>
      </w:r>
      <w:r w:rsidRPr="000273A9">
        <w:rPr>
          <w:rFonts w:ascii="Times New Roman" w:hAnsi="Times New Roman" w:cs="Times New Roman"/>
          <w:i/>
          <w:iCs/>
          <w:color w:val="000000" w:themeColor="text1"/>
          <w:sz w:val="24"/>
          <w:szCs w:val="24"/>
        </w:rPr>
        <w:t xml:space="preserve">M. triangulatus </w:t>
      </w:r>
      <w:r w:rsidRPr="000273A9">
        <w:rPr>
          <w:rFonts w:ascii="Times New Roman" w:hAnsi="Times New Roman" w:cs="Times New Roman"/>
          <w:sz w:val="24"/>
          <w:szCs w:val="24"/>
        </w:rPr>
        <w:t>(Fig. S6)</w:t>
      </w:r>
      <w:r w:rsidRPr="000273A9">
        <w:rPr>
          <w:rFonts w:ascii="Times New Roman" w:hAnsi="Times New Roman" w:cs="Times New Roman"/>
          <w:color w:val="000000" w:themeColor="text1"/>
          <w:sz w:val="24"/>
          <w:szCs w:val="24"/>
        </w:rPr>
        <w:t xml:space="preserve">, and </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5</w:t>
      </w:r>
      <w:r w:rsidRPr="000273A9">
        <w:rPr>
          <w:rFonts w:ascii="Times New Roman" w:hAnsi="Times New Roman" w:cs="Times New Roman"/>
          <w:i/>
          <w:iCs/>
          <w:color w:val="000000" w:themeColor="text1"/>
          <w:sz w:val="24"/>
          <w:szCs w:val="24"/>
        </w:rPr>
        <w:t>M</w:t>
      </w:r>
      <w:r w:rsidRPr="000273A9">
        <w:rPr>
          <w:rFonts w:ascii="Times New Roman" w:hAnsi="Times New Roman" w:cs="Times New Roman"/>
          <w:color w:val="000000" w:themeColor="text1"/>
          <w:sz w:val="24"/>
          <w:szCs w:val="24"/>
        </w:rPr>
        <w:t>8</w:t>
      </w:r>
      <w:r w:rsidRPr="000273A9">
        <w:rPr>
          <w:rFonts w:ascii="Times New Roman" w:hAnsi="Times New Roman" w:cs="Times New Roman"/>
          <w:i/>
          <w:iCs/>
          <w:color w:val="000000" w:themeColor="text1"/>
          <w:sz w:val="24"/>
          <w:szCs w:val="24"/>
        </w:rPr>
        <w:t>n</w:t>
      </w:r>
      <w:r w:rsidRPr="000273A9">
        <w:rPr>
          <w:rFonts w:ascii="Times New Roman" w:hAnsi="Times New Roman" w:cs="Times New Roman"/>
          <w:color w:val="000000" w:themeColor="text1"/>
          <w:sz w:val="24"/>
          <w:szCs w:val="24"/>
        </w:rPr>
        <w:t xml:space="preserve">8 for </w:t>
      </w:r>
      <w:r w:rsidRPr="000273A9">
        <w:rPr>
          <w:rFonts w:ascii="Times New Roman" w:hAnsi="Times New Roman" w:cs="Times New Roman"/>
          <w:i/>
          <w:iCs/>
          <w:color w:val="000000" w:themeColor="text1"/>
          <w:sz w:val="24"/>
          <w:szCs w:val="24"/>
        </w:rPr>
        <w:t xml:space="preserve">M. macropus </w:t>
      </w:r>
      <w:r w:rsidRPr="000273A9">
        <w:rPr>
          <w:rFonts w:ascii="Times New Roman" w:hAnsi="Times New Roman" w:cs="Times New Roman"/>
          <w:sz w:val="24"/>
          <w:szCs w:val="24"/>
        </w:rPr>
        <w:t>(Fig. S7)</w:t>
      </w:r>
      <w:r w:rsidRPr="000273A9">
        <w:rPr>
          <w:rFonts w:ascii="Times New Roman" w:hAnsi="Times New Roman" w:cs="Times New Roman"/>
          <w:color w:val="000000" w:themeColor="text1"/>
          <w:sz w:val="24"/>
          <w:szCs w:val="24"/>
        </w:rPr>
        <w:t>, which will be referred to as “recommended” hereafter.</w:t>
      </w:r>
    </w:p>
    <w:p w14:paraId="5105A260" w14:textId="77777777" w:rsidR="00780D40" w:rsidRDefault="00780D40" w:rsidP="00780D40">
      <w:pPr>
        <w:jc w:val="both"/>
        <w:rPr>
          <w:rFonts w:ascii="Times New Roman" w:hAnsi="Times New Roman" w:cs="Times New Roman"/>
          <w:color w:val="000000" w:themeColor="text1"/>
        </w:rPr>
      </w:pPr>
      <w:r w:rsidRPr="00802863">
        <w:rPr>
          <w:rFonts w:ascii="Helvetica" w:hAnsi="Helvetica" w:cs="Times New Roman"/>
          <w:b/>
          <w:bCs/>
          <w:noProof/>
          <w:color w:val="000000" w:themeColor="text1"/>
        </w:rPr>
        <w:drawing>
          <wp:anchor distT="0" distB="0" distL="114300" distR="114300" simplePos="0" relativeHeight="251718656" behindDoc="0" locked="0" layoutInCell="1" allowOverlap="1" wp14:anchorId="310D235B" wp14:editId="601216E6">
            <wp:simplePos x="0" y="0"/>
            <wp:positionH relativeFrom="column">
              <wp:posOffset>0</wp:posOffset>
            </wp:positionH>
            <wp:positionV relativeFrom="paragraph">
              <wp:posOffset>113851</wp:posOffset>
            </wp:positionV>
            <wp:extent cx="5943600" cy="2639060"/>
            <wp:effectExtent l="0" t="0" r="0" b="2540"/>
            <wp:wrapNone/>
            <wp:docPr id="1447674107" name="Picture 4" descr="A group of graphs with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74107" name="Picture 4" descr="A group of graphs with different colored dots&#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2639060"/>
                    </a:xfrm>
                    <a:prstGeom prst="rect">
                      <a:avLst/>
                    </a:prstGeom>
                  </pic:spPr>
                </pic:pic>
              </a:graphicData>
            </a:graphic>
            <wp14:sizeRelH relativeFrom="page">
              <wp14:pctWidth>0</wp14:pctWidth>
            </wp14:sizeRelH>
            <wp14:sizeRelV relativeFrom="page">
              <wp14:pctHeight>0</wp14:pctHeight>
            </wp14:sizeRelV>
          </wp:anchor>
        </w:drawing>
      </w:r>
    </w:p>
    <w:p w14:paraId="60330C5F" w14:textId="77777777" w:rsidR="00780D40" w:rsidRDefault="00780D40" w:rsidP="00780D40">
      <w:pPr>
        <w:jc w:val="both"/>
        <w:rPr>
          <w:rFonts w:ascii="Times New Roman" w:hAnsi="Times New Roman" w:cs="Times New Roman"/>
          <w:color w:val="000000" w:themeColor="text1"/>
        </w:rPr>
      </w:pPr>
    </w:p>
    <w:p w14:paraId="216E8E00" w14:textId="77777777" w:rsidR="00780D40" w:rsidRDefault="00780D40" w:rsidP="00780D40">
      <w:pPr>
        <w:jc w:val="both"/>
        <w:rPr>
          <w:rFonts w:ascii="Times New Roman" w:hAnsi="Times New Roman" w:cs="Times New Roman"/>
          <w:color w:val="000000" w:themeColor="text1"/>
        </w:rPr>
      </w:pPr>
    </w:p>
    <w:p w14:paraId="294A68A6" w14:textId="77777777" w:rsidR="00780D40" w:rsidRDefault="00780D40" w:rsidP="00780D40">
      <w:pPr>
        <w:jc w:val="both"/>
        <w:rPr>
          <w:rFonts w:ascii="Times New Roman" w:hAnsi="Times New Roman" w:cs="Times New Roman"/>
          <w:color w:val="000000" w:themeColor="text1"/>
        </w:rPr>
      </w:pPr>
    </w:p>
    <w:p w14:paraId="269D6932" w14:textId="77777777" w:rsidR="00780D40" w:rsidRDefault="00780D40" w:rsidP="00780D40">
      <w:pPr>
        <w:jc w:val="both"/>
        <w:rPr>
          <w:rFonts w:ascii="Times New Roman" w:hAnsi="Times New Roman" w:cs="Times New Roman"/>
          <w:color w:val="000000" w:themeColor="text1"/>
        </w:rPr>
      </w:pPr>
    </w:p>
    <w:p w14:paraId="7FD9622D" w14:textId="77777777" w:rsidR="00780D40" w:rsidRPr="00805705" w:rsidRDefault="00780D40" w:rsidP="00780D40">
      <w:pPr>
        <w:jc w:val="both"/>
        <w:rPr>
          <w:rFonts w:ascii="Times New Roman" w:hAnsi="Times New Roman" w:cs="Times New Roman"/>
          <w:color w:val="000000" w:themeColor="text1"/>
        </w:rPr>
      </w:pPr>
    </w:p>
    <w:p w14:paraId="51984F55" w14:textId="77777777" w:rsidR="00780D40" w:rsidRDefault="00780D40" w:rsidP="00780D40">
      <w:pPr>
        <w:jc w:val="both"/>
        <w:rPr>
          <w:rFonts w:ascii="Times New Roman" w:hAnsi="Times New Roman" w:cs="Times New Roman"/>
          <w:b/>
          <w:bCs/>
        </w:rPr>
      </w:pPr>
    </w:p>
    <w:p w14:paraId="5B285ACD" w14:textId="77777777" w:rsidR="00780D40" w:rsidRDefault="00780D40" w:rsidP="00780D40">
      <w:pPr>
        <w:jc w:val="both"/>
        <w:rPr>
          <w:rFonts w:ascii="Times New Roman" w:hAnsi="Times New Roman" w:cs="Times New Roman"/>
          <w:b/>
          <w:bCs/>
        </w:rPr>
      </w:pPr>
    </w:p>
    <w:p w14:paraId="36304C08" w14:textId="77777777" w:rsidR="00780D40" w:rsidRDefault="00780D40" w:rsidP="00780D40">
      <w:pPr>
        <w:jc w:val="both"/>
        <w:rPr>
          <w:rFonts w:ascii="Times New Roman" w:hAnsi="Times New Roman" w:cs="Times New Roman"/>
          <w:b/>
          <w:bCs/>
        </w:rPr>
      </w:pPr>
    </w:p>
    <w:p w14:paraId="75E19569" w14:textId="77777777" w:rsidR="00780D40" w:rsidRDefault="00780D40" w:rsidP="00780D40">
      <w:pPr>
        <w:jc w:val="both"/>
        <w:rPr>
          <w:rFonts w:ascii="Times New Roman" w:hAnsi="Times New Roman" w:cs="Times New Roman"/>
          <w:b/>
          <w:bCs/>
        </w:rPr>
      </w:pPr>
    </w:p>
    <w:p w14:paraId="38D5DED4" w14:textId="77777777" w:rsidR="00780D40" w:rsidRDefault="00780D40" w:rsidP="00780D40">
      <w:pPr>
        <w:jc w:val="both"/>
        <w:rPr>
          <w:rFonts w:ascii="Times New Roman" w:hAnsi="Times New Roman" w:cs="Times New Roman"/>
          <w:b/>
          <w:bCs/>
        </w:rPr>
      </w:pPr>
      <w:r w:rsidRPr="00802863">
        <w:rPr>
          <w:rFonts w:ascii="Helvetica" w:hAnsi="Helvetica"/>
          <w:noProof/>
        </w:rPr>
        <mc:AlternateContent>
          <mc:Choice Requires="wps">
            <w:drawing>
              <wp:anchor distT="0" distB="0" distL="114300" distR="114300" simplePos="0" relativeHeight="251719680" behindDoc="0" locked="0" layoutInCell="1" allowOverlap="1" wp14:anchorId="31056247" wp14:editId="369806C6">
                <wp:simplePos x="0" y="0"/>
                <wp:positionH relativeFrom="column">
                  <wp:posOffset>0</wp:posOffset>
                </wp:positionH>
                <wp:positionV relativeFrom="paragraph">
                  <wp:posOffset>132266</wp:posOffset>
                </wp:positionV>
                <wp:extent cx="5855970" cy="468630"/>
                <wp:effectExtent l="0" t="0" r="0" b="0"/>
                <wp:wrapNone/>
                <wp:docPr id="1748370346" name="Text Box 2"/>
                <wp:cNvGraphicFramePr/>
                <a:graphic xmlns:a="http://schemas.openxmlformats.org/drawingml/2006/main">
                  <a:graphicData uri="http://schemas.microsoft.com/office/word/2010/wordprocessingShape">
                    <wps:wsp>
                      <wps:cNvSpPr txBox="1"/>
                      <wps:spPr>
                        <a:xfrm>
                          <a:off x="0" y="0"/>
                          <a:ext cx="5855970" cy="468630"/>
                        </a:xfrm>
                        <a:prstGeom prst="rect">
                          <a:avLst/>
                        </a:prstGeom>
                        <a:noFill/>
                        <a:ln w="6350">
                          <a:noFill/>
                        </a:ln>
                      </wps:spPr>
                      <wps:txbx>
                        <w:txbxContent>
                          <w:p w14:paraId="7757627A" w14:textId="77777777" w:rsidR="00780D40" w:rsidRPr="001D608F" w:rsidRDefault="00780D40" w:rsidP="00780D40">
                            <w:pPr>
                              <w:jc w:val="both"/>
                              <w:rPr>
                                <w:rFonts w:ascii="Times New Roman" w:hAnsi="Times New Roman" w:cs="Times New Roman"/>
                                <w:color w:val="000000" w:themeColor="text1"/>
                                <w:sz w:val="20"/>
                                <w:szCs w:val="20"/>
                              </w:rPr>
                            </w:pPr>
                            <w:bookmarkStart w:id="6" w:name="FigS3"/>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w:t>
                            </w:r>
                            <w:bookmarkEnd w:id="6"/>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Parameter optimization varying one main parameter at the time for A) </w:t>
                            </w:r>
                            <w:r w:rsidRPr="00A524C4">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xml:space="preserve">, B) </w:t>
                            </w:r>
                            <w:r w:rsidRPr="00A524C4">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 xml:space="preserve">, and C) </w:t>
                            </w:r>
                            <w:r w:rsidRPr="00A524C4">
                              <w:rPr>
                                <w:rFonts w:ascii="Times New Roman" w:hAnsi="Times New Roman" w:cs="Times New Roman"/>
                                <w:i/>
                                <w:iCs/>
                                <w:color w:val="000000" w:themeColor="text1"/>
                                <w:sz w:val="20"/>
                                <w:szCs w:val="20"/>
                              </w:rPr>
                              <w:t>M. macropus</w:t>
                            </w:r>
                            <w:r>
                              <w:rPr>
                                <w:rFonts w:ascii="Times New Roman" w:hAnsi="Times New Roman" w:cs="Times New Roman"/>
                                <w:color w:val="000000" w:themeColor="text1"/>
                                <w:sz w:val="20"/>
                                <w:szCs w:val="20"/>
                              </w:rPr>
                              <w:t>.</w:t>
                            </w:r>
                          </w:p>
                          <w:p w14:paraId="6E69D508" w14:textId="77777777" w:rsidR="00780D40" w:rsidRDefault="00780D40" w:rsidP="00780D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056247" id="_x0000_s1040" type="#_x0000_t202" style="position:absolute;left:0;text-align:left;margin-left:0;margin-top:10.4pt;width:461.1pt;height:36.9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6UXNHAIAADQ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" filled="f" stroked="f" strokeweight=".5pt">
                <v:textbox>
                  <w:txbxContent>
                    <w:p w14:paraId="7757627A" w14:textId="77777777" w:rsidR="00780D40" w:rsidRPr="001D608F" w:rsidRDefault="00780D40" w:rsidP="00780D40">
                      <w:pPr>
                        <w:jc w:val="both"/>
                        <w:rPr>
                          <w:rFonts w:ascii="Times New Roman" w:hAnsi="Times New Roman" w:cs="Times New Roman"/>
                          <w:color w:val="000000" w:themeColor="text1"/>
                          <w:sz w:val="20"/>
                          <w:szCs w:val="20"/>
                        </w:rPr>
                      </w:pPr>
                      <w:bookmarkStart w:id="9" w:name="FigS3"/>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w:t>
                      </w:r>
                      <w:bookmarkEnd w:id="9"/>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Parameter optimization varying one main parameter at the time for A) </w:t>
                      </w:r>
                      <w:r w:rsidRPr="00A524C4">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xml:space="preserve">, B) </w:t>
                      </w:r>
                      <w:r w:rsidRPr="00A524C4">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 xml:space="preserve">, and C) </w:t>
                      </w:r>
                      <w:r w:rsidRPr="00A524C4">
                        <w:rPr>
                          <w:rFonts w:ascii="Times New Roman" w:hAnsi="Times New Roman" w:cs="Times New Roman"/>
                          <w:i/>
                          <w:iCs/>
                          <w:color w:val="000000" w:themeColor="text1"/>
                          <w:sz w:val="20"/>
                          <w:szCs w:val="20"/>
                        </w:rPr>
                        <w:t>M. macropus</w:t>
                      </w:r>
                      <w:r>
                        <w:rPr>
                          <w:rFonts w:ascii="Times New Roman" w:hAnsi="Times New Roman" w:cs="Times New Roman"/>
                          <w:color w:val="000000" w:themeColor="text1"/>
                          <w:sz w:val="20"/>
                          <w:szCs w:val="20"/>
                        </w:rPr>
                        <w:t>.</w:t>
                      </w:r>
                    </w:p>
                    <w:p w14:paraId="6E69D508" w14:textId="77777777" w:rsidR="00780D40" w:rsidRDefault="00780D40" w:rsidP="00780D40"/>
                  </w:txbxContent>
                </v:textbox>
              </v:shape>
            </w:pict>
          </mc:Fallback>
        </mc:AlternateContent>
      </w:r>
    </w:p>
    <w:p w14:paraId="7FD25064" w14:textId="77777777" w:rsidR="00780D40" w:rsidRDefault="00780D40" w:rsidP="00780D40">
      <w:pPr>
        <w:jc w:val="both"/>
        <w:rPr>
          <w:rFonts w:ascii="Times New Roman" w:hAnsi="Times New Roman" w:cs="Times New Roman"/>
          <w:b/>
          <w:bCs/>
        </w:rPr>
      </w:pPr>
    </w:p>
    <w:p w14:paraId="42630350" w14:textId="77777777" w:rsidR="00780D40" w:rsidRDefault="00780D40" w:rsidP="00780D40">
      <w:pPr>
        <w:jc w:val="both"/>
        <w:rPr>
          <w:rFonts w:ascii="Times New Roman" w:hAnsi="Times New Roman" w:cs="Times New Roman"/>
          <w:b/>
          <w:bCs/>
        </w:rPr>
      </w:pPr>
    </w:p>
    <w:p w14:paraId="331FB435" w14:textId="77777777" w:rsidR="00A833DB" w:rsidRDefault="00A833DB" w:rsidP="00780D40">
      <w:pPr>
        <w:jc w:val="both"/>
        <w:rPr>
          <w:rFonts w:ascii="Times New Roman" w:hAnsi="Times New Roman" w:cs="Times New Roman"/>
          <w:b/>
          <w:bCs/>
        </w:rPr>
      </w:pPr>
    </w:p>
    <w:p w14:paraId="5B864B8F" w14:textId="77777777" w:rsidR="00A833DB" w:rsidRDefault="00A833DB" w:rsidP="00780D40">
      <w:pPr>
        <w:jc w:val="both"/>
        <w:rPr>
          <w:rFonts w:ascii="Times New Roman" w:hAnsi="Times New Roman" w:cs="Times New Roman"/>
          <w:b/>
          <w:bCs/>
        </w:rPr>
      </w:pPr>
    </w:p>
    <w:p w14:paraId="05EA0EAF" w14:textId="77777777" w:rsidR="00A833DB" w:rsidRDefault="00A833DB" w:rsidP="00780D40">
      <w:pPr>
        <w:jc w:val="both"/>
        <w:rPr>
          <w:rFonts w:ascii="Times New Roman" w:hAnsi="Times New Roman" w:cs="Times New Roman"/>
          <w:b/>
          <w:bCs/>
        </w:rPr>
      </w:pPr>
    </w:p>
    <w:p w14:paraId="24CEE0A0" w14:textId="77777777" w:rsidR="00A833DB" w:rsidRDefault="00A833DB" w:rsidP="00780D40">
      <w:pPr>
        <w:jc w:val="both"/>
        <w:rPr>
          <w:rFonts w:ascii="Times New Roman" w:hAnsi="Times New Roman" w:cs="Times New Roman"/>
          <w:b/>
          <w:bCs/>
        </w:rPr>
      </w:pPr>
    </w:p>
    <w:p w14:paraId="2F482CB3" w14:textId="77777777" w:rsidR="00A833DB" w:rsidRDefault="00A833DB" w:rsidP="00780D40">
      <w:pPr>
        <w:jc w:val="both"/>
        <w:rPr>
          <w:rFonts w:ascii="Times New Roman" w:hAnsi="Times New Roman" w:cs="Times New Roman"/>
          <w:b/>
          <w:bCs/>
        </w:rPr>
      </w:pPr>
    </w:p>
    <w:p w14:paraId="1588BDE1" w14:textId="77777777" w:rsidR="00A833DB" w:rsidRDefault="00A833DB" w:rsidP="00780D40">
      <w:pPr>
        <w:jc w:val="both"/>
        <w:rPr>
          <w:rFonts w:ascii="Times New Roman" w:hAnsi="Times New Roman" w:cs="Times New Roman"/>
          <w:b/>
          <w:bCs/>
        </w:rPr>
      </w:pPr>
    </w:p>
    <w:p w14:paraId="3EE44634" w14:textId="77777777" w:rsidR="00A833DB" w:rsidRDefault="00A833DB" w:rsidP="00780D40">
      <w:pPr>
        <w:jc w:val="both"/>
        <w:rPr>
          <w:rFonts w:ascii="Times New Roman" w:hAnsi="Times New Roman" w:cs="Times New Roman"/>
          <w:b/>
          <w:bCs/>
        </w:rPr>
      </w:pPr>
    </w:p>
    <w:p w14:paraId="6B82FEFC" w14:textId="77777777" w:rsidR="00780D40" w:rsidRDefault="00780D40" w:rsidP="00780D40">
      <w:pPr>
        <w:jc w:val="both"/>
        <w:rPr>
          <w:rFonts w:ascii="Times New Roman" w:hAnsi="Times New Roman" w:cs="Times New Roman"/>
          <w:b/>
          <w:bCs/>
        </w:rPr>
      </w:pPr>
    </w:p>
    <w:p w14:paraId="1B7CEB1B" w14:textId="77777777" w:rsidR="00780D40" w:rsidRDefault="00780D40" w:rsidP="00780D40">
      <w:pPr>
        <w:jc w:val="both"/>
        <w:rPr>
          <w:rFonts w:ascii="Times New Roman" w:hAnsi="Times New Roman" w:cs="Times New Roman"/>
          <w:b/>
          <w:bCs/>
        </w:rPr>
      </w:pPr>
      <w:r>
        <w:rPr>
          <w:rFonts w:ascii="Times New Roman" w:hAnsi="Times New Roman" w:cs="Times New Roman"/>
          <w:b/>
          <w:bCs/>
          <w:noProof/>
        </w:rPr>
        <w:lastRenderedPageBreak/>
        <mc:AlternateContent>
          <mc:Choice Requires="wpg">
            <w:drawing>
              <wp:anchor distT="0" distB="0" distL="114300" distR="114300" simplePos="0" relativeHeight="251721728" behindDoc="0" locked="0" layoutInCell="1" allowOverlap="1" wp14:anchorId="0148B0A0" wp14:editId="5CACA3AB">
                <wp:simplePos x="0" y="0"/>
                <wp:positionH relativeFrom="column">
                  <wp:posOffset>0</wp:posOffset>
                </wp:positionH>
                <wp:positionV relativeFrom="paragraph">
                  <wp:posOffset>84641</wp:posOffset>
                </wp:positionV>
                <wp:extent cx="5943600" cy="2564130"/>
                <wp:effectExtent l="0" t="0" r="0" b="1270"/>
                <wp:wrapNone/>
                <wp:docPr id="1932799499" name="Group 4"/>
                <wp:cNvGraphicFramePr/>
                <a:graphic xmlns:a="http://schemas.openxmlformats.org/drawingml/2006/main">
                  <a:graphicData uri="http://schemas.microsoft.com/office/word/2010/wordprocessingGroup">
                    <wpg:wgp>
                      <wpg:cNvGrpSpPr/>
                      <wpg:grpSpPr>
                        <a:xfrm>
                          <a:off x="0" y="0"/>
                          <a:ext cx="5943600" cy="2564130"/>
                          <a:chOff x="0" y="0"/>
                          <a:chExt cx="5943600" cy="2564130"/>
                        </a:xfrm>
                      </wpg:grpSpPr>
                      <pic:pic xmlns:pic="http://schemas.openxmlformats.org/drawingml/2006/picture">
                        <pic:nvPicPr>
                          <pic:cNvPr id="1318057549" name="Picture 7" descr="A screenshot of a computer&#10;&#10;Description automatically generated"/>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2564130"/>
                          </a:xfrm>
                          <a:prstGeom prst="rect">
                            <a:avLst/>
                          </a:prstGeom>
                        </pic:spPr>
                      </pic:pic>
                      <pic:pic xmlns:pic="http://schemas.openxmlformats.org/drawingml/2006/picture">
                        <pic:nvPicPr>
                          <pic:cNvPr id="1573258211" name="Picture 1" descr="A graph of a graph with numbers and lines&#10;&#10;Description automatically generated with medium confidence"/>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2441542" y="169682"/>
                            <a:ext cx="1107440" cy="1102995"/>
                          </a:xfrm>
                          <a:prstGeom prst="rect">
                            <a:avLst/>
                          </a:prstGeom>
                        </pic:spPr>
                      </pic:pic>
                      <pic:pic xmlns:pic="http://schemas.openxmlformats.org/drawingml/2006/picture">
                        <pic:nvPicPr>
                          <pic:cNvPr id="550233335" name="Picture 2" descr="A graph with lines and numbers&#10;&#10;Description automatically generated"/>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4392891" y="169682"/>
                            <a:ext cx="1123315" cy="1104900"/>
                          </a:xfrm>
                          <a:prstGeom prst="rect">
                            <a:avLst/>
                          </a:prstGeom>
                        </pic:spPr>
                      </pic:pic>
                    </wpg:wgp>
                  </a:graphicData>
                </a:graphic>
              </wp:anchor>
            </w:drawing>
          </mc:Choice>
          <mc:Fallback>
            <w:pict>
              <v:group w14:anchorId="55D46A4C" id="Group 4" o:spid="_x0000_s1026" style="position:absolute;margin-left:0;margin-top:6.65pt;width:468pt;height:201.9pt;z-index:251721728" coordsize="59436,256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">
                <v:shape id="Picture 7" o:spid="_x0000_s1027" type="#_x0000_t75" alt="A screenshot of a computer&#10;&#10;Description automatically generated" style="position:absolute;width:59436;height:256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">
                  <v:imagedata r:id="rId51" o:title="A screenshot of a computer&#10;&#10;Description automatically generated"/>
                </v:shape>
                <v:shape id="Picture 1" o:spid="_x0000_s1028" type="#_x0000_t75" alt="A graph of a graph with numbers and lines&#10;&#10;Description automatically generated with medium confidence" style="position:absolute;left:24415;top:1696;width:11074;height:110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">
                  <v:imagedata r:id="rId52" o:title="A graph of a graph with numbers and lines&#10;&#10;Description automatically generated with medium confidence"/>
                </v:shape>
                <v:shape id="Picture 2" o:spid="_x0000_s1029" type="#_x0000_t75" alt="A graph with lines and numbers&#10;&#10;Description automatically generated" style="position:absolute;left:43928;top:1696;width:11234;height:110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">
                  <v:imagedata r:id="rId53" o:title="A graph with lines and numbers&#10;&#10;Description automatically generated"/>
                </v:shape>
              </v:group>
            </w:pict>
          </mc:Fallback>
        </mc:AlternateContent>
      </w:r>
    </w:p>
    <w:p w14:paraId="22543178" w14:textId="77777777" w:rsidR="00780D40" w:rsidRDefault="00780D40" w:rsidP="00780D40">
      <w:pPr>
        <w:jc w:val="both"/>
        <w:rPr>
          <w:rFonts w:ascii="Times New Roman" w:hAnsi="Times New Roman" w:cs="Times New Roman"/>
          <w:b/>
          <w:bCs/>
        </w:rPr>
      </w:pPr>
    </w:p>
    <w:p w14:paraId="12FA8716" w14:textId="77777777" w:rsidR="00780D40" w:rsidRDefault="00780D40" w:rsidP="00780D40">
      <w:pPr>
        <w:jc w:val="both"/>
        <w:rPr>
          <w:rFonts w:ascii="Times New Roman" w:hAnsi="Times New Roman" w:cs="Times New Roman"/>
          <w:b/>
          <w:bCs/>
        </w:rPr>
      </w:pPr>
    </w:p>
    <w:p w14:paraId="301D1D34" w14:textId="77777777" w:rsidR="00780D40" w:rsidRDefault="00780D40" w:rsidP="00780D40">
      <w:pPr>
        <w:jc w:val="both"/>
        <w:rPr>
          <w:rFonts w:ascii="Times New Roman" w:hAnsi="Times New Roman" w:cs="Times New Roman"/>
          <w:b/>
          <w:bCs/>
        </w:rPr>
      </w:pPr>
    </w:p>
    <w:p w14:paraId="67F60EEF" w14:textId="77777777" w:rsidR="00780D40" w:rsidRDefault="00780D40" w:rsidP="00780D40">
      <w:pPr>
        <w:jc w:val="both"/>
        <w:rPr>
          <w:rFonts w:ascii="Times New Roman" w:hAnsi="Times New Roman" w:cs="Times New Roman"/>
          <w:b/>
          <w:bCs/>
        </w:rPr>
      </w:pPr>
    </w:p>
    <w:p w14:paraId="65A7C5C2" w14:textId="77777777" w:rsidR="00780D40" w:rsidRDefault="00780D40" w:rsidP="00780D40">
      <w:pPr>
        <w:jc w:val="both"/>
        <w:rPr>
          <w:rFonts w:ascii="Times New Roman" w:hAnsi="Times New Roman" w:cs="Times New Roman"/>
          <w:b/>
          <w:bCs/>
        </w:rPr>
      </w:pPr>
    </w:p>
    <w:p w14:paraId="705A82A2" w14:textId="77777777" w:rsidR="00780D40" w:rsidRDefault="00780D40" w:rsidP="00780D40">
      <w:pPr>
        <w:jc w:val="both"/>
        <w:rPr>
          <w:rFonts w:ascii="Times New Roman" w:hAnsi="Times New Roman" w:cs="Times New Roman"/>
          <w:b/>
          <w:bCs/>
        </w:rPr>
      </w:pPr>
    </w:p>
    <w:p w14:paraId="5B5274EA" w14:textId="77777777" w:rsidR="00780D40" w:rsidRDefault="00780D40" w:rsidP="00780D40">
      <w:pPr>
        <w:jc w:val="both"/>
        <w:rPr>
          <w:rFonts w:ascii="Times New Roman" w:hAnsi="Times New Roman" w:cs="Times New Roman"/>
          <w:b/>
          <w:bCs/>
        </w:rPr>
      </w:pPr>
    </w:p>
    <w:p w14:paraId="055C1CCA" w14:textId="77777777" w:rsidR="00780D40" w:rsidRDefault="00780D40" w:rsidP="00780D40">
      <w:pPr>
        <w:jc w:val="both"/>
        <w:rPr>
          <w:rFonts w:ascii="Times New Roman" w:hAnsi="Times New Roman" w:cs="Times New Roman"/>
          <w:b/>
          <w:bCs/>
        </w:rPr>
      </w:pPr>
    </w:p>
    <w:p w14:paraId="39C91473" w14:textId="77777777" w:rsidR="00780D40" w:rsidRDefault="00780D40" w:rsidP="00780D40">
      <w:pPr>
        <w:jc w:val="both"/>
        <w:rPr>
          <w:rFonts w:ascii="Times New Roman" w:hAnsi="Times New Roman" w:cs="Times New Roman"/>
          <w:b/>
          <w:bCs/>
        </w:rPr>
      </w:pPr>
    </w:p>
    <w:p w14:paraId="722259EA" w14:textId="6EDE7820" w:rsidR="00780D40" w:rsidRDefault="00780D40" w:rsidP="00780D40">
      <w:pPr>
        <w:jc w:val="both"/>
        <w:rPr>
          <w:rFonts w:ascii="Times New Roman" w:hAnsi="Times New Roman" w:cs="Times New Roman"/>
          <w:b/>
          <w:bCs/>
        </w:rPr>
      </w:pPr>
      <w:r w:rsidRPr="00802863">
        <w:rPr>
          <w:rFonts w:ascii="Helvetica" w:hAnsi="Helvetica"/>
          <w:noProof/>
        </w:rPr>
        <mc:AlternateContent>
          <mc:Choice Requires="wps">
            <w:drawing>
              <wp:anchor distT="0" distB="0" distL="114300" distR="114300" simplePos="0" relativeHeight="251720704" behindDoc="0" locked="0" layoutInCell="1" allowOverlap="1" wp14:anchorId="660FC424" wp14:editId="2752FD25">
                <wp:simplePos x="0" y="0"/>
                <wp:positionH relativeFrom="column">
                  <wp:posOffset>82061</wp:posOffset>
                </wp:positionH>
                <wp:positionV relativeFrom="paragraph">
                  <wp:posOffset>116156</wp:posOffset>
                </wp:positionV>
                <wp:extent cx="5855970" cy="468630"/>
                <wp:effectExtent l="0" t="0" r="0" b="0"/>
                <wp:wrapNone/>
                <wp:docPr id="217674030" name="Text Box 2"/>
                <wp:cNvGraphicFramePr/>
                <a:graphic xmlns:a="http://schemas.openxmlformats.org/drawingml/2006/main">
                  <a:graphicData uri="http://schemas.microsoft.com/office/word/2010/wordprocessingShape">
                    <wps:wsp>
                      <wps:cNvSpPr txBox="1"/>
                      <wps:spPr>
                        <a:xfrm>
                          <a:off x="0" y="0"/>
                          <a:ext cx="5855970" cy="468630"/>
                        </a:xfrm>
                        <a:prstGeom prst="rect">
                          <a:avLst/>
                        </a:prstGeom>
                        <a:noFill/>
                        <a:ln w="6350">
                          <a:noFill/>
                        </a:ln>
                      </wps:spPr>
                      <wps:txbx>
                        <w:txbxContent>
                          <w:p w14:paraId="49AEC1B6" w14:textId="77777777" w:rsidR="00780D40" w:rsidRDefault="00780D40" w:rsidP="00780D40">
                            <w:pPr>
                              <w:jc w:val="both"/>
                            </w:pPr>
                            <w:bookmarkStart w:id="7" w:name="FigS4"/>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4</w:t>
                            </w:r>
                            <w:bookmarkEnd w:id="7"/>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coverage of the 15 samples of </w:t>
                            </w:r>
                            <w:r w:rsidRPr="00896B6A">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xml:space="preserve">, </w:t>
                            </w:r>
                            <w:r w:rsidRPr="00896B6A">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 xml:space="preserve">, and </w:t>
                            </w:r>
                            <w:r w:rsidRPr="00896B6A">
                              <w:rPr>
                                <w:rFonts w:ascii="Times New Roman" w:hAnsi="Times New Roman" w:cs="Times New Roman"/>
                                <w:i/>
                                <w:iCs/>
                                <w:color w:val="000000" w:themeColor="text1"/>
                                <w:sz w:val="20"/>
                                <w:szCs w:val="20"/>
                              </w:rPr>
                              <w:t>M. macropus</w:t>
                            </w:r>
                            <w:r>
                              <w:rPr>
                                <w:rFonts w:ascii="Times New Roman" w:hAnsi="Times New Roman" w:cs="Times New Roman"/>
                                <w:color w:val="000000" w:themeColor="text1"/>
                                <w:sz w:val="20"/>
                                <w:szCs w:val="20"/>
                              </w:rPr>
                              <w:t xml:space="preserve"> during parameter optimization. B) polymorphic loci at each increment of the M parameter.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0FC424" id="_x0000_s1041" type="#_x0000_t202" style="position:absolute;left:0;text-align:left;margin-left:6.45pt;margin-top:9.15pt;width:461.1pt;height:36.9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" filled="f" stroked="f" strokeweight=".5pt">
                <v:textbox>
                  <w:txbxContent>
                    <w:p w14:paraId="49AEC1B6" w14:textId="77777777" w:rsidR="00780D40" w:rsidRDefault="00780D40" w:rsidP="00780D40">
                      <w:pPr>
                        <w:jc w:val="both"/>
                      </w:pPr>
                      <w:bookmarkStart w:id="11" w:name="FigS4"/>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4</w:t>
                      </w:r>
                      <w:bookmarkEnd w:id="11"/>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coverage of the 15 samples of </w:t>
                      </w:r>
                      <w:r w:rsidRPr="00896B6A">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xml:space="preserve">, </w:t>
                      </w:r>
                      <w:r w:rsidRPr="00896B6A">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 xml:space="preserve">, and </w:t>
                      </w:r>
                      <w:r w:rsidRPr="00896B6A">
                        <w:rPr>
                          <w:rFonts w:ascii="Times New Roman" w:hAnsi="Times New Roman" w:cs="Times New Roman"/>
                          <w:i/>
                          <w:iCs/>
                          <w:color w:val="000000" w:themeColor="text1"/>
                          <w:sz w:val="20"/>
                          <w:szCs w:val="20"/>
                        </w:rPr>
                        <w:t>M. macropus</w:t>
                      </w:r>
                      <w:r>
                        <w:rPr>
                          <w:rFonts w:ascii="Times New Roman" w:hAnsi="Times New Roman" w:cs="Times New Roman"/>
                          <w:color w:val="000000" w:themeColor="text1"/>
                          <w:sz w:val="20"/>
                          <w:szCs w:val="20"/>
                        </w:rPr>
                        <w:t xml:space="preserve"> during parameter optimization. B) polymorphic loci at each increment of the M parameter.</w:t>
                      </w:r>
                    </w:p>
                  </w:txbxContent>
                </v:textbox>
              </v:shape>
            </w:pict>
          </mc:Fallback>
        </mc:AlternateContent>
      </w:r>
    </w:p>
    <w:p w14:paraId="2AE0538E" w14:textId="5AD0F9F7" w:rsidR="00780D40" w:rsidRDefault="00780D40" w:rsidP="00780D40">
      <w:pPr>
        <w:jc w:val="both"/>
        <w:rPr>
          <w:rFonts w:ascii="Times New Roman" w:hAnsi="Times New Roman" w:cs="Times New Roman"/>
          <w:b/>
          <w:bCs/>
        </w:rPr>
      </w:pPr>
    </w:p>
    <w:p w14:paraId="394D6C3D" w14:textId="2E72A826" w:rsidR="00780D40" w:rsidRDefault="00780D40" w:rsidP="00780D40">
      <w:pPr>
        <w:jc w:val="both"/>
        <w:rPr>
          <w:rFonts w:ascii="Times New Roman" w:hAnsi="Times New Roman" w:cs="Times New Roman"/>
          <w:b/>
          <w:bCs/>
        </w:rPr>
      </w:pPr>
    </w:p>
    <w:p w14:paraId="310527FB" w14:textId="77777777" w:rsidR="00321B78" w:rsidRPr="00A833DB" w:rsidRDefault="00321B78" w:rsidP="00321B78">
      <w:pPr>
        <w:jc w:val="both"/>
        <w:rPr>
          <w:rFonts w:ascii="Times New Roman" w:hAnsi="Times New Roman" w:cs="Times New Roman"/>
          <w:color w:val="000000" w:themeColor="text1"/>
          <w:sz w:val="24"/>
          <w:szCs w:val="24"/>
        </w:rPr>
      </w:pPr>
      <w:r w:rsidRPr="00A833DB">
        <w:rPr>
          <w:rFonts w:ascii="Times New Roman" w:hAnsi="Times New Roman" w:cs="Times New Roman"/>
          <w:color w:val="000000" w:themeColor="text1"/>
          <w:sz w:val="24"/>
          <w:szCs w:val="24"/>
        </w:rPr>
        <w:t xml:space="preserve">It is worth noting that gapped alignments (--gapped) were not included in any of the parametrization tests. While this flag can potentially increase the number of loci for analysis, it also enhances the risk of creating complex and putatively error-containing, loci </w:t>
      </w:r>
      <w:r w:rsidRPr="00A833DB">
        <w:rPr>
          <w:rFonts w:ascii="Times New Roman" w:hAnsi="Times New Roman" w:cs="Times New Roman"/>
          <w:color w:val="000000" w:themeColor="text1"/>
          <w:sz w:val="24"/>
          <w:szCs w:val="24"/>
        </w:rPr>
        <w:fldChar w:fldCharType="begin" w:fldLock="1"/>
      </w:r>
      <w:r w:rsidRPr="00A833DB">
        <w:rPr>
          <w:rFonts w:ascii="Times New Roman" w:hAnsi="Times New Roman" w:cs="Times New Roman"/>
          <w:color w:val="000000" w:themeColor="text1"/>
          <w:sz w:val="24"/>
          <w:szCs w:val="24"/>
        </w:rPr>
        <w:instrText>ADDIN CSL_CITATION {"citationItems":[{"id":"ITEM-1","itemData":{"DOI":"10.1111/2041-210X.12775","ISSN":"2041210X","abstract":"Restriction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63928161-c6fb-41de-a398-2603a959f2cd"]}],"mendeley":{"formattedCitation":"(61)","plainTextFormattedCitation":"(61)","previouslyFormattedCitation":"(60)"},"properties":{"noteIndex":0},"schema":"https://github.com/citation-style-language/schema/raw/master/csl-citation.json"}</w:instrText>
      </w:r>
      <w:r w:rsidRPr="00A833DB">
        <w:rPr>
          <w:rFonts w:ascii="Times New Roman" w:hAnsi="Times New Roman" w:cs="Times New Roman"/>
          <w:color w:val="000000" w:themeColor="text1"/>
          <w:sz w:val="24"/>
          <w:szCs w:val="24"/>
        </w:rPr>
        <w:fldChar w:fldCharType="separate"/>
      </w:r>
      <w:r w:rsidRPr="00A833DB">
        <w:rPr>
          <w:rFonts w:ascii="Times New Roman" w:hAnsi="Times New Roman" w:cs="Times New Roman"/>
          <w:noProof/>
          <w:color w:val="000000" w:themeColor="text1"/>
          <w:sz w:val="24"/>
          <w:szCs w:val="24"/>
        </w:rPr>
        <w:t>(61)</w:t>
      </w:r>
      <w:r w:rsidRPr="00A833DB">
        <w:rPr>
          <w:rFonts w:ascii="Times New Roman" w:hAnsi="Times New Roman" w:cs="Times New Roman"/>
          <w:color w:val="000000" w:themeColor="text1"/>
          <w:sz w:val="24"/>
          <w:szCs w:val="24"/>
        </w:rPr>
        <w:fldChar w:fldCharType="end"/>
      </w:r>
      <w:r w:rsidRPr="00A833DB">
        <w:rPr>
          <w:rFonts w:ascii="Times New Roman" w:hAnsi="Times New Roman" w:cs="Times New Roman"/>
          <w:color w:val="000000" w:themeColor="text1"/>
          <w:sz w:val="24"/>
          <w:szCs w:val="24"/>
        </w:rPr>
        <w:t>.</w:t>
      </w:r>
    </w:p>
    <w:p w14:paraId="2DDB90A4" w14:textId="77777777" w:rsidR="00321B78" w:rsidRDefault="00321B78" w:rsidP="00321B78">
      <w:pPr>
        <w:jc w:val="both"/>
        <w:rPr>
          <w:rFonts w:ascii="Times New Roman" w:hAnsi="Times New Roman" w:cs="Times New Roman"/>
          <w:color w:val="000000" w:themeColor="text1"/>
        </w:rPr>
      </w:pPr>
    </w:p>
    <w:p w14:paraId="23DB2DC4" w14:textId="77777777" w:rsidR="00A833DB" w:rsidRDefault="00A833DB" w:rsidP="00321B78">
      <w:pPr>
        <w:jc w:val="both"/>
        <w:rPr>
          <w:rFonts w:ascii="Times New Roman" w:hAnsi="Times New Roman" w:cs="Times New Roman"/>
          <w:color w:val="000000" w:themeColor="text1"/>
        </w:rPr>
      </w:pPr>
    </w:p>
    <w:p w14:paraId="42E93E31" w14:textId="77777777" w:rsidR="00A833DB" w:rsidRDefault="00A833DB" w:rsidP="00321B78">
      <w:pPr>
        <w:jc w:val="both"/>
        <w:rPr>
          <w:rFonts w:ascii="Times New Roman" w:hAnsi="Times New Roman" w:cs="Times New Roman"/>
          <w:color w:val="000000" w:themeColor="text1"/>
        </w:rPr>
      </w:pPr>
    </w:p>
    <w:p w14:paraId="702A0EEB" w14:textId="77777777" w:rsidR="00A833DB" w:rsidRDefault="00A833DB" w:rsidP="00321B78">
      <w:pPr>
        <w:jc w:val="both"/>
        <w:rPr>
          <w:rFonts w:ascii="Times New Roman" w:hAnsi="Times New Roman" w:cs="Times New Roman"/>
          <w:color w:val="000000" w:themeColor="text1"/>
        </w:rPr>
      </w:pPr>
    </w:p>
    <w:p w14:paraId="30D5ED0D" w14:textId="77777777" w:rsidR="00A833DB" w:rsidRDefault="00A833DB" w:rsidP="00321B78">
      <w:pPr>
        <w:jc w:val="both"/>
        <w:rPr>
          <w:rFonts w:ascii="Times New Roman" w:hAnsi="Times New Roman" w:cs="Times New Roman"/>
          <w:color w:val="000000" w:themeColor="text1"/>
        </w:rPr>
      </w:pPr>
    </w:p>
    <w:p w14:paraId="39EED730" w14:textId="77777777" w:rsidR="00A833DB" w:rsidRDefault="00A833DB" w:rsidP="00321B78">
      <w:pPr>
        <w:jc w:val="both"/>
        <w:rPr>
          <w:rFonts w:ascii="Times New Roman" w:hAnsi="Times New Roman" w:cs="Times New Roman"/>
          <w:color w:val="000000" w:themeColor="text1"/>
        </w:rPr>
      </w:pPr>
    </w:p>
    <w:p w14:paraId="23BF34ED" w14:textId="77777777" w:rsidR="00A833DB" w:rsidRDefault="00A833DB" w:rsidP="00321B78">
      <w:pPr>
        <w:jc w:val="both"/>
        <w:rPr>
          <w:rFonts w:ascii="Times New Roman" w:hAnsi="Times New Roman" w:cs="Times New Roman"/>
          <w:color w:val="000000" w:themeColor="text1"/>
        </w:rPr>
      </w:pPr>
    </w:p>
    <w:p w14:paraId="2D26279D" w14:textId="77777777" w:rsidR="00A833DB" w:rsidRDefault="00A833DB" w:rsidP="00321B78">
      <w:pPr>
        <w:jc w:val="both"/>
        <w:rPr>
          <w:rFonts w:ascii="Times New Roman" w:hAnsi="Times New Roman" w:cs="Times New Roman"/>
          <w:color w:val="000000" w:themeColor="text1"/>
        </w:rPr>
      </w:pPr>
    </w:p>
    <w:p w14:paraId="148D203D" w14:textId="77777777" w:rsidR="00A833DB" w:rsidRDefault="00A833DB" w:rsidP="00321B78">
      <w:pPr>
        <w:jc w:val="both"/>
        <w:rPr>
          <w:rFonts w:ascii="Times New Roman" w:hAnsi="Times New Roman" w:cs="Times New Roman"/>
          <w:color w:val="000000" w:themeColor="text1"/>
        </w:rPr>
      </w:pPr>
    </w:p>
    <w:p w14:paraId="663559D0" w14:textId="77777777" w:rsidR="00A833DB" w:rsidRDefault="00A833DB" w:rsidP="00321B78">
      <w:pPr>
        <w:jc w:val="both"/>
        <w:rPr>
          <w:rFonts w:ascii="Times New Roman" w:hAnsi="Times New Roman" w:cs="Times New Roman"/>
          <w:color w:val="000000" w:themeColor="text1"/>
        </w:rPr>
      </w:pPr>
    </w:p>
    <w:p w14:paraId="0E6F9C13" w14:textId="77777777" w:rsidR="00A833DB" w:rsidRDefault="00A833DB" w:rsidP="00321B78">
      <w:pPr>
        <w:jc w:val="both"/>
        <w:rPr>
          <w:rFonts w:ascii="Times New Roman" w:hAnsi="Times New Roman" w:cs="Times New Roman"/>
          <w:color w:val="000000" w:themeColor="text1"/>
        </w:rPr>
      </w:pPr>
    </w:p>
    <w:p w14:paraId="5D933BB4" w14:textId="77777777" w:rsidR="00A833DB" w:rsidRPr="004F1D81" w:rsidRDefault="00A833DB" w:rsidP="00321B78">
      <w:pPr>
        <w:jc w:val="both"/>
        <w:rPr>
          <w:rFonts w:ascii="Times New Roman" w:hAnsi="Times New Roman" w:cs="Times New Roman"/>
          <w:color w:val="000000" w:themeColor="text1"/>
        </w:rPr>
      </w:pPr>
    </w:p>
    <w:p w14:paraId="5B48AFDB" w14:textId="77777777" w:rsidR="00321B78" w:rsidRDefault="00321B78" w:rsidP="00321B78">
      <w:pPr>
        <w:jc w:val="both"/>
        <w:rPr>
          <w:rFonts w:ascii="Times New Roman" w:hAnsi="Times New Roman" w:cs="Times New Roman"/>
          <w:b/>
          <w:bCs/>
        </w:rPr>
      </w:pPr>
    </w:p>
    <w:p w14:paraId="0E8F3AF4" w14:textId="77777777" w:rsidR="00321B78" w:rsidRDefault="00321B78" w:rsidP="00321B78">
      <w:pPr>
        <w:jc w:val="both"/>
        <w:rPr>
          <w:rFonts w:ascii="Times New Roman" w:hAnsi="Times New Roman" w:cs="Times New Roman"/>
          <w:b/>
          <w:bCs/>
        </w:rPr>
      </w:pPr>
    </w:p>
    <w:p w14:paraId="27D566AD" w14:textId="77777777" w:rsidR="00321B78" w:rsidRDefault="00321B78" w:rsidP="00321B78">
      <w:pPr>
        <w:jc w:val="both"/>
        <w:rPr>
          <w:rFonts w:ascii="Times New Roman" w:hAnsi="Times New Roman" w:cs="Times New Roman"/>
          <w:b/>
          <w:bCs/>
        </w:rPr>
      </w:pPr>
      <w:r>
        <w:rPr>
          <w:rFonts w:ascii="Helvetica" w:hAnsi="Helvetica" w:cs="Times New Roman"/>
          <w:noProof/>
          <w:color w:val="000000" w:themeColor="text1"/>
        </w:rPr>
        <w:lastRenderedPageBreak/>
        <mc:AlternateContent>
          <mc:Choice Requires="wpg">
            <w:drawing>
              <wp:anchor distT="0" distB="0" distL="114300" distR="114300" simplePos="0" relativeHeight="251723776" behindDoc="0" locked="0" layoutInCell="1" allowOverlap="1" wp14:anchorId="35F5B665" wp14:editId="2E6312F7">
                <wp:simplePos x="0" y="0"/>
                <wp:positionH relativeFrom="column">
                  <wp:posOffset>0</wp:posOffset>
                </wp:positionH>
                <wp:positionV relativeFrom="paragraph">
                  <wp:posOffset>0</wp:posOffset>
                </wp:positionV>
                <wp:extent cx="5943600" cy="6584729"/>
                <wp:effectExtent l="0" t="0" r="0" b="0"/>
                <wp:wrapNone/>
                <wp:docPr id="1677457457" name="Group 1"/>
                <wp:cNvGraphicFramePr/>
                <a:graphic xmlns:a="http://schemas.openxmlformats.org/drawingml/2006/main">
                  <a:graphicData uri="http://schemas.microsoft.com/office/word/2010/wordprocessingGroup">
                    <wpg:wgp>
                      <wpg:cNvGrpSpPr/>
                      <wpg:grpSpPr>
                        <a:xfrm>
                          <a:off x="0" y="0"/>
                          <a:ext cx="5943600" cy="6584729"/>
                          <a:chOff x="0" y="0"/>
                          <a:chExt cx="5943600" cy="6584729"/>
                        </a:xfrm>
                      </wpg:grpSpPr>
                      <pic:pic xmlns:pic="http://schemas.openxmlformats.org/drawingml/2006/picture">
                        <pic:nvPicPr>
                          <pic:cNvPr id="2086303339" name="Picture 9"/>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5613400"/>
                          </a:xfrm>
                          <a:prstGeom prst="rect">
                            <a:avLst/>
                          </a:prstGeom>
                        </pic:spPr>
                      </pic:pic>
                      <wps:wsp>
                        <wps:cNvPr id="1535805056" name="Text Box 2"/>
                        <wps:cNvSpPr txBox="1"/>
                        <wps:spPr>
                          <a:xfrm>
                            <a:off x="0" y="5803332"/>
                            <a:ext cx="5855970" cy="781397"/>
                          </a:xfrm>
                          <a:prstGeom prst="rect">
                            <a:avLst/>
                          </a:prstGeom>
                          <a:noFill/>
                          <a:ln w="6350">
                            <a:noFill/>
                          </a:ln>
                        </wps:spPr>
                        <wps:txbx>
                          <w:txbxContent>
                            <w:p w14:paraId="4B95E6C3" w14:textId="77777777" w:rsidR="00321B78" w:rsidRPr="001D608F" w:rsidRDefault="00321B78" w:rsidP="00321B78">
                              <w:pPr>
                                <w:jc w:val="both"/>
                                <w:rPr>
                                  <w:rFonts w:ascii="Times New Roman" w:hAnsi="Times New Roman" w:cs="Times New Roman"/>
                                  <w:color w:val="000000" w:themeColor="text1"/>
                                  <w:sz w:val="20"/>
                                  <w:szCs w:val="20"/>
                                </w:rPr>
                              </w:pPr>
                              <w:bookmarkStart w:id="8" w:name="FigS5"/>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5</w:t>
                              </w:r>
                              <w:bookmarkEnd w:id="8"/>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Utilization of </w:t>
                              </w:r>
                              <w:r w:rsidRPr="005F4624">
                                <w:rPr>
                                  <w:rFonts w:ascii="Times New Roman" w:hAnsi="Times New Roman" w:cs="Times New Roman"/>
                                  <w:color w:val="000000" w:themeColor="text1"/>
                                  <w:sz w:val="20"/>
                                  <w:szCs w:val="20"/>
                                </w:rPr>
                                <w:t>RADstackshelpR</w:t>
                              </w:r>
                              <w:r>
                                <w:rPr>
                                  <w:rFonts w:ascii="Times New Roman" w:hAnsi="Times New Roman" w:cs="Times New Roman"/>
                                  <w:color w:val="000000" w:themeColor="text1"/>
                                  <w:sz w:val="20"/>
                                  <w:szCs w:val="20"/>
                                </w:rPr>
                                <w:t xml:space="preserve"> for parameter optimization in</w:t>
                              </w:r>
                              <w:r w:rsidRPr="005F4624">
                                <w:rPr>
                                  <w:rFonts w:ascii="Times New Roman" w:hAnsi="Times New Roman" w:cs="Times New Roman"/>
                                  <w:i/>
                                  <w:iCs/>
                                  <w:color w:val="000000" w:themeColor="text1"/>
                                  <w:sz w:val="20"/>
                                  <w:szCs w:val="20"/>
                                </w:rPr>
                                <w:t xml:space="preserve"> </w:t>
                              </w:r>
                              <w:r w:rsidRPr="00A524C4">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The recommended assembly parameters include:</w:t>
                              </w:r>
                              <w:r w:rsidRPr="009375D1">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setting </w:t>
                              </w:r>
                              <w:r w:rsidRPr="009375D1">
                                <w:rPr>
                                  <w:rFonts w:ascii="Times New Roman" w:hAnsi="Times New Roman" w:cs="Times New Roman"/>
                                  <w:color w:val="000000" w:themeColor="text1"/>
                                  <w:sz w:val="20"/>
                                  <w:szCs w:val="20"/>
                                </w:rPr>
                                <w:t xml:space="preserve">a minimum of </w:t>
                              </w:r>
                              <w:r>
                                <w:rPr>
                                  <w:rFonts w:ascii="Times New Roman" w:hAnsi="Times New Roman" w:cs="Times New Roman"/>
                                  <w:color w:val="000000" w:themeColor="text1"/>
                                  <w:sz w:val="20"/>
                                  <w:szCs w:val="20"/>
                                </w:rPr>
                                <w:t>four</w:t>
                              </w:r>
                              <w:r w:rsidRPr="009375D1">
                                <w:rPr>
                                  <w:rFonts w:ascii="Times New Roman" w:hAnsi="Times New Roman" w:cs="Times New Roman"/>
                                  <w:color w:val="000000" w:themeColor="text1"/>
                                  <w:sz w:val="20"/>
                                  <w:szCs w:val="20"/>
                                </w:rPr>
                                <w:t xml:space="preserve"> raw reads required to form a stack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B)</w:t>
                              </w:r>
                              <w:r w:rsidRPr="009375D1">
                                <w:rPr>
                                  <w:rFonts w:ascii="Times New Roman" w:hAnsi="Times New Roman" w:cs="Times New Roman"/>
                                  <w:color w:val="000000" w:themeColor="text1"/>
                                  <w:sz w:val="20"/>
                                  <w:szCs w:val="20"/>
                                </w:rPr>
                                <w:t xml:space="preserve"> allowing a maximum of six mismatches between loci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r w:rsidRPr="009375D1">
                                <w:rPr>
                                  <w:rFonts w:ascii="Times New Roman" w:hAnsi="Times New Roman" w:cs="Times New Roman"/>
                                  <w:color w:val="000000" w:themeColor="text1"/>
                                  <w:sz w:val="20"/>
                                  <w:szCs w:val="20"/>
                                </w:rPr>
                                <w:t xml:space="preserve"> and </w:t>
                              </w:r>
                              <w:r>
                                <w:rPr>
                                  <w:rFonts w:ascii="Times New Roman" w:hAnsi="Times New Roman" w:cs="Times New Roman"/>
                                  <w:color w:val="000000" w:themeColor="text1"/>
                                  <w:sz w:val="20"/>
                                  <w:szCs w:val="20"/>
                                </w:rPr>
                                <w:t>C) accommodating seven</w:t>
                              </w:r>
                              <w:r w:rsidRPr="009375D1">
                                <w:rPr>
                                  <w:rFonts w:ascii="Times New Roman" w:hAnsi="Times New Roman" w:cs="Times New Roman"/>
                                  <w:color w:val="000000" w:themeColor="text1"/>
                                  <w:sz w:val="20"/>
                                  <w:szCs w:val="20"/>
                                </w:rPr>
                                <w:t xml:space="preserve"> mismatches between loci of different individuals (</w:t>
                              </w:r>
                              <w:r w:rsidRPr="009375D1">
                                <w:rPr>
                                  <w:rFonts w:ascii="Times New Roman" w:hAnsi="Times New Roman" w:cs="Times New Roman"/>
                                  <w:i/>
                                  <w:iCs/>
                                  <w:color w:val="000000" w:themeColor="text1"/>
                                  <w:sz w:val="20"/>
                                  <w:szCs w:val="20"/>
                                </w:rPr>
                                <w:t>n</w:t>
                              </w:r>
                              <w:r w:rsidRPr="009375D1">
                                <w:rPr>
                                  <w:rFonts w:ascii="Times New Roman" w:hAnsi="Times New Roman" w:cs="Times New Roman"/>
                                  <w:color w:val="000000" w:themeColor="text1"/>
                                  <w:sz w:val="20"/>
                                  <w:szCs w:val="20"/>
                                </w:rPr>
                                <w:t>).</w:t>
                              </w:r>
                            </w:p>
                            <w:p w14:paraId="50C2A732" w14:textId="77777777" w:rsidR="00321B78" w:rsidRDefault="00321B78" w:rsidP="00321B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F5B665" id="_x0000_s1042" style="position:absolute;left:0;text-align:left;margin-left:0;margin-top:0;width:468pt;height:518.5pt;z-index:251723776;mso-height-relative:margin" coordsize="59436,6584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">
                <v:shape id="Picture 9" o:spid="_x0000_s1043" type="#_x0000_t75" style="position:absolute;width:59436;height:561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">
                  <v:imagedata r:id="rId55" o:title=""/>
                </v:shape>
                <v:shape id="_x0000_s1044" type="#_x0000_t202" style="position:absolute;top:58033;width:58559;height:78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" filled="f" stroked="f" strokeweight=".5pt">
                  <v:textbox>
                    <w:txbxContent>
                      <w:p w14:paraId="4B95E6C3" w14:textId="77777777" w:rsidR="00321B78" w:rsidRPr="001D608F" w:rsidRDefault="00321B78" w:rsidP="00321B78">
                        <w:pPr>
                          <w:jc w:val="both"/>
                          <w:rPr>
                            <w:rFonts w:ascii="Times New Roman" w:hAnsi="Times New Roman" w:cs="Times New Roman"/>
                            <w:color w:val="000000" w:themeColor="text1"/>
                            <w:sz w:val="20"/>
                            <w:szCs w:val="20"/>
                          </w:rPr>
                        </w:pPr>
                        <w:bookmarkStart w:id="13" w:name="FigS5"/>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5</w:t>
                        </w:r>
                        <w:bookmarkEnd w:id="13"/>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Utilization of </w:t>
                        </w:r>
                        <w:r w:rsidRPr="005F4624">
                          <w:rPr>
                            <w:rFonts w:ascii="Times New Roman" w:hAnsi="Times New Roman" w:cs="Times New Roman"/>
                            <w:color w:val="000000" w:themeColor="text1"/>
                            <w:sz w:val="20"/>
                            <w:szCs w:val="20"/>
                          </w:rPr>
                          <w:t>RADstackshelpR</w:t>
                        </w:r>
                        <w:r>
                          <w:rPr>
                            <w:rFonts w:ascii="Times New Roman" w:hAnsi="Times New Roman" w:cs="Times New Roman"/>
                            <w:color w:val="000000" w:themeColor="text1"/>
                            <w:sz w:val="20"/>
                            <w:szCs w:val="20"/>
                          </w:rPr>
                          <w:t xml:space="preserve"> for parameter optimization in</w:t>
                        </w:r>
                        <w:r w:rsidRPr="005F4624">
                          <w:rPr>
                            <w:rFonts w:ascii="Times New Roman" w:hAnsi="Times New Roman" w:cs="Times New Roman"/>
                            <w:i/>
                            <w:iCs/>
                            <w:color w:val="000000" w:themeColor="text1"/>
                            <w:sz w:val="20"/>
                            <w:szCs w:val="20"/>
                          </w:rPr>
                          <w:t xml:space="preserve"> </w:t>
                        </w:r>
                        <w:r w:rsidRPr="00A524C4">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The recommended assembly parameters include:</w:t>
                        </w:r>
                        <w:r w:rsidRPr="009375D1">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setting </w:t>
                        </w:r>
                        <w:r w:rsidRPr="009375D1">
                          <w:rPr>
                            <w:rFonts w:ascii="Times New Roman" w:hAnsi="Times New Roman" w:cs="Times New Roman"/>
                            <w:color w:val="000000" w:themeColor="text1"/>
                            <w:sz w:val="20"/>
                            <w:szCs w:val="20"/>
                          </w:rPr>
                          <w:t xml:space="preserve">a minimum of </w:t>
                        </w:r>
                        <w:r>
                          <w:rPr>
                            <w:rFonts w:ascii="Times New Roman" w:hAnsi="Times New Roman" w:cs="Times New Roman"/>
                            <w:color w:val="000000" w:themeColor="text1"/>
                            <w:sz w:val="20"/>
                            <w:szCs w:val="20"/>
                          </w:rPr>
                          <w:t>four</w:t>
                        </w:r>
                        <w:r w:rsidRPr="009375D1">
                          <w:rPr>
                            <w:rFonts w:ascii="Times New Roman" w:hAnsi="Times New Roman" w:cs="Times New Roman"/>
                            <w:color w:val="000000" w:themeColor="text1"/>
                            <w:sz w:val="20"/>
                            <w:szCs w:val="20"/>
                          </w:rPr>
                          <w:t xml:space="preserve"> raw reads required to form a stack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B)</w:t>
                        </w:r>
                        <w:r w:rsidRPr="009375D1">
                          <w:rPr>
                            <w:rFonts w:ascii="Times New Roman" w:hAnsi="Times New Roman" w:cs="Times New Roman"/>
                            <w:color w:val="000000" w:themeColor="text1"/>
                            <w:sz w:val="20"/>
                            <w:szCs w:val="20"/>
                          </w:rPr>
                          <w:t xml:space="preserve"> allowing a maximum of six mismatches between loci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r w:rsidRPr="009375D1">
                          <w:rPr>
                            <w:rFonts w:ascii="Times New Roman" w:hAnsi="Times New Roman" w:cs="Times New Roman"/>
                            <w:color w:val="000000" w:themeColor="text1"/>
                            <w:sz w:val="20"/>
                            <w:szCs w:val="20"/>
                          </w:rPr>
                          <w:t xml:space="preserve"> and </w:t>
                        </w:r>
                        <w:r>
                          <w:rPr>
                            <w:rFonts w:ascii="Times New Roman" w:hAnsi="Times New Roman" w:cs="Times New Roman"/>
                            <w:color w:val="000000" w:themeColor="text1"/>
                            <w:sz w:val="20"/>
                            <w:szCs w:val="20"/>
                          </w:rPr>
                          <w:t>C) accommodating seven</w:t>
                        </w:r>
                        <w:r w:rsidRPr="009375D1">
                          <w:rPr>
                            <w:rFonts w:ascii="Times New Roman" w:hAnsi="Times New Roman" w:cs="Times New Roman"/>
                            <w:color w:val="000000" w:themeColor="text1"/>
                            <w:sz w:val="20"/>
                            <w:szCs w:val="20"/>
                          </w:rPr>
                          <w:t xml:space="preserve"> mismatches between loci of different individuals (</w:t>
                        </w:r>
                        <w:r w:rsidRPr="009375D1">
                          <w:rPr>
                            <w:rFonts w:ascii="Times New Roman" w:hAnsi="Times New Roman" w:cs="Times New Roman"/>
                            <w:i/>
                            <w:iCs/>
                            <w:color w:val="000000" w:themeColor="text1"/>
                            <w:sz w:val="20"/>
                            <w:szCs w:val="20"/>
                          </w:rPr>
                          <w:t>n</w:t>
                        </w:r>
                        <w:r w:rsidRPr="009375D1">
                          <w:rPr>
                            <w:rFonts w:ascii="Times New Roman" w:hAnsi="Times New Roman" w:cs="Times New Roman"/>
                            <w:color w:val="000000" w:themeColor="text1"/>
                            <w:sz w:val="20"/>
                            <w:szCs w:val="20"/>
                          </w:rPr>
                          <w:t>).</w:t>
                        </w:r>
                      </w:p>
                      <w:p w14:paraId="50C2A732" w14:textId="77777777" w:rsidR="00321B78" w:rsidRDefault="00321B78" w:rsidP="00321B78"/>
                    </w:txbxContent>
                  </v:textbox>
                </v:shape>
              </v:group>
            </w:pict>
          </mc:Fallback>
        </mc:AlternateContent>
      </w:r>
    </w:p>
    <w:p w14:paraId="40D0D1FD" w14:textId="77777777" w:rsidR="00321B78" w:rsidRDefault="00321B78" w:rsidP="00321B78">
      <w:pPr>
        <w:jc w:val="both"/>
        <w:rPr>
          <w:rFonts w:ascii="Times New Roman" w:hAnsi="Times New Roman" w:cs="Times New Roman"/>
          <w:b/>
          <w:bCs/>
        </w:rPr>
      </w:pPr>
    </w:p>
    <w:p w14:paraId="2614BA44" w14:textId="77777777" w:rsidR="00321B78" w:rsidRDefault="00321B78" w:rsidP="00321B78">
      <w:pPr>
        <w:jc w:val="both"/>
        <w:rPr>
          <w:rFonts w:ascii="Times New Roman" w:hAnsi="Times New Roman" w:cs="Times New Roman"/>
          <w:b/>
          <w:bCs/>
        </w:rPr>
      </w:pPr>
    </w:p>
    <w:p w14:paraId="043A9700" w14:textId="77777777" w:rsidR="00321B78" w:rsidRDefault="00321B78" w:rsidP="00321B78">
      <w:pPr>
        <w:jc w:val="both"/>
        <w:rPr>
          <w:rFonts w:ascii="Times New Roman" w:hAnsi="Times New Roman" w:cs="Times New Roman"/>
          <w:b/>
          <w:bCs/>
        </w:rPr>
      </w:pPr>
    </w:p>
    <w:p w14:paraId="56BF9BBD" w14:textId="77777777" w:rsidR="00321B78" w:rsidRDefault="00321B78" w:rsidP="00321B78">
      <w:pPr>
        <w:jc w:val="both"/>
        <w:rPr>
          <w:rFonts w:ascii="Times New Roman" w:hAnsi="Times New Roman" w:cs="Times New Roman"/>
          <w:b/>
          <w:bCs/>
        </w:rPr>
      </w:pPr>
    </w:p>
    <w:p w14:paraId="0FC6791B" w14:textId="77777777" w:rsidR="00321B78" w:rsidRDefault="00321B78" w:rsidP="00321B78">
      <w:pPr>
        <w:jc w:val="both"/>
        <w:rPr>
          <w:rFonts w:ascii="Times New Roman" w:hAnsi="Times New Roman" w:cs="Times New Roman"/>
          <w:b/>
          <w:bCs/>
        </w:rPr>
      </w:pPr>
    </w:p>
    <w:p w14:paraId="4C20B34F" w14:textId="77777777" w:rsidR="00321B78" w:rsidRDefault="00321B78" w:rsidP="00321B78">
      <w:pPr>
        <w:jc w:val="both"/>
        <w:rPr>
          <w:rFonts w:ascii="Times New Roman" w:hAnsi="Times New Roman" w:cs="Times New Roman"/>
          <w:b/>
          <w:bCs/>
        </w:rPr>
      </w:pPr>
    </w:p>
    <w:p w14:paraId="1D8BC7E0" w14:textId="77777777" w:rsidR="00321B78" w:rsidRDefault="00321B78" w:rsidP="00321B78">
      <w:pPr>
        <w:jc w:val="both"/>
        <w:rPr>
          <w:rFonts w:ascii="Times New Roman" w:hAnsi="Times New Roman" w:cs="Times New Roman"/>
          <w:b/>
          <w:bCs/>
        </w:rPr>
      </w:pPr>
    </w:p>
    <w:p w14:paraId="167F9E9D" w14:textId="77777777" w:rsidR="00321B78" w:rsidRDefault="00321B78" w:rsidP="00321B78">
      <w:pPr>
        <w:jc w:val="both"/>
        <w:rPr>
          <w:rFonts w:ascii="Times New Roman" w:hAnsi="Times New Roman" w:cs="Times New Roman"/>
          <w:b/>
          <w:bCs/>
        </w:rPr>
      </w:pPr>
    </w:p>
    <w:p w14:paraId="38F4B664" w14:textId="77777777" w:rsidR="00321B78" w:rsidRDefault="00321B78" w:rsidP="00321B78">
      <w:pPr>
        <w:jc w:val="both"/>
        <w:rPr>
          <w:rFonts w:ascii="Times New Roman" w:hAnsi="Times New Roman" w:cs="Times New Roman"/>
          <w:b/>
          <w:bCs/>
        </w:rPr>
      </w:pPr>
    </w:p>
    <w:p w14:paraId="1F05ED80" w14:textId="77777777" w:rsidR="00321B78" w:rsidRDefault="00321B78" w:rsidP="00321B78">
      <w:pPr>
        <w:jc w:val="both"/>
        <w:rPr>
          <w:rFonts w:ascii="Times New Roman" w:hAnsi="Times New Roman" w:cs="Times New Roman"/>
          <w:b/>
          <w:bCs/>
        </w:rPr>
      </w:pPr>
    </w:p>
    <w:p w14:paraId="417512CE" w14:textId="77777777" w:rsidR="00321B78" w:rsidRDefault="00321B78" w:rsidP="00321B78">
      <w:pPr>
        <w:jc w:val="both"/>
        <w:rPr>
          <w:rFonts w:ascii="Times New Roman" w:hAnsi="Times New Roman" w:cs="Times New Roman"/>
          <w:b/>
          <w:bCs/>
        </w:rPr>
      </w:pPr>
    </w:p>
    <w:p w14:paraId="435F315E" w14:textId="77777777" w:rsidR="00321B78" w:rsidRDefault="00321B78" w:rsidP="00321B78">
      <w:pPr>
        <w:jc w:val="both"/>
        <w:rPr>
          <w:rFonts w:ascii="Times New Roman" w:hAnsi="Times New Roman" w:cs="Times New Roman"/>
          <w:b/>
          <w:bCs/>
        </w:rPr>
      </w:pPr>
    </w:p>
    <w:p w14:paraId="6A3E3C18" w14:textId="76FDEFD7" w:rsidR="00780D40" w:rsidRDefault="00780D40" w:rsidP="00780D40">
      <w:pPr>
        <w:jc w:val="both"/>
        <w:rPr>
          <w:rFonts w:ascii="Times New Roman" w:hAnsi="Times New Roman" w:cs="Times New Roman"/>
          <w:b/>
          <w:bCs/>
        </w:rPr>
      </w:pPr>
    </w:p>
    <w:p w14:paraId="7094600C" w14:textId="3DD35130" w:rsidR="00780D40" w:rsidRDefault="00780D40" w:rsidP="00780D40">
      <w:pPr>
        <w:jc w:val="both"/>
        <w:rPr>
          <w:rFonts w:ascii="Times New Roman" w:hAnsi="Times New Roman" w:cs="Times New Roman"/>
          <w:b/>
          <w:bCs/>
        </w:rPr>
      </w:pPr>
    </w:p>
    <w:p w14:paraId="0735ABD1" w14:textId="77777777" w:rsidR="00780D40" w:rsidRDefault="00780D40" w:rsidP="00780D40">
      <w:pPr>
        <w:jc w:val="both"/>
        <w:rPr>
          <w:rFonts w:ascii="Times New Roman" w:hAnsi="Times New Roman" w:cs="Times New Roman"/>
          <w:b/>
          <w:bCs/>
        </w:rPr>
      </w:pPr>
    </w:p>
    <w:p w14:paraId="14C50E90" w14:textId="77777777" w:rsidR="004F496C" w:rsidRDefault="004F496C" w:rsidP="004F496C">
      <w:pPr>
        <w:jc w:val="both"/>
        <w:rPr>
          <w:rFonts w:ascii="Times New Roman" w:hAnsi="Times New Roman" w:cs="Times New Roman"/>
          <w:color w:val="000000" w:themeColor="text1"/>
        </w:rPr>
      </w:pPr>
    </w:p>
    <w:p w14:paraId="66CC5D00" w14:textId="77777777" w:rsidR="004F496C" w:rsidRDefault="004F496C" w:rsidP="004F496C">
      <w:pPr>
        <w:jc w:val="both"/>
        <w:rPr>
          <w:rFonts w:ascii="Times New Roman" w:hAnsi="Times New Roman" w:cs="Times New Roman"/>
          <w:color w:val="000000" w:themeColor="text1"/>
        </w:rPr>
      </w:pPr>
    </w:p>
    <w:p w14:paraId="4918B16A" w14:textId="77777777" w:rsidR="004F496C" w:rsidRDefault="004F496C" w:rsidP="004F496C">
      <w:pPr>
        <w:jc w:val="both"/>
        <w:rPr>
          <w:rFonts w:ascii="Times New Roman" w:hAnsi="Times New Roman" w:cs="Times New Roman"/>
          <w:color w:val="000000" w:themeColor="text1"/>
        </w:rPr>
      </w:pPr>
    </w:p>
    <w:p w14:paraId="535AFA96" w14:textId="6A2C5EAA" w:rsidR="004F496C" w:rsidRDefault="004F496C" w:rsidP="004F496C">
      <w:pPr>
        <w:jc w:val="both"/>
        <w:rPr>
          <w:rFonts w:ascii="Times New Roman" w:hAnsi="Times New Roman" w:cs="Times New Roman"/>
          <w:color w:val="000000" w:themeColor="text1"/>
        </w:rPr>
      </w:pPr>
    </w:p>
    <w:p w14:paraId="644C267B" w14:textId="77777777" w:rsidR="004F496C" w:rsidRDefault="004F496C" w:rsidP="004F496C">
      <w:pPr>
        <w:jc w:val="both"/>
        <w:rPr>
          <w:rFonts w:ascii="Times New Roman" w:hAnsi="Times New Roman" w:cs="Times New Roman"/>
          <w:color w:val="000000" w:themeColor="text1"/>
        </w:rPr>
      </w:pPr>
    </w:p>
    <w:p w14:paraId="586D1C4A" w14:textId="77777777" w:rsidR="004F496C" w:rsidRDefault="004F496C" w:rsidP="004F496C">
      <w:pPr>
        <w:jc w:val="both"/>
        <w:rPr>
          <w:rFonts w:ascii="Times New Roman" w:hAnsi="Times New Roman" w:cs="Times New Roman"/>
          <w:color w:val="000000" w:themeColor="text1"/>
        </w:rPr>
      </w:pPr>
    </w:p>
    <w:p w14:paraId="6CE33A64" w14:textId="77777777" w:rsidR="004F496C" w:rsidRDefault="004F496C" w:rsidP="004F496C">
      <w:pPr>
        <w:jc w:val="both"/>
        <w:rPr>
          <w:rFonts w:ascii="Times New Roman" w:hAnsi="Times New Roman" w:cs="Times New Roman"/>
          <w:color w:val="000000" w:themeColor="text1"/>
        </w:rPr>
      </w:pPr>
    </w:p>
    <w:p w14:paraId="644403AA" w14:textId="77777777" w:rsidR="004F496C" w:rsidRDefault="004F496C" w:rsidP="004F496C">
      <w:pPr>
        <w:jc w:val="both"/>
        <w:rPr>
          <w:rFonts w:ascii="Times New Roman" w:hAnsi="Times New Roman" w:cs="Times New Roman"/>
          <w:color w:val="000000" w:themeColor="text1"/>
        </w:rPr>
      </w:pPr>
    </w:p>
    <w:p w14:paraId="204D7BFC" w14:textId="77777777" w:rsidR="004F496C" w:rsidRDefault="004F496C" w:rsidP="004F496C">
      <w:pPr>
        <w:jc w:val="both"/>
        <w:rPr>
          <w:rFonts w:ascii="Times New Roman" w:hAnsi="Times New Roman" w:cs="Times New Roman"/>
          <w:color w:val="000000" w:themeColor="text1"/>
        </w:rPr>
      </w:pPr>
    </w:p>
    <w:p w14:paraId="13B6CFB6" w14:textId="77777777" w:rsidR="00A833DB" w:rsidRDefault="00A833DB" w:rsidP="004F496C">
      <w:pPr>
        <w:jc w:val="both"/>
        <w:rPr>
          <w:rFonts w:ascii="Times New Roman" w:hAnsi="Times New Roman" w:cs="Times New Roman"/>
          <w:color w:val="000000" w:themeColor="text1"/>
        </w:rPr>
      </w:pPr>
    </w:p>
    <w:p w14:paraId="49429D2B" w14:textId="77777777" w:rsidR="00A833DB" w:rsidRDefault="00A833DB" w:rsidP="004F496C">
      <w:pPr>
        <w:jc w:val="both"/>
        <w:rPr>
          <w:rFonts w:ascii="Times New Roman" w:hAnsi="Times New Roman" w:cs="Times New Roman"/>
          <w:color w:val="000000" w:themeColor="text1"/>
        </w:rPr>
      </w:pPr>
    </w:p>
    <w:p w14:paraId="23AFCD98" w14:textId="77777777" w:rsidR="00A833DB" w:rsidRDefault="00A833DB" w:rsidP="004F496C">
      <w:pPr>
        <w:jc w:val="both"/>
        <w:rPr>
          <w:rFonts w:ascii="Times New Roman" w:hAnsi="Times New Roman" w:cs="Times New Roman"/>
          <w:color w:val="000000" w:themeColor="text1"/>
        </w:rPr>
      </w:pPr>
    </w:p>
    <w:p w14:paraId="007323B7" w14:textId="77777777" w:rsidR="00A833DB" w:rsidRDefault="00A833DB" w:rsidP="004F496C">
      <w:pPr>
        <w:jc w:val="both"/>
        <w:rPr>
          <w:rFonts w:ascii="Times New Roman" w:hAnsi="Times New Roman" w:cs="Times New Roman"/>
          <w:color w:val="000000" w:themeColor="text1"/>
        </w:rPr>
      </w:pPr>
    </w:p>
    <w:p w14:paraId="459D23BC" w14:textId="77777777" w:rsidR="00321B78" w:rsidRDefault="00321B78" w:rsidP="00321B78">
      <w:pPr>
        <w:jc w:val="both"/>
        <w:rPr>
          <w:rFonts w:ascii="Times New Roman" w:hAnsi="Times New Roman" w:cs="Times New Roman"/>
          <w:b/>
          <w:bCs/>
        </w:rPr>
      </w:pPr>
    </w:p>
    <w:p w14:paraId="3870B33F" w14:textId="77777777" w:rsidR="00321B78" w:rsidRDefault="00321B78" w:rsidP="00321B78">
      <w:pPr>
        <w:jc w:val="both"/>
        <w:rPr>
          <w:rFonts w:ascii="Times New Roman" w:hAnsi="Times New Roman" w:cs="Times New Roman"/>
          <w:b/>
          <w:bCs/>
        </w:rPr>
      </w:pPr>
      <w:r w:rsidRPr="00802863">
        <w:rPr>
          <w:rFonts w:ascii="Helvetica" w:hAnsi="Helvetica" w:cs="Times New Roman"/>
          <w:noProof/>
          <w:color w:val="000000" w:themeColor="text1"/>
        </w:rPr>
        <w:lastRenderedPageBreak/>
        <w:drawing>
          <wp:anchor distT="0" distB="0" distL="114300" distR="114300" simplePos="0" relativeHeight="251725824" behindDoc="0" locked="0" layoutInCell="1" allowOverlap="1" wp14:anchorId="75E30802" wp14:editId="21B73289">
            <wp:simplePos x="0" y="0"/>
            <wp:positionH relativeFrom="column">
              <wp:posOffset>0</wp:posOffset>
            </wp:positionH>
            <wp:positionV relativeFrom="paragraph">
              <wp:posOffset>0</wp:posOffset>
            </wp:positionV>
            <wp:extent cx="5943600" cy="5613400"/>
            <wp:effectExtent l="0" t="0" r="0" b="0"/>
            <wp:wrapNone/>
            <wp:docPr id="429245472" name="Picture 429245472" descr="A group of graphs showing different types of polypropyle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45472" name="Picture 429245472" descr="A group of graphs showing different types of polypropylen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5613400"/>
                    </a:xfrm>
                    <a:prstGeom prst="rect">
                      <a:avLst/>
                    </a:prstGeom>
                  </pic:spPr>
                </pic:pic>
              </a:graphicData>
            </a:graphic>
            <wp14:sizeRelH relativeFrom="page">
              <wp14:pctWidth>0</wp14:pctWidth>
            </wp14:sizeRelH>
            <wp14:sizeRelV relativeFrom="page">
              <wp14:pctHeight>0</wp14:pctHeight>
            </wp14:sizeRelV>
          </wp:anchor>
        </w:drawing>
      </w:r>
      <w:r w:rsidRPr="00802863">
        <w:rPr>
          <w:rFonts w:ascii="Helvetica" w:hAnsi="Helvetica"/>
          <w:noProof/>
        </w:rPr>
        <mc:AlternateContent>
          <mc:Choice Requires="wps">
            <w:drawing>
              <wp:anchor distT="0" distB="0" distL="114300" distR="114300" simplePos="0" relativeHeight="251726848" behindDoc="0" locked="0" layoutInCell="1" allowOverlap="1" wp14:anchorId="0C1A645A" wp14:editId="6B88751C">
                <wp:simplePos x="0" y="0"/>
                <wp:positionH relativeFrom="column">
                  <wp:posOffset>0</wp:posOffset>
                </wp:positionH>
                <wp:positionV relativeFrom="paragraph">
                  <wp:posOffset>5756275</wp:posOffset>
                </wp:positionV>
                <wp:extent cx="5855970" cy="781050"/>
                <wp:effectExtent l="0" t="0" r="0" b="0"/>
                <wp:wrapNone/>
                <wp:docPr id="76701359" name="Text Box 2"/>
                <wp:cNvGraphicFramePr/>
                <a:graphic xmlns:a="http://schemas.openxmlformats.org/drawingml/2006/main">
                  <a:graphicData uri="http://schemas.microsoft.com/office/word/2010/wordprocessingShape">
                    <wps:wsp>
                      <wps:cNvSpPr txBox="1"/>
                      <wps:spPr>
                        <a:xfrm>
                          <a:off x="0" y="0"/>
                          <a:ext cx="5855970" cy="781050"/>
                        </a:xfrm>
                        <a:prstGeom prst="rect">
                          <a:avLst/>
                        </a:prstGeom>
                        <a:noFill/>
                        <a:ln w="6350">
                          <a:noFill/>
                        </a:ln>
                      </wps:spPr>
                      <wps:txbx>
                        <w:txbxContent>
                          <w:p w14:paraId="7BE62BD0" w14:textId="77777777" w:rsidR="00321B78" w:rsidRPr="001D608F" w:rsidRDefault="00321B78" w:rsidP="00321B78">
                            <w:pPr>
                              <w:jc w:val="both"/>
                              <w:rPr>
                                <w:rFonts w:ascii="Times New Roman" w:hAnsi="Times New Roman" w:cs="Times New Roman"/>
                                <w:color w:val="000000" w:themeColor="text1"/>
                                <w:sz w:val="20"/>
                                <w:szCs w:val="20"/>
                              </w:rPr>
                            </w:pPr>
                            <w:bookmarkStart w:id="9" w:name="FigS6"/>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6</w:t>
                            </w:r>
                            <w:bookmarkEnd w:id="9"/>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Utilization of </w:t>
                            </w:r>
                            <w:r w:rsidRPr="005F4624">
                              <w:rPr>
                                <w:rFonts w:ascii="Times New Roman" w:hAnsi="Times New Roman" w:cs="Times New Roman"/>
                                <w:color w:val="000000" w:themeColor="text1"/>
                                <w:sz w:val="20"/>
                                <w:szCs w:val="20"/>
                              </w:rPr>
                              <w:t>RADstackshelpR</w:t>
                            </w:r>
                            <w:r>
                              <w:rPr>
                                <w:rFonts w:ascii="Times New Roman" w:hAnsi="Times New Roman" w:cs="Times New Roman"/>
                                <w:color w:val="000000" w:themeColor="text1"/>
                                <w:sz w:val="20"/>
                                <w:szCs w:val="20"/>
                              </w:rPr>
                              <w:t xml:space="preserve"> for parameter optimization in</w:t>
                            </w:r>
                            <w:r w:rsidRPr="005F4624">
                              <w:rPr>
                                <w:rFonts w:ascii="Times New Roman" w:hAnsi="Times New Roman" w:cs="Times New Roman"/>
                                <w:i/>
                                <w:iCs/>
                                <w:color w:val="000000" w:themeColor="text1"/>
                                <w:sz w:val="20"/>
                                <w:szCs w:val="20"/>
                              </w:rPr>
                              <w:t xml:space="preserve"> </w:t>
                            </w:r>
                            <w:r w:rsidRPr="00A524C4">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triangulatus</w:t>
                            </w:r>
                            <w:r>
                              <w:rPr>
                                <w:rFonts w:ascii="Times New Roman" w:hAnsi="Times New Roman" w:cs="Times New Roman"/>
                                <w:color w:val="000000" w:themeColor="text1"/>
                                <w:sz w:val="20"/>
                                <w:szCs w:val="20"/>
                              </w:rPr>
                              <w:t>. The recommended assembly parameters include:</w:t>
                            </w:r>
                            <w:r w:rsidRPr="009375D1">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setting </w:t>
                            </w:r>
                            <w:r w:rsidRPr="009375D1">
                              <w:rPr>
                                <w:rFonts w:ascii="Times New Roman" w:hAnsi="Times New Roman" w:cs="Times New Roman"/>
                                <w:color w:val="000000" w:themeColor="text1"/>
                                <w:sz w:val="20"/>
                                <w:szCs w:val="20"/>
                              </w:rPr>
                              <w:t xml:space="preserve">a minimum of </w:t>
                            </w:r>
                            <w:r>
                              <w:rPr>
                                <w:rFonts w:ascii="Times New Roman" w:hAnsi="Times New Roman" w:cs="Times New Roman"/>
                                <w:color w:val="000000" w:themeColor="text1"/>
                                <w:sz w:val="20"/>
                                <w:szCs w:val="20"/>
                              </w:rPr>
                              <w:t>four</w:t>
                            </w:r>
                            <w:r w:rsidRPr="009375D1">
                              <w:rPr>
                                <w:rFonts w:ascii="Times New Roman" w:hAnsi="Times New Roman" w:cs="Times New Roman"/>
                                <w:color w:val="000000" w:themeColor="text1"/>
                                <w:sz w:val="20"/>
                                <w:szCs w:val="20"/>
                              </w:rPr>
                              <w:t xml:space="preserve"> raw reads required to form a stack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B)</w:t>
                            </w:r>
                            <w:r w:rsidRPr="009375D1">
                              <w:rPr>
                                <w:rFonts w:ascii="Times New Roman" w:hAnsi="Times New Roman" w:cs="Times New Roman"/>
                                <w:color w:val="000000" w:themeColor="text1"/>
                                <w:sz w:val="20"/>
                                <w:szCs w:val="20"/>
                              </w:rPr>
                              <w:t xml:space="preserve"> allowing a maximum of </w:t>
                            </w:r>
                            <w:r>
                              <w:rPr>
                                <w:rFonts w:ascii="Times New Roman" w:hAnsi="Times New Roman" w:cs="Times New Roman"/>
                                <w:color w:val="000000" w:themeColor="text1"/>
                                <w:sz w:val="20"/>
                                <w:szCs w:val="20"/>
                              </w:rPr>
                              <w:t>five</w:t>
                            </w:r>
                            <w:r w:rsidRPr="009375D1">
                              <w:rPr>
                                <w:rFonts w:ascii="Times New Roman" w:hAnsi="Times New Roman" w:cs="Times New Roman"/>
                                <w:color w:val="000000" w:themeColor="text1"/>
                                <w:sz w:val="20"/>
                                <w:szCs w:val="20"/>
                              </w:rPr>
                              <w:t xml:space="preserve"> mismatches between loci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r w:rsidRPr="009375D1">
                              <w:rPr>
                                <w:rFonts w:ascii="Times New Roman" w:hAnsi="Times New Roman" w:cs="Times New Roman"/>
                                <w:color w:val="000000" w:themeColor="text1"/>
                                <w:sz w:val="20"/>
                                <w:szCs w:val="20"/>
                              </w:rPr>
                              <w:t xml:space="preserve"> and </w:t>
                            </w:r>
                            <w:r>
                              <w:rPr>
                                <w:rFonts w:ascii="Times New Roman" w:hAnsi="Times New Roman" w:cs="Times New Roman"/>
                                <w:color w:val="000000" w:themeColor="text1"/>
                                <w:sz w:val="20"/>
                                <w:szCs w:val="20"/>
                              </w:rPr>
                              <w:t>C) accommodating six</w:t>
                            </w:r>
                            <w:r w:rsidRPr="009375D1">
                              <w:rPr>
                                <w:rFonts w:ascii="Times New Roman" w:hAnsi="Times New Roman" w:cs="Times New Roman"/>
                                <w:color w:val="000000" w:themeColor="text1"/>
                                <w:sz w:val="20"/>
                                <w:szCs w:val="20"/>
                              </w:rPr>
                              <w:t xml:space="preserve"> mismatches between loci </w:t>
                            </w:r>
                            <w:r>
                              <w:rPr>
                                <w:rFonts w:ascii="Times New Roman" w:hAnsi="Times New Roman" w:cs="Times New Roman"/>
                                <w:color w:val="000000" w:themeColor="text1"/>
                                <w:sz w:val="20"/>
                                <w:szCs w:val="20"/>
                              </w:rPr>
                              <w:t>for</w:t>
                            </w:r>
                            <w:r w:rsidRPr="009375D1">
                              <w:rPr>
                                <w:rFonts w:ascii="Times New Roman" w:hAnsi="Times New Roman" w:cs="Times New Roman"/>
                                <w:color w:val="000000" w:themeColor="text1"/>
                                <w:sz w:val="20"/>
                                <w:szCs w:val="20"/>
                              </w:rPr>
                              <w:t xml:space="preserve"> different individuals (</w:t>
                            </w:r>
                            <w:r w:rsidRPr="009375D1">
                              <w:rPr>
                                <w:rFonts w:ascii="Times New Roman" w:hAnsi="Times New Roman" w:cs="Times New Roman"/>
                                <w:i/>
                                <w:iCs/>
                                <w:color w:val="000000" w:themeColor="text1"/>
                                <w:sz w:val="20"/>
                                <w:szCs w:val="20"/>
                              </w:rPr>
                              <w:t>n</w:t>
                            </w:r>
                            <w:r w:rsidRPr="009375D1">
                              <w:rPr>
                                <w:rFonts w:ascii="Times New Roman" w:hAnsi="Times New Roman" w:cs="Times New Roman"/>
                                <w:color w:val="000000" w:themeColor="text1"/>
                                <w:sz w:val="20"/>
                                <w:szCs w:val="20"/>
                              </w:rPr>
                              <w:t>).</w:t>
                            </w:r>
                          </w:p>
                          <w:p w14:paraId="482BD39B" w14:textId="77777777" w:rsidR="00321B78" w:rsidRDefault="00321B78" w:rsidP="00321B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1A645A" id="_x0000_s1045" type="#_x0000_t202" style="position:absolute;left:0;text-align:left;margin-left:0;margin-top:453.25pt;width:461.1pt;height:61.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" filled="f" stroked="f" strokeweight=".5pt">
                <v:textbox>
                  <w:txbxContent>
                    <w:p w14:paraId="7BE62BD0" w14:textId="77777777" w:rsidR="00321B78" w:rsidRPr="001D608F" w:rsidRDefault="00321B78" w:rsidP="00321B78">
                      <w:pPr>
                        <w:jc w:val="both"/>
                        <w:rPr>
                          <w:rFonts w:ascii="Times New Roman" w:hAnsi="Times New Roman" w:cs="Times New Roman"/>
                          <w:color w:val="000000" w:themeColor="text1"/>
                          <w:sz w:val="20"/>
                          <w:szCs w:val="20"/>
                        </w:rPr>
                      </w:pPr>
                      <w:bookmarkStart w:id="15" w:name="FigS6"/>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6</w:t>
                      </w:r>
                      <w:bookmarkEnd w:id="15"/>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Utilization of </w:t>
                      </w:r>
                      <w:r w:rsidRPr="005F4624">
                        <w:rPr>
                          <w:rFonts w:ascii="Times New Roman" w:hAnsi="Times New Roman" w:cs="Times New Roman"/>
                          <w:color w:val="000000" w:themeColor="text1"/>
                          <w:sz w:val="20"/>
                          <w:szCs w:val="20"/>
                        </w:rPr>
                        <w:t>RADstackshelpR</w:t>
                      </w:r>
                      <w:r>
                        <w:rPr>
                          <w:rFonts w:ascii="Times New Roman" w:hAnsi="Times New Roman" w:cs="Times New Roman"/>
                          <w:color w:val="000000" w:themeColor="text1"/>
                          <w:sz w:val="20"/>
                          <w:szCs w:val="20"/>
                        </w:rPr>
                        <w:t xml:space="preserve"> for parameter optimization in</w:t>
                      </w:r>
                      <w:r w:rsidRPr="005F4624">
                        <w:rPr>
                          <w:rFonts w:ascii="Times New Roman" w:hAnsi="Times New Roman" w:cs="Times New Roman"/>
                          <w:i/>
                          <w:iCs/>
                          <w:color w:val="000000" w:themeColor="text1"/>
                          <w:sz w:val="20"/>
                          <w:szCs w:val="20"/>
                        </w:rPr>
                        <w:t xml:space="preserve"> </w:t>
                      </w:r>
                      <w:r w:rsidRPr="00A524C4">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triangulatus</w:t>
                      </w:r>
                      <w:r>
                        <w:rPr>
                          <w:rFonts w:ascii="Times New Roman" w:hAnsi="Times New Roman" w:cs="Times New Roman"/>
                          <w:color w:val="000000" w:themeColor="text1"/>
                          <w:sz w:val="20"/>
                          <w:szCs w:val="20"/>
                        </w:rPr>
                        <w:t>. The recommended assembly parameters include:</w:t>
                      </w:r>
                      <w:r w:rsidRPr="009375D1">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setting </w:t>
                      </w:r>
                      <w:r w:rsidRPr="009375D1">
                        <w:rPr>
                          <w:rFonts w:ascii="Times New Roman" w:hAnsi="Times New Roman" w:cs="Times New Roman"/>
                          <w:color w:val="000000" w:themeColor="text1"/>
                          <w:sz w:val="20"/>
                          <w:szCs w:val="20"/>
                        </w:rPr>
                        <w:t xml:space="preserve">a minimum of </w:t>
                      </w:r>
                      <w:r>
                        <w:rPr>
                          <w:rFonts w:ascii="Times New Roman" w:hAnsi="Times New Roman" w:cs="Times New Roman"/>
                          <w:color w:val="000000" w:themeColor="text1"/>
                          <w:sz w:val="20"/>
                          <w:szCs w:val="20"/>
                        </w:rPr>
                        <w:t>four</w:t>
                      </w:r>
                      <w:r w:rsidRPr="009375D1">
                        <w:rPr>
                          <w:rFonts w:ascii="Times New Roman" w:hAnsi="Times New Roman" w:cs="Times New Roman"/>
                          <w:color w:val="000000" w:themeColor="text1"/>
                          <w:sz w:val="20"/>
                          <w:szCs w:val="20"/>
                        </w:rPr>
                        <w:t xml:space="preserve"> raw reads required to form a stack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B)</w:t>
                      </w:r>
                      <w:r w:rsidRPr="009375D1">
                        <w:rPr>
                          <w:rFonts w:ascii="Times New Roman" w:hAnsi="Times New Roman" w:cs="Times New Roman"/>
                          <w:color w:val="000000" w:themeColor="text1"/>
                          <w:sz w:val="20"/>
                          <w:szCs w:val="20"/>
                        </w:rPr>
                        <w:t xml:space="preserve"> allowing a maximum of </w:t>
                      </w:r>
                      <w:r>
                        <w:rPr>
                          <w:rFonts w:ascii="Times New Roman" w:hAnsi="Times New Roman" w:cs="Times New Roman"/>
                          <w:color w:val="000000" w:themeColor="text1"/>
                          <w:sz w:val="20"/>
                          <w:szCs w:val="20"/>
                        </w:rPr>
                        <w:t>five</w:t>
                      </w:r>
                      <w:r w:rsidRPr="009375D1">
                        <w:rPr>
                          <w:rFonts w:ascii="Times New Roman" w:hAnsi="Times New Roman" w:cs="Times New Roman"/>
                          <w:color w:val="000000" w:themeColor="text1"/>
                          <w:sz w:val="20"/>
                          <w:szCs w:val="20"/>
                        </w:rPr>
                        <w:t xml:space="preserve"> mismatches between loci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r w:rsidRPr="009375D1">
                        <w:rPr>
                          <w:rFonts w:ascii="Times New Roman" w:hAnsi="Times New Roman" w:cs="Times New Roman"/>
                          <w:color w:val="000000" w:themeColor="text1"/>
                          <w:sz w:val="20"/>
                          <w:szCs w:val="20"/>
                        </w:rPr>
                        <w:t xml:space="preserve"> and </w:t>
                      </w:r>
                      <w:r>
                        <w:rPr>
                          <w:rFonts w:ascii="Times New Roman" w:hAnsi="Times New Roman" w:cs="Times New Roman"/>
                          <w:color w:val="000000" w:themeColor="text1"/>
                          <w:sz w:val="20"/>
                          <w:szCs w:val="20"/>
                        </w:rPr>
                        <w:t>C) accommodating six</w:t>
                      </w:r>
                      <w:r w:rsidRPr="009375D1">
                        <w:rPr>
                          <w:rFonts w:ascii="Times New Roman" w:hAnsi="Times New Roman" w:cs="Times New Roman"/>
                          <w:color w:val="000000" w:themeColor="text1"/>
                          <w:sz w:val="20"/>
                          <w:szCs w:val="20"/>
                        </w:rPr>
                        <w:t xml:space="preserve"> mismatches between loci </w:t>
                      </w:r>
                      <w:r>
                        <w:rPr>
                          <w:rFonts w:ascii="Times New Roman" w:hAnsi="Times New Roman" w:cs="Times New Roman"/>
                          <w:color w:val="000000" w:themeColor="text1"/>
                          <w:sz w:val="20"/>
                          <w:szCs w:val="20"/>
                        </w:rPr>
                        <w:t>for</w:t>
                      </w:r>
                      <w:r w:rsidRPr="009375D1">
                        <w:rPr>
                          <w:rFonts w:ascii="Times New Roman" w:hAnsi="Times New Roman" w:cs="Times New Roman"/>
                          <w:color w:val="000000" w:themeColor="text1"/>
                          <w:sz w:val="20"/>
                          <w:szCs w:val="20"/>
                        </w:rPr>
                        <w:t xml:space="preserve"> different individuals (</w:t>
                      </w:r>
                      <w:r w:rsidRPr="009375D1">
                        <w:rPr>
                          <w:rFonts w:ascii="Times New Roman" w:hAnsi="Times New Roman" w:cs="Times New Roman"/>
                          <w:i/>
                          <w:iCs/>
                          <w:color w:val="000000" w:themeColor="text1"/>
                          <w:sz w:val="20"/>
                          <w:szCs w:val="20"/>
                        </w:rPr>
                        <w:t>n</w:t>
                      </w:r>
                      <w:r w:rsidRPr="009375D1">
                        <w:rPr>
                          <w:rFonts w:ascii="Times New Roman" w:hAnsi="Times New Roman" w:cs="Times New Roman"/>
                          <w:color w:val="000000" w:themeColor="text1"/>
                          <w:sz w:val="20"/>
                          <w:szCs w:val="20"/>
                        </w:rPr>
                        <w:t>).</w:t>
                      </w:r>
                    </w:p>
                    <w:p w14:paraId="482BD39B" w14:textId="77777777" w:rsidR="00321B78" w:rsidRDefault="00321B78" w:rsidP="00321B78"/>
                  </w:txbxContent>
                </v:textbox>
              </v:shape>
            </w:pict>
          </mc:Fallback>
        </mc:AlternateContent>
      </w:r>
    </w:p>
    <w:p w14:paraId="56994A75" w14:textId="77777777" w:rsidR="00321B78" w:rsidRDefault="00321B78" w:rsidP="00321B78">
      <w:pPr>
        <w:jc w:val="both"/>
        <w:rPr>
          <w:rFonts w:ascii="Times New Roman" w:hAnsi="Times New Roman" w:cs="Times New Roman"/>
          <w:b/>
          <w:bCs/>
        </w:rPr>
      </w:pPr>
    </w:p>
    <w:p w14:paraId="51CA4AC9" w14:textId="77777777" w:rsidR="00321B78" w:rsidRDefault="00321B78" w:rsidP="00321B78">
      <w:pPr>
        <w:jc w:val="both"/>
        <w:rPr>
          <w:rFonts w:ascii="Times New Roman" w:hAnsi="Times New Roman" w:cs="Times New Roman"/>
          <w:b/>
          <w:bCs/>
        </w:rPr>
      </w:pPr>
    </w:p>
    <w:p w14:paraId="58A3EA84" w14:textId="77777777" w:rsidR="00321B78" w:rsidRDefault="00321B78" w:rsidP="00321B78">
      <w:pPr>
        <w:jc w:val="both"/>
        <w:rPr>
          <w:rFonts w:ascii="Times New Roman" w:hAnsi="Times New Roman" w:cs="Times New Roman"/>
          <w:b/>
          <w:bCs/>
        </w:rPr>
      </w:pPr>
    </w:p>
    <w:p w14:paraId="2368C091" w14:textId="77777777" w:rsidR="00321B78" w:rsidRPr="0021679F" w:rsidRDefault="00321B78" w:rsidP="00321B78">
      <w:pPr>
        <w:rPr>
          <w:rFonts w:ascii="Times New Roman" w:hAnsi="Times New Roman" w:cs="Times New Roman"/>
        </w:rPr>
      </w:pPr>
    </w:p>
    <w:p w14:paraId="04B042C3" w14:textId="77777777" w:rsidR="00321B78" w:rsidRPr="0021679F" w:rsidRDefault="00321B78" w:rsidP="00321B78">
      <w:pPr>
        <w:rPr>
          <w:rFonts w:ascii="Times New Roman" w:hAnsi="Times New Roman" w:cs="Times New Roman"/>
        </w:rPr>
      </w:pPr>
    </w:p>
    <w:p w14:paraId="78FDDC46" w14:textId="77777777" w:rsidR="00321B78" w:rsidRPr="0021679F" w:rsidRDefault="00321B78" w:rsidP="00321B78">
      <w:pPr>
        <w:rPr>
          <w:rFonts w:ascii="Times New Roman" w:hAnsi="Times New Roman" w:cs="Times New Roman"/>
        </w:rPr>
      </w:pPr>
    </w:p>
    <w:p w14:paraId="3DF8546E" w14:textId="77777777" w:rsidR="00321B78" w:rsidRPr="0021679F" w:rsidRDefault="00321B78" w:rsidP="00321B78">
      <w:pPr>
        <w:rPr>
          <w:rFonts w:ascii="Times New Roman" w:hAnsi="Times New Roman" w:cs="Times New Roman"/>
        </w:rPr>
      </w:pPr>
    </w:p>
    <w:p w14:paraId="7ACBC21F" w14:textId="77777777" w:rsidR="00321B78" w:rsidRPr="0021679F" w:rsidRDefault="00321B78" w:rsidP="00321B78">
      <w:pPr>
        <w:rPr>
          <w:rFonts w:ascii="Times New Roman" w:hAnsi="Times New Roman" w:cs="Times New Roman"/>
        </w:rPr>
      </w:pPr>
    </w:p>
    <w:p w14:paraId="579A2340" w14:textId="77777777" w:rsidR="004F496C" w:rsidRDefault="004F496C" w:rsidP="004F496C">
      <w:pPr>
        <w:jc w:val="both"/>
        <w:rPr>
          <w:rFonts w:ascii="Times New Roman" w:hAnsi="Times New Roman" w:cs="Times New Roman"/>
          <w:color w:val="000000" w:themeColor="text1"/>
        </w:rPr>
      </w:pPr>
    </w:p>
    <w:p w14:paraId="731D0C35" w14:textId="77777777" w:rsidR="00AB3DA2" w:rsidRDefault="00AB3DA2" w:rsidP="00AB3DA2">
      <w:pPr>
        <w:jc w:val="both"/>
        <w:rPr>
          <w:rFonts w:ascii="Times New Roman" w:hAnsi="Times New Roman" w:cs="Times New Roman"/>
          <w:b/>
          <w:bCs/>
        </w:rPr>
      </w:pPr>
    </w:p>
    <w:p w14:paraId="3C6A4C55" w14:textId="77777777" w:rsidR="00AB3DA2" w:rsidRDefault="00AB3DA2" w:rsidP="00AB3DA2">
      <w:pPr>
        <w:jc w:val="both"/>
        <w:rPr>
          <w:rFonts w:ascii="Times New Roman" w:hAnsi="Times New Roman" w:cs="Times New Roman"/>
          <w:b/>
          <w:bCs/>
        </w:rPr>
      </w:pPr>
    </w:p>
    <w:p w14:paraId="7354D077" w14:textId="77777777" w:rsidR="006947DF" w:rsidRPr="006947DF" w:rsidRDefault="006947DF" w:rsidP="00AE525E">
      <w:pPr>
        <w:rPr>
          <w:rFonts w:ascii="Times New Roman" w:eastAsia="Times New Roman" w:hAnsi="Times New Roman" w:cs="Times New Roman"/>
          <w:b/>
          <w:color w:val="0432FF"/>
          <w:sz w:val="24"/>
          <w:szCs w:val="24"/>
        </w:rPr>
      </w:pPr>
    </w:p>
    <w:p w14:paraId="28F1B837" w14:textId="77777777" w:rsidR="005059A4" w:rsidRDefault="005059A4" w:rsidP="00AE525E">
      <w:pPr>
        <w:rPr>
          <w:rFonts w:ascii="Times New Roman" w:eastAsia="Times New Roman" w:hAnsi="Times New Roman" w:cs="Times New Roman"/>
          <w:b/>
          <w:color w:val="0432FF"/>
        </w:rPr>
      </w:pPr>
    </w:p>
    <w:p w14:paraId="3F43D0AE" w14:textId="77777777" w:rsidR="005059A4" w:rsidRDefault="005059A4" w:rsidP="00AE525E">
      <w:pPr>
        <w:rPr>
          <w:rFonts w:ascii="Times New Roman" w:eastAsia="Times New Roman" w:hAnsi="Times New Roman" w:cs="Times New Roman"/>
          <w:b/>
          <w:color w:val="0432FF"/>
        </w:rPr>
      </w:pPr>
    </w:p>
    <w:p w14:paraId="297D4C6F" w14:textId="77777777" w:rsidR="00321B78" w:rsidRPr="00321B78" w:rsidRDefault="00321B78" w:rsidP="00321B78">
      <w:pPr>
        <w:rPr>
          <w:rFonts w:ascii="Times New Roman" w:eastAsia="Times New Roman" w:hAnsi="Times New Roman" w:cs="Times New Roman"/>
        </w:rPr>
      </w:pPr>
    </w:p>
    <w:p w14:paraId="1C5AA431" w14:textId="77777777" w:rsidR="00321B78" w:rsidRPr="00321B78" w:rsidRDefault="00321B78" w:rsidP="00321B78">
      <w:pPr>
        <w:rPr>
          <w:rFonts w:ascii="Times New Roman" w:eastAsia="Times New Roman" w:hAnsi="Times New Roman" w:cs="Times New Roman"/>
        </w:rPr>
      </w:pPr>
    </w:p>
    <w:p w14:paraId="79118C7E" w14:textId="77777777" w:rsidR="00321B78" w:rsidRPr="00321B78" w:rsidRDefault="00321B78" w:rsidP="00321B78">
      <w:pPr>
        <w:rPr>
          <w:rFonts w:ascii="Times New Roman" w:eastAsia="Times New Roman" w:hAnsi="Times New Roman" w:cs="Times New Roman"/>
        </w:rPr>
      </w:pPr>
    </w:p>
    <w:p w14:paraId="253C5501" w14:textId="77777777" w:rsidR="00321B78" w:rsidRPr="00321B78" w:rsidRDefault="00321B78" w:rsidP="00321B78">
      <w:pPr>
        <w:rPr>
          <w:rFonts w:ascii="Times New Roman" w:eastAsia="Times New Roman" w:hAnsi="Times New Roman" w:cs="Times New Roman"/>
        </w:rPr>
      </w:pPr>
    </w:p>
    <w:p w14:paraId="0CA5D3D2" w14:textId="77777777" w:rsidR="00321B78" w:rsidRPr="00321B78" w:rsidRDefault="00321B78" w:rsidP="00321B78">
      <w:pPr>
        <w:rPr>
          <w:rFonts w:ascii="Times New Roman" w:eastAsia="Times New Roman" w:hAnsi="Times New Roman" w:cs="Times New Roman"/>
        </w:rPr>
      </w:pPr>
    </w:p>
    <w:p w14:paraId="4F63A874" w14:textId="77777777" w:rsidR="00321B78" w:rsidRPr="00321B78" w:rsidRDefault="00321B78" w:rsidP="00321B78">
      <w:pPr>
        <w:rPr>
          <w:rFonts w:ascii="Times New Roman" w:eastAsia="Times New Roman" w:hAnsi="Times New Roman" w:cs="Times New Roman"/>
        </w:rPr>
      </w:pPr>
    </w:p>
    <w:p w14:paraId="33C09424" w14:textId="77777777" w:rsidR="00321B78" w:rsidRPr="00321B78" w:rsidRDefault="00321B78" w:rsidP="00321B78">
      <w:pPr>
        <w:rPr>
          <w:rFonts w:ascii="Times New Roman" w:eastAsia="Times New Roman" w:hAnsi="Times New Roman" w:cs="Times New Roman"/>
        </w:rPr>
      </w:pPr>
    </w:p>
    <w:p w14:paraId="5D4C9348" w14:textId="77777777" w:rsidR="00321B78" w:rsidRPr="00321B78" w:rsidRDefault="00321B78" w:rsidP="00321B78">
      <w:pPr>
        <w:rPr>
          <w:rFonts w:ascii="Times New Roman" w:eastAsia="Times New Roman" w:hAnsi="Times New Roman" w:cs="Times New Roman"/>
        </w:rPr>
      </w:pPr>
    </w:p>
    <w:p w14:paraId="6BF7E66D" w14:textId="77777777" w:rsidR="00321B78" w:rsidRDefault="00321B78" w:rsidP="00321B78">
      <w:pPr>
        <w:rPr>
          <w:rFonts w:ascii="Times New Roman" w:eastAsia="Times New Roman" w:hAnsi="Times New Roman" w:cs="Times New Roman"/>
          <w:b/>
          <w:color w:val="0432FF"/>
        </w:rPr>
      </w:pPr>
    </w:p>
    <w:p w14:paraId="3484229A" w14:textId="05CDB6C9" w:rsidR="00321B78" w:rsidRPr="00A22895" w:rsidRDefault="00321B78" w:rsidP="00321B78">
      <w:pPr>
        <w:jc w:val="both"/>
        <w:rPr>
          <w:rFonts w:ascii="Times New Roman" w:hAnsi="Times New Roman" w:cs="Times New Roman"/>
          <w:color w:val="000000" w:themeColor="text1"/>
          <w:sz w:val="24"/>
          <w:szCs w:val="24"/>
        </w:rPr>
      </w:pPr>
      <w:r w:rsidRPr="00A22895">
        <w:rPr>
          <w:rFonts w:ascii="Times New Roman" w:hAnsi="Times New Roman" w:cs="Times New Roman"/>
          <w:b/>
          <w:bCs/>
          <w:i/>
          <w:iCs/>
          <w:color w:val="000000" w:themeColor="text1"/>
          <w:sz w:val="24"/>
          <w:szCs w:val="24"/>
        </w:rPr>
        <w:t>2)</w:t>
      </w:r>
      <w:r w:rsidRPr="00A22895">
        <w:rPr>
          <w:rFonts w:ascii="Times New Roman" w:hAnsi="Times New Roman" w:cs="Times New Roman"/>
          <w:b/>
          <w:bCs/>
          <w:color w:val="000000" w:themeColor="text1"/>
          <w:sz w:val="24"/>
          <w:szCs w:val="24"/>
        </w:rPr>
        <w:t xml:space="preserve"> Use of replicates to minimize error rates. </w:t>
      </w:r>
      <w:r w:rsidRPr="00A22895">
        <w:rPr>
          <w:rFonts w:ascii="Times New Roman" w:hAnsi="Times New Roman" w:cs="Times New Roman"/>
          <w:color w:val="000000" w:themeColor="text1"/>
          <w:sz w:val="24"/>
          <w:szCs w:val="24"/>
        </w:rPr>
        <w:t xml:space="preserve">We assembled </w:t>
      </w:r>
      <w:r w:rsidRPr="00A22895">
        <w:rPr>
          <w:rFonts w:ascii="Times New Roman" w:hAnsi="Times New Roman" w:cs="Times New Roman"/>
          <w:i/>
          <w:iCs/>
          <w:color w:val="000000" w:themeColor="text1"/>
          <w:sz w:val="24"/>
          <w:szCs w:val="24"/>
        </w:rPr>
        <w:t>de novo</w:t>
      </w:r>
      <w:r w:rsidRPr="00A22895">
        <w:rPr>
          <w:rFonts w:ascii="Times New Roman" w:hAnsi="Times New Roman" w:cs="Times New Roman"/>
          <w:color w:val="000000" w:themeColor="text1"/>
          <w:sz w:val="24"/>
          <w:szCs w:val="24"/>
        </w:rPr>
        <w:t xml:space="preserve"> eight replicate-pairs using the “default”, “optimal”, and “recommended” parameter combinations to generate SNP matrices. We filtered each matrix to include only SNPs present in at least 25% of the individuals, reducing the amount of missing data. We then estimated phylogenetic trees (see below) for each matrix and measured the branch lengths between replicate pairs (Fig. S8A) as a proxy for assembly error. As replicate pairs present the same DNA, it is expected </w:t>
      </w:r>
      <w:r w:rsidRPr="00A22895">
        <w:rPr>
          <w:rFonts w:ascii="Times New Roman" w:hAnsi="Times New Roman" w:cs="Times New Roman"/>
          <w:sz w:val="24"/>
          <w:szCs w:val="24"/>
        </w:rPr>
        <w:t>that identical genotypes would result in minimum differences</w:t>
      </w:r>
      <w:r w:rsidRPr="00A22895">
        <w:rPr>
          <w:rFonts w:ascii="Times New Roman" w:hAnsi="Times New Roman" w:cs="Times New Roman"/>
          <w:color w:val="000000" w:themeColor="text1"/>
          <w:sz w:val="24"/>
          <w:szCs w:val="24"/>
        </w:rPr>
        <w:t xml:space="preserve"> </w:t>
      </w:r>
      <w:r w:rsidRPr="00A22895">
        <w:rPr>
          <w:rFonts w:ascii="Times New Roman" w:hAnsi="Times New Roman" w:cs="Times New Roman"/>
          <w:color w:val="000000" w:themeColor="text1"/>
          <w:sz w:val="24"/>
          <w:szCs w:val="24"/>
        </w:rPr>
        <w:fldChar w:fldCharType="begin" w:fldLock="1"/>
      </w:r>
      <w:r w:rsidRPr="00A22895">
        <w:rPr>
          <w:rFonts w:ascii="Times New Roman" w:hAnsi="Times New Roman" w:cs="Times New Roman"/>
          <w:color w:val="000000" w:themeColor="text1"/>
          <w:sz w:val="24"/>
          <w:szCs w:val="24"/>
        </w:rPr>
        <w:instrText>ADDIN CSL_CITATION {"citationItems":[{"id":"ITEM-1","itemData":{"DOI":"10.1093/sysbio/syaa101","ISSN":"1076836X","PMID":"33512506","abstract":"The diversification of modern birds has been shaped by a number of radiations. Rapid diversification events make reconstructing the evolutionary relationships among taxa challenging due to the convoluted effects of incomplete lineage sorting (ILS) and introgression. Phylogenomic data sets have the potential to detect patterns of phylogenetic incongruence, and to address their causes. However, the footprints of ILS and introgression on sequence data can vary between different phylogenomic markers at different phylogenetic scales depending on factors such as their evolutionary rates or their selection pressures. We show that combining phylogenomic markers that evolve at different rates, such as paired-end double-digest restriction site-associated DNA (PE-ddRAD) and ultraconserved elements (UCEs), allows a comprehensive exploration of the causes of phylogenetic discordance associated with short internodes at different timescales. We used thousands of UCE and PE-ddRAD markers to produce the first well-resolved phylogeny of shearwaters, a group of medium-sized pelagic seabirds that are among the most phylogenetically controversial and endangered bird groups. We found that phylogenomic conflict was mainly derived from high levels of ILS due to rapid speciation events. We also documented a case of introgression, despite the high philopatry of shearwaters to their breeding sites, which typically limits gene flow. We integrated state-of-the-art concatenated and coalescent-based approaches to expand on previous comparisons of UCE and RAD-Seq data sets for phylogenetics, divergence time estimation, and inference of introgression, and we propose a strategy to optimize RAD-Seq data for phylogenetic analyses. Our results highlight the usefulness of combining phylogenomic markers evolving at different rates to understand the causes of phylogenetic discordance at different timescales. [Aves; incomplete lineage sorting; introgression; PE-ddRAD-Seq; phylogenomics; radiations; shearwaters; UCEs.]","author":[{"dropping-particle":"","family":"Ferrer Obiol","given":"Joan","non-dropping-particle":"","parse-names":false,"suffix":""},{"dropping-particle":"","family":"James","given":"Helen F.","non-dropping-particle":"","parse-names":false,"suffix":""},{"dropping-particle":"","family":"Chesser","given":"R. Terry","non-dropping-particle":"","parse-names":false,"suffix":""},{"dropping-particle":"","family":"Bretagnolle","given":"Vincent","non-dropping-particle":"","parse-names":false,"suffix":""},{"dropping-particle":"","family":"González-Solís","given":"Jacob","non-dropping-particle":"","parse-names":false,"suffix":""},{"dropping-particle":"","family":"Rozas","given":"Julio","non-dropping-particle":"","parse-names":false,"suffix":""},{"dropping-particle":"","family":"Riutort","given":"Marta","non-dropping-particle":"","parse-names":false,"suffix":""},{"dropping-particle":"","family":"Welch","given":"Andreanna J.","non-dropping-particle":"","parse-names":false,"suffix":""}],"container-title":"Systematic Biology","id":"ITEM-1","issue":"5","issued":{"date-parts":[["2021"]]},"page":"976-996","title":"Integrating Sequence Capture and Restriction Site-Associated DNA Sequencing to Resolve Recent Radiations of Pelagic Seabirds","type":"article-journal","volume":"70"},"uris":["http://www.mendeley.com/documents/?uuid=2a61bf86-1ba1-437a-ac39-ac7573d29d85"]},{"id":"ITEM-2","itemData":{"DOI":"10.1111/1755-0998.12291","author":[{"dropping-particle":"","family":"Mastretta-Yanes","given":"A.","non-dropping-particle":"","parse-names":false,"suffix":""},{"dropping-particle":"","family":"Arrigo","given":"N.","non-dropping-particle":"","parse-names":false,"suffix":""},{"dropping-particle":"","family":"Alvarez","given":"N.","non-dropping-particle":"","parse-names":false,"suffix":""},{"dropping-particle":"","family":"Jorgensen","given":"T. H.","non-dropping-particle":"","parse-names":false,"suffix":""},{"dropping-particle":"","family":"Piñeros","given":"D.","non-dropping-particle":"","parse-names":false,"suffix":""},{"dropping-particle":"","family":"Emerson","given":"B. C.","non-dropping-particle":"","parse-names":false,"suffix":""}],"container-title":"Molecular Ecology","id":"ITEM-2","issue":"15","issued":{"date-parts":[["2015"]]},"page":"28-41","title":"Restriction site-associated DNA sequencing, genotyping error estimation and de novo assembly optimization for population genetic inference","type":"article-journal"},"uris":["http://www.mendeley.com/documents/?uuid=7b2dfb57-5591-41a3-ad23-e056fe0822f1"]}],"mendeley":{"formattedCitation":"(58, 62)","plainTextFormattedCitation":"(58, 62)","previouslyFormattedCitation":"(57, 61)"},"properties":{"noteIndex":0},"schema":"https://github.com/citation-style-language/schema/raw/master/csl-citation.json"}</w:instrText>
      </w:r>
      <w:r w:rsidRPr="00A22895">
        <w:rPr>
          <w:rFonts w:ascii="Times New Roman" w:hAnsi="Times New Roman" w:cs="Times New Roman"/>
          <w:color w:val="000000" w:themeColor="text1"/>
          <w:sz w:val="24"/>
          <w:szCs w:val="24"/>
        </w:rPr>
        <w:fldChar w:fldCharType="separate"/>
      </w:r>
      <w:r w:rsidRPr="00A22895">
        <w:rPr>
          <w:rFonts w:ascii="Times New Roman" w:hAnsi="Times New Roman" w:cs="Times New Roman"/>
          <w:noProof/>
          <w:color w:val="000000" w:themeColor="text1"/>
          <w:sz w:val="24"/>
          <w:szCs w:val="24"/>
        </w:rPr>
        <w:t>(58, 62)</w:t>
      </w:r>
      <w:r w:rsidRPr="00A22895">
        <w:rPr>
          <w:rFonts w:ascii="Times New Roman" w:hAnsi="Times New Roman" w:cs="Times New Roman"/>
          <w:color w:val="000000" w:themeColor="text1"/>
          <w:sz w:val="24"/>
          <w:szCs w:val="24"/>
        </w:rPr>
        <w:fldChar w:fldCharType="end"/>
      </w:r>
      <w:r w:rsidRPr="00A22895">
        <w:rPr>
          <w:rFonts w:ascii="Times New Roman" w:hAnsi="Times New Roman" w:cs="Times New Roman"/>
          <w:color w:val="000000" w:themeColor="text1"/>
          <w:sz w:val="24"/>
          <w:szCs w:val="24"/>
        </w:rPr>
        <w:t xml:space="preserve">. </w:t>
      </w:r>
      <w:r w:rsidRPr="00A22895">
        <w:rPr>
          <w:rFonts w:ascii="Times New Roman" w:hAnsi="Times New Roman" w:cs="Times New Roman"/>
          <w:sz w:val="24"/>
          <w:szCs w:val="24"/>
        </w:rPr>
        <w:t xml:space="preserve">This process allowed </w:t>
      </w:r>
      <w:r w:rsidRPr="00A22895">
        <w:rPr>
          <w:rFonts w:ascii="Times New Roman" w:hAnsi="Times New Roman" w:cs="Times New Roman"/>
          <w:color w:val="000000" w:themeColor="text1"/>
          <w:sz w:val="24"/>
          <w:szCs w:val="24"/>
        </w:rPr>
        <w:t xml:space="preserve">us to examine the extent to which genotypes obtained from two replicates of the same individual match, and how the parameters employed in </w:t>
      </w:r>
      <w:r w:rsidRPr="00A22895">
        <w:rPr>
          <w:rFonts w:ascii="Times New Roman" w:hAnsi="Times New Roman" w:cs="Times New Roman"/>
          <w:i/>
          <w:iCs/>
          <w:color w:val="000000" w:themeColor="text1"/>
          <w:sz w:val="24"/>
          <w:szCs w:val="24"/>
        </w:rPr>
        <w:lastRenderedPageBreak/>
        <w:t>de novo</w:t>
      </w:r>
      <w:r w:rsidRPr="00A22895">
        <w:rPr>
          <w:rFonts w:ascii="Times New Roman" w:hAnsi="Times New Roman" w:cs="Times New Roman"/>
          <w:color w:val="000000" w:themeColor="text1"/>
          <w:sz w:val="24"/>
          <w:szCs w:val="24"/>
        </w:rPr>
        <w:t xml:space="preserve"> SNP calling influence this similarity </w:t>
      </w:r>
      <w:r w:rsidRPr="00A22895">
        <w:rPr>
          <w:rFonts w:ascii="Times New Roman" w:hAnsi="Times New Roman" w:cs="Times New Roman"/>
          <w:color w:val="000000" w:themeColor="text1"/>
          <w:sz w:val="24"/>
          <w:szCs w:val="24"/>
        </w:rPr>
        <w:fldChar w:fldCharType="begin" w:fldLock="1"/>
      </w:r>
      <w:r w:rsidRPr="00A22895">
        <w:rPr>
          <w:rFonts w:ascii="Times New Roman" w:hAnsi="Times New Roman" w:cs="Times New Roman"/>
          <w:color w:val="000000" w:themeColor="text1"/>
          <w:sz w:val="24"/>
          <w:szCs w:val="24"/>
        </w:rPr>
        <w:instrText>ADDIN CSL_CITATION {"citationItems":[{"id":"ITEM-1","itemData":{"DOI":"10.3390/f12020222","ISSN":"19994907","abstract":"Next-generation sequencing of reduced representation genomic libraries (RRL) is capable of providing large numbers of genetic markers for population genetic studies at relatively low costs. However, one major concern of these types of markers is the precision of genotyping, which is related to the common problem of missing data, which appears to be particularly important in association and genomic selection studies. We evaluated three RRL approaches (GBS, RADseq, ddRAD) and different SNP identification methods (de novo or based on a reference genome) to find the best solutions for future population genomics studies in two economically and ecologically important broadleaved tree species, namely F. sylvatica and Q. robur. We found that the use of ddRAD method coupled with SNP calling based on reference genomes provided the largest numbers of markers (28 k and 36 k for beech and oak, respectively), given standard filtering criteria. Using technical replicates of samples, we demonstrated that more than 80% of SNP loci should be considered as reliable markers in GBS and ddRAD, but not in RADseq data. According to the reference genomes’ annotations, more than 30% of the identified ddRAD loci appeared to be related to genes. Our findings provide a solid support for using ddRAD-based SNPs for future population genomics studies in beech and oak.","author":[{"dropping-particle":"","family":"Ulaszewski","given":"Bartosz","non-dropping-particle":"","parse-names":false,"suffix":""},{"dropping-particle":"","family":"Meger","given":"Joanna","non-dropping-particle":"","parse-names":false,"suffix":""},{"dropping-particle":"","family":"Burczyk","given":"Jaroslaw","non-dropping-particle":"","parse-names":false,"suffix":""}],"container-title":"Forests","id":"ITEM-1","issue":"2","issued":{"date-parts":[["2021"]]},"page":"1-17","title":"Comparative analysis of SNP discovery and genotyping in Fagus sylvatica L. and Quercus robur L. using RADseq, GBS, and ddRAD methods","type":"article-journal","volume":"12"},"uris":["http://www.mendeley.com/documents/?uuid=d7bc92e4-da21-41ac-a53d-074484562be1"]}],"mendeley":{"formattedCitation":"(70)","plainTextFormattedCitation":"(70)","previouslyFormattedCitation":"(69)"},"properties":{"noteIndex":0},"schema":"https://github.com/citation-style-language/schema/raw/master/csl-citation.json"}</w:instrText>
      </w:r>
      <w:r w:rsidRPr="00A22895">
        <w:rPr>
          <w:rFonts w:ascii="Times New Roman" w:hAnsi="Times New Roman" w:cs="Times New Roman"/>
          <w:color w:val="000000" w:themeColor="text1"/>
          <w:sz w:val="24"/>
          <w:szCs w:val="24"/>
        </w:rPr>
        <w:fldChar w:fldCharType="separate"/>
      </w:r>
      <w:r w:rsidRPr="00A22895">
        <w:rPr>
          <w:rFonts w:ascii="Times New Roman" w:hAnsi="Times New Roman" w:cs="Times New Roman"/>
          <w:noProof/>
          <w:color w:val="000000" w:themeColor="text1"/>
          <w:sz w:val="24"/>
          <w:szCs w:val="24"/>
        </w:rPr>
        <w:t>(70)</w:t>
      </w:r>
      <w:r w:rsidRPr="00A22895">
        <w:rPr>
          <w:rFonts w:ascii="Times New Roman" w:hAnsi="Times New Roman" w:cs="Times New Roman"/>
          <w:color w:val="000000" w:themeColor="text1"/>
          <w:sz w:val="24"/>
          <w:szCs w:val="24"/>
        </w:rPr>
        <w:fldChar w:fldCharType="end"/>
      </w:r>
      <w:r w:rsidRPr="00A22895">
        <w:rPr>
          <w:rFonts w:ascii="Times New Roman" w:hAnsi="Times New Roman" w:cs="Times New Roman"/>
          <w:color w:val="000000" w:themeColor="text1"/>
          <w:sz w:val="24"/>
          <w:szCs w:val="24"/>
        </w:rPr>
        <w:t>. Finally, we selected the “optimal” parameter combination (</w:t>
      </w:r>
      <w:r w:rsidRPr="00A22895">
        <w:rPr>
          <w:rFonts w:ascii="Times New Roman" w:hAnsi="Times New Roman" w:cs="Times New Roman"/>
          <w:i/>
          <w:iCs/>
          <w:color w:val="000000" w:themeColor="text1"/>
          <w:sz w:val="24"/>
          <w:szCs w:val="24"/>
        </w:rPr>
        <w:t>m</w:t>
      </w:r>
      <w:r w:rsidRPr="00A22895">
        <w:rPr>
          <w:rFonts w:ascii="Times New Roman" w:hAnsi="Times New Roman" w:cs="Times New Roman"/>
          <w:color w:val="000000" w:themeColor="text1"/>
          <w:sz w:val="24"/>
          <w:szCs w:val="24"/>
        </w:rPr>
        <w:t>3</w:t>
      </w:r>
      <w:r w:rsidRPr="00A22895">
        <w:rPr>
          <w:rFonts w:ascii="Times New Roman" w:hAnsi="Times New Roman" w:cs="Times New Roman"/>
          <w:i/>
          <w:iCs/>
          <w:color w:val="000000" w:themeColor="text1"/>
          <w:sz w:val="24"/>
          <w:szCs w:val="24"/>
        </w:rPr>
        <w:t>M</w:t>
      </w:r>
      <w:r w:rsidRPr="00A22895">
        <w:rPr>
          <w:rFonts w:ascii="Times New Roman" w:hAnsi="Times New Roman" w:cs="Times New Roman"/>
          <w:color w:val="000000" w:themeColor="text1"/>
          <w:sz w:val="24"/>
          <w:szCs w:val="24"/>
        </w:rPr>
        <w:t>5</w:t>
      </w:r>
      <w:r w:rsidRPr="00A22895">
        <w:rPr>
          <w:rFonts w:ascii="Times New Roman" w:hAnsi="Times New Roman" w:cs="Times New Roman"/>
          <w:i/>
          <w:iCs/>
          <w:color w:val="000000" w:themeColor="text1"/>
          <w:sz w:val="24"/>
          <w:szCs w:val="24"/>
        </w:rPr>
        <w:t>n</w:t>
      </w:r>
      <w:r w:rsidRPr="00A22895">
        <w:rPr>
          <w:rFonts w:ascii="Times New Roman" w:hAnsi="Times New Roman" w:cs="Times New Roman"/>
          <w:color w:val="000000" w:themeColor="text1"/>
          <w:sz w:val="24"/>
          <w:szCs w:val="24"/>
        </w:rPr>
        <w:t xml:space="preserve">6) as it minimized assembly error (Fig. S8B). Hence, the final </w:t>
      </w:r>
      <w:r w:rsidRPr="00A22895">
        <w:rPr>
          <w:rFonts w:ascii="Times New Roman" w:hAnsi="Times New Roman" w:cs="Times New Roman"/>
          <w:i/>
          <w:iCs/>
          <w:color w:val="000000" w:themeColor="text1"/>
          <w:sz w:val="24"/>
          <w:szCs w:val="24"/>
        </w:rPr>
        <w:t>de novo</w:t>
      </w:r>
      <w:r w:rsidRPr="00A22895">
        <w:rPr>
          <w:rFonts w:ascii="Times New Roman" w:hAnsi="Times New Roman" w:cs="Times New Roman"/>
          <w:color w:val="000000" w:themeColor="text1"/>
          <w:sz w:val="24"/>
          <w:szCs w:val="24"/>
        </w:rPr>
        <w:t xml:space="preserve"> assemblies of complete datasets per species were performed using a minimum of five raw reads required to form a stack (</w:t>
      </w:r>
      <w:r w:rsidRPr="00A22895">
        <w:rPr>
          <w:rFonts w:ascii="Times New Roman" w:hAnsi="Times New Roman" w:cs="Times New Roman"/>
          <w:i/>
          <w:iCs/>
          <w:color w:val="000000" w:themeColor="text1"/>
          <w:sz w:val="24"/>
          <w:szCs w:val="24"/>
        </w:rPr>
        <w:t>m</w:t>
      </w:r>
      <w:r w:rsidRPr="00A22895">
        <w:rPr>
          <w:rFonts w:ascii="Times New Roman" w:hAnsi="Times New Roman" w:cs="Times New Roman"/>
          <w:color w:val="000000" w:themeColor="text1"/>
          <w:sz w:val="24"/>
          <w:szCs w:val="24"/>
        </w:rPr>
        <w:t>), allowing a maximum of six mismatches between loci (</w:t>
      </w:r>
      <w:r w:rsidRPr="00A22895">
        <w:rPr>
          <w:rFonts w:ascii="Times New Roman" w:hAnsi="Times New Roman" w:cs="Times New Roman"/>
          <w:i/>
          <w:iCs/>
          <w:color w:val="000000" w:themeColor="text1"/>
          <w:sz w:val="24"/>
          <w:szCs w:val="24"/>
        </w:rPr>
        <w:t>M</w:t>
      </w:r>
      <w:r w:rsidRPr="00A22895">
        <w:rPr>
          <w:rFonts w:ascii="Times New Roman" w:hAnsi="Times New Roman" w:cs="Times New Roman"/>
          <w:color w:val="000000" w:themeColor="text1"/>
          <w:sz w:val="24"/>
          <w:szCs w:val="24"/>
        </w:rPr>
        <w:t>), and six mismatches between loci of different individuals (</w:t>
      </w:r>
      <w:r w:rsidRPr="00A22895">
        <w:rPr>
          <w:rFonts w:ascii="Times New Roman" w:hAnsi="Times New Roman" w:cs="Times New Roman"/>
          <w:i/>
          <w:iCs/>
          <w:color w:val="000000" w:themeColor="text1"/>
          <w:sz w:val="24"/>
          <w:szCs w:val="24"/>
        </w:rPr>
        <w:t>n</w:t>
      </w:r>
      <w:r w:rsidRPr="00A22895">
        <w:rPr>
          <w:rFonts w:ascii="Times New Roman" w:hAnsi="Times New Roman" w:cs="Times New Roman"/>
          <w:color w:val="000000" w:themeColor="text1"/>
          <w:sz w:val="24"/>
          <w:szCs w:val="24"/>
        </w:rPr>
        <w:t>).</w:t>
      </w:r>
    </w:p>
    <w:p w14:paraId="4C303A39" w14:textId="77777777" w:rsidR="00321B78" w:rsidRDefault="00321B78" w:rsidP="00321B78">
      <w:pPr>
        <w:tabs>
          <w:tab w:val="left" w:pos="1743"/>
        </w:tabs>
        <w:rPr>
          <w:rFonts w:ascii="Times New Roman" w:hAnsi="Times New Roman" w:cs="Times New Roman"/>
        </w:rPr>
      </w:pPr>
      <w:r w:rsidRPr="00802863">
        <w:rPr>
          <w:rFonts w:ascii="Helvetica" w:hAnsi="Helvetica" w:cs="Times New Roman"/>
          <w:noProof/>
          <w:color w:val="000000" w:themeColor="text1"/>
        </w:rPr>
        <w:drawing>
          <wp:anchor distT="0" distB="0" distL="114300" distR="114300" simplePos="0" relativeHeight="251728896" behindDoc="0" locked="0" layoutInCell="1" allowOverlap="1" wp14:anchorId="30C8991B" wp14:editId="1AA66A2A">
            <wp:simplePos x="0" y="0"/>
            <wp:positionH relativeFrom="column">
              <wp:posOffset>0</wp:posOffset>
            </wp:positionH>
            <wp:positionV relativeFrom="paragraph">
              <wp:posOffset>148557</wp:posOffset>
            </wp:positionV>
            <wp:extent cx="5943600" cy="5613400"/>
            <wp:effectExtent l="0" t="0" r="0" b="0"/>
            <wp:wrapNone/>
            <wp:docPr id="645105347" name="Picture 645105347" descr="A group of graphs showing different types of polymorph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05347" name="Picture 645105347" descr="A group of graphs showing different types of polymorphic&#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5613400"/>
                    </a:xfrm>
                    <a:prstGeom prst="rect">
                      <a:avLst/>
                    </a:prstGeom>
                  </pic:spPr>
                </pic:pic>
              </a:graphicData>
            </a:graphic>
            <wp14:sizeRelH relativeFrom="page">
              <wp14:pctWidth>0</wp14:pctWidth>
            </wp14:sizeRelH>
            <wp14:sizeRelV relativeFrom="page">
              <wp14:pctHeight>0</wp14:pctHeight>
            </wp14:sizeRelV>
          </wp:anchor>
        </w:drawing>
      </w:r>
    </w:p>
    <w:p w14:paraId="71367319" w14:textId="77777777" w:rsidR="00321B78" w:rsidRDefault="00321B78" w:rsidP="00321B78">
      <w:pPr>
        <w:tabs>
          <w:tab w:val="left" w:pos="1743"/>
        </w:tabs>
        <w:rPr>
          <w:rFonts w:ascii="Times New Roman" w:hAnsi="Times New Roman" w:cs="Times New Roman"/>
        </w:rPr>
      </w:pPr>
    </w:p>
    <w:p w14:paraId="50EA707B" w14:textId="77777777" w:rsidR="00321B78" w:rsidRDefault="00321B78" w:rsidP="00321B78">
      <w:pPr>
        <w:tabs>
          <w:tab w:val="left" w:pos="1743"/>
        </w:tabs>
        <w:rPr>
          <w:rFonts w:ascii="Times New Roman" w:hAnsi="Times New Roman" w:cs="Times New Roman"/>
        </w:rPr>
      </w:pPr>
    </w:p>
    <w:p w14:paraId="4CE9F5D3" w14:textId="77777777" w:rsidR="00321B78" w:rsidRDefault="00321B78" w:rsidP="00321B78">
      <w:pPr>
        <w:tabs>
          <w:tab w:val="left" w:pos="1743"/>
        </w:tabs>
        <w:rPr>
          <w:rFonts w:ascii="Times New Roman" w:hAnsi="Times New Roman" w:cs="Times New Roman"/>
        </w:rPr>
      </w:pPr>
    </w:p>
    <w:p w14:paraId="46888302" w14:textId="77777777" w:rsidR="00321B78" w:rsidRDefault="00321B78" w:rsidP="00321B78">
      <w:pPr>
        <w:tabs>
          <w:tab w:val="left" w:pos="1743"/>
        </w:tabs>
        <w:rPr>
          <w:rFonts w:ascii="Times New Roman" w:hAnsi="Times New Roman" w:cs="Times New Roman"/>
        </w:rPr>
      </w:pPr>
    </w:p>
    <w:p w14:paraId="7E16B804" w14:textId="77777777" w:rsidR="00321B78" w:rsidRDefault="00321B78" w:rsidP="00321B78">
      <w:pPr>
        <w:tabs>
          <w:tab w:val="left" w:pos="1743"/>
        </w:tabs>
        <w:rPr>
          <w:rFonts w:ascii="Times New Roman" w:hAnsi="Times New Roman" w:cs="Times New Roman"/>
        </w:rPr>
      </w:pPr>
    </w:p>
    <w:p w14:paraId="489E7EEB" w14:textId="77777777" w:rsidR="00321B78" w:rsidRDefault="00321B78" w:rsidP="00321B78">
      <w:pPr>
        <w:tabs>
          <w:tab w:val="left" w:pos="1743"/>
        </w:tabs>
        <w:rPr>
          <w:rFonts w:ascii="Times New Roman" w:hAnsi="Times New Roman" w:cs="Times New Roman"/>
        </w:rPr>
      </w:pPr>
    </w:p>
    <w:p w14:paraId="0377D4D1" w14:textId="77777777" w:rsidR="00321B78" w:rsidRDefault="00321B78" w:rsidP="00321B78">
      <w:pPr>
        <w:tabs>
          <w:tab w:val="left" w:pos="1743"/>
        </w:tabs>
        <w:rPr>
          <w:rFonts w:ascii="Times New Roman" w:hAnsi="Times New Roman" w:cs="Times New Roman"/>
        </w:rPr>
      </w:pPr>
    </w:p>
    <w:p w14:paraId="272C086E" w14:textId="77777777" w:rsidR="00321B78" w:rsidRDefault="00321B78" w:rsidP="00321B78">
      <w:pPr>
        <w:tabs>
          <w:tab w:val="left" w:pos="1743"/>
        </w:tabs>
        <w:rPr>
          <w:rFonts w:ascii="Times New Roman" w:hAnsi="Times New Roman" w:cs="Times New Roman"/>
        </w:rPr>
      </w:pPr>
    </w:p>
    <w:p w14:paraId="5F4C27C5" w14:textId="77777777" w:rsidR="00321B78" w:rsidRDefault="00321B78" w:rsidP="00321B78">
      <w:pPr>
        <w:tabs>
          <w:tab w:val="left" w:pos="1743"/>
        </w:tabs>
        <w:rPr>
          <w:rFonts w:ascii="Times New Roman" w:hAnsi="Times New Roman" w:cs="Times New Roman"/>
        </w:rPr>
      </w:pPr>
    </w:p>
    <w:p w14:paraId="079E992C" w14:textId="77777777" w:rsidR="00321B78" w:rsidRDefault="00321B78" w:rsidP="00321B78">
      <w:pPr>
        <w:tabs>
          <w:tab w:val="left" w:pos="1743"/>
        </w:tabs>
        <w:rPr>
          <w:rFonts w:ascii="Times New Roman" w:hAnsi="Times New Roman" w:cs="Times New Roman"/>
        </w:rPr>
      </w:pPr>
    </w:p>
    <w:p w14:paraId="6A66CFF9" w14:textId="77777777" w:rsidR="00321B78" w:rsidRDefault="00321B78" w:rsidP="00321B78">
      <w:pPr>
        <w:tabs>
          <w:tab w:val="left" w:pos="1743"/>
        </w:tabs>
        <w:rPr>
          <w:rFonts w:ascii="Times New Roman" w:hAnsi="Times New Roman" w:cs="Times New Roman"/>
        </w:rPr>
      </w:pPr>
    </w:p>
    <w:p w14:paraId="05457CFF" w14:textId="77777777" w:rsidR="00321B78" w:rsidRDefault="00321B78" w:rsidP="00321B78">
      <w:pPr>
        <w:tabs>
          <w:tab w:val="left" w:pos="1743"/>
        </w:tabs>
        <w:rPr>
          <w:rFonts w:ascii="Times New Roman" w:hAnsi="Times New Roman" w:cs="Times New Roman"/>
        </w:rPr>
      </w:pPr>
    </w:p>
    <w:p w14:paraId="55D8E793" w14:textId="77777777" w:rsidR="00321B78" w:rsidRDefault="00321B78" w:rsidP="00321B78">
      <w:pPr>
        <w:tabs>
          <w:tab w:val="left" w:pos="1743"/>
        </w:tabs>
        <w:rPr>
          <w:rFonts w:ascii="Times New Roman" w:hAnsi="Times New Roman" w:cs="Times New Roman"/>
        </w:rPr>
      </w:pPr>
    </w:p>
    <w:p w14:paraId="7D38E14B" w14:textId="77777777" w:rsidR="00321B78" w:rsidRDefault="00321B78" w:rsidP="00321B78">
      <w:pPr>
        <w:tabs>
          <w:tab w:val="left" w:pos="1743"/>
        </w:tabs>
        <w:rPr>
          <w:rFonts w:ascii="Times New Roman" w:hAnsi="Times New Roman" w:cs="Times New Roman"/>
        </w:rPr>
      </w:pPr>
    </w:p>
    <w:p w14:paraId="0A27F3DC" w14:textId="77777777" w:rsidR="00321B78" w:rsidRDefault="00321B78" w:rsidP="00321B78">
      <w:pPr>
        <w:tabs>
          <w:tab w:val="left" w:pos="1743"/>
        </w:tabs>
        <w:rPr>
          <w:rFonts w:ascii="Times New Roman" w:hAnsi="Times New Roman" w:cs="Times New Roman"/>
        </w:rPr>
      </w:pPr>
    </w:p>
    <w:p w14:paraId="39C2EAE8" w14:textId="77777777" w:rsidR="00321B78" w:rsidRDefault="00321B78" w:rsidP="00321B78">
      <w:pPr>
        <w:tabs>
          <w:tab w:val="left" w:pos="1743"/>
        </w:tabs>
        <w:rPr>
          <w:rFonts w:ascii="Times New Roman" w:hAnsi="Times New Roman" w:cs="Times New Roman"/>
        </w:rPr>
      </w:pPr>
    </w:p>
    <w:p w14:paraId="05BA91AA" w14:textId="77777777" w:rsidR="00321B78" w:rsidRDefault="00321B78" w:rsidP="00321B78">
      <w:pPr>
        <w:tabs>
          <w:tab w:val="left" w:pos="1743"/>
        </w:tabs>
        <w:rPr>
          <w:rFonts w:ascii="Times New Roman" w:hAnsi="Times New Roman" w:cs="Times New Roman"/>
        </w:rPr>
      </w:pPr>
    </w:p>
    <w:p w14:paraId="6172CFE4" w14:textId="77777777" w:rsidR="00321B78" w:rsidRDefault="00321B78" w:rsidP="00321B78">
      <w:pPr>
        <w:tabs>
          <w:tab w:val="left" w:pos="1743"/>
        </w:tabs>
        <w:rPr>
          <w:rFonts w:ascii="Times New Roman" w:hAnsi="Times New Roman" w:cs="Times New Roman"/>
        </w:rPr>
      </w:pPr>
    </w:p>
    <w:p w14:paraId="0C9E5352" w14:textId="77777777" w:rsidR="00321B78" w:rsidRDefault="00321B78" w:rsidP="00321B78">
      <w:pPr>
        <w:tabs>
          <w:tab w:val="left" w:pos="1743"/>
        </w:tabs>
        <w:rPr>
          <w:rFonts w:ascii="Times New Roman" w:hAnsi="Times New Roman" w:cs="Times New Roman"/>
        </w:rPr>
      </w:pPr>
    </w:p>
    <w:p w14:paraId="30EF1D13" w14:textId="77777777" w:rsidR="00321B78" w:rsidRDefault="00321B78" w:rsidP="00321B78">
      <w:pPr>
        <w:tabs>
          <w:tab w:val="left" w:pos="1743"/>
        </w:tabs>
        <w:rPr>
          <w:rFonts w:ascii="Times New Roman" w:hAnsi="Times New Roman" w:cs="Times New Roman"/>
        </w:rPr>
      </w:pPr>
    </w:p>
    <w:p w14:paraId="603B22CA" w14:textId="5D912379" w:rsidR="00321B78" w:rsidRDefault="00321B78" w:rsidP="00321B78">
      <w:pPr>
        <w:tabs>
          <w:tab w:val="left" w:pos="1743"/>
        </w:tabs>
        <w:rPr>
          <w:rFonts w:ascii="Times New Roman" w:hAnsi="Times New Roman" w:cs="Times New Roman"/>
        </w:rPr>
      </w:pPr>
      <w:r w:rsidRPr="00802863">
        <w:rPr>
          <w:rFonts w:ascii="Helvetica" w:hAnsi="Helvetica"/>
          <w:noProof/>
        </w:rPr>
        <mc:AlternateContent>
          <mc:Choice Requires="wps">
            <w:drawing>
              <wp:anchor distT="0" distB="0" distL="114300" distR="114300" simplePos="0" relativeHeight="251729920" behindDoc="0" locked="0" layoutInCell="1" allowOverlap="1" wp14:anchorId="7D43A06D" wp14:editId="72D39AC6">
                <wp:simplePos x="0" y="0"/>
                <wp:positionH relativeFrom="column">
                  <wp:posOffset>87630</wp:posOffset>
                </wp:positionH>
                <wp:positionV relativeFrom="paragraph">
                  <wp:posOffset>161632</wp:posOffset>
                </wp:positionV>
                <wp:extent cx="5855970" cy="781050"/>
                <wp:effectExtent l="0" t="0" r="0" b="0"/>
                <wp:wrapNone/>
                <wp:docPr id="283593185" name="Text Box 2"/>
                <wp:cNvGraphicFramePr/>
                <a:graphic xmlns:a="http://schemas.openxmlformats.org/drawingml/2006/main">
                  <a:graphicData uri="http://schemas.microsoft.com/office/word/2010/wordprocessingShape">
                    <wps:wsp>
                      <wps:cNvSpPr txBox="1"/>
                      <wps:spPr>
                        <a:xfrm>
                          <a:off x="0" y="0"/>
                          <a:ext cx="5855970" cy="781050"/>
                        </a:xfrm>
                        <a:prstGeom prst="rect">
                          <a:avLst/>
                        </a:prstGeom>
                        <a:noFill/>
                        <a:ln w="6350">
                          <a:noFill/>
                        </a:ln>
                      </wps:spPr>
                      <wps:txbx>
                        <w:txbxContent>
                          <w:p w14:paraId="263C2010" w14:textId="77777777" w:rsidR="00321B78" w:rsidRPr="001D608F" w:rsidRDefault="00321B78" w:rsidP="00321B78">
                            <w:pPr>
                              <w:jc w:val="both"/>
                              <w:rPr>
                                <w:rFonts w:ascii="Times New Roman" w:hAnsi="Times New Roman" w:cs="Times New Roman"/>
                                <w:color w:val="000000" w:themeColor="text1"/>
                                <w:sz w:val="20"/>
                                <w:szCs w:val="20"/>
                              </w:rPr>
                            </w:pPr>
                            <w:bookmarkStart w:id="10" w:name="FigS7"/>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7</w:t>
                            </w:r>
                            <w:bookmarkEnd w:id="10"/>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Utilization of </w:t>
                            </w:r>
                            <w:r w:rsidRPr="005F4624">
                              <w:rPr>
                                <w:rFonts w:ascii="Times New Roman" w:hAnsi="Times New Roman" w:cs="Times New Roman"/>
                                <w:color w:val="000000" w:themeColor="text1"/>
                                <w:sz w:val="20"/>
                                <w:szCs w:val="20"/>
                              </w:rPr>
                              <w:t>RADstackshelpR</w:t>
                            </w:r>
                            <w:r>
                              <w:rPr>
                                <w:rFonts w:ascii="Times New Roman" w:hAnsi="Times New Roman" w:cs="Times New Roman"/>
                                <w:color w:val="000000" w:themeColor="text1"/>
                                <w:sz w:val="20"/>
                                <w:szCs w:val="20"/>
                              </w:rPr>
                              <w:t xml:space="preserve"> for parameter optimization in</w:t>
                            </w:r>
                            <w:r w:rsidRPr="005F4624">
                              <w:rPr>
                                <w:rFonts w:ascii="Times New Roman" w:hAnsi="Times New Roman" w:cs="Times New Roman"/>
                                <w:i/>
                                <w:iCs/>
                                <w:color w:val="000000" w:themeColor="text1"/>
                                <w:sz w:val="20"/>
                                <w:szCs w:val="20"/>
                              </w:rPr>
                              <w:t xml:space="preserve"> </w:t>
                            </w:r>
                            <w:r w:rsidRPr="00A524C4">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macropus</w:t>
                            </w:r>
                            <w:r>
                              <w:rPr>
                                <w:rFonts w:ascii="Times New Roman" w:hAnsi="Times New Roman" w:cs="Times New Roman"/>
                                <w:color w:val="000000" w:themeColor="text1"/>
                                <w:sz w:val="20"/>
                                <w:szCs w:val="20"/>
                              </w:rPr>
                              <w:t>. The recommended assembly parameters include:</w:t>
                            </w:r>
                            <w:r w:rsidRPr="009375D1">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setting </w:t>
                            </w:r>
                            <w:r w:rsidRPr="009375D1">
                              <w:rPr>
                                <w:rFonts w:ascii="Times New Roman" w:hAnsi="Times New Roman" w:cs="Times New Roman"/>
                                <w:color w:val="000000" w:themeColor="text1"/>
                                <w:sz w:val="20"/>
                                <w:szCs w:val="20"/>
                              </w:rPr>
                              <w:t xml:space="preserve">a minimum of </w:t>
                            </w:r>
                            <w:r>
                              <w:rPr>
                                <w:rFonts w:ascii="Times New Roman" w:hAnsi="Times New Roman" w:cs="Times New Roman"/>
                                <w:color w:val="000000" w:themeColor="text1"/>
                                <w:sz w:val="20"/>
                                <w:szCs w:val="20"/>
                              </w:rPr>
                              <w:t>five</w:t>
                            </w:r>
                            <w:r w:rsidRPr="009375D1">
                              <w:rPr>
                                <w:rFonts w:ascii="Times New Roman" w:hAnsi="Times New Roman" w:cs="Times New Roman"/>
                                <w:color w:val="000000" w:themeColor="text1"/>
                                <w:sz w:val="20"/>
                                <w:szCs w:val="20"/>
                              </w:rPr>
                              <w:t xml:space="preserve"> raw reads required to form a stack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B)</w:t>
                            </w:r>
                            <w:r w:rsidRPr="009375D1">
                              <w:rPr>
                                <w:rFonts w:ascii="Times New Roman" w:hAnsi="Times New Roman" w:cs="Times New Roman"/>
                                <w:color w:val="000000" w:themeColor="text1"/>
                                <w:sz w:val="20"/>
                                <w:szCs w:val="20"/>
                              </w:rPr>
                              <w:t xml:space="preserve"> allowing a maximum of </w:t>
                            </w:r>
                            <w:r>
                              <w:rPr>
                                <w:rFonts w:ascii="Times New Roman" w:hAnsi="Times New Roman" w:cs="Times New Roman"/>
                                <w:color w:val="000000" w:themeColor="text1"/>
                                <w:sz w:val="20"/>
                                <w:szCs w:val="20"/>
                              </w:rPr>
                              <w:t>eight</w:t>
                            </w:r>
                            <w:r w:rsidRPr="009375D1">
                              <w:rPr>
                                <w:rFonts w:ascii="Times New Roman" w:hAnsi="Times New Roman" w:cs="Times New Roman"/>
                                <w:color w:val="000000" w:themeColor="text1"/>
                                <w:sz w:val="20"/>
                                <w:szCs w:val="20"/>
                              </w:rPr>
                              <w:t xml:space="preserve"> mismatches between loci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r w:rsidRPr="009375D1">
                              <w:rPr>
                                <w:rFonts w:ascii="Times New Roman" w:hAnsi="Times New Roman" w:cs="Times New Roman"/>
                                <w:color w:val="000000" w:themeColor="text1"/>
                                <w:sz w:val="20"/>
                                <w:szCs w:val="20"/>
                              </w:rPr>
                              <w:t xml:space="preserve"> and </w:t>
                            </w:r>
                            <w:r>
                              <w:rPr>
                                <w:rFonts w:ascii="Times New Roman" w:hAnsi="Times New Roman" w:cs="Times New Roman"/>
                                <w:color w:val="000000" w:themeColor="text1"/>
                                <w:sz w:val="20"/>
                                <w:szCs w:val="20"/>
                              </w:rPr>
                              <w:t>C) accommodating eight</w:t>
                            </w:r>
                            <w:r w:rsidRPr="009375D1">
                              <w:rPr>
                                <w:rFonts w:ascii="Times New Roman" w:hAnsi="Times New Roman" w:cs="Times New Roman"/>
                                <w:color w:val="000000" w:themeColor="text1"/>
                                <w:sz w:val="20"/>
                                <w:szCs w:val="20"/>
                              </w:rPr>
                              <w:t xml:space="preserve"> mismatches between loci of different individuals (</w:t>
                            </w:r>
                            <w:r w:rsidRPr="009375D1">
                              <w:rPr>
                                <w:rFonts w:ascii="Times New Roman" w:hAnsi="Times New Roman" w:cs="Times New Roman"/>
                                <w:i/>
                                <w:iCs/>
                                <w:color w:val="000000" w:themeColor="text1"/>
                                <w:sz w:val="20"/>
                                <w:szCs w:val="20"/>
                              </w:rPr>
                              <w:t>n</w:t>
                            </w:r>
                            <w:r w:rsidRPr="009375D1">
                              <w:rPr>
                                <w:rFonts w:ascii="Times New Roman" w:hAnsi="Times New Roman" w:cs="Times New Roman"/>
                                <w:color w:val="000000" w:themeColor="text1"/>
                                <w:sz w:val="20"/>
                                <w:szCs w:val="20"/>
                              </w:rPr>
                              <w:t>).</w:t>
                            </w:r>
                          </w:p>
                          <w:p w14:paraId="6BA6C041" w14:textId="77777777" w:rsidR="00321B78" w:rsidRDefault="00321B78" w:rsidP="00321B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43A06D" id="_x0000_s1046" type="#_x0000_t202" style="position:absolute;margin-left:6.9pt;margin-top:12.75pt;width:461.1pt;height:61.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" filled="f" stroked="f" strokeweight=".5pt">
                <v:textbox>
                  <w:txbxContent>
                    <w:p w14:paraId="263C2010" w14:textId="77777777" w:rsidR="00321B78" w:rsidRPr="001D608F" w:rsidRDefault="00321B78" w:rsidP="00321B78">
                      <w:pPr>
                        <w:jc w:val="both"/>
                        <w:rPr>
                          <w:rFonts w:ascii="Times New Roman" w:hAnsi="Times New Roman" w:cs="Times New Roman"/>
                          <w:color w:val="000000" w:themeColor="text1"/>
                          <w:sz w:val="20"/>
                          <w:szCs w:val="20"/>
                        </w:rPr>
                      </w:pPr>
                      <w:bookmarkStart w:id="17" w:name="FigS7"/>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7</w:t>
                      </w:r>
                      <w:bookmarkEnd w:id="17"/>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Utilization of </w:t>
                      </w:r>
                      <w:r w:rsidRPr="005F4624">
                        <w:rPr>
                          <w:rFonts w:ascii="Times New Roman" w:hAnsi="Times New Roman" w:cs="Times New Roman"/>
                          <w:color w:val="000000" w:themeColor="text1"/>
                          <w:sz w:val="20"/>
                          <w:szCs w:val="20"/>
                        </w:rPr>
                        <w:t>RADstackshelpR</w:t>
                      </w:r>
                      <w:r>
                        <w:rPr>
                          <w:rFonts w:ascii="Times New Roman" w:hAnsi="Times New Roman" w:cs="Times New Roman"/>
                          <w:color w:val="000000" w:themeColor="text1"/>
                          <w:sz w:val="20"/>
                          <w:szCs w:val="20"/>
                        </w:rPr>
                        <w:t xml:space="preserve"> for parameter optimization in</w:t>
                      </w:r>
                      <w:r w:rsidRPr="005F4624">
                        <w:rPr>
                          <w:rFonts w:ascii="Times New Roman" w:hAnsi="Times New Roman" w:cs="Times New Roman"/>
                          <w:i/>
                          <w:iCs/>
                          <w:color w:val="000000" w:themeColor="text1"/>
                          <w:sz w:val="20"/>
                          <w:szCs w:val="20"/>
                        </w:rPr>
                        <w:t xml:space="preserve"> </w:t>
                      </w:r>
                      <w:r w:rsidRPr="00A524C4">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macropus</w:t>
                      </w:r>
                      <w:r>
                        <w:rPr>
                          <w:rFonts w:ascii="Times New Roman" w:hAnsi="Times New Roman" w:cs="Times New Roman"/>
                          <w:color w:val="000000" w:themeColor="text1"/>
                          <w:sz w:val="20"/>
                          <w:szCs w:val="20"/>
                        </w:rPr>
                        <w:t>. The recommended assembly parameters include:</w:t>
                      </w:r>
                      <w:r w:rsidRPr="009375D1">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setting </w:t>
                      </w:r>
                      <w:r w:rsidRPr="009375D1">
                        <w:rPr>
                          <w:rFonts w:ascii="Times New Roman" w:hAnsi="Times New Roman" w:cs="Times New Roman"/>
                          <w:color w:val="000000" w:themeColor="text1"/>
                          <w:sz w:val="20"/>
                          <w:szCs w:val="20"/>
                        </w:rPr>
                        <w:t xml:space="preserve">a minimum of </w:t>
                      </w:r>
                      <w:r>
                        <w:rPr>
                          <w:rFonts w:ascii="Times New Roman" w:hAnsi="Times New Roman" w:cs="Times New Roman"/>
                          <w:color w:val="000000" w:themeColor="text1"/>
                          <w:sz w:val="20"/>
                          <w:szCs w:val="20"/>
                        </w:rPr>
                        <w:t>five</w:t>
                      </w:r>
                      <w:r w:rsidRPr="009375D1">
                        <w:rPr>
                          <w:rFonts w:ascii="Times New Roman" w:hAnsi="Times New Roman" w:cs="Times New Roman"/>
                          <w:color w:val="000000" w:themeColor="text1"/>
                          <w:sz w:val="20"/>
                          <w:szCs w:val="20"/>
                        </w:rPr>
                        <w:t xml:space="preserve"> raw reads required to form a stack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B)</w:t>
                      </w:r>
                      <w:r w:rsidRPr="009375D1">
                        <w:rPr>
                          <w:rFonts w:ascii="Times New Roman" w:hAnsi="Times New Roman" w:cs="Times New Roman"/>
                          <w:color w:val="000000" w:themeColor="text1"/>
                          <w:sz w:val="20"/>
                          <w:szCs w:val="20"/>
                        </w:rPr>
                        <w:t xml:space="preserve"> allowing a maximum of </w:t>
                      </w:r>
                      <w:r>
                        <w:rPr>
                          <w:rFonts w:ascii="Times New Roman" w:hAnsi="Times New Roman" w:cs="Times New Roman"/>
                          <w:color w:val="000000" w:themeColor="text1"/>
                          <w:sz w:val="20"/>
                          <w:szCs w:val="20"/>
                        </w:rPr>
                        <w:t>eight</w:t>
                      </w:r>
                      <w:r w:rsidRPr="009375D1">
                        <w:rPr>
                          <w:rFonts w:ascii="Times New Roman" w:hAnsi="Times New Roman" w:cs="Times New Roman"/>
                          <w:color w:val="000000" w:themeColor="text1"/>
                          <w:sz w:val="20"/>
                          <w:szCs w:val="20"/>
                        </w:rPr>
                        <w:t xml:space="preserve"> mismatches between loci (</w:t>
                      </w:r>
                      <w:r w:rsidRPr="009375D1">
                        <w:rPr>
                          <w:rFonts w:ascii="Times New Roman" w:hAnsi="Times New Roman" w:cs="Times New Roman"/>
                          <w:i/>
                          <w:iCs/>
                          <w:color w:val="000000" w:themeColor="text1"/>
                          <w:sz w:val="20"/>
                          <w:szCs w:val="20"/>
                        </w:rPr>
                        <w:t>M</w:t>
                      </w:r>
                      <w:r w:rsidRPr="009375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r w:rsidRPr="009375D1">
                        <w:rPr>
                          <w:rFonts w:ascii="Times New Roman" w:hAnsi="Times New Roman" w:cs="Times New Roman"/>
                          <w:color w:val="000000" w:themeColor="text1"/>
                          <w:sz w:val="20"/>
                          <w:szCs w:val="20"/>
                        </w:rPr>
                        <w:t xml:space="preserve"> and </w:t>
                      </w:r>
                      <w:r>
                        <w:rPr>
                          <w:rFonts w:ascii="Times New Roman" w:hAnsi="Times New Roman" w:cs="Times New Roman"/>
                          <w:color w:val="000000" w:themeColor="text1"/>
                          <w:sz w:val="20"/>
                          <w:szCs w:val="20"/>
                        </w:rPr>
                        <w:t>C) accommodating eight</w:t>
                      </w:r>
                      <w:r w:rsidRPr="009375D1">
                        <w:rPr>
                          <w:rFonts w:ascii="Times New Roman" w:hAnsi="Times New Roman" w:cs="Times New Roman"/>
                          <w:color w:val="000000" w:themeColor="text1"/>
                          <w:sz w:val="20"/>
                          <w:szCs w:val="20"/>
                        </w:rPr>
                        <w:t xml:space="preserve"> mismatches between loci of different individuals (</w:t>
                      </w:r>
                      <w:r w:rsidRPr="009375D1">
                        <w:rPr>
                          <w:rFonts w:ascii="Times New Roman" w:hAnsi="Times New Roman" w:cs="Times New Roman"/>
                          <w:i/>
                          <w:iCs/>
                          <w:color w:val="000000" w:themeColor="text1"/>
                          <w:sz w:val="20"/>
                          <w:szCs w:val="20"/>
                        </w:rPr>
                        <w:t>n</w:t>
                      </w:r>
                      <w:r w:rsidRPr="009375D1">
                        <w:rPr>
                          <w:rFonts w:ascii="Times New Roman" w:hAnsi="Times New Roman" w:cs="Times New Roman"/>
                          <w:color w:val="000000" w:themeColor="text1"/>
                          <w:sz w:val="20"/>
                          <w:szCs w:val="20"/>
                        </w:rPr>
                        <w:t>).</w:t>
                      </w:r>
                    </w:p>
                    <w:p w14:paraId="6BA6C041" w14:textId="77777777" w:rsidR="00321B78" w:rsidRDefault="00321B78" w:rsidP="00321B78"/>
                  </w:txbxContent>
                </v:textbox>
              </v:shape>
            </w:pict>
          </mc:Fallback>
        </mc:AlternateContent>
      </w:r>
    </w:p>
    <w:p w14:paraId="57B284C2" w14:textId="7F1183F5" w:rsidR="00321B78" w:rsidRDefault="00321B78" w:rsidP="00321B78">
      <w:pPr>
        <w:tabs>
          <w:tab w:val="left" w:pos="1743"/>
        </w:tabs>
        <w:rPr>
          <w:rFonts w:ascii="Times New Roman" w:hAnsi="Times New Roman" w:cs="Times New Roman"/>
        </w:rPr>
      </w:pPr>
    </w:p>
    <w:p w14:paraId="769BFD76" w14:textId="230A4F4E" w:rsidR="00321B78" w:rsidRDefault="00321B78" w:rsidP="00321B78">
      <w:pPr>
        <w:tabs>
          <w:tab w:val="left" w:pos="1743"/>
        </w:tabs>
        <w:rPr>
          <w:rFonts w:ascii="Times New Roman" w:hAnsi="Times New Roman" w:cs="Times New Roman"/>
        </w:rPr>
      </w:pPr>
    </w:p>
    <w:p w14:paraId="595782CA" w14:textId="2C014FCB" w:rsidR="00321B78" w:rsidRDefault="00321B78" w:rsidP="00321B78">
      <w:pPr>
        <w:tabs>
          <w:tab w:val="left" w:pos="1743"/>
        </w:tabs>
        <w:rPr>
          <w:rFonts w:ascii="Times New Roman" w:hAnsi="Times New Roman" w:cs="Times New Roman"/>
        </w:rPr>
      </w:pPr>
    </w:p>
    <w:p w14:paraId="0D416105" w14:textId="59167A73" w:rsidR="00321B78" w:rsidRDefault="00321B78" w:rsidP="00321B78">
      <w:pPr>
        <w:tabs>
          <w:tab w:val="left" w:pos="1743"/>
        </w:tabs>
        <w:rPr>
          <w:rFonts w:ascii="Times New Roman" w:hAnsi="Times New Roman" w:cs="Times New Roman"/>
        </w:rPr>
      </w:pPr>
    </w:p>
    <w:p w14:paraId="0973BA6C" w14:textId="77777777" w:rsidR="00321B78" w:rsidRDefault="00321B78" w:rsidP="00321B78">
      <w:pPr>
        <w:tabs>
          <w:tab w:val="left" w:pos="1743"/>
        </w:tabs>
        <w:rPr>
          <w:rFonts w:ascii="Times New Roman" w:hAnsi="Times New Roman" w:cs="Times New Roman"/>
        </w:rPr>
      </w:pPr>
      <w:r>
        <w:rPr>
          <w:rFonts w:ascii="Times New Roman" w:hAnsi="Times New Roman" w:cs="Times New Roman"/>
          <w:b/>
          <w:bCs/>
          <w:i/>
          <w:iCs/>
          <w:noProof/>
          <w:color w:val="000000" w:themeColor="text1"/>
        </w:rPr>
        <w:lastRenderedPageBreak/>
        <w:drawing>
          <wp:inline distT="0" distB="0" distL="0" distR="0" wp14:anchorId="747C644E" wp14:editId="632104E9">
            <wp:extent cx="5943600" cy="2576195"/>
            <wp:effectExtent l="0" t="0" r="0" b="1905"/>
            <wp:docPr id="1940603633" name="Picture 1" descr="A graph of a genetic modif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03633" name="Picture 1" descr="A graph of a genetic modification&#10;&#10;Description automatically generated with medium confidenc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2576195"/>
                    </a:xfrm>
                    <a:prstGeom prst="rect">
                      <a:avLst/>
                    </a:prstGeom>
                  </pic:spPr>
                </pic:pic>
              </a:graphicData>
            </a:graphic>
          </wp:inline>
        </w:drawing>
      </w:r>
    </w:p>
    <w:p w14:paraId="37C37203" w14:textId="77777777" w:rsidR="00321B78" w:rsidRDefault="00321B78" w:rsidP="00321B78">
      <w:pPr>
        <w:tabs>
          <w:tab w:val="left" w:pos="1743"/>
        </w:tabs>
        <w:rPr>
          <w:rFonts w:ascii="Times New Roman" w:hAnsi="Times New Roman" w:cs="Times New Roman"/>
        </w:rPr>
      </w:pPr>
      <w:r w:rsidRPr="00802863">
        <w:rPr>
          <w:rFonts w:ascii="Helvetica" w:hAnsi="Helvetica"/>
          <w:noProof/>
        </w:rPr>
        <mc:AlternateContent>
          <mc:Choice Requires="wps">
            <w:drawing>
              <wp:anchor distT="0" distB="0" distL="114300" distR="114300" simplePos="0" relativeHeight="251730944" behindDoc="0" locked="0" layoutInCell="1" allowOverlap="1" wp14:anchorId="04C65329" wp14:editId="477110AE">
                <wp:simplePos x="0" y="0"/>
                <wp:positionH relativeFrom="column">
                  <wp:posOffset>0</wp:posOffset>
                </wp:positionH>
                <wp:positionV relativeFrom="paragraph">
                  <wp:posOffset>-635</wp:posOffset>
                </wp:positionV>
                <wp:extent cx="5855970" cy="470263"/>
                <wp:effectExtent l="0" t="0" r="0" b="0"/>
                <wp:wrapNone/>
                <wp:docPr id="1521438284" name="Text Box 2"/>
                <wp:cNvGraphicFramePr/>
                <a:graphic xmlns:a="http://schemas.openxmlformats.org/drawingml/2006/main">
                  <a:graphicData uri="http://schemas.microsoft.com/office/word/2010/wordprocessingShape">
                    <wps:wsp>
                      <wps:cNvSpPr txBox="1"/>
                      <wps:spPr>
                        <a:xfrm>
                          <a:off x="0" y="0"/>
                          <a:ext cx="5855970" cy="470263"/>
                        </a:xfrm>
                        <a:prstGeom prst="rect">
                          <a:avLst/>
                        </a:prstGeom>
                        <a:noFill/>
                        <a:ln w="6350">
                          <a:noFill/>
                        </a:ln>
                      </wps:spPr>
                      <wps:txbx>
                        <w:txbxContent>
                          <w:p w14:paraId="325221E2" w14:textId="77777777" w:rsidR="00321B78" w:rsidRPr="001D608F" w:rsidRDefault="00321B78" w:rsidP="00321B78">
                            <w:pPr>
                              <w:jc w:val="both"/>
                              <w:rPr>
                                <w:rFonts w:ascii="Times New Roman" w:hAnsi="Times New Roman" w:cs="Times New Roman"/>
                                <w:color w:val="000000" w:themeColor="text1"/>
                                <w:sz w:val="20"/>
                                <w:szCs w:val="20"/>
                              </w:rPr>
                            </w:pPr>
                            <w:bookmarkStart w:id="11" w:name="FigS8"/>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8</w:t>
                            </w:r>
                            <w:bookmarkEnd w:id="11"/>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Phylogenetic tree depicting replicates. B) Genetic distance among replicates, comparing optimal and recommended assemblies. </w:t>
                            </w:r>
                          </w:p>
                          <w:p w14:paraId="13EAACDA" w14:textId="77777777" w:rsidR="00321B78" w:rsidRDefault="00321B78" w:rsidP="00321B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C65329" id="_x0000_s1047" type="#_x0000_t202" style="position:absolute;margin-left:0;margin-top:-.05pt;width:461.1pt;height:37.0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" filled="f" stroked="f" strokeweight=".5pt">
                <v:textbox>
                  <w:txbxContent>
                    <w:p w14:paraId="325221E2" w14:textId="77777777" w:rsidR="00321B78" w:rsidRPr="001D608F" w:rsidRDefault="00321B78" w:rsidP="00321B78">
                      <w:pPr>
                        <w:jc w:val="both"/>
                        <w:rPr>
                          <w:rFonts w:ascii="Times New Roman" w:hAnsi="Times New Roman" w:cs="Times New Roman"/>
                          <w:color w:val="000000" w:themeColor="text1"/>
                          <w:sz w:val="20"/>
                          <w:szCs w:val="20"/>
                        </w:rPr>
                      </w:pPr>
                      <w:bookmarkStart w:id="19" w:name="FigS8"/>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8</w:t>
                      </w:r>
                      <w:bookmarkEnd w:id="19"/>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Phylogenetic tree depicting replicates. B) Genetic distance among replicates, comparing optimal and recommended assemblies. </w:t>
                      </w:r>
                    </w:p>
                    <w:p w14:paraId="13EAACDA" w14:textId="77777777" w:rsidR="00321B78" w:rsidRDefault="00321B78" w:rsidP="00321B78"/>
                  </w:txbxContent>
                </v:textbox>
              </v:shape>
            </w:pict>
          </mc:Fallback>
        </mc:AlternateContent>
      </w:r>
    </w:p>
    <w:p w14:paraId="408396FC" w14:textId="77777777" w:rsidR="00321B78" w:rsidRDefault="00321B78" w:rsidP="00321B78">
      <w:pPr>
        <w:tabs>
          <w:tab w:val="left" w:pos="1743"/>
        </w:tabs>
        <w:rPr>
          <w:rFonts w:ascii="Times New Roman" w:hAnsi="Times New Roman" w:cs="Times New Roman"/>
        </w:rPr>
      </w:pPr>
    </w:p>
    <w:p w14:paraId="48604875" w14:textId="3BB6E2F0" w:rsidR="00321B78" w:rsidRPr="008108B8" w:rsidRDefault="00321B78" w:rsidP="008108B8">
      <w:pPr>
        <w:autoSpaceDE w:val="0"/>
        <w:autoSpaceDN w:val="0"/>
        <w:adjustRightInd w:val="0"/>
        <w:jc w:val="both"/>
        <w:rPr>
          <w:rFonts w:ascii="Times New Roman" w:hAnsi="Times New Roman" w:cs="Times New Roman"/>
          <w:color w:val="000000" w:themeColor="text1"/>
          <w:sz w:val="24"/>
          <w:szCs w:val="24"/>
        </w:rPr>
      </w:pPr>
      <w:r w:rsidRPr="00A22895">
        <w:rPr>
          <w:rFonts w:ascii="Times New Roman" w:hAnsi="Times New Roman" w:cs="Times New Roman"/>
          <w:b/>
          <w:bCs/>
          <w:i/>
          <w:iCs/>
          <w:color w:val="000000" w:themeColor="text1"/>
          <w:sz w:val="24"/>
          <w:szCs w:val="24"/>
        </w:rPr>
        <w:t xml:space="preserve">3) </w:t>
      </w:r>
      <w:r w:rsidRPr="00A22895">
        <w:rPr>
          <w:rFonts w:ascii="Times New Roman" w:hAnsi="Times New Roman" w:cs="Times New Roman"/>
          <w:b/>
          <w:bCs/>
          <w:color w:val="000000" w:themeColor="text1"/>
          <w:sz w:val="24"/>
          <w:szCs w:val="24"/>
        </w:rPr>
        <w:t xml:space="preserve">SNP Filtering. </w:t>
      </w:r>
      <w:r w:rsidRPr="00A22895">
        <w:rPr>
          <w:rFonts w:ascii="Times New Roman" w:hAnsi="Times New Roman" w:cs="Times New Roman"/>
          <w:color w:val="000000" w:themeColor="text1"/>
          <w:sz w:val="24"/>
          <w:szCs w:val="24"/>
        </w:rPr>
        <w:t xml:space="preserve">Because artefacts introduced during library preparation and bioinformatic processing of RADseq data may influence downstream population genetic inferences </w:t>
      </w:r>
      <w:r w:rsidRPr="00A22895">
        <w:rPr>
          <w:rFonts w:ascii="Times New Roman" w:hAnsi="Times New Roman" w:cs="Times New Roman"/>
          <w:color w:val="000000" w:themeColor="text1"/>
          <w:sz w:val="24"/>
          <w:szCs w:val="24"/>
        </w:rPr>
        <w:fldChar w:fldCharType="begin" w:fldLock="1"/>
      </w:r>
      <w:r w:rsidRPr="00A22895">
        <w:rPr>
          <w:rFonts w:ascii="Times New Roman" w:hAnsi="Times New Roman" w:cs="Times New Roman"/>
          <w:color w:val="000000" w:themeColor="text1"/>
          <w:sz w:val="24"/>
          <w:szCs w:val="24"/>
        </w:rPr>
        <w:instrText>ADDIN CSL_CITATION {"citationItems":[{"id":"ITEM-1","itemData":{"DOI":"10.1111/1755-0998.12995","ISSN":"17550998","PMID":"30659755","abstract":"A common method of minimizing errors in large DNA sequence data sets is to drop variable sites with a minor allele frequency (MAF) below some specified threshold. Although widespread, this procedure has the potential to alter downstream population genetic inferences and has received relatively little rigorous analysis. Here we use simulations and an empirical single nucleotide polymorphism data set to demonstrate the impacts of MAF thresholds on inference of population structure—often the first step in analysis of population genomic data. We find that model-based inference of population structure is confounded when singletons are included in the alignment, and that both model-based and multivariate analyses infer less distinct clusters when more stringent MAF cutoffs are applied. We propose that this behaviour is caused by the combination of a drop in the total size of the data matrix and by correlations between allele frequencies and mutational age. We recommend a set of best practices for applying MAF filters in studies seeking to describe population structure with genomic data.","author":[{"dropping-particle":"","family":"Linck","given":"Ethan","non-dropping-particle":"","parse-names":false,"suffix":""},{"dropping-particle":"","family":"Battey","given":"C. J.","non-dropping-particle":"","parse-names":false,"suffix":""}],"container-title":"Molecular Ecology Resources","id":"ITEM-1","issue":"3","issued":{"date-parts":[["2019"]]},"page":"639-647","title":"Minor allele frequency thresholds strongly affect population structure inference with genomic data sets","type":"article-journal","volume":"19"},"uris":["http://www.mendeley.com/documents/?uuid=45f180ea-711c-417e-91be-bd6cda9d2296"]},{"id":"ITEM-2","itemData":{"DOI":"10.1111/mec.14792","ISSN":"1365294X","abstract":"Sequencing reduced‐representation libraries of restriction site‐associated DNA (RAD-seq) to identify single nucleotide polymorphisms (SNPs) is quickly becoming a standard methodology for molecular ecologists. Because of the scale of RADseq data sets, putative loci cannot be assessed individually, making the process of filtering noise and correctly identifying biologically meaningful signal more difficult. Artefacts introduced during library preparation and/or bioinformatic processing of SNP data can create patterns that are incorrectly interpreted as indicative of population structure or natural selection. Therefore, it is crucial to carefully consider types of errors that may be introduced during laboratory work and data processing, and how to minimize, detect and remove these errors. Here, we discuss issues inherent to RADseq methodologies that can result in artefacts during library preparation and locus reconstruction resulting in erroneous SNP calls and, ultimately, genotyping error. Further, we describe steps that can be implemented to create a rigorously filtered data set consisting of markers accurately representing independent loci and compare the effect of different combinations of filters on four RAD data sets. At last, we stress the importance of publishing raw sequence data along with final filtered data sets in addition to detailed documentation of filtering steps and quality control measures.","author":[{"dropping-particle":"","family":"O'Leary","given":"Shannon J.","non-dropping-particle":"","parse-names":false,"suffix":""},{"dropping-particle":"","family":"Puritz","given":"Jonathan B.","non-dropping-particle":"","parse-names":false,"suffix":""},{"dropping-particle":"","family":"Willis","given":"Stuart C.","non-dropping-particle":"","parse-names":false,"suffix":""},{"dropping-particle":"","family":"Hollenbeck","given":"Christopher M.","non-dropping-particle":"","parse-names":false,"suffix":""},{"dropping-particle":"","family":"Portnoy","given":"David S.","non-dropping-particle":"","parse-names":false,"suffix":""}],"container-title":"Molecular Ecology","id":"ITEM-2","issue":"16","issued":{"date-parts":[["2018"]]},"page":"3193-3206","title":"These aren’t the loci you’e looking for: Principles of effective SNP filtering for molecular ecologists","type":"article-journal","volume":"27"},"uris":["http://www.mendeley.com/documents/?uuid=3b7fee30-fa0b-48f1-a569-b7ff9318db66"]}],"mendeley":{"formattedCitation":"(60, 71)","plainTextFormattedCitation":"(60, 71)","previouslyFormattedCitation":"(59, 70)"},"properties":{"noteIndex":0},"schema":"https://github.com/citation-style-language/schema/raw/master/csl-citation.json"}</w:instrText>
      </w:r>
      <w:r w:rsidRPr="00A22895">
        <w:rPr>
          <w:rFonts w:ascii="Times New Roman" w:hAnsi="Times New Roman" w:cs="Times New Roman"/>
          <w:color w:val="000000" w:themeColor="text1"/>
          <w:sz w:val="24"/>
          <w:szCs w:val="24"/>
        </w:rPr>
        <w:fldChar w:fldCharType="separate"/>
      </w:r>
      <w:r w:rsidRPr="00A22895">
        <w:rPr>
          <w:rFonts w:ascii="Times New Roman" w:hAnsi="Times New Roman" w:cs="Times New Roman"/>
          <w:noProof/>
          <w:color w:val="000000" w:themeColor="text1"/>
          <w:sz w:val="24"/>
          <w:szCs w:val="24"/>
        </w:rPr>
        <w:t>(60, 71)</w:t>
      </w:r>
      <w:r w:rsidRPr="00A22895">
        <w:rPr>
          <w:rFonts w:ascii="Times New Roman" w:hAnsi="Times New Roman" w:cs="Times New Roman"/>
          <w:color w:val="000000" w:themeColor="text1"/>
          <w:sz w:val="24"/>
          <w:szCs w:val="24"/>
        </w:rPr>
        <w:fldChar w:fldCharType="end"/>
      </w:r>
      <w:r w:rsidRPr="00A22895">
        <w:rPr>
          <w:rFonts w:ascii="Times New Roman" w:hAnsi="Times New Roman" w:cs="Times New Roman"/>
          <w:color w:val="000000" w:themeColor="text1"/>
          <w:sz w:val="24"/>
          <w:szCs w:val="24"/>
        </w:rPr>
        <w:t>, we implemented a rigorous SNP filtering pipeline. This involved comparing the effects of different filter combinations (</w:t>
      </w:r>
      <w:r w:rsidRPr="00A22895">
        <w:rPr>
          <w:rFonts w:ascii="Times New Roman" w:hAnsi="Times New Roman" w:cs="Times New Roman"/>
          <w:i/>
          <w:iCs/>
          <w:color w:val="000000" w:themeColor="text1"/>
          <w:sz w:val="24"/>
          <w:szCs w:val="24"/>
        </w:rPr>
        <w:t>e.g.</w:t>
      </w:r>
      <w:r w:rsidRPr="00A22895">
        <w:rPr>
          <w:rFonts w:ascii="Times New Roman" w:hAnsi="Times New Roman" w:cs="Times New Roman"/>
          <w:color w:val="000000" w:themeColor="text1"/>
          <w:sz w:val="24"/>
          <w:szCs w:val="24"/>
        </w:rPr>
        <w:t xml:space="preserve">, missing data, minor allele frequency [MAF], and coverage) using the R packages SNPfiltR </w:t>
      </w:r>
      <w:r w:rsidRPr="00A22895">
        <w:rPr>
          <w:rFonts w:ascii="Times New Roman" w:hAnsi="Times New Roman" w:cs="Times New Roman"/>
          <w:color w:val="000000" w:themeColor="text1"/>
          <w:sz w:val="24"/>
          <w:szCs w:val="24"/>
        </w:rPr>
        <w:fldChar w:fldCharType="begin" w:fldLock="1"/>
      </w:r>
      <w:r w:rsidRPr="00A22895">
        <w:rPr>
          <w:rFonts w:ascii="Times New Roman" w:hAnsi="Times New Roman" w:cs="Times New Roman"/>
          <w:color w:val="000000" w:themeColor="text1"/>
          <w:sz w:val="24"/>
          <w:szCs w:val="24"/>
        </w:rPr>
        <w:instrText>ADDIN CSL_CITATION {"citationItems":[{"id":"ITEM-1","itemData":{"DOI":"10.1111/1755-0998.13618","ISSN":"17550998","abstract":"Here, I describe the R package snpfiltr and demonstrate its functionality as the backbone of a customizable, reproducible single nucleotide polymorphism (SNP) filtering pipeline implemented exclusively via the widely adopted R programming language. SNPfiltR extends existing SNP filtering functionalities by automating the visualization of key parameters such as sequencing depth, quality, and missing data proportion, allowing users to visually optimize and implement filtering thresholds within a single, cohesive work session. All SNPfiltR functions require vcfr objects as input, which can be easily generated by reading a SNP data set stored in standard variant call format (vcf) into an R working environment using the function read.vcfR() from the R package vcfr. Performance and accuracy benchmarking reveal that for moderately sized SNP data sets (up to 50 M genotypes, plus associated quality information), SNPfiltR performs filtering with comparable accuracy and efficiency to current state of the art command-line-based programs. These results indicate that for most reduced-representation genomic data sets, SNPfiltR is an ideal choice for investigating, visualizing, and filtering SNPs as part of a user friendly bioinformatic pipeline. The snpfiltr package can be downloaded from CRAN with the command install.packages(“snpfiltr”), and the current development version is available from GitHub at: (github.com/DevonDeRaad/SNPfiltR). Thorough documentation for SNPfiltR, including multiple comprehensive vignettes detailing realistic use-cases, is available at the website: devonderaad.github.io/SNPfiltR/.","author":[{"dropping-particle":"","family":"DeRaad","given":"Devon A.","non-dropping-particle":"","parse-names":false,"suffix":""}],"container-title":"Molecular Ecology Resources","id":"ITEM-1","issued":{"date-parts":[["2022"]]},"page":"1-11","title":"snpfiltr: An R package for interactive and reproducible SNP filtering","type":"article-journal","volume":"00"},"uris":["http://www.mendeley.com/documents/?uuid=2a7c09db-94f1-4424-ad1f-11673746ce21"]},{"id":"ITEM-2","itemData":{"DOI":"10.1111/1755-0998.12549","ISSN":"17550998","PMID":"27401132","abstract":"Software to call single-nucleotide polymorphisms or related genetic variants has converged on the variant call format (VCF) as the output format of choice. This has created a need for tools to work with VCF files. While an increasing number of software exists to read VCF data, many only extract the genotypes without including the data associated with each genotype that describes its quality. We created the r package vcfr to address this issue. We developed a VCF file exploration tool implemented in the r language because r provides an interactive experience and an environment that is commonly used for genetic data analysis. Functions to read and write VCF files into r as well as functions to extract portions of the data and to plot summary statistics of the data are implemented. vcfr further provides the ability to visualize how various parameterizations of the data affect the results. Additional tools are included to integrate sequence (fasta) and annotation data (GFF) for visualization of genomic regions such as chromosomes. Conversion functions translate data from the vcfr data structure to formats used by other r genetics packages. Computationally intensive functions are implemented in C++ to improve performance. Use of these tools is intended to facilitate VCF data exploration, including intuitive methods for data quality control and easy export to other r packages for further analysis. vcfr thus provides essential, novel tools currently not available in r.","author":[{"dropping-particle":"","family":"Knaus","given":"Brian J.","non-dropping-particle":"","parse-names":false,"suffix":""},{"dropping-particle":"","family":"Grünwald","given":"Niklaus J.","non-dropping-particle":"","parse-names":false,"suffix":""}],"container-title":"Molecular Ecology Resources","id":"ITEM-2","issue":"1","issued":{"date-parts":[["2017"]]},"page":"44-53","title":"vcfr: a package to manipulate and visualize variant call format data in R","type":"article-journal","volume":"17"},"uris":["http://www.mendeley.com/documents/?uuid=667f1487-4379-46f2-be86-0ab35e778cb4"]}],"mendeley":{"formattedCitation":"(16, 69)","plainTextFormattedCitation":"(16, 69)","previouslyFormattedCitation":"(16, 68)"},"properties":{"noteIndex":0},"schema":"https://github.com/citation-style-language/schema/raw/master/csl-citation.json"}</w:instrText>
      </w:r>
      <w:r w:rsidRPr="00A22895">
        <w:rPr>
          <w:rFonts w:ascii="Times New Roman" w:hAnsi="Times New Roman" w:cs="Times New Roman"/>
          <w:color w:val="000000" w:themeColor="text1"/>
          <w:sz w:val="24"/>
          <w:szCs w:val="24"/>
        </w:rPr>
        <w:fldChar w:fldCharType="separate"/>
      </w:r>
      <w:r w:rsidRPr="00A22895">
        <w:rPr>
          <w:rFonts w:ascii="Times New Roman" w:hAnsi="Times New Roman" w:cs="Times New Roman"/>
          <w:noProof/>
          <w:color w:val="000000" w:themeColor="text1"/>
          <w:sz w:val="24"/>
          <w:szCs w:val="24"/>
        </w:rPr>
        <w:t>(16, 69)</w:t>
      </w:r>
      <w:r w:rsidRPr="00A22895">
        <w:rPr>
          <w:rFonts w:ascii="Times New Roman" w:hAnsi="Times New Roman" w:cs="Times New Roman"/>
          <w:color w:val="000000" w:themeColor="text1"/>
          <w:sz w:val="24"/>
          <w:szCs w:val="24"/>
        </w:rPr>
        <w:fldChar w:fldCharType="end"/>
      </w:r>
      <w:r w:rsidRPr="00A22895">
        <w:rPr>
          <w:rFonts w:ascii="Times New Roman" w:hAnsi="Times New Roman" w:cs="Times New Roman"/>
          <w:color w:val="000000" w:themeColor="text1"/>
          <w:sz w:val="24"/>
          <w:szCs w:val="24"/>
        </w:rPr>
        <w:t xml:space="preserve"> and VCFtools v0.1.16 </w:t>
      </w:r>
      <w:r w:rsidRPr="00A22895">
        <w:rPr>
          <w:rFonts w:ascii="Times New Roman" w:hAnsi="Times New Roman" w:cs="Times New Roman"/>
          <w:color w:val="000000" w:themeColor="text1"/>
          <w:sz w:val="24"/>
          <w:szCs w:val="24"/>
        </w:rPr>
        <w:fldChar w:fldCharType="begin" w:fldLock="1"/>
      </w:r>
      <w:r w:rsidRPr="00A22895">
        <w:rPr>
          <w:rFonts w:ascii="Times New Roman" w:hAnsi="Times New Roman" w:cs="Times New Roman"/>
          <w:color w:val="000000" w:themeColor="text1"/>
          <w:sz w:val="24"/>
          <w:szCs w:val="24"/>
        </w:rPr>
        <w:instrText>ADDIN CSL_CITATION {"citationItems":[{"id":"ITEM-1","itemData":{"DOI":"10.1093/bioinformatics/btr330","ISBN":"1367-4811 (Electronic)\\n1367-4803 (Linking)","ISSN":"13674803","PMID":"21653522","abstract":"SUMMARY: The variant call format (VCF) is a generic format for storing DNA polymorphism data such as SNPs, insertions, deletions and structural variants, together with rich annotations. VCF is usually stored in a compressed manner and can be indexed for fast data retrieval of variants from a range of positions on the reference genome. The format was developed for the 1000 Genomes Project, and has also been adopted by other projects such as UK10K, dbSNP and the NHLBI Exome Project. VCFtools is a software suite that implements various utilities for processing VCF files, including validation, merging, comparing and also provides a general Perl API.\\n\\nAVAILABILITY: http://vcftools.sourceforge.net","author":[{"dropping-particle":"","family":"Danecek","given":"Petr","non-dropping-particle":"","parse-names":false,"suffix":""},{"dropping-particle":"","family":"Auton","given":"Adam","non-dropping-particle":"","parse-names":false,"suffix":""},{"dropping-particle":"","family":"Abecasis","given":"Goncalo","non-dropping-particle":"","parse-names":false,"suffix":""},{"dropping-particle":"","family":"Albers","given":"Cornelis A.","non-dropping-particle":"","parse-names":false,"suffix":""},{"dropping-particle":"","family":"Banks","given":"Eric","non-dropping-particle":"","parse-names":false,"suffix":""},{"dropping-particle":"","family":"DePristo","given":"Mark A.","non-dropping-particle":"","parse-names":false,"suffix":""},{"dropping-particle":"","family":"Handsaker","given":"Robert E.","non-dropping-particle":"","parse-names":false,"suffix":""},{"dropping-particle":"","family":"Lunter","given":"Gerton","non-dropping-particle":"","parse-names":false,"suffix":""},{"dropping-particle":"","family":"Marth","given":"Gabor T.","non-dropping-particle":"","parse-names":false,"suffix":""},{"dropping-particle":"","family":"Sherry","given":"Stephen T.","non-dropping-particle":"","parse-names":false,"suffix":""},{"dropping-particle":"","family":"McVean","given":"Gilean","non-dropping-particle":"","parse-names":false,"suffix":""},{"dropping-particle":"","family":"Durbin","given":"Richard","non-dropping-particle":"","parse-names":false,"suffix":""}],"container-title":"Bioinformatics","id":"ITEM-1","issue":"15","issued":{"date-parts":[["2011"]]},"page":"2156-2158","title":"The variant call format and VCFtools","type":"article-journal","volume":"27"},"uris":["http://www.mendeley.com/documents/?uuid=7b524a8d-338c-45af-b10b-2cc39ba9cdbc"]}],"mendeley":{"formattedCitation":"(17)","plainTextFormattedCitation":"(17)","previouslyFormattedCitation":"(17)"},"properties":{"noteIndex":0},"schema":"https://github.com/citation-style-language/schema/raw/master/csl-citation.json"}</w:instrText>
      </w:r>
      <w:r w:rsidRPr="00A22895">
        <w:rPr>
          <w:rFonts w:ascii="Times New Roman" w:hAnsi="Times New Roman" w:cs="Times New Roman"/>
          <w:color w:val="000000" w:themeColor="text1"/>
          <w:sz w:val="24"/>
          <w:szCs w:val="24"/>
        </w:rPr>
        <w:fldChar w:fldCharType="separate"/>
      </w:r>
      <w:r w:rsidRPr="00A22895">
        <w:rPr>
          <w:rFonts w:ascii="Times New Roman" w:hAnsi="Times New Roman" w:cs="Times New Roman"/>
          <w:noProof/>
          <w:color w:val="000000" w:themeColor="text1"/>
          <w:sz w:val="24"/>
          <w:szCs w:val="24"/>
        </w:rPr>
        <w:t>(17)</w:t>
      </w:r>
      <w:r w:rsidRPr="00A22895">
        <w:rPr>
          <w:rFonts w:ascii="Times New Roman" w:hAnsi="Times New Roman" w:cs="Times New Roman"/>
          <w:color w:val="000000" w:themeColor="text1"/>
          <w:sz w:val="24"/>
          <w:szCs w:val="24"/>
        </w:rPr>
        <w:fldChar w:fldCharType="end"/>
      </w:r>
      <w:r w:rsidRPr="00A22895">
        <w:rPr>
          <w:rFonts w:ascii="Times New Roman" w:hAnsi="Times New Roman" w:cs="Times New Roman"/>
          <w:color w:val="000000" w:themeColor="text1"/>
          <w:sz w:val="24"/>
          <w:szCs w:val="24"/>
        </w:rPr>
        <w:t xml:space="preserve"> to generate SNP matrices. We generated species-specific matrices in Stacks that contained all putative loci (-</w:t>
      </w:r>
      <w:r w:rsidRPr="00A22895">
        <w:rPr>
          <w:rFonts w:ascii="Times New Roman" w:hAnsi="Times New Roman" w:cs="Times New Roman"/>
          <w:i/>
          <w:iCs/>
          <w:color w:val="000000" w:themeColor="text1"/>
          <w:sz w:val="24"/>
          <w:szCs w:val="24"/>
        </w:rPr>
        <w:t>R</w:t>
      </w:r>
      <w:r w:rsidRPr="00A22895">
        <w:rPr>
          <w:rFonts w:ascii="Times New Roman" w:hAnsi="Times New Roman" w:cs="Times New Roman"/>
          <w:color w:val="000000" w:themeColor="text1"/>
          <w:sz w:val="24"/>
          <w:szCs w:val="24"/>
        </w:rPr>
        <w:t xml:space="preserve"> 0.00) and selected the first SNP of each locus (--</w:t>
      </w:r>
      <w:r w:rsidRPr="00A22895">
        <w:rPr>
          <w:rFonts w:ascii="Times New Roman" w:hAnsi="Times New Roman" w:cs="Times New Roman"/>
          <w:i/>
          <w:iCs/>
          <w:color w:val="000000" w:themeColor="text1"/>
          <w:sz w:val="24"/>
          <w:szCs w:val="24"/>
        </w:rPr>
        <w:t>write_single_snp</w:t>
      </w:r>
      <w:r w:rsidRPr="00A22895">
        <w:rPr>
          <w:rFonts w:ascii="Times New Roman" w:hAnsi="Times New Roman" w:cs="Times New Roman"/>
          <w:color w:val="000000" w:themeColor="text1"/>
          <w:sz w:val="24"/>
          <w:szCs w:val="24"/>
        </w:rPr>
        <w:t xml:space="preserve">), to meet the requirement of unlinked SNPs for some population-level analyses, such as Admixture (see below). We used SNPfiltR to retain sites with a minimum depth of five and a minimum quality Phred score of 30. We further applied the allele balance filter, where values from 0 to 1 represent the ratio of reads showing the reference allele to all reads. As RADseq targets specific genomic locations, the data should exhibit an expected allele balance near 0.5, for which we filtered our dataset below 0.25 and above 0.75 </w:t>
      </w:r>
      <w:r w:rsidRPr="00A22895">
        <w:rPr>
          <w:rFonts w:ascii="Times New Roman" w:hAnsi="Times New Roman" w:cs="Times New Roman"/>
          <w:color w:val="000000" w:themeColor="text1"/>
          <w:sz w:val="24"/>
          <w:szCs w:val="24"/>
        </w:rPr>
        <w:fldChar w:fldCharType="begin" w:fldLock="1"/>
      </w:r>
      <w:r w:rsidRPr="00A22895">
        <w:rPr>
          <w:rFonts w:ascii="Times New Roman" w:hAnsi="Times New Roman" w:cs="Times New Roman"/>
          <w:color w:val="000000" w:themeColor="text1"/>
          <w:sz w:val="24"/>
          <w:szCs w:val="24"/>
        </w:rPr>
        <w:instrText>ADDIN CSL_CITATION {"citationItems":[{"id":"ITEM-1","itemData":{"DOI":"10.1111/1755-0998.13618","ISSN":"17550998","abstract":"Here, I describe the R package snpfiltr and demonstrate its functionality as the backbone of a customizable, reproducible single nucleotide polymorphism (SNP) filtering pipeline implemented exclusively via the widely adopted R programming language. SNPfiltR extends existing SNP filtering functionalities by automating the visualization of key parameters such as sequencing depth, quality, and missing data proportion, allowing users to visually optimize and implement filtering thresholds within a single, cohesive work session. All SNPfiltR functions require vcfr objects as input, which can be easily generated by reading a SNP data set stored in standard variant call format (vcf) into an R working environment using the function read.vcfR() from the R package vcfr. Performance and accuracy benchmarking reveal that for moderately sized SNP data sets (up to 50 M genotypes, plus associated quality information), SNPfiltR performs filtering with comparable accuracy and efficiency to current state of the art command-line-based programs. These results indicate that for most reduced-representation genomic data sets, SNPfiltR is an ideal choice for investigating, visualizing, and filtering SNPs as part of a user friendly bioinformatic pipeline. The snpfiltr package can be downloaded from CRAN with the command install.packages(“snpfiltr”), and the current development version is available from GitHub at: (github.com/DevonDeRaad/SNPfiltR). Thorough documentation for SNPfiltR, including multiple comprehensive vignettes detailing realistic use-cases, is available at the website: devonderaad.github.io/SNPfiltR/.","author":[{"dropping-particle":"","family":"DeRaad","given":"Devon A.","non-dropping-particle":"","parse-names":false,"suffix":""}],"container-title":"Molecular Ecology Resources","id":"ITEM-1","issued":{"date-parts":[["2022"]]},"page":"1-11","title":"snpfiltr: An R package for interactive and reproducible SNP filtering","type":"article-journal","volume":"00"},"uris":["http://www.mendeley.com/documents/?uuid=2a7c09db-94f1-4424-ad1f-11673746ce21"]}],"mendeley":{"formattedCitation":"(16)","plainTextFormattedCitation":"(16)","previouslyFormattedCitation":"(16)"},"properties":{"noteIndex":0},"schema":"https://github.com/citation-style-language/schema/raw/master/csl-citation.json"}</w:instrText>
      </w:r>
      <w:r w:rsidRPr="00A22895">
        <w:rPr>
          <w:rFonts w:ascii="Times New Roman" w:hAnsi="Times New Roman" w:cs="Times New Roman"/>
          <w:color w:val="000000" w:themeColor="text1"/>
          <w:sz w:val="24"/>
          <w:szCs w:val="24"/>
        </w:rPr>
        <w:fldChar w:fldCharType="separate"/>
      </w:r>
      <w:r w:rsidRPr="00A22895">
        <w:rPr>
          <w:rFonts w:ascii="Times New Roman" w:hAnsi="Times New Roman" w:cs="Times New Roman"/>
          <w:noProof/>
          <w:color w:val="000000" w:themeColor="text1"/>
          <w:sz w:val="24"/>
          <w:szCs w:val="24"/>
        </w:rPr>
        <w:t>(16)</w:t>
      </w:r>
      <w:r w:rsidRPr="00A22895">
        <w:rPr>
          <w:rFonts w:ascii="Times New Roman" w:hAnsi="Times New Roman" w:cs="Times New Roman"/>
          <w:color w:val="000000" w:themeColor="text1"/>
          <w:sz w:val="24"/>
          <w:szCs w:val="24"/>
        </w:rPr>
        <w:fldChar w:fldCharType="end"/>
      </w:r>
      <w:r w:rsidRPr="00A22895">
        <w:rPr>
          <w:rFonts w:ascii="Times New Roman" w:hAnsi="Times New Roman" w:cs="Times New Roman"/>
          <w:color w:val="000000" w:themeColor="text1"/>
          <w:sz w:val="24"/>
          <w:szCs w:val="24"/>
        </w:rPr>
        <w:t xml:space="preserve">. Next, we filtered our dataset to contain sites with a maximum depth of 100 and removed individuals with high levels of missing data (&gt;90%), as these represent individuals that were not sequenced well </w:t>
      </w:r>
      <w:r w:rsidRPr="00A22895">
        <w:rPr>
          <w:rFonts w:ascii="Times New Roman" w:hAnsi="Times New Roman" w:cs="Times New Roman"/>
          <w:color w:val="000000" w:themeColor="text1"/>
          <w:sz w:val="24"/>
          <w:szCs w:val="24"/>
        </w:rPr>
        <w:fldChar w:fldCharType="begin" w:fldLock="1"/>
      </w:r>
      <w:r w:rsidRPr="00A22895">
        <w:rPr>
          <w:rFonts w:ascii="Times New Roman" w:hAnsi="Times New Roman" w:cs="Times New Roman"/>
          <w:color w:val="000000" w:themeColor="text1"/>
          <w:sz w:val="24"/>
          <w:szCs w:val="24"/>
        </w:rPr>
        <w:instrText>ADDIN CSL_CITATION {"citationItems":[{"id":"ITEM-1","itemData":{"DOI":"10.1111/2041-210X.13562","ISSN":"2041210X","abstract":"The restriction site-associated DNA (RADseq) family of protocols involves digesting DNA and sequencing the region flanking the cut site, thus providing a cost and time-efficient way for obtaining thousands of genomic markers. However, when working with non-model taxa with few genomic resources, optimization of RADseq wet-lab and bioinformatic tools may be challenging, often resulting in allele dropout—that is when a given RADseq locus is not sequenced in one or more individuals resulting in missing data. Additionally, as datasets include divergent taxa, rates of dropout will increase since restriction sites may be lost due to mutation. Mitigating the impacts of allele dropout is crucial, as missing data may lead to incorrect inferences in population genetics and phylogenetics. Here, we demonstrate a simple pipeline for the optimization of RADseq datasets which involves partitioning datasets into subgroups, namely by reducing and analysing the dataset at a population or species level. By running the software Stacks at a subgroup level, we were able to reliably identify and remove individuals with high levels of missing data (bad apples) likely stemming from artefacts in library preparation, DNA quality or sequencing artefacts. Removal of the bad apples generally led to an increase in loci and decrease in missing data in the final datasets. The biological interpretability of the data, as measured by the number of retrieved loci and missing data, was considerably increased.","author":[{"dropping-particle":"","family":"Cerca","given":"José","non-dropping-particle":"","parse-names":false,"suffix":""},{"dropping-particle":"","family":"Maurstad","given":"Marius F.","non-dropping-particle":"","parse-names":false,"suffix":""},{"dropping-particle":"","family":"Rochette","given":"Nicolas C.","non-dropping-particle":"","parse-names":false,"suffix":""},{"dropping-particle":"","family":"Rivera-Colón","given":"Angel G.","non-dropping-particle":"","parse-names":false,"suffix":""},{"dropping-particle":"","family":"Rayamajhi","given":"Niraj","non-dropping-particle":"","parse-names":false,"suffix":""},{"dropping-particle":"","family":"Catchen","given":"Julian M.","non-dropping-particle":"","parse-names":false,"suffix":""},{"dropping-particle":"","family":"Struck","given":"Torsten H.","non-dropping-particle":"","parse-names":false,"suffix":""}],"container-title":"Methods in Ecology and Evolution","id":"ITEM-1","issue":"5","issued":{"date-parts":[["2021"]]},"page":"805-817","title":"Removing the bad apples: A simple bioinformatic method to improve loci-recovery in de novo RADseq data for non-model organisms","type":"article-journal","volume":"12"},"uris":["http://www.mendeley.com/documents/?uuid=2d09f700-0be4-492b-9a5e-61cee633b6b3"]}],"mendeley":{"formattedCitation":"(72)","plainTextFormattedCitation":"(72)","previouslyFormattedCitation":"(71)"},"properties":{"noteIndex":0},"schema":"https://github.com/citation-style-language/schema/raw/master/csl-citation.json"}</w:instrText>
      </w:r>
      <w:r w:rsidRPr="00A22895">
        <w:rPr>
          <w:rFonts w:ascii="Times New Roman" w:hAnsi="Times New Roman" w:cs="Times New Roman"/>
          <w:color w:val="000000" w:themeColor="text1"/>
          <w:sz w:val="24"/>
          <w:szCs w:val="24"/>
        </w:rPr>
        <w:fldChar w:fldCharType="separate"/>
      </w:r>
      <w:r w:rsidRPr="00A22895">
        <w:rPr>
          <w:rFonts w:ascii="Times New Roman" w:hAnsi="Times New Roman" w:cs="Times New Roman"/>
          <w:noProof/>
          <w:color w:val="000000" w:themeColor="text1"/>
          <w:sz w:val="24"/>
          <w:szCs w:val="24"/>
        </w:rPr>
        <w:t>(72)</w:t>
      </w:r>
      <w:r w:rsidRPr="00A22895">
        <w:rPr>
          <w:rFonts w:ascii="Times New Roman" w:hAnsi="Times New Roman" w:cs="Times New Roman"/>
          <w:color w:val="000000" w:themeColor="text1"/>
          <w:sz w:val="24"/>
          <w:szCs w:val="24"/>
        </w:rPr>
        <w:fldChar w:fldCharType="end"/>
      </w:r>
      <w:r w:rsidRPr="00A22895">
        <w:rPr>
          <w:rFonts w:ascii="Times New Roman" w:hAnsi="Times New Roman" w:cs="Times New Roman"/>
          <w:color w:val="000000" w:themeColor="text1"/>
          <w:sz w:val="24"/>
          <w:szCs w:val="24"/>
        </w:rPr>
        <w:t>. We also applied a SNP completeness threshold of 90% and retained only unlinked biallelic sites. We removed the sites with a low minor allele frequency (MAF &lt; 0.01) using VCFtools to filter out erroneous variant calls and singletons (variants only present in one individual) caused by sequencin</w:t>
      </w:r>
      <w:r w:rsidRPr="00A22895">
        <w:rPr>
          <w:rFonts w:ascii="Times New Roman" w:hAnsi="Times New Roman" w:cs="Times New Roman"/>
          <w:sz w:val="24"/>
          <w:szCs w:val="24"/>
        </w:rPr>
        <w:t xml:space="preserve">g or alignment errors </w:t>
      </w:r>
      <w:r w:rsidRPr="00A22895">
        <w:rPr>
          <w:rFonts w:ascii="Times New Roman" w:hAnsi="Times New Roman" w:cs="Times New Roman"/>
          <w:sz w:val="24"/>
          <w:szCs w:val="24"/>
        </w:rPr>
        <w:fldChar w:fldCharType="begin" w:fldLock="1"/>
      </w:r>
      <w:r w:rsidRPr="00A22895">
        <w:rPr>
          <w:rFonts w:ascii="Times New Roman" w:hAnsi="Times New Roman" w:cs="Times New Roman"/>
          <w:sz w:val="24"/>
          <w:szCs w:val="24"/>
        </w:rPr>
        <w:instrText>ADDIN CSL_CITATION {"citationItems":[{"id":"ITEM-1","itemData":{"DOI":"10.1111/mec.14792","ISSN":"1365294X","abstract":"Sequencing reduced‐representation libraries of restriction site‐associated DNA (RAD-seq) to identify single nucleotide polymorphisms (SNPs) is quickly becoming a standard methodology for molecular ecologists. Because of the scale of RADseq data sets, putative loci cannot be assessed individually, making the process of filtering noise and correctly identifying biologically meaningful signal more difficult. Artefacts introduced during library preparation and/or bioinformatic processing of SNP data can create patterns that are incorrectly interpreted as indicative of population structure or natural selection. Therefore, it is crucial to carefully consider types of errors that may be introduced during laboratory work and data processing, and how to minimize, detect and remove these errors. Here, we discuss issues inherent to RADseq methodologies that can result in artefacts during library preparation and locus reconstruction resulting in erroneous SNP calls and, ultimately, genotyping error. Further, we describe steps that can be implemented to create a rigorously filtered data set consisting of markers accurately representing independent loci and compare the effect of different combinations of filters on four RAD data sets. At last, we stress the importance of publishing raw sequence data along with final filtered data sets in addition to detailed documentation of filtering steps and quality control measures.","author":[{"dropping-particle":"","family":"O'Leary","given":"Shannon J.","non-dropping-particle":"","parse-names":false,"suffix":""},{"dropping-particle":"","family":"Puritz","given":"Jonathan B.","non-dropping-particle":"","parse-names":false,"suffix":""},{"dropping-particle":"","family":"Willis","given":"Stuart C.","non-dropping-particle":"","parse-names":false,"suffix":""},{"dropping-particle":"","family":"Hollenbeck","given":"Christopher M.","non-dropping-particle":"","parse-names":false,"suffix":""},{"dropping-particle":"","family":"Portnoy","given":"David S.","non-dropping-particle":"","parse-names":false,"suffix":""}],"container-title":"Molecular Ecology","id":"ITEM-1","issue":"16","issued":{"date-parts":[["2018"]]},"page":"3193-3206","title":"These aren’t the loci you’e looking for: Principles of effective SNP filtering for molecular ecologists","type":"article-journal","volume":"27"},"uris":["http://www.mendeley.com/documents/?uuid=3b7fee30-fa0b-48f1-a569-b7ff9318db66"]}],"mendeley":{"formattedCitation":"(60)","plainTextFormattedCitation":"(60)","previouslyFormattedCitation":"(59)"},"properties":{"noteIndex":0},"schema":"https://github.com/citation-style-language/schema/raw/master/csl-citation.json"}</w:instrText>
      </w:r>
      <w:r w:rsidRPr="00A22895">
        <w:rPr>
          <w:rFonts w:ascii="Times New Roman" w:hAnsi="Times New Roman" w:cs="Times New Roman"/>
          <w:sz w:val="24"/>
          <w:szCs w:val="24"/>
        </w:rPr>
        <w:fldChar w:fldCharType="separate"/>
      </w:r>
      <w:r w:rsidRPr="00A22895">
        <w:rPr>
          <w:rFonts w:ascii="Times New Roman" w:hAnsi="Times New Roman" w:cs="Times New Roman"/>
          <w:noProof/>
          <w:sz w:val="24"/>
          <w:szCs w:val="24"/>
        </w:rPr>
        <w:t>(60)</w:t>
      </w:r>
      <w:r w:rsidRPr="00A22895">
        <w:rPr>
          <w:rFonts w:ascii="Times New Roman" w:hAnsi="Times New Roman" w:cs="Times New Roman"/>
          <w:sz w:val="24"/>
          <w:szCs w:val="24"/>
        </w:rPr>
        <w:fldChar w:fldCharType="end"/>
      </w:r>
      <w:r w:rsidRPr="00A22895">
        <w:rPr>
          <w:rFonts w:ascii="Times New Roman" w:hAnsi="Times New Roman" w:cs="Times New Roman"/>
          <w:sz w:val="24"/>
          <w:szCs w:val="24"/>
        </w:rPr>
        <w:t>.</w:t>
      </w:r>
      <w:r w:rsidRPr="00A22895">
        <w:rPr>
          <w:rFonts w:ascii="Times New Roman" w:hAnsi="Times New Roman" w:cs="Times New Roman"/>
          <w:color w:val="000000" w:themeColor="text1"/>
          <w:sz w:val="24"/>
          <w:szCs w:val="24"/>
        </w:rPr>
        <w:t xml:space="preserve"> To filter homeologs, which are paralogs resulting from whole-genome duplication, we used the R package hierfstat </w:t>
      </w:r>
      <w:r w:rsidRPr="00A22895">
        <w:rPr>
          <w:rFonts w:ascii="Times New Roman" w:hAnsi="Times New Roman" w:cs="Times New Roman"/>
          <w:color w:val="000000" w:themeColor="text1"/>
          <w:sz w:val="24"/>
          <w:szCs w:val="24"/>
        </w:rPr>
        <w:fldChar w:fldCharType="begin" w:fldLock="1"/>
      </w:r>
      <w:r w:rsidRPr="00A22895">
        <w:rPr>
          <w:rFonts w:ascii="Times New Roman" w:hAnsi="Times New Roman" w:cs="Times New Roman"/>
          <w:color w:val="000000" w:themeColor="text1"/>
          <w:sz w:val="24"/>
          <w:szCs w:val="24"/>
        </w:rPr>
        <w:instrText>ADDIN CSL_CITATION {"citationItems":[{"id":"ITEM-1","itemData":{"DOI":"10.1111/j.1471-8278","abstract":"This work reports the characterization of 11 polymorphic microsatellite loci in section Cau-lorrhizae . The primer pairs were designed from Arachis pintoi and showed full transferability to Arachis repens species . These new markers were used to evaluate the genetic diversity in germplasm (accessions and cultivars) of section Caulorrhizae . This new set of markers detected greater gene diversity than morphological and molecular markers such as AFLP (amplified fragment length polymorphism) and RAPD (rapid analysis of polymorphic DNA) previously used in this germplasm.","author":[{"dropping-particle":"","family":"Goudet","given":"Jérôme","non-dropping-particle":"","parse-names":false,"suffix":""}],"container-title":"Molecular Ecology Notes","id":"ITEM-1","issued":{"date-parts":[["2005"]]},"page":"184-186","title":"HIERFSTAT , a package for R to compute and test hierarchical F -statistics","type":"article-journal","volume":"2"},"uris":["http://www.mendeley.com/documents/?uuid=f6288f6b-6ba9-4563-ae26-7df4a43d179e"]}],"mendeley":{"formattedCitation":"(73)","plainTextFormattedCitation":"(73)","previouslyFormattedCitation":"(72)"},"properties":{"noteIndex":0},"schema":"https://github.com/citation-style-language/schema/raw/master/csl-citation.json"}</w:instrText>
      </w:r>
      <w:r w:rsidRPr="00A22895">
        <w:rPr>
          <w:rFonts w:ascii="Times New Roman" w:hAnsi="Times New Roman" w:cs="Times New Roman"/>
          <w:color w:val="000000" w:themeColor="text1"/>
          <w:sz w:val="24"/>
          <w:szCs w:val="24"/>
        </w:rPr>
        <w:fldChar w:fldCharType="separate"/>
      </w:r>
      <w:r w:rsidRPr="00A22895">
        <w:rPr>
          <w:rFonts w:ascii="Times New Roman" w:hAnsi="Times New Roman" w:cs="Times New Roman"/>
          <w:noProof/>
          <w:color w:val="000000" w:themeColor="text1"/>
          <w:sz w:val="24"/>
          <w:szCs w:val="24"/>
        </w:rPr>
        <w:t>(73)</w:t>
      </w:r>
      <w:r w:rsidRPr="00A22895">
        <w:rPr>
          <w:rFonts w:ascii="Times New Roman" w:hAnsi="Times New Roman" w:cs="Times New Roman"/>
          <w:color w:val="000000" w:themeColor="text1"/>
          <w:sz w:val="24"/>
          <w:szCs w:val="24"/>
        </w:rPr>
        <w:fldChar w:fldCharType="end"/>
      </w:r>
      <w:r w:rsidRPr="00A22895">
        <w:rPr>
          <w:rFonts w:ascii="Times New Roman" w:hAnsi="Times New Roman" w:cs="Times New Roman"/>
          <w:color w:val="000000" w:themeColor="text1"/>
          <w:sz w:val="24"/>
          <w:szCs w:val="24"/>
        </w:rPr>
        <w:t xml:space="preserve"> to exclude markers with excessively high observed heterozygosity deviations from Hardy-Weinberg proportions (</w:t>
      </w:r>
      <w:r w:rsidRPr="00A22895">
        <w:rPr>
          <w:rFonts w:ascii="Times New Roman" w:hAnsi="Times New Roman" w:cs="Times New Roman"/>
          <w:i/>
          <w:iCs/>
          <w:color w:val="000000" w:themeColor="text1"/>
          <w:sz w:val="24"/>
          <w:szCs w:val="24"/>
        </w:rPr>
        <w:t>H</w:t>
      </w:r>
      <w:r w:rsidRPr="00A22895">
        <w:rPr>
          <w:rFonts w:ascii="Times New Roman" w:hAnsi="Times New Roman" w:cs="Times New Roman"/>
          <w:i/>
          <w:iCs/>
          <w:color w:val="000000" w:themeColor="text1"/>
          <w:sz w:val="24"/>
          <w:szCs w:val="24"/>
          <w:vertAlign w:val="subscript"/>
        </w:rPr>
        <w:t>o</w:t>
      </w:r>
      <w:r w:rsidRPr="00A22895">
        <w:rPr>
          <w:rFonts w:ascii="Times New Roman" w:hAnsi="Times New Roman" w:cs="Times New Roman"/>
          <w:color w:val="000000" w:themeColor="text1"/>
          <w:sz w:val="24"/>
          <w:szCs w:val="24"/>
        </w:rPr>
        <w:t xml:space="preserve"> &gt; 0.45 within samples) </w:t>
      </w:r>
      <w:r w:rsidRPr="00A22895">
        <w:rPr>
          <w:rFonts w:ascii="Times New Roman" w:hAnsi="Times New Roman" w:cs="Times New Roman"/>
          <w:color w:val="000000" w:themeColor="text1"/>
          <w:sz w:val="24"/>
          <w:szCs w:val="24"/>
        </w:rPr>
        <w:fldChar w:fldCharType="begin" w:fldLock="1"/>
      </w:r>
      <w:r w:rsidRPr="00A22895">
        <w:rPr>
          <w:rFonts w:ascii="Times New Roman" w:hAnsi="Times New Roman" w:cs="Times New Roman"/>
          <w:color w:val="000000" w:themeColor="text1"/>
          <w:sz w:val="24"/>
          <w:szCs w:val="24"/>
        </w:rPr>
        <w:instrText>ADDIN CSL_CITATION {"citationItems":[{"id":"ITEM-1","itemData":{"DOI":"10.1111/j.1755-0998.2010.02967.x","ISBN":"1755-098X","ISSN":"1755098X","PMID":"21429168","abstract":"The increased numbers of genetic markers produced by genomic techniques have the potential to both identify hybrid individuals and localize chromosomal regions responding to selection and contributing to introgression. We used restriction-site-associated DNA sequencing to identify a dense set of candidate SNP loci with fixed allelic differences between introduced rainbow trout (Oncorhynchus mykiss) and native westslope cutthroat trout (Oncorhynchus clarkii lewisi). We distinguished candidate SNPs from homeologs (paralogs resulting from whole-genome duplication) by detecting excessively high observed heterozygosity and deviations from Hardy-Weinberg proportions. We identified 2923 candidate species-specific SNPs from a single Illumina sequencing lane containing 24 barcode-labelled individuals. Published sequence data and ongoing genome sequencing of rainbow trout will allow physical mapping of SNP loci for genome-wide scans and will also provide flanking sequence for design of qPCR-based TaqMan(®) assays for high-throughput, low-cost hybrid identification using a subset of 50-100 loci. This study demonstrates that it is now feasible to identify thousands of informative SNPs in nonmodel species quickly and at reasonable cost, even if no prior genomic information is available.","author":[{"dropping-particle":"","family":"Hohenlohe","given":"Paul A.","non-dropping-particle":"","parse-names":false,"suffix":""},{"dropping-particle":"","family":"Amish","given":"Stephen J.","non-dropping-particle":"","parse-names":false,"suffix":""},{"dropping-particle":"","family":"Catchen","given":"Julian M.","non-dropping-particle":"","parse-names":false,"suffix":""},{"dropping-particle":"","family":"Allendorf","given":"Fred W.","non-dropping-particle":"","parse-names":false,"suffix":""},{"dropping-particle":"","family":"Luikart","given":"Gordon","non-dropping-particle":"","parse-names":false,"suffix":""}],"container-title":"Molecular Ecology Resources","id":"ITEM-1","issue":"SUPPL. 1","issued":{"date-parts":[["2011"]]},"page":"117-122","title":"Next-generation RAD sequencing identifies thousands of SNPs for assessing hybridization between rainbow and westslope cutthroat trout","type":"article-journal","volume":"11"},"uris":["http://www.mendeley.com/documents/?uuid=4d4ab130-e40c-446d-8aeb-9c04e2dd266a"]}],"mendeley":{"formattedCitation":"(59)","plainTextFormattedCitation":"(59)","previouslyFormattedCitation":"(58)"},"properties":{"noteIndex":0},"schema":"https://github.com/citation-style-language/schema/raw/master/csl-citation.json"}</w:instrText>
      </w:r>
      <w:r w:rsidRPr="00A22895">
        <w:rPr>
          <w:rFonts w:ascii="Times New Roman" w:hAnsi="Times New Roman" w:cs="Times New Roman"/>
          <w:color w:val="000000" w:themeColor="text1"/>
          <w:sz w:val="24"/>
          <w:szCs w:val="24"/>
        </w:rPr>
        <w:fldChar w:fldCharType="separate"/>
      </w:r>
      <w:r w:rsidRPr="00A22895">
        <w:rPr>
          <w:rFonts w:ascii="Times New Roman" w:hAnsi="Times New Roman" w:cs="Times New Roman"/>
          <w:noProof/>
          <w:color w:val="000000" w:themeColor="text1"/>
          <w:sz w:val="24"/>
          <w:szCs w:val="24"/>
        </w:rPr>
        <w:t>(59)</w:t>
      </w:r>
      <w:r w:rsidRPr="00A22895">
        <w:rPr>
          <w:rFonts w:ascii="Times New Roman" w:hAnsi="Times New Roman" w:cs="Times New Roman"/>
          <w:color w:val="000000" w:themeColor="text1"/>
          <w:sz w:val="24"/>
          <w:szCs w:val="24"/>
        </w:rPr>
        <w:fldChar w:fldCharType="end"/>
      </w:r>
      <w:r w:rsidRPr="00A22895">
        <w:rPr>
          <w:rFonts w:ascii="Times New Roman" w:hAnsi="Times New Roman" w:cs="Times New Roman"/>
          <w:color w:val="000000" w:themeColor="text1"/>
          <w:sz w:val="24"/>
          <w:szCs w:val="24"/>
        </w:rPr>
        <w:t xml:space="preserve">. We conducted preliminary analyses with and without applying the </w:t>
      </w:r>
      <w:r w:rsidRPr="00A22895">
        <w:rPr>
          <w:rFonts w:ascii="Times New Roman" w:hAnsi="Times New Roman" w:cs="Times New Roman"/>
          <w:i/>
          <w:iCs/>
          <w:color w:val="000000" w:themeColor="text1"/>
          <w:sz w:val="24"/>
          <w:szCs w:val="24"/>
        </w:rPr>
        <w:t>H</w:t>
      </w:r>
      <w:r w:rsidRPr="00A22895">
        <w:rPr>
          <w:rFonts w:ascii="Times New Roman" w:hAnsi="Times New Roman" w:cs="Times New Roman"/>
          <w:i/>
          <w:iCs/>
          <w:color w:val="000000" w:themeColor="text1"/>
          <w:sz w:val="24"/>
          <w:szCs w:val="24"/>
          <w:vertAlign w:val="subscript"/>
        </w:rPr>
        <w:t xml:space="preserve">o </w:t>
      </w:r>
      <w:r w:rsidRPr="00A22895">
        <w:rPr>
          <w:rFonts w:ascii="Times New Roman" w:hAnsi="Times New Roman" w:cs="Times New Roman"/>
          <w:color w:val="000000" w:themeColor="text1"/>
          <w:sz w:val="24"/>
          <w:szCs w:val="24"/>
        </w:rPr>
        <w:t>filter, hereafter referred to as “strict” and “relaxed” filters, respectively. The preliminary results showed similar outcomes; however, there were cases where the relaxed filters recover finer patterns of population structure, allowing us to evaluate the effects of the breaks at a higher resolution (Fig. S9). Therefore, we selected matrices produced using the relaxed filters to conduct further population analyses.</w:t>
      </w:r>
    </w:p>
    <w:p w14:paraId="6F6C67C7" w14:textId="14CD9859" w:rsidR="00321B78" w:rsidRDefault="00321B78" w:rsidP="00321B78">
      <w:pPr>
        <w:tabs>
          <w:tab w:val="left" w:pos="1743"/>
        </w:tabs>
        <w:rPr>
          <w:rFonts w:ascii="Times New Roman" w:hAnsi="Times New Roman" w:cs="Times New Roman"/>
        </w:rPr>
      </w:pPr>
      <w:r>
        <w:rPr>
          <w:rFonts w:ascii="Helvetica" w:hAnsi="Helvetica" w:cs="Times New Roman"/>
          <w:b/>
          <w:bCs/>
          <w:noProof/>
          <w:color w:val="000000" w:themeColor="text1"/>
        </w:rPr>
        <w:lastRenderedPageBreak/>
        <w:drawing>
          <wp:anchor distT="0" distB="0" distL="114300" distR="114300" simplePos="0" relativeHeight="251737088" behindDoc="0" locked="0" layoutInCell="1" allowOverlap="1" wp14:anchorId="2E5A4688" wp14:editId="58508BB9">
            <wp:simplePos x="0" y="0"/>
            <wp:positionH relativeFrom="column">
              <wp:posOffset>0</wp:posOffset>
            </wp:positionH>
            <wp:positionV relativeFrom="paragraph">
              <wp:posOffset>0</wp:posOffset>
            </wp:positionV>
            <wp:extent cx="5943600" cy="3100070"/>
            <wp:effectExtent l="0" t="0" r="0" b="0"/>
            <wp:wrapNone/>
            <wp:docPr id="1141410357" name="Picture 2"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10357" name="Picture 2" descr="A diagram of a diagram of a diagram&#10;&#10;Description automatically generated with medium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3100070"/>
                    </a:xfrm>
                    <a:prstGeom prst="rect">
                      <a:avLst/>
                    </a:prstGeom>
                  </pic:spPr>
                </pic:pic>
              </a:graphicData>
            </a:graphic>
            <wp14:sizeRelH relativeFrom="page">
              <wp14:pctWidth>0</wp14:pctWidth>
            </wp14:sizeRelH>
            <wp14:sizeRelV relativeFrom="page">
              <wp14:pctHeight>0</wp14:pctHeight>
            </wp14:sizeRelV>
          </wp:anchor>
        </w:drawing>
      </w:r>
    </w:p>
    <w:p w14:paraId="2CD6279E" w14:textId="77777777" w:rsidR="00321B78" w:rsidRDefault="00321B78" w:rsidP="00321B78">
      <w:pPr>
        <w:tabs>
          <w:tab w:val="left" w:pos="1743"/>
        </w:tabs>
        <w:rPr>
          <w:rFonts w:ascii="Times New Roman" w:hAnsi="Times New Roman" w:cs="Times New Roman"/>
        </w:rPr>
      </w:pPr>
    </w:p>
    <w:p w14:paraId="2EBAA8A6" w14:textId="77777777" w:rsidR="00321B78" w:rsidRDefault="00321B78" w:rsidP="00321B78">
      <w:pPr>
        <w:tabs>
          <w:tab w:val="left" w:pos="1743"/>
        </w:tabs>
        <w:rPr>
          <w:rFonts w:ascii="Times New Roman" w:hAnsi="Times New Roman" w:cs="Times New Roman"/>
        </w:rPr>
      </w:pPr>
    </w:p>
    <w:p w14:paraId="49E4B063" w14:textId="77777777" w:rsidR="00321B78" w:rsidRDefault="00321B78" w:rsidP="00321B78">
      <w:pPr>
        <w:tabs>
          <w:tab w:val="left" w:pos="1743"/>
        </w:tabs>
        <w:rPr>
          <w:rFonts w:ascii="Times New Roman" w:hAnsi="Times New Roman" w:cs="Times New Roman"/>
        </w:rPr>
      </w:pPr>
    </w:p>
    <w:p w14:paraId="654F95C3" w14:textId="77777777" w:rsidR="00321B78" w:rsidRDefault="00321B78" w:rsidP="00321B78">
      <w:pPr>
        <w:tabs>
          <w:tab w:val="left" w:pos="1743"/>
        </w:tabs>
        <w:rPr>
          <w:rFonts w:ascii="Times New Roman" w:hAnsi="Times New Roman" w:cs="Times New Roman"/>
        </w:rPr>
      </w:pPr>
    </w:p>
    <w:p w14:paraId="393144D7" w14:textId="77777777" w:rsidR="00321B78" w:rsidRDefault="00321B78" w:rsidP="00321B78">
      <w:pPr>
        <w:tabs>
          <w:tab w:val="left" w:pos="1743"/>
        </w:tabs>
        <w:rPr>
          <w:rFonts w:ascii="Times New Roman" w:hAnsi="Times New Roman" w:cs="Times New Roman"/>
        </w:rPr>
      </w:pPr>
    </w:p>
    <w:p w14:paraId="322AAE45" w14:textId="77777777" w:rsidR="00321B78" w:rsidRDefault="00321B78" w:rsidP="00321B78">
      <w:pPr>
        <w:tabs>
          <w:tab w:val="left" w:pos="1743"/>
        </w:tabs>
        <w:rPr>
          <w:rFonts w:ascii="Times New Roman" w:hAnsi="Times New Roman" w:cs="Times New Roman"/>
        </w:rPr>
      </w:pPr>
    </w:p>
    <w:p w14:paraId="2A6C4F74" w14:textId="77777777" w:rsidR="00321B78" w:rsidRDefault="00321B78" w:rsidP="00321B78">
      <w:pPr>
        <w:tabs>
          <w:tab w:val="left" w:pos="1743"/>
        </w:tabs>
        <w:rPr>
          <w:rFonts w:ascii="Times New Roman" w:hAnsi="Times New Roman" w:cs="Times New Roman"/>
        </w:rPr>
      </w:pPr>
    </w:p>
    <w:p w14:paraId="1830EC6F" w14:textId="77777777" w:rsidR="00321B78" w:rsidRDefault="00321B78" w:rsidP="00321B78">
      <w:pPr>
        <w:tabs>
          <w:tab w:val="left" w:pos="1743"/>
        </w:tabs>
        <w:rPr>
          <w:rFonts w:ascii="Times New Roman" w:hAnsi="Times New Roman" w:cs="Times New Roman"/>
        </w:rPr>
      </w:pPr>
    </w:p>
    <w:p w14:paraId="27EB2941" w14:textId="77777777" w:rsidR="00321B78" w:rsidRDefault="00321B78" w:rsidP="00321B78">
      <w:pPr>
        <w:tabs>
          <w:tab w:val="left" w:pos="1743"/>
        </w:tabs>
        <w:rPr>
          <w:rFonts w:ascii="Times New Roman" w:hAnsi="Times New Roman" w:cs="Times New Roman"/>
        </w:rPr>
      </w:pPr>
    </w:p>
    <w:p w14:paraId="039A6EAB" w14:textId="77777777" w:rsidR="00321B78" w:rsidRDefault="00321B78" w:rsidP="00321B78">
      <w:pPr>
        <w:tabs>
          <w:tab w:val="left" w:pos="1743"/>
        </w:tabs>
        <w:rPr>
          <w:rFonts w:ascii="Times New Roman" w:hAnsi="Times New Roman" w:cs="Times New Roman"/>
        </w:rPr>
      </w:pPr>
    </w:p>
    <w:p w14:paraId="2CBFE512" w14:textId="77777777" w:rsidR="00321B78" w:rsidRDefault="00321B78" w:rsidP="00321B78">
      <w:pPr>
        <w:tabs>
          <w:tab w:val="left" w:pos="1743"/>
        </w:tabs>
        <w:rPr>
          <w:rFonts w:ascii="Times New Roman" w:hAnsi="Times New Roman" w:cs="Times New Roman"/>
        </w:rPr>
      </w:pPr>
    </w:p>
    <w:p w14:paraId="58C3BE93" w14:textId="77777777" w:rsidR="00321B78" w:rsidRDefault="00321B78" w:rsidP="00321B78">
      <w:pPr>
        <w:tabs>
          <w:tab w:val="left" w:pos="1743"/>
        </w:tabs>
        <w:rPr>
          <w:rFonts w:ascii="Times New Roman" w:hAnsi="Times New Roman" w:cs="Times New Roman"/>
        </w:rPr>
      </w:pPr>
      <w:r w:rsidRPr="00802863">
        <w:rPr>
          <w:rFonts w:ascii="Helvetica" w:hAnsi="Helvetica"/>
          <w:noProof/>
        </w:rPr>
        <mc:AlternateContent>
          <mc:Choice Requires="wps">
            <w:drawing>
              <wp:anchor distT="0" distB="0" distL="114300" distR="114300" simplePos="0" relativeHeight="251732992" behindDoc="0" locked="0" layoutInCell="1" allowOverlap="1" wp14:anchorId="1B58870F" wp14:editId="2E4212FB">
                <wp:simplePos x="0" y="0"/>
                <wp:positionH relativeFrom="column">
                  <wp:posOffset>0</wp:posOffset>
                </wp:positionH>
                <wp:positionV relativeFrom="paragraph">
                  <wp:posOffset>8923</wp:posOffset>
                </wp:positionV>
                <wp:extent cx="5855970" cy="591820"/>
                <wp:effectExtent l="0" t="0" r="0" b="0"/>
                <wp:wrapNone/>
                <wp:docPr id="1242546741" name="Text Box 2"/>
                <wp:cNvGraphicFramePr/>
                <a:graphic xmlns:a="http://schemas.openxmlformats.org/drawingml/2006/main">
                  <a:graphicData uri="http://schemas.microsoft.com/office/word/2010/wordprocessingShape">
                    <wps:wsp>
                      <wps:cNvSpPr txBox="1"/>
                      <wps:spPr>
                        <a:xfrm>
                          <a:off x="0" y="0"/>
                          <a:ext cx="5855970" cy="591820"/>
                        </a:xfrm>
                        <a:prstGeom prst="rect">
                          <a:avLst/>
                        </a:prstGeom>
                        <a:noFill/>
                        <a:ln w="6350">
                          <a:noFill/>
                        </a:ln>
                      </wps:spPr>
                      <wps:txbx>
                        <w:txbxContent>
                          <w:p w14:paraId="4A15408D" w14:textId="77777777" w:rsidR="00321B78" w:rsidRDefault="00321B78" w:rsidP="00321B78">
                            <w:pPr>
                              <w:jc w:val="both"/>
                            </w:pPr>
                            <w:bookmarkStart w:id="12" w:name="FigS9"/>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9</w:t>
                            </w:r>
                            <w:bookmarkEnd w:id="12"/>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Admixture plot and phylogenetic tree of </w:t>
                            </w:r>
                            <w:r w:rsidRPr="006E2690">
                              <w:rPr>
                                <w:rFonts w:ascii="Times New Roman" w:hAnsi="Times New Roman" w:cs="Times New Roman"/>
                                <w:i/>
                                <w:iCs/>
                                <w:color w:val="000000" w:themeColor="text1"/>
                                <w:sz w:val="20"/>
                                <w:szCs w:val="20"/>
                              </w:rPr>
                              <w:t>M. aurolineatus</w:t>
                            </w:r>
                            <w:r>
                              <w:rPr>
                                <w:rFonts w:ascii="Times New Roman" w:hAnsi="Times New Roman" w:cs="Times New Roman"/>
                                <w:color w:val="000000" w:themeColor="text1"/>
                                <w:sz w:val="20"/>
                                <w:szCs w:val="20"/>
                              </w:rPr>
                              <w:t xml:space="preserve"> estimated using matrices applying relaxed filters. B) Admixture plot and phylogenetic tree of </w:t>
                            </w:r>
                            <w:r w:rsidRPr="006E2690">
                              <w:rPr>
                                <w:rFonts w:ascii="Times New Roman" w:hAnsi="Times New Roman" w:cs="Times New Roman"/>
                                <w:i/>
                                <w:iCs/>
                                <w:color w:val="000000" w:themeColor="text1"/>
                                <w:sz w:val="20"/>
                                <w:szCs w:val="20"/>
                              </w:rPr>
                              <w:t>M. aurolineatus</w:t>
                            </w:r>
                            <w:r>
                              <w:rPr>
                                <w:rFonts w:ascii="Times New Roman" w:hAnsi="Times New Roman" w:cs="Times New Roman"/>
                                <w:color w:val="000000" w:themeColor="text1"/>
                                <w:sz w:val="20"/>
                                <w:szCs w:val="20"/>
                              </w:rPr>
                              <w:t xml:space="preserve"> estimated using matrices applying strict filters.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58870F" id="_x0000_s1048" type="#_x0000_t202" style="position:absolute;margin-left:0;margin-top:.7pt;width:461.1pt;height:46.6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" filled="f" stroked="f" strokeweight=".5pt">
                <v:textbox>
                  <w:txbxContent>
                    <w:p w14:paraId="4A15408D" w14:textId="77777777" w:rsidR="00321B78" w:rsidRDefault="00321B78" w:rsidP="00321B78">
                      <w:pPr>
                        <w:jc w:val="both"/>
                      </w:pPr>
                      <w:bookmarkStart w:id="21" w:name="FigS9"/>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9</w:t>
                      </w:r>
                      <w:bookmarkEnd w:id="21"/>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Admixture plot and phylogenetic tree of </w:t>
                      </w:r>
                      <w:r w:rsidRPr="006E2690">
                        <w:rPr>
                          <w:rFonts w:ascii="Times New Roman" w:hAnsi="Times New Roman" w:cs="Times New Roman"/>
                          <w:i/>
                          <w:iCs/>
                          <w:color w:val="000000" w:themeColor="text1"/>
                          <w:sz w:val="20"/>
                          <w:szCs w:val="20"/>
                        </w:rPr>
                        <w:t>M. aurolineatus</w:t>
                      </w:r>
                      <w:r>
                        <w:rPr>
                          <w:rFonts w:ascii="Times New Roman" w:hAnsi="Times New Roman" w:cs="Times New Roman"/>
                          <w:color w:val="000000" w:themeColor="text1"/>
                          <w:sz w:val="20"/>
                          <w:szCs w:val="20"/>
                        </w:rPr>
                        <w:t xml:space="preserve"> estimated using matrices applying relaxed filters. B) Admixture plot and phylogenetic tree of </w:t>
                      </w:r>
                      <w:r w:rsidRPr="006E2690">
                        <w:rPr>
                          <w:rFonts w:ascii="Times New Roman" w:hAnsi="Times New Roman" w:cs="Times New Roman"/>
                          <w:i/>
                          <w:iCs/>
                          <w:color w:val="000000" w:themeColor="text1"/>
                          <w:sz w:val="20"/>
                          <w:szCs w:val="20"/>
                        </w:rPr>
                        <w:t>M. aurolineatus</w:t>
                      </w:r>
                      <w:r>
                        <w:rPr>
                          <w:rFonts w:ascii="Times New Roman" w:hAnsi="Times New Roman" w:cs="Times New Roman"/>
                          <w:color w:val="000000" w:themeColor="text1"/>
                          <w:sz w:val="20"/>
                          <w:szCs w:val="20"/>
                        </w:rPr>
                        <w:t xml:space="preserve"> estimated using matrices applying strict filters.</w:t>
                      </w:r>
                    </w:p>
                  </w:txbxContent>
                </v:textbox>
              </v:shape>
            </w:pict>
          </mc:Fallback>
        </mc:AlternateContent>
      </w:r>
    </w:p>
    <w:p w14:paraId="687301D7" w14:textId="77777777" w:rsidR="00321B78" w:rsidRDefault="00321B78" w:rsidP="00321B78">
      <w:pPr>
        <w:tabs>
          <w:tab w:val="left" w:pos="1743"/>
        </w:tabs>
        <w:rPr>
          <w:rFonts w:ascii="Times New Roman" w:hAnsi="Times New Roman" w:cs="Times New Roman"/>
        </w:rPr>
      </w:pPr>
    </w:p>
    <w:p w14:paraId="55ABB9BD" w14:textId="77777777" w:rsidR="00321B78" w:rsidRDefault="00321B78" w:rsidP="00321B78">
      <w:pPr>
        <w:tabs>
          <w:tab w:val="left" w:pos="1743"/>
        </w:tabs>
        <w:rPr>
          <w:rFonts w:ascii="Times New Roman" w:hAnsi="Times New Roman" w:cs="Times New Roman"/>
        </w:rPr>
      </w:pPr>
    </w:p>
    <w:p w14:paraId="380167CB" w14:textId="77777777" w:rsidR="00321B78" w:rsidRPr="008108B8" w:rsidRDefault="00321B78" w:rsidP="00321B78">
      <w:pPr>
        <w:jc w:val="both"/>
        <w:rPr>
          <w:rFonts w:ascii="Times New Roman" w:hAnsi="Times New Roman" w:cs="Times New Roman"/>
          <w:color w:val="000000" w:themeColor="text1"/>
          <w:sz w:val="24"/>
          <w:szCs w:val="24"/>
        </w:rPr>
      </w:pPr>
      <w:r w:rsidRPr="008108B8">
        <w:rPr>
          <w:rFonts w:ascii="Times New Roman" w:hAnsi="Times New Roman" w:cs="Times New Roman"/>
          <w:b/>
          <w:bCs/>
          <w:color w:val="000000" w:themeColor="text1"/>
          <w:sz w:val="24"/>
          <w:szCs w:val="24"/>
        </w:rPr>
        <w:t>Outlier SNPs detection.</w:t>
      </w:r>
      <w:r w:rsidRPr="008108B8">
        <w:rPr>
          <w:rFonts w:ascii="Times New Roman" w:hAnsi="Times New Roman" w:cs="Times New Roman"/>
          <w:color w:val="000000" w:themeColor="text1"/>
          <w:sz w:val="24"/>
          <w:szCs w:val="24"/>
        </w:rPr>
        <w:t xml:space="preserve"> To generate matrices containing neutral SNPs, we identified SNPs that were potentially under selection by using two different approaches. First, we used BayeScan v2.1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{"citationItems":[{"id":"ITEM-1","itemData":{"DOI":"10.1534/genetics.108.092221","ISSN":"00166731","PMID":"18780740","abstract":"Identifying loci under natural selection from genomic surveys is of great interest in different research areas. Commonly used methods to separate neutral effects from adaptive effects are based on locus-specific population differentiation coefficients to identify outliers. Here we extend such an approach to estimate directly the probability that each locus is subject to selection using a Bayesian method. We also extend it to allow the use of dominant markers like AFLPs. It has been shown that this model is robust to complex demographic scenarios for neutral genetic differentiation. Here we show that the inclusion of isolated populations that underwent a strong bottleneck can lead to a high rate of false positives. Nevertheless, we demonstrate that it is possible to avoid them by carefully choosing the populations that should be included in the analysis. We analyze two previously published data sets: a human data set of codominant markers and a Littorina saxatilis data set of dominant markers. We also perform a detailed sensitivity study to compare the power of the method using amplified fragment length polymorphism (AFLP), SNP, and microsatellite markers. The method has been implemented in a new software available at our website (http://www-leca.ujf-grenoble.fr/logiciels.htm). Copyright © 2008 by the Genetics Society of America.","author":[{"dropping-particle":"","family":"Foll","given":"Matthieu","non-dropping-particle":"","parse-names":false,"suffix":""},{"dropping-particle":"","family":"Gaggiotti","given":"Oscar","non-dropping-particle":"","parse-names":false,"suffix":""}],"container-title":"Genetics","id":"ITEM-1","issue":"2","issued":{"date-parts":[["2008"]]},"page":"977-993","title":"A genome-scan method to identify selected loci appropriate for both dominant and codominant markers: A Bayesian perspective","type":"article-journal","volume":"180"},"uris":["http://www.mendeley.com/documents/?uuid=38174940-ccc6-4067-afb3-11312571b99f"]}],"mendeley":{"formattedCitation":"(74)","plainTextFormattedCitation":"(74)","previouslyFormattedCitation":"(73)"},"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(74)</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xml:space="preserve"> to apply a Bayesian differentiation-based outlier detection method. This approach calculates population-specific </w:t>
      </w:r>
      <w:r w:rsidRPr="008108B8">
        <w:rPr>
          <w:rFonts w:ascii="Times New Roman" w:hAnsi="Times New Roman" w:cs="Times New Roman"/>
          <w:i/>
          <w:iCs/>
          <w:color w:val="000000" w:themeColor="text1"/>
          <w:sz w:val="24"/>
          <w:szCs w:val="24"/>
        </w:rPr>
        <w:t>F</w:t>
      </w:r>
      <w:r w:rsidRPr="008108B8">
        <w:rPr>
          <w:rFonts w:ascii="Times New Roman" w:hAnsi="Times New Roman" w:cs="Times New Roman"/>
          <w:i/>
          <w:iCs/>
          <w:color w:val="000000" w:themeColor="text1"/>
          <w:sz w:val="24"/>
          <w:szCs w:val="24"/>
          <w:vertAlign w:val="subscript"/>
        </w:rPr>
        <w:t>ST</w:t>
      </w:r>
      <w:r w:rsidRPr="008108B8">
        <w:rPr>
          <w:rFonts w:ascii="Times New Roman" w:hAnsi="Times New Roman" w:cs="Times New Roman"/>
          <w:color w:val="000000" w:themeColor="text1"/>
          <w:sz w:val="24"/>
          <w:szCs w:val="24"/>
          <w:vertAlign w:val="subscript"/>
        </w:rPr>
        <w:t xml:space="preserve">  </w:t>
      </w:r>
      <w:r w:rsidRPr="008108B8">
        <w:rPr>
          <w:rFonts w:ascii="Times New Roman" w:hAnsi="Times New Roman" w:cs="Times New Roman"/>
          <w:color w:val="000000" w:themeColor="text1"/>
          <w:sz w:val="24"/>
          <w:szCs w:val="24"/>
        </w:rPr>
        <w:t xml:space="preserve">coefficients to identify candidate SNPs under selection using alternative models that consider and exclude selection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{"citationItems":[{"id":"ITEM-1","itemData":{"DOI":"10.1534/genetics.108.092221","ISSN":"00166731","PMID":"18780740","abstract":"Identifying loci under natural selection from genomic surveys is of great interest in different research areas. Commonly used methods to separate neutral effects from adaptive effects are based on locus-specific population differentiation coefficients to identify outliers. Here we extend such an approach to estimate directly the probability that each locus is subject to selection using a Bayesian method. We also extend it to allow the use of dominant markers like AFLPs. It has been shown that this model is robust to complex demographic scenarios for neutral genetic differentiation. Here we show that the inclusion of isolated populations that underwent a strong bottleneck can lead to a high rate of false positives. Nevertheless, we demonstrate that it is possible to avoid them by carefully choosing the populations that should be included in the analysis. We analyze two previously published data sets: a human data set of codominant markers and a Littorina saxatilis data set of dominant markers. We also perform a detailed sensitivity study to compare the power of the method using amplified fragment length polymorphism (AFLP), SNP, and microsatellite markers. The method has been implemented in a new software available at our website (http://www-leca.ujf-grenoble.fr/logiciels.htm). Copyright © 2008 by the Genetics Society of America.","author":[{"dropping-particle":"","family":"Foll","given":"Matthieu","non-dropping-particle":"","parse-names":false,"suffix":""},{"dropping-particle":"","family":"Gaggiotti","given":"Oscar","non-dropping-particle":"","parse-names":false,"suffix":""}],"container-title":"Genetics","id":"ITEM-1","issue":"2","issued":{"date-parts":[["2008"]]},"page":"977-993","title":"A genome-scan method to identify selected loci appropriate for both dominant and codominant markers: A Bayesian perspective","type":"article-journal","volume":"180"},"uris":["http://www.mendeley.com/documents/?uuid=38174940-ccc6-4067-afb3-11312571b99f"]}],"mendeley":{"formattedCitation":"(74)","plainTextFormattedCitation":"(74)","previouslyFormattedCitation":"(73)"},"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(74)</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xml:space="preserve">. We conducted the analyses for 5,000 iterations with a burn in of 50,000 steps, following the recommendations in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{"citationItems":[{"id":"ITEM-1","itemData":{"DOI":"10.1086/682949","ISSN":"15375323","PMID":"26656214","abstract":"Loci responsible for local adaptation are likely to have more genetic differentiation among populations than neutral loci. However, neutral loci can vary widely in their amount of genetic differentiation, even over the same geographic range. Unfortunately, the distribution of differentiation—as measured by an index such as FST—depends on the details of the demographic history of the populations in question, even without spatially heterogeneous selection. Many methods designed to detect FST outliers assume a specific model of demographic history, which can result in extremely high false positive rates for detecting loci under selection. We develop a new method that infers the distribution of FST for loci unlikely to be strongly affected by spatially diversifying selection, using data on a large set of loci with unknown selective properties. Compared to previous methods, this approach, called OutFLANK, has much lower false positive rates and comparable power, as shown by simulation.","author":[{"dropping-particle":"","family":"Whitlock","given":"Michael C.","non-dropping-particle":"","parse-names":false,"suffix":""},{"dropping-particle":"","family":"Lotterhos","given":"Katie E.","non-dropping-particle":"","parse-names":false,"suffix":""}],"container-title":"American Naturalist","id":"ITEM-1","issue":"October","issued":{"date-parts":[["2015"]]},"page":"S24-S36","title":"Reliable detection of loci responsible for local adaptation: Inference of a null model through trimming the distribution of FST","type":"article-journal","volume":"186"},"uris":["http://www.mendeley.com/documents/?uuid=c666cf13-d993-454b-8ad5-fab76743bd05"]}],"mendeley":{"formattedCitation":"(75)","plainTextFormattedCitation":"(75)","previouslyFormattedCitation":"(74)"},"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(75)</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xml:space="preserve"> </w:t>
      </w:r>
      <w:r w:rsidRPr="008108B8">
        <w:rPr>
          <w:rFonts w:ascii="Times New Roman" w:hAnsi="Times New Roman" w:cs="Times New Roman"/>
          <w:sz w:val="24"/>
          <w:szCs w:val="24"/>
        </w:rPr>
        <w:t xml:space="preserve">to set the </w:t>
      </w:r>
      <w:r w:rsidRPr="008108B8">
        <w:rPr>
          <w:rFonts w:ascii="Times New Roman" w:hAnsi="Times New Roman" w:cs="Times New Roman"/>
          <w:color w:val="000000" w:themeColor="text1"/>
          <w:sz w:val="24"/>
          <w:szCs w:val="24"/>
        </w:rPr>
        <w:t>p</w:t>
      </w:r>
      <w:r w:rsidRPr="008108B8">
        <w:rPr>
          <w:rFonts w:ascii="Times New Roman" w:hAnsi="Times New Roman" w:cs="Times New Roman"/>
          <w:sz w:val="24"/>
          <w:szCs w:val="24"/>
        </w:rPr>
        <w:t>rior odds of neutrality parameter (</w:t>
      </w:r>
      <w:r w:rsidRPr="008108B8">
        <w:rPr>
          <w:rFonts w:ascii="Times New Roman" w:hAnsi="Times New Roman" w:cs="Times New Roman"/>
          <w:i/>
          <w:iCs/>
          <w:sz w:val="24"/>
          <w:szCs w:val="24"/>
        </w:rPr>
        <w:t>pr_odds</w:t>
      </w:r>
      <w:r w:rsidRPr="008108B8">
        <w:rPr>
          <w:rFonts w:ascii="Times New Roman" w:hAnsi="Times New Roman" w:cs="Times New Roman"/>
          <w:sz w:val="24"/>
          <w:szCs w:val="24"/>
        </w:rPr>
        <w:t>) at 10,000 to reduce the possibility of false positives.</w:t>
      </w:r>
      <w:r w:rsidRPr="008108B8">
        <w:rPr>
          <w:rFonts w:ascii="Times New Roman" w:hAnsi="Times New Roman" w:cs="Times New Roman"/>
          <w:color w:val="000000" w:themeColor="text1"/>
          <w:sz w:val="24"/>
          <w:szCs w:val="24"/>
        </w:rPr>
        <w:t xml:space="preserve"> </w:t>
      </w:r>
      <w:r w:rsidRPr="008108B8">
        <w:rPr>
          <w:rFonts w:ascii="Times New Roman" w:hAnsi="Times New Roman" w:cs="Times New Roman"/>
          <w:sz w:val="24"/>
          <w:szCs w:val="24"/>
        </w:rPr>
        <w:t xml:space="preserve">To determine significance, we specified the false discovery rate (FDR) at a </w:t>
      </w:r>
      <w:r w:rsidRPr="008108B8">
        <w:rPr>
          <w:rFonts w:ascii="Times New Roman" w:hAnsi="Times New Roman" w:cs="Times New Roman"/>
          <w:i/>
          <w:iCs/>
          <w:sz w:val="24"/>
          <w:szCs w:val="24"/>
        </w:rPr>
        <w:t>q-value</w:t>
      </w:r>
      <w:r w:rsidRPr="008108B8">
        <w:rPr>
          <w:rFonts w:ascii="Times New Roman" w:hAnsi="Times New Roman" w:cs="Times New Roman"/>
          <w:sz w:val="24"/>
          <w:szCs w:val="24"/>
        </w:rPr>
        <w:t xml:space="preserve"> of 0.05. This means that </w:t>
      </w:r>
      <w:r w:rsidRPr="008108B8">
        <w:rPr>
          <w:rFonts w:ascii="Times New Roman" w:hAnsi="Times New Roman" w:cs="Times New Roman"/>
          <w:color w:val="000000" w:themeColor="text1"/>
          <w:sz w:val="24"/>
          <w:szCs w:val="24"/>
        </w:rPr>
        <w:t xml:space="preserve">SNPs with a posterior probability over 0.95 were considered outliers. </w:t>
      </w:r>
      <w:r w:rsidRPr="008108B8">
        <w:rPr>
          <w:rFonts w:ascii="Times New Roman" w:hAnsi="Times New Roman" w:cs="Times New Roman"/>
          <w:sz w:val="24"/>
          <w:szCs w:val="24"/>
        </w:rPr>
        <w:t>The second approach involved using pcadapt</w:t>
      </w:r>
      <w:r w:rsidRPr="008108B8">
        <w:rPr>
          <w:rFonts w:ascii="Times New Roman" w:hAnsi="Times New Roman" w:cs="Times New Roman"/>
          <w:i/>
          <w:iCs/>
          <w:sz w:val="24"/>
          <w:szCs w:val="24"/>
        </w:rPr>
        <w:t xml:space="preserve"> </w:t>
      </w:r>
      <w:r w:rsidRPr="008108B8">
        <w:rPr>
          <w:rFonts w:ascii="Times New Roman" w:hAnsi="Times New Roman" w:cs="Times New Roman"/>
          <w:i/>
          <w:iCs/>
          <w:sz w:val="24"/>
          <w:szCs w:val="24"/>
        </w:rPr>
        <w:fldChar w:fldCharType="begin" w:fldLock="1"/>
      </w:r>
      <w:r w:rsidRPr="008108B8">
        <w:rPr>
          <w:rFonts w:ascii="Times New Roman" w:hAnsi="Times New Roman" w:cs="Times New Roman"/>
          <w:i/>
          <w:iCs/>
          <w:sz w:val="24"/>
          <w:szCs w:val="24"/>
        </w:rPr>
        <w:instrText>ADDIN CSL_CITATION {"citationItems":[{"id":"ITEM-1","itemData":{"DOI":"10.1111/1755-0998.12592","ISSN":"17550998","PMID":"27601374","abstract":"The R package pcadapt performs genome scans to detect genes under selection based on population genomic data. It assumes that candidate markers are outliers with respect to how they are related to population structure. Because population structure is ascertained with principal component analysis, the package is fast and works with large-scale data. It can handle missing data and pooled sequencing data. By contrast to population-based approaches, the package handle admixed individuals and does not require grouping individuals into populations. Since its first release, pcadapt has evolved in terms of both statistical approach and software implementation. We present results obtained with robust Mahalanobis distance, which is a new statistic for genome scans available in the 2.0 and later versions of the package. When hierarchical population structure occurs, Mahalanobis distance is more powerful than the communality statistic that was implemented in the first version of the package. Using simulated data, we compare pcadapt to other computer programs for genome scans (BayeScan, hapflk, OutFLANK, sNMF). We find that the proportion of false discoveries is around a nominal false discovery rate set at 10% with the exception of BayeScan that generates 40% of false discoveries. We also find that the power of BayeScan is severely impacted by the presence of admixed individuals whereas pcadapt is not impacted. Last, we find that pcadapt and hapflk are the most powerful in scenarios of population divergence and range expansion. Because pcadapt handles next-generation sequencing data, it is a valuable tool for data analysis in molecular ecology.","author":[{"dropping-particle":"","family":"Luu","given":"Keurcien","non-dropping-particle":"","parse-names":false,"suffix":""},{"dropping-particle":"","family":"Bazin","given":"Eric","non-dropping-particle":"","parse-names":false,"suffix":""},{"dropping-particle":"","family":"Blum","given":"Michael G.B.","non-dropping-particle":"","parse-names":false,"suffix":""}],"container-title":"Molecular Ecology Resources","id":"ITEM-1","issue":"1","issued":{"date-parts":[["2017"]]},"page":"67-77","title":"pcadapt: an R package to perform genome scans for selection based on principal component analysis","type":"article-journal","volume":"17"},"uris":["http://www.mendeley.com/documents/?uuid=ff98cc91-c2f4-403d-8a6e-7d08f87ea3c5"]}],"mendeley":{"formattedCitation":"(76)","plainTextFormattedCitation":"(76)","previouslyFormattedCitation":"(75)"},"properties":{"noteIndex":0},"schema":"https://github.com/citation-style-language/schema/raw/master/csl-citation.json"}</w:instrText>
      </w:r>
      <w:r w:rsidRPr="008108B8">
        <w:rPr>
          <w:rFonts w:ascii="Times New Roman" w:hAnsi="Times New Roman" w:cs="Times New Roman"/>
          <w:i/>
          <w:iCs/>
          <w:sz w:val="24"/>
          <w:szCs w:val="24"/>
        </w:rPr>
        <w:fldChar w:fldCharType="separate"/>
      </w:r>
      <w:r w:rsidRPr="008108B8">
        <w:rPr>
          <w:rFonts w:ascii="Times New Roman" w:hAnsi="Times New Roman" w:cs="Times New Roman"/>
          <w:iCs/>
          <w:noProof/>
          <w:sz w:val="24"/>
          <w:szCs w:val="24"/>
        </w:rPr>
        <w:t>(76)</w:t>
      </w:r>
      <w:r w:rsidRPr="008108B8">
        <w:rPr>
          <w:rFonts w:ascii="Times New Roman" w:hAnsi="Times New Roman" w:cs="Times New Roman"/>
          <w:i/>
          <w:iCs/>
          <w:sz w:val="24"/>
          <w:szCs w:val="24"/>
        </w:rPr>
        <w:fldChar w:fldCharType="end"/>
      </w:r>
      <w:r w:rsidRPr="008108B8">
        <w:rPr>
          <w:rFonts w:ascii="Times New Roman" w:hAnsi="Times New Roman" w:cs="Times New Roman"/>
          <w:sz w:val="24"/>
          <w:szCs w:val="24"/>
        </w:rPr>
        <w:t xml:space="preserve"> which detects outlier loci based on principal component analysis. This method scans the genome-wide data for signatures of positive selection based on patterns of differentiation along the major principal components of genetic variation </w:t>
      </w:r>
      <w:r w:rsidRPr="008108B8">
        <w:rPr>
          <w:rFonts w:ascii="Times New Roman" w:hAnsi="Times New Roman" w:cs="Times New Roman"/>
          <w:i/>
          <w:iCs/>
          <w:sz w:val="24"/>
          <w:szCs w:val="24"/>
        </w:rPr>
        <w:fldChar w:fldCharType="begin" w:fldLock="1"/>
      </w:r>
      <w:r w:rsidRPr="008108B8">
        <w:rPr>
          <w:rFonts w:ascii="Times New Roman" w:hAnsi="Times New Roman" w:cs="Times New Roman"/>
          <w:i/>
          <w:iCs/>
          <w:sz w:val="24"/>
          <w:szCs w:val="24"/>
        </w:rPr>
        <w:instrText>ADDIN CSL_CITATION {"citationItems":[{"id":"ITEM-1","itemData":{"DOI":"10.1111/1755-0998.12592","ISSN":"17550998","PMID":"27601374","abstract":"The R package pcadapt performs genome scans to detect genes under selection based on population genomic data. It assumes that candidate markers are outliers with respect to how they are related to population structure. Because population structure is ascertained with principal component analysis, the package is fast and works with large-scale data. It can handle missing data and pooled sequencing data. By contrast to population-based approaches, the package handle admixed individuals and does not require grouping individuals into populations. Since its first release, pcadapt has evolved in terms of both statistical approach and software implementation. We present results obtained with robust Mahalanobis distance, which is a new statistic for genome scans available in the 2.0 and later versions of the package. When hierarchical population structure occurs, Mahalanobis distance is more powerful than the communality statistic that was implemented in the first version of the package. Using simulated data, we compare pcadapt to other computer programs for genome scans (BayeScan, hapflk, OutFLANK, sNMF). We find that the proportion of false discoveries is around a nominal false discovery rate set at 10% with the exception of BayeScan that generates 40% of false discoveries. We also find that the power of BayeScan is severely impacted by the presence of admixed individuals whereas pcadapt is not impacted. Last, we find that pcadapt and hapflk are the most powerful in scenarios of population divergence and range expansion. Because pcadapt handles next-generation sequencing data, it is a valuable tool for data analysis in molecular ecology.","author":[{"dropping-particle":"","family":"Luu","given":"Keurcien","non-dropping-particle":"","parse-names":false,"suffix":""},{"dropping-particle":"","family":"Bazin","given":"Eric","non-dropping-particle":"","parse-names":false,"suffix":""},{"dropping-particle":"","family":"Blum","given":"Michael G.B.","non-dropping-particle":"","parse-names":false,"suffix":""}],"container-title":"Molecular Ecology Resources","id":"ITEM-1","issue":"1","issued":{"date-parts":[["2017"]]},"page":"67-77","title":"pcadapt: an R package to perform genome scans for selection based on principal component analysis","type":"article-journal","volume":"17"},"uris":["http://www.mendeley.com/documents/?uuid=ff98cc91-c2f4-403d-8a6e-7d08f87ea3c5"]}],"mendeley":{"formattedCitation":"(76)","plainTextFormattedCitation":"(76)","previouslyFormattedCitation":"(75)"},"properties":{"noteIndex":0},"schema":"https://github.com/citation-style-language/schema/raw/master/csl-citation.json"}</w:instrText>
      </w:r>
      <w:r w:rsidRPr="008108B8">
        <w:rPr>
          <w:rFonts w:ascii="Times New Roman" w:hAnsi="Times New Roman" w:cs="Times New Roman"/>
          <w:i/>
          <w:iCs/>
          <w:sz w:val="24"/>
          <w:szCs w:val="24"/>
        </w:rPr>
        <w:fldChar w:fldCharType="separate"/>
      </w:r>
      <w:r w:rsidRPr="008108B8">
        <w:rPr>
          <w:rFonts w:ascii="Times New Roman" w:hAnsi="Times New Roman" w:cs="Times New Roman"/>
          <w:iCs/>
          <w:noProof/>
          <w:sz w:val="24"/>
          <w:szCs w:val="24"/>
        </w:rPr>
        <w:t>(76)</w:t>
      </w:r>
      <w:r w:rsidRPr="008108B8">
        <w:rPr>
          <w:rFonts w:ascii="Times New Roman" w:hAnsi="Times New Roman" w:cs="Times New Roman"/>
          <w:i/>
          <w:iCs/>
          <w:sz w:val="24"/>
          <w:szCs w:val="24"/>
        </w:rPr>
        <w:fldChar w:fldCharType="end"/>
      </w:r>
      <w:r w:rsidRPr="008108B8">
        <w:rPr>
          <w:rFonts w:ascii="Times New Roman" w:hAnsi="Times New Roman" w:cs="Times New Roman"/>
          <w:i/>
          <w:iCs/>
          <w:sz w:val="24"/>
          <w:szCs w:val="24"/>
        </w:rPr>
        <w:t xml:space="preserve">. </w:t>
      </w:r>
      <w:r w:rsidRPr="008108B8">
        <w:rPr>
          <w:rFonts w:ascii="Times New Roman" w:hAnsi="Times New Roman" w:cs="Times New Roman"/>
          <w:sz w:val="24"/>
          <w:szCs w:val="24"/>
        </w:rPr>
        <w:t xml:space="preserve">We used the first principal component identified by pcadapt, as it separated the populations geographically (see Supplementary Results), to detect outlier SNPs that were significantly associated with genetic variation correlating with marine barriers of connectivity and thus potentially involved in local adaptation. Outliers were identified using a false discovery rate of less than 0.1%, with SNPs showing a </w:t>
      </w:r>
      <w:r w:rsidRPr="008108B8">
        <w:rPr>
          <w:rFonts w:ascii="Times New Roman" w:hAnsi="Times New Roman" w:cs="Times New Roman"/>
          <w:i/>
          <w:iCs/>
          <w:sz w:val="24"/>
          <w:szCs w:val="24"/>
        </w:rPr>
        <w:t>q-value</w:t>
      </w:r>
      <w:r w:rsidRPr="008108B8">
        <w:rPr>
          <w:rFonts w:ascii="Times New Roman" w:hAnsi="Times New Roman" w:cs="Times New Roman"/>
          <w:sz w:val="24"/>
          <w:szCs w:val="24"/>
        </w:rPr>
        <w:t xml:space="preserve"> lower than or equal to 0.05 considered outliers. The number of filtered SNPs at each filter-step are presented in Tables S2</w:t>
      </w:r>
      <w:r w:rsidRPr="008108B8">
        <w:rPr>
          <w:rFonts w:ascii="Times New Roman" w:hAnsi="Times New Roman" w:cs="Times New Roman"/>
          <w:noProof/>
          <w:sz w:val="24"/>
          <w:szCs w:val="24"/>
        </w:rPr>
        <w:t>–S3</w:t>
      </w:r>
      <w:r w:rsidRPr="008108B8">
        <w:rPr>
          <w:rFonts w:ascii="Times New Roman" w:hAnsi="Times New Roman" w:cs="Times New Roman"/>
          <w:sz w:val="24"/>
          <w:szCs w:val="24"/>
        </w:rPr>
        <w:t xml:space="preserve">. </w:t>
      </w:r>
      <w:r w:rsidRPr="008108B8">
        <w:rPr>
          <w:rFonts w:ascii="Times New Roman" w:hAnsi="Times New Roman" w:cs="Times New Roman"/>
          <w:color w:val="000000" w:themeColor="text1"/>
          <w:sz w:val="24"/>
          <w:szCs w:val="24"/>
        </w:rPr>
        <w:t xml:space="preserve">We conducted preliminary population genomic analyses on </w:t>
      </w:r>
      <w:r w:rsidRPr="008108B8">
        <w:rPr>
          <w:rFonts w:ascii="Times New Roman" w:hAnsi="Times New Roman" w:cs="Times New Roman"/>
          <w:i/>
          <w:iCs/>
          <w:color w:val="000000" w:themeColor="text1"/>
          <w:sz w:val="24"/>
          <w:szCs w:val="24"/>
        </w:rPr>
        <w:t>M. aurolineatus</w:t>
      </w:r>
      <w:r w:rsidRPr="008108B8">
        <w:rPr>
          <w:rFonts w:ascii="Times New Roman" w:hAnsi="Times New Roman" w:cs="Times New Roman"/>
          <w:color w:val="000000" w:themeColor="text1"/>
          <w:sz w:val="24"/>
          <w:szCs w:val="24"/>
        </w:rPr>
        <w:t xml:space="preserve"> using matrices containing neutral, outlier, and all SNPs (neutral and outlier SNPs combined) (Fig. S10). We observed that the matrices formed by outlier SNPs did not possess enough statistical power, while the matrices with only neutral SNPs matrices lacked the </w:t>
      </w:r>
      <w:r w:rsidRPr="008108B8">
        <w:rPr>
          <w:rFonts w:ascii="Times New Roman" w:hAnsi="Times New Roman" w:cs="Times New Roman"/>
          <w:color w:val="000000" w:themeColor="text1"/>
          <w:sz w:val="24"/>
          <w:szCs w:val="24"/>
        </w:rPr>
        <w:lastRenderedPageBreak/>
        <w:t xml:space="preserve">variation required to detect subtle genetic structure. Consequently, we performed all population genomic analyses using matrices that included both neutral and outlier SNPs. However, for the seascape genomic analyses of </w:t>
      </w:r>
      <w:r w:rsidRPr="008108B8">
        <w:rPr>
          <w:rFonts w:ascii="Times New Roman" w:hAnsi="Times New Roman" w:cs="Times New Roman"/>
          <w:i/>
          <w:iCs/>
          <w:color w:val="000000" w:themeColor="text1"/>
          <w:sz w:val="24"/>
          <w:szCs w:val="24"/>
        </w:rPr>
        <w:t>M. tetranemus</w:t>
      </w:r>
      <w:r w:rsidRPr="008108B8">
        <w:rPr>
          <w:rFonts w:ascii="Times New Roman" w:hAnsi="Times New Roman" w:cs="Times New Roman"/>
          <w:color w:val="000000" w:themeColor="text1"/>
          <w:sz w:val="24"/>
          <w:szCs w:val="24"/>
        </w:rPr>
        <w:t xml:space="preserve"> and </w:t>
      </w:r>
      <w:r w:rsidRPr="008108B8">
        <w:rPr>
          <w:rFonts w:ascii="Times New Roman" w:hAnsi="Times New Roman" w:cs="Times New Roman"/>
          <w:i/>
          <w:iCs/>
          <w:color w:val="000000" w:themeColor="text1"/>
          <w:sz w:val="24"/>
          <w:szCs w:val="24"/>
        </w:rPr>
        <w:t>M. triangulatus</w:t>
      </w:r>
      <w:r w:rsidRPr="008108B8">
        <w:rPr>
          <w:rFonts w:ascii="Times New Roman" w:hAnsi="Times New Roman" w:cs="Times New Roman"/>
          <w:color w:val="000000" w:themeColor="text1"/>
          <w:sz w:val="24"/>
          <w:szCs w:val="24"/>
        </w:rPr>
        <w:t>, we conducted separate analyses using neutral and outlier matrices as we also aimed to identify potential local adaptations (see below).</w:t>
      </w:r>
    </w:p>
    <w:p w14:paraId="41805931" w14:textId="77777777" w:rsidR="00321B78" w:rsidRDefault="00321B78" w:rsidP="00321B78">
      <w:pPr>
        <w:tabs>
          <w:tab w:val="left" w:pos="1743"/>
        </w:tabs>
        <w:rPr>
          <w:rFonts w:ascii="Times New Roman" w:hAnsi="Times New Roman" w:cs="Times New Roman"/>
        </w:rPr>
      </w:pPr>
    </w:p>
    <w:tbl>
      <w:tblPr>
        <w:tblStyle w:val="TableGrid"/>
        <w:tblW w:w="0" w:type="auto"/>
        <w:tblLook w:val="04A0" w:firstRow="1" w:lastRow="0" w:firstColumn="1" w:lastColumn="0" w:noHBand="0" w:noVBand="1"/>
      </w:tblPr>
      <w:tblGrid>
        <w:gridCol w:w="2515"/>
        <w:gridCol w:w="936"/>
        <w:gridCol w:w="936"/>
        <w:gridCol w:w="936"/>
        <w:gridCol w:w="936"/>
        <w:gridCol w:w="936"/>
        <w:gridCol w:w="936"/>
        <w:gridCol w:w="1219"/>
      </w:tblGrid>
      <w:tr w:rsidR="00321B78" w:rsidRPr="00CA09F4" w14:paraId="04761333" w14:textId="77777777" w:rsidTr="00031031">
        <w:tc>
          <w:tcPr>
            <w:tcW w:w="9350" w:type="dxa"/>
            <w:gridSpan w:val="8"/>
            <w:tcBorders>
              <w:top w:val="single" w:sz="18" w:space="0" w:color="auto"/>
              <w:left w:val="nil"/>
              <w:bottom w:val="single" w:sz="18" w:space="0" w:color="auto"/>
              <w:right w:val="nil"/>
            </w:tcBorders>
          </w:tcPr>
          <w:p w14:paraId="73EA7421" w14:textId="77777777" w:rsidR="00321B78" w:rsidRPr="00CA09F4" w:rsidRDefault="00321B78" w:rsidP="00031031">
            <w:pPr>
              <w:jc w:val="both"/>
              <w:rPr>
                <w:rFonts w:ascii="Times New Roman" w:hAnsi="Times New Roman" w:cs="Times New Roman"/>
                <w:sz w:val="18"/>
                <w:szCs w:val="18"/>
              </w:rPr>
            </w:pPr>
            <w:bookmarkStart w:id="13" w:name="TableS3"/>
            <w:r w:rsidRPr="00CA09F4">
              <w:rPr>
                <w:rFonts w:ascii="Times New Roman" w:hAnsi="Times New Roman" w:cs="Times New Roman"/>
                <w:b/>
                <w:bCs/>
                <w:sz w:val="18"/>
                <w:szCs w:val="18"/>
              </w:rPr>
              <w:t>Table S</w:t>
            </w:r>
            <w:r>
              <w:rPr>
                <w:rFonts w:ascii="Times New Roman" w:hAnsi="Times New Roman" w:cs="Times New Roman"/>
                <w:b/>
                <w:bCs/>
                <w:sz w:val="18"/>
                <w:szCs w:val="18"/>
              </w:rPr>
              <w:t>3</w:t>
            </w:r>
            <w:bookmarkEnd w:id="13"/>
            <w:r w:rsidRPr="00CA09F4">
              <w:rPr>
                <w:rFonts w:ascii="Times New Roman" w:hAnsi="Times New Roman" w:cs="Times New Roman"/>
                <w:b/>
                <w:bCs/>
                <w:sz w:val="18"/>
                <w:szCs w:val="18"/>
              </w:rPr>
              <w:t>.</w:t>
            </w:r>
            <w:r w:rsidRPr="00CA09F4">
              <w:rPr>
                <w:rFonts w:ascii="Times New Roman" w:hAnsi="Times New Roman" w:cs="Times New Roman"/>
                <w:sz w:val="18"/>
                <w:szCs w:val="18"/>
              </w:rPr>
              <w:t xml:space="preserve"> Number of SNPs retained after filtering step for the species in the TEP: </w:t>
            </w:r>
            <w:r w:rsidRPr="00CA09F4">
              <w:rPr>
                <w:rFonts w:ascii="Times New Roman" w:hAnsi="Times New Roman" w:cs="Times New Roman"/>
                <w:i/>
                <w:iCs/>
                <w:sz w:val="18"/>
                <w:szCs w:val="18"/>
              </w:rPr>
              <w:t>M. ebisui</w:t>
            </w:r>
            <w:r w:rsidRPr="00CA09F4">
              <w:rPr>
                <w:rFonts w:ascii="Times New Roman" w:hAnsi="Times New Roman" w:cs="Times New Roman"/>
                <w:sz w:val="18"/>
                <w:szCs w:val="18"/>
              </w:rPr>
              <w:t xml:space="preserve"> (Me), </w:t>
            </w:r>
            <w:r w:rsidRPr="00CA09F4">
              <w:rPr>
                <w:rFonts w:ascii="Times New Roman" w:hAnsi="Times New Roman" w:cs="Times New Roman"/>
                <w:i/>
                <w:iCs/>
                <w:sz w:val="18"/>
                <w:szCs w:val="18"/>
              </w:rPr>
              <w:t xml:space="preserve">M. hubbsi-M. polyporosus </w:t>
            </w:r>
            <w:r w:rsidRPr="00CA09F4">
              <w:rPr>
                <w:rFonts w:ascii="Times New Roman" w:hAnsi="Times New Roman" w:cs="Times New Roman"/>
                <w:sz w:val="18"/>
                <w:szCs w:val="18"/>
              </w:rPr>
              <w:t>complex (</w:t>
            </w:r>
            <w:proofErr w:type="spellStart"/>
            <w:r w:rsidRPr="00CA09F4">
              <w:rPr>
                <w:rFonts w:ascii="Times New Roman" w:hAnsi="Times New Roman" w:cs="Times New Roman"/>
                <w:sz w:val="18"/>
                <w:szCs w:val="18"/>
              </w:rPr>
              <w:t>Mh_spc</w:t>
            </w:r>
            <w:proofErr w:type="spellEnd"/>
            <w:r w:rsidRPr="00CA09F4">
              <w:rPr>
                <w:rFonts w:ascii="Times New Roman" w:hAnsi="Times New Roman" w:cs="Times New Roman"/>
                <w:sz w:val="18"/>
                <w:szCs w:val="18"/>
              </w:rPr>
              <w:t xml:space="preserve">), </w:t>
            </w:r>
            <w:r w:rsidRPr="00CA09F4">
              <w:rPr>
                <w:rFonts w:ascii="Times New Roman" w:hAnsi="Times New Roman" w:cs="Times New Roman"/>
                <w:i/>
                <w:iCs/>
                <w:sz w:val="18"/>
                <w:szCs w:val="18"/>
              </w:rPr>
              <w:t>M. mexicanus</w:t>
            </w:r>
            <w:r w:rsidRPr="00CA09F4">
              <w:rPr>
                <w:rFonts w:ascii="Times New Roman" w:hAnsi="Times New Roman" w:cs="Times New Roman"/>
                <w:sz w:val="18"/>
                <w:szCs w:val="18"/>
              </w:rPr>
              <w:t xml:space="preserve"> (Mm), </w:t>
            </w:r>
            <w:r w:rsidRPr="00CA09F4">
              <w:rPr>
                <w:rFonts w:ascii="Times New Roman" w:hAnsi="Times New Roman" w:cs="Times New Roman"/>
                <w:i/>
                <w:iCs/>
                <w:sz w:val="18"/>
                <w:szCs w:val="18"/>
              </w:rPr>
              <w:t>M. tetranemus</w:t>
            </w:r>
            <w:r w:rsidRPr="00CA09F4">
              <w:rPr>
                <w:rFonts w:ascii="Times New Roman" w:hAnsi="Times New Roman" w:cs="Times New Roman"/>
                <w:sz w:val="18"/>
                <w:szCs w:val="18"/>
              </w:rPr>
              <w:t xml:space="preserve"> (Mt), </w:t>
            </w:r>
            <w:r w:rsidRPr="00CA09F4">
              <w:rPr>
                <w:rFonts w:ascii="Times New Roman" w:hAnsi="Times New Roman" w:cs="Times New Roman"/>
                <w:i/>
                <w:iCs/>
                <w:sz w:val="18"/>
                <w:szCs w:val="18"/>
              </w:rPr>
              <w:t>M. sudensis</w:t>
            </w:r>
            <w:r w:rsidRPr="00CA09F4">
              <w:rPr>
                <w:rFonts w:ascii="Times New Roman" w:hAnsi="Times New Roman" w:cs="Times New Roman"/>
                <w:sz w:val="18"/>
                <w:szCs w:val="18"/>
              </w:rPr>
              <w:t xml:space="preserve"> (</w:t>
            </w:r>
            <w:proofErr w:type="spellStart"/>
            <w:r w:rsidRPr="00CA09F4">
              <w:rPr>
                <w:rFonts w:ascii="Times New Roman" w:hAnsi="Times New Roman" w:cs="Times New Roman"/>
                <w:sz w:val="18"/>
                <w:szCs w:val="18"/>
              </w:rPr>
              <w:t>Ms</w:t>
            </w:r>
            <w:proofErr w:type="spellEnd"/>
            <w:r w:rsidRPr="00CA09F4">
              <w:rPr>
                <w:rFonts w:ascii="Times New Roman" w:hAnsi="Times New Roman" w:cs="Times New Roman"/>
                <w:sz w:val="18"/>
                <w:szCs w:val="18"/>
              </w:rPr>
              <w:t xml:space="preserve">), </w:t>
            </w:r>
            <w:r w:rsidRPr="00CA09F4">
              <w:rPr>
                <w:rFonts w:ascii="Times New Roman" w:hAnsi="Times New Roman" w:cs="Times New Roman"/>
                <w:i/>
                <w:iCs/>
                <w:sz w:val="18"/>
                <w:szCs w:val="18"/>
              </w:rPr>
              <w:t>M. zacae</w:t>
            </w:r>
            <w:r w:rsidRPr="00CA09F4">
              <w:rPr>
                <w:rFonts w:ascii="Times New Roman" w:hAnsi="Times New Roman" w:cs="Times New Roman"/>
                <w:sz w:val="18"/>
                <w:szCs w:val="18"/>
              </w:rPr>
              <w:t xml:space="preserve"> (</w:t>
            </w:r>
            <w:proofErr w:type="spellStart"/>
            <w:r w:rsidRPr="00CA09F4">
              <w:rPr>
                <w:rFonts w:ascii="Times New Roman" w:hAnsi="Times New Roman" w:cs="Times New Roman"/>
                <w:sz w:val="18"/>
                <w:szCs w:val="18"/>
              </w:rPr>
              <w:t>Mza</w:t>
            </w:r>
            <w:proofErr w:type="spellEnd"/>
            <w:r w:rsidRPr="00CA09F4">
              <w:rPr>
                <w:rFonts w:ascii="Times New Roman" w:hAnsi="Times New Roman" w:cs="Times New Roman"/>
                <w:sz w:val="18"/>
                <w:szCs w:val="18"/>
              </w:rPr>
              <w:t xml:space="preserve">), and </w:t>
            </w:r>
            <w:r w:rsidRPr="00CA09F4">
              <w:rPr>
                <w:rFonts w:ascii="Times New Roman" w:hAnsi="Times New Roman" w:cs="Times New Roman"/>
                <w:i/>
                <w:iCs/>
                <w:sz w:val="18"/>
                <w:szCs w:val="18"/>
              </w:rPr>
              <w:t>M. zonifer</w:t>
            </w:r>
            <w:r w:rsidRPr="00CA09F4">
              <w:rPr>
                <w:rFonts w:ascii="Times New Roman" w:hAnsi="Times New Roman" w:cs="Times New Roman"/>
                <w:sz w:val="18"/>
                <w:szCs w:val="18"/>
              </w:rPr>
              <w:t xml:space="preserve"> (</w:t>
            </w:r>
            <w:proofErr w:type="spellStart"/>
            <w:r w:rsidRPr="00CA09F4">
              <w:rPr>
                <w:rFonts w:ascii="Times New Roman" w:hAnsi="Times New Roman" w:cs="Times New Roman"/>
                <w:sz w:val="18"/>
                <w:szCs w:val="18"/>
              </w:rPr>
              <w:t>Mzo</w:t>
            </w:r>
            <w:proofErr w:type="spellEnd"/>
            <w:r w:rsidRPr="00CA09F4">
              <w:rPr>
                <w:rFonts w:ascii="Times New Roman" w:hAnsi="Times New Roman" w:cs="Times New Roman"/>
                <w:sz w:val="18"/>
                <w:szCs w:val="18"/>
              </w:rPr>
              <w:t>).</w:t>
            </w:r>
          </w:p>
        </w:tc>
      </w:tr>
      <w:tr w:rsidR="00321B78" w:rsidRPr="00CA09F4" w14:paraId="5561092A" w14:textId="77777777" w:rsidTr="00031031">
        <w:tc>
          <w:tcPr>
            <w:tcW w:w="2515" w:type="dxa"/>
            <w:tcBorders>
              <w:top w:val="single" w:sz="18" w:space="0" w:color="auto"/>
              <w:left w:val="nil"/>
              <w:bottom w:val="single" w:sz="18" w:space="0" w:color="auto"/>
              <w:right w:val="nil"/>
            </w:tcBorders>
          </w:tcPr>
          <w:p w14:paraId="40CB2CB9"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b/>
                <w:bCs/>
                <w:sz w:val="18"/>
                <w:szCs w:val="18"/>
              </w:rPr>
              <w:t>Filter</w:t>
            </w:r>
          </w:p>
        </w:tc>
        <w:tc>
          <w:tcPr>
            <w:tcW w:w="936" w:type="dxa"/>
            <w:tcBorders>
              <w:top w:val="single" w:sz="18" w:space="0" w:color="auto"/>
              <w:left w:val="nil"/>
              <w:bottom w:val="single" w:sz="18" w:space="0" w:color="auto"/>
              <w:right w:val="nil"/>
            </w:tcBorders>
          </w:tcPr>
          <w:p w14:paraId="4D7F7A97" w14:textId="77777777" w:rsidR="00321B78" w:rsidRPr="00CA09F4" w:rsidRDefault="00321B78" w:rsidP="00031031">
            <w:pPr>
              <w:jc w:val="both"/>
              <w:rPr>
                <w:rFonts w:ascii="Times New Roman" w:hAnsi="Times New Roman" w:cs="Times New Roman"/>
                <w:b/>
                <w:bCs/>
                <w:sz w:val="18"/>
                <w:szCs w:val="18"/>
              </w:rPr>
            </w:pPr>
            <w:r w:rsidRPr="00CA09F4">
              <w:rPr>
                <w:rFonts w:ascii="Times New Roman" w:hAnsi="Times New Roman" w:cs="Times New Roman"/>
                <w:b/>
                <w:bCs/>
                <w:sz w:val="18"/>
                <w:szCs w:val="18"/>
              </w:rPr>
              <w:t>Me</w:t>
            </w:r>
          </w:p>
        </w:tc>
        <w:tc>
          <w:tcPr>
            <w:tcW w:w="936" w:type="dxa"/>
            <w:tcBorders>
              <w:top w:val="single" w:sz="18" w:space="0" w:color="auto"/>
              <w:left w:val="nil"/>
              <w:bottom w:val="single" w:sz="18" w:space="0" w:color="auto"/>
              <w:right w:val="nil"/>
            </w:tcBorders>
          </w:tcPr>
          <w:p w14:paraId="2E8ED457" w14:textId="77777777" w:rsidR="00321B78" w:rsidRPr="00CA09F4" w:rsidRDefault="00321B78" w:rsidP="00031031">
            <w:pPr>
              <w:jc w:val="both"/>
              <w:rPr>
                <w:rFonts w:ascii="Times New Roman" w:hAnsi="Times New Roman" w:cs="Times New Roman"/>
                <w:b/>
                <w:bCs/>
                <w:sz w:val="18"/>
                <w:szCs w:val="18"/>
              </w:rPr>
            </w:pPr>
            <w:proofErr w:type="spellStart"/>
            <w:r w:rsidRPr="00CA09F4">
              <w:rPr>
                <w:rFonts w:ascii="Times New Roman" w:hAnsi="Times New Roman" w:cs="Times New Roman"/>
                <w:b/>
                <w:bCs/>
                <w:sz w:val="18"/>
                <w:szCs w:val="18"/>
              </w:rPr>
              <w:t>Mh_spc</w:t>
            </w:r>
            <w:proofErr w:type="spellEnd"/>
          </w:p>
        </w:tc>
        <w:tc>
          <w:tcPr>
            <w:tcW w:w="936" w:type="dxa"/>
            <w:tcBorders>
              <w:top w:val="single" w:sz="18" w:space="0" w:color="auto"/>
              <w:left w:val="nil"/>
              <w:bottom w:val="single" w:sz="18" w:space="0" w:color="auto"/>
              <w:right w:val="nil"/>
            </w:tcBorders>
          </w:tcPr>
          <w:p w14:paraId="3874CD25" w14:textId="77777777" w:rsidR="00321B78" w:rsidRPr="00CA09F4" w:rsidRDefault="00321B78" w:rsidP="00031031">
            <w:pPr>
              <w:jc w:val="both"/>
              <w:rPr>
                <w:rFonts w:ascii="Times New Roman" w:hAnsi="Times New Roman" w:cs="Times New Roman"/>
                <w:b/>
                <w:bCs/>
                <w:sz w:val="18"/>
                <w:szCs w:val="18"/>
              </w:rPr>
            </w:pPr>
            <w:r w:rsidRPr="00CA09F4">
              <w:rPr>
                <w:rFonts w:ascii="Times New Roman" w:hAnsi="Times New Roman" w:cs="Times New Roman"/>
                <w:b/>
                <w:bCs/>
                <w:sz w:val="18"/>
                <w:szCs w:val="18"/>
              </w:rPr>
              <w:t>Mm</w:t>
            </w:r>
          </w:p>
        </w:tc>
        <w:tc>
          <w:tcPr>
            <w:tcW w:w="936" w:type="dxa"/>
            <w:tcBorders>
              <w:top w:val="single" w:sz="18" w:space="0" w:color="auto"/>
              <w:left w:val="nil"/>
              <w:bottom w:val="single" w:sz="18" w:space="0" w:color="auto"/>
              <w:right w:val="nil"/>
            </w:tcBorders>
          </w:tcPr>
          <w:p w14:paraId="73EEDF7A"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b/>
                <w:bCs/>
                <w:sz w:val="18"/>
                <w:szCs w:val="18"/>
              </w:rPr>
              <w:t>Mt</w:t>
            </w:r>
          </w:p>
        </w:tc>
        <w:tc>
          <w:tcPr>
            <w:tcW w:w="936" w:type="dxa"/>
            <w:tcBorders>
              <w:top w:val="single" w:sz="18" w:space="0" w:color="auto"/>
              <w:left w:val="nil"/>
              <w:bottom w:val="single" w:sz="18" w:space="0" w:color="auto"/>
              <w:right w:val="nil"/>
            </w:tcBorders>
          </w:tcPr>
          <w:p w14:paraId="2E003FC3" w14:textId="77777777" w:rsidR="00321B78" w:rsidRPr="00CA09F4" w:rsidRDefault="00321B78" w:rsidP="00031031">
            <w:pPr>
              <w:jc w:val="both"/>
              <w:rPr>
                <w:rFonts w:ascii="Times New Roman" w:hAnsi="Times New Roman" w:cs="Times New Roman"/>
                <w:b/>
                <w:bCs/>
                <w:sz w:val="18"/>
                <w:szCs w:val="18"/>
              </w:rPr>
            </w:pPr>
            <w:proofErr w:type="spellStart"/>
            <w:r w:rsidRPr="00CA09F4">
              <w:rPr>
                <w:rFonts w:ascii="Times New Roman" w:hAnsi="Times New Roman" w:cs="Times New Roman"/>
                <w:b/>
                <w:bCs/>
                <w:sz w:val="18"/>
                <w:szCs w:val="18"/>
              </w:rPr>
              <w:t>Ms</w:t>
            </w:r>
            <w:proofErr w:type="spellEnd"/>
          </w:p>
        </w:tc>
        <w:tc>
          <w:tcPr>
            <w:tcW w:w="936" w:type="dxa"/>
            <w:tcBorders>
              <w:top w:val="single" w:sz="18" w:space="0" w:color="auto"/>
              <w:left w:val="nil"/>
              <w:bottom w:val="single" w:sz="18" w:space="0" w:color="auto"/>
              <w:right w:val="nil"/>
            </w:tcBorders>
          </w:tcPr>
          <w:p w14:paraId="5A9AD9CE" w14:textId="77777777" w:rsidR="00321B78" w:rsidRPr="00CA09F4" w:rsidRDefault="00321B78" w:rsidP="00031031">
            <w:pPr>
              <w:jc w:val="both"/>
              <w:rPr>
                <w:rFonts w:ascii="Times New Roman" w:hAnsi="Times New Roman" w:cs="Times New Roman"/>
                <w:b/>
                <w:bCs/>
                <w:sz w:val="18"/>
                <w:szCs w:val="18"/>
              </w:rPr>
            </w:pPr>
            <w:proofErr w:type="spellStart"/>
            <w:r w:rsidRPr="00CA09F4">
              <w:rPr>
                <w:rFonts w:ascii="Times New Roman" w:hAnsi="Times New Roman" w:cs="Times New Roman"/>
                <w:b/>
                <w:bCs/>
                <w:sz w:val="18"/>
                <w:szCs w:val="18"/>
              </w:rPr>
              <w:t>Mza</w:t>
            </w:r>
            <w:proofErr w:type="spellEnd"/>
          </w:p>
        </w:tc>
        <w:tc>
          <w:tcPr>
            <w:tcW w:w="1219" w:type="dxa"/>
            <w:tcBorders>
              <w:top w:val="single" w:sz="18" w:space="0" w:color="auto"/>
              <w:left w:val="nil"/>
              <w:bottom w:val="single" w:sz="18" w:space="0" w:color="auto"/>
              <w:right w:val="nil"/>
            </w:tcBorders>
          </w:tcPr>
          <w:p w14:paraId="01A295FF" w14:textId="77777777" w:rsidR="00321B78" w:rsidRPr="00CA09F4" w:rsidRDefault="00321B78" w:rsidP="00031031">
            <w:pPr>
              <w:jc w:val="both"/>
              <w:rPr>
                <w:rFonts w:ascii="Times New Roman" w:hAnsi="Times New Roman" w:cs="Times New Roman"/>
                <w:b/>
                <w:bCs/>
                <w:sz w:val="18"/>
                <w:szCs w:val="18"/>
              </w:rPr>
            </w:pPr>
            <w:proofErr w:type="spellStart"/>
            <w:r w:rsidRPr="00CA09F4">
              <w:rPr>
                <w:rFonts w:ascii="Times New Roman" w:hAnsi="Times New Roman" w:cs="Times New Roman"/>
                <w:b/>
                <w:bCs/>
                <w:sz w:val="18"/>
                <w:szCs w:val="18"/>
              </w:rPr>
              <w:t>Mzo</w:t>
            </w:r>
            <w:proofErr w:type="spellEnd"/>
          </w:p>
        </w:tc>
      </w:tr>
      <w:tr w:rsidR="00321B78" w:rsidRPr="00CA09F4" w14:paraId="144B7463" w14:textId="77777777" w:rsidTr="00031031">
        <w:tc>
          <w:tcPr>
            <w:tcW w:w="2515" w:type="dxa"/>
            <w:tcBorders>
              <w:top w:val="single" w:sz="18" w:space="0" w:color="auto"/>
              <w:left w:val="nil"/>
              <w:bottom w:val="nil"/>
              <w:right w:val="nil"/>
            </w:tcBorders>
          </w:tcPr>
          <w:p w14:paraId="06A96C93"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Stacks catalog</w:t>
            </w:r>
          </w:p>
          <w:p w14:paraId="2CB6F9F4"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 xml:space="preserve">     --write_single_snp</w:t>
            </w:r>
          </w:p>
          <w:p w14:paraId="029FC21D"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 xml:space="preserve">     --R 0.00</w:t>
            </w:r>
          </w:p>
        </w:tc>
        <w:tc>
          <w:tcPr>
            <w:tcW w:w="936" w:type="dxa"/>
            <w:tcBorders>
              <w:top w:val="single" w:sz="18" w:space="0" w:color="auto"/>
              <w:left w:val="nil"/>
              <w:bottom w:val="nil"/>
              <w:right w:val="nil"/>
            </w:tcBorders>
          </w:tcPr>
          <w:p w14:paraId="45E6760D"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163,765</w:t>
            </w:r>
          </w:p>
        </w:tc>
        <w:tc>
          <w:tcPr>
            <w:tcW w:w="936" w:type="dxa"/>
            <w:tcBorders>
              <w:top w:val="single" w:sz="18" w:space="0" w:color="auto"/>
              <w:left w:val="nil"/>
              <w:bottom w:val="nil"/>
              <w:right w:val="nil"/>
            </w:tcBorders>
          </w:tcPr>
          <w:p w14:paraId="354BAE50"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103,148</w:t>
            </w:r>
          </w:p>
        </w:tc>
        <w:tc>
          <w:tcPr>
            <w:tcW w:w="936" w:type="dxa"/>
            <w:tcBorders>
              <w:top w:val="single" w:sz="18" w:space="0" w:color="auto"/>
              <w:left w:val="nil"/>
              <w:bottom w:val="nil"/>
              <w:right w:val="nil"/>
            </w:tcBorders>
          </w:tcPr>
          <w:p w14:paraId="336AF886"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86,250</w:t>
            </w:r>
          </w:p>
        </w:tc>
        <w:tc>
          <w:tcPr>
            <w:tcW w:w="936" w:type="dxa"/>
            <w:tcBorders>
              <w:top w:val="single" w:sz="18" w:space="0" w:color="auto"/>
              <w:left w:val="nil"/>
              <w:bottom w:val="nil"/>
              <w:right w:val="nil"/>
            </w:tcBorders>
          </w:tcPr>
          <w:p w14:paraId="29CCEEC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229,978</w:t>
            </w:r>
          </w:p>
        </w:tc>
        <w:tc>
          <w:tcPr>
            <w:tcW w:w="936" w:type="dxa"/>
            <w:tcBorders>
              <w:top w:val="single" w:sz="18" w:space="0" w:color="auto"/>
              <w:left w:val="nil"/>
              <w:bottom w:val="nil"/>
              <w:right w:val="nil"/>
            </w:tcBorders>
          </w:tcPr>
          <w:p w14:paraId="35F0B6FC"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131,178</w:t>
            </w:r>
          </w:p>
        </w:tc>
        <w:tc>
          <w:tcPr>
            <w:tcW w:w="936" w:type="dxa"/>
            <w:tcBorders>
              <w:top w:val="single" w:sz="18" w:space="0" w:color="auto"/>
              <w:left w:val="nil"/>
              <w:bottom w:val="nil"/>
              <w:right w:val="nil"/>
            </w:tcBorders>
          </w:tcPr>
          <w:p w14:paraId="6EA8BCF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137,579</w:t>
            </w:r>
          </w:p>
        </w:tc>
        <w:tc>
          <w:tcPr>
            <w:tcW w:w="1219" w:type="dxa"/>
            <w:tcBorders>
              <w:top w:val="single" w:sz="18" w:space="0" w:color="auto"/>
              <w:left w:val="nil"/>
              <w:bottom w:val="nil"/>
              <w:right w:val="nil"/>
            </w:tcBorders>
          </w:tcPr>
          <w:p w14:paraId="5A65F3EB"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61,987</w:t>
            </w:r>
          </w:p>
        </w:tc>
      </w:tr>
      <w:tr w:rsidR="00321B78" w:rsidRPr="00CA09F4" w14:paraId="6BCDDF8E" w14:textId="77777777" w:rsidTr="00031031">
        <w:tc>
          <w:tcPr>
            <w:tcW w:w="2515" w:type="dxa"/>
            <w:tcBorders>
              <w:top w:val="nil"/>
              <w:left w:val="nil"/>
              <w:bottom w:val="nil"/>
              <w:right w:val="nil"/>
            </w:tcBorders>
            <w:shd w:val="pct10" w:color="auto" w:fill="auto"/>
          </w:tcPr>
          <w:p w14:paraId="2DBCB0AA"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 xml:space="preserve">Depth = 5, </w:t>
            </w:r>
            <w:proofErr w:type="spellStart"/>
            <w:r w:rsidRPr="00CA09F4">
              <w:rPr>
                <w:rFonts w:ascii="Times New Roman" w:hAnsi="Times New Roman" w:cs="Times New Roman"/>
                <w:sz w:val="18"/>
                <w:szCs w:val="18"/>
              </w:rPr>
              <w:t>qg</w:t>
            </w:r>
            <w:proofErr w:type="spellEnd"/>
            <w:r w:rsidRPr="00CA09F4">
              <w:rPr>
                <w:rFonts w:ascii="Times New Roman" w:hAnsi="Times New Roman" w:cs="Times New Roman"/>
                <w:sz w:val="18"/>
                <w:szCs w:val="18"/>
              </w:rPr>
              <w:t xml:space="preserve"> = 30</w:t>
            </w:r>
          </w:p>
        </w:tc>
        <w:tc>
          <w:tcPr>
            <w:tcW w:w="936" w:type="dxa"/>
            <w:tcBorders>
              <w:top w:val="nil"/>
              <w:left w:val="nil"/>
              <w:bottom w:val="nil"/>
              <w:right w:val="nil"/>
            </w:tcBorders>
            <w:shd w:val="pct10" w:color="auto" w:fill="auto"/>
          </w:tcPr>
          <w:p w14:paraId="3AD2342A"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121,197</w:t>
            </w:r>
          </w:p>
        </w:tc>
        <w:tc>
          <w:tcPr>
            <w:tcW w:w="936" w:type="dxa"/>
            <w:tcBorders>
              <w:top w:val="nil"/>
              <w:left w:val="nil"/>
              <w:bottom w:val="nil"/>
              <w:right w:val="nil"/>
            </w:tcBorders>
            <w:shd w:val="pct10" w:color="auto" w:fill="auto"/>
          </w:tcPr>
          <w:p w14:paraId="2D27F0E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79,251</w:t>
            </w:r>
          </w:p>
        </w:tc>
        <w:tc>
          <w:tcPr>
            <w:tcW w:w="936" w:type="dxa"/>
            <w:tcBorders>
              <w:top w:val="nil"/>
              <w:left w:val="nil"/>
              <w:bottom w:val="nil"/>
              <w:right w:val="nil"/>
            </w:tcBorders>
            <w:shd w:val="pct10" w:color="auto" w:fill="auto"/>
          </w:tcPr>
          <w:p w14:paraId="70515F86"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72,149</w:t>
            </w:r>
          </w:p>
        </w:tc>
        <w:tc>
          <w:tcPr>
            <w:tcW w:w="936" w:type="dxa"/>
            <w:tcBorders>
              <w:top w:val="nil"/>
              <w:left w:val="nil"/>
              <w:bottom w:val="nil"/>
              <w:right w:val="nil"/>
            </w:tcBorders>
            <w:shd w:val="pct10" w:color="auto" w:fill="auto"/>
          </w:tcPr>
          <w:p w14:paraId="7CCA8BD1"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169,757</w:t>
            </w:r>
          </w:p>
        </w:tc>
        <w:tc>
          <w:tcPr>
            <w:tcW w:w="936" w:type="dxa"/>
            <w:tcBorders>
              <w:top w:val="nil"/>
              <w:left w:val="nil"/>
              <w:bottom w:val="nil"/>
              <w:right w:val="nil"/>
            </w:tcBorders>
            <w:shd w:val="pct10" w:color="auto" w:fill="auto"/>
          </w:tcPr>
          <w:p w14:paraId="0162BFC0"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107,523</w:t>
            </w:r>
          </w:p>
        </w:tc>
        <w:tc>
          <w:tcPr>
            <w:tcW w:w="936" w:type="dxa"/>
            <w:tcBorders>
              <w:top w:val="nil"/>
              <w:left w:val="nil"/>
              <w:bottom w:val="nil"/>
              <w:right w:val="nil"/>
            </w:tcBorders>
            <w:shd w:val="pct10" w:color="auto" w:fill="auto"/>
          </w:tcPr>
          <w:p w14:paraId="4462CEBD"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103,894</w:t>
            </w:r>
          </w:p>
        </w:tc>
        <w:tc>
          <w:tcPr>
            <w:tcW w:w="1219" w:type="dxa"/>
            <w:tcBorders>
              <w:top w:val="nil"/>
              <w:left w:val="nil"/>
              <w:bottom w:val="nil"/>
              <w:right w:val="nil"/>
            </w:tcBorders>
            <w:shd w:val="pct10" w:color="auto" w:fill="auto"/>
          </w:tcPr>
          <w:p w14:paraId="1DA20606"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52,473</w:t>
            </w:r>
          </w:p>
        </w:tc>
      </w:tr>
      <w:tr w:rsidR="00321B78" w:rsidRPr="00CA09F4" w14:paraId="34500A4A" w14:textId="77777777" w:rsidTr="00031031">
        <w:tc>
          <w:tcPr>
            <w:tcW w:w="2515" w:type="dxa"/>
            <w:tcBorders>
              <w:top w:val="nil"/>
              <w:left w:val="nil"/>
              <w:bottom w:val="nil"/>
              <w:right w:val="nil"/>
            </w:tcBorders>
          </w:tcPr>
          <w:p w14:paraId="54064072"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Allele balance filter</w:t>
            </w:r>
          </w:p>
        </w:tc>
        <w:tc>
          <w:tcPr>
            <w:tcW w:w="936" w:type="dxa"/>
            <w:tcBorders>
              <w:top w:val="nil"/>
              <w:left w:val="nil"/>
              <w:bottom w:val="nil"/>
              <w:right w:val="nil"/>
            </w:tcBorders>
          </w:tcPr>
          <w:p w14:paraId="0EE34AFB"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115,436</w:t>
            </w:r>
          </w:p>
        </w:tc>
        <w:tc>
          <w:tcPr>
            <w:tcW w:w="936" w:type="dxa"/>
            <w:tcBorders>
              <w:top w:val="nil"/>
              <w:left w:val="nil"/>
              <w:bottom w:val="nil"/>
              <w:right w:val="nil"/>
            </w:tcBorders>
          </w:tcPr>
          <w:p w14:paraId="40C0326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75,084</w:t>
            </w:r>
          </w:p>
        </w:tc>
        <w:tc>
          <w:tcPr>
            <w:tcW w:w="936" w:type="dxa"/>
            <w:tcBorders>
              <w:top w:val="nil"/>
              <w:left w:val="nil"/>
              <w:bottom w:val="nil"/>
              <w:right w:val="nil"/>
            </w:tcBorders>
          </w:tcPr>
          <w:p w14:paraId="285BAF7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66,304</w:t>
            </w:r>
          </w:p>
        </w:tc>
        <w:tc>
          <w:tcPr>
            <w:tcW w:w="936" w:type="dxa"/>
            <w:tcBorders>
              <w:top w:val="nil"/>
              <w:left w:val="nil"/>
              <w:bottom w:val="nil"/>
              <w:right w:val="nil"/>
            </w:tcBorders>
          </w:tcPr>
          <w:p w14:paraId="6066DAE4"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160,818</w:t>
            </w:r>
          </w:p>
        </w:tc>
        <w:tc>
          <w:tcPr>
            <w:tcW w:w="936" w:type="dxa"/>
            <w:tcBorders>
              <w:top w:val="nil"/>
              <w:left w:val="nil"/>
              <w:bottom w:val="nil"/>
              <w:right w:val="nil"/>
            </w:tcBorders>
          </w:tcPr>
          <w:p w14:paraId="64E8504A"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101,374</w:t>
            </w:r>
          </w:p>
        </w:tc>
        <w:tc>
          <w:tcPr>
            <w:tcW w:w="936" w:type="dxa"/>
            <w:tcBorders>
              <w:top w:val="nil"/>
              <w:left w:val="nil"/>
              <w:bottom w:val="nil"/>
              <w:right w:val="nil"/>
            </w:tcBorders>
          </w:tcPr>
          <w:p w14:paraId="3F5D2390"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99,644</w:t>
            </w:r>
          </w:p>
        </w:tc>
        <w:tc>
          <w:tcPr>
            <w:tcW w:w="1219" w:type="dxa"/>
            <w:tcBorders>
              <w:top w:val="nil"/>
              <w:left w:val="nil"/>
              <w:bottom w:val="nil"/>
              <w:right w:val="nil"/>
            </w:tcBorders>
          </w:tcPr>
          <w:p w14:paraId="732A2EBD"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50,275</w:t>
            </w:r>
          </w:p>
        </w:tc>
      </w:tr>
      <w:tr w:rsidR="00321B78" w:rsidRPr="00CA09F4" w14:paraId="4AE85986" w14:textId="77777777" w:rsidTr="00031031">
        <w:tc>
          <w:tcPr>
            <w:tcW w:w="2515" w:type="dxa"/>
            <w:tcBorders>
              <w:top w:val="nil"/>
              <w:left w:val="nil"/>
              <w:bottom w:val="nil"/>
              <w:right w:val="nil"/>
            </w:tcBorders>
            <w:shd w:val="pct10" w:color="auto" w:fill="auto"/>
          </w:tcPr>
          <w:p w14:paraId="7DA775A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Max depth = 100</w:t>
            </w:r>
          </w:p>
        </w:tc>
        <w:tc>
          <w:tcPr>
            <w:tcW w:w="936" w:type="dxa"/>
            <w:tcBorders>
              <w:top w:val="nil"/>
              <w:left w:val="nil"/>
              <w:bottom w:val="nil"/>
              <w:right w:val="nil"/>
            </w:tcBorders>
            <w:shd w:val="pct10" w:color="auto" w:fill="auto"/>
          </w:tcPr>
          <w:p w14:paraId="1C59470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114,437</w:t>
            </w:r>
          </w:p>
        </w:tc>
        <w:tc>
          <w:tcPr>
            <w:tcW w:w="936" w:type="dxa"/>
            <w:tcBorders>
              <w:top w:val="nil"/>
              <w:left w:val="nil"/>
              <w:bottom w:val="nil"/>
              <w:right w:val="nil"/>
            </w:tcBorders>
            <w:shd w:val="pct10" w:color="auto" w:fill="auto"/>
          </w:tcPr>
          <w:p w14:paraId="2807D7B4"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73,646</w:t>
            </w:r>
          </w:p>
        </w:tc>
        <w:tc>
          <w:tcPr>
            <w:tcW w:w="936" w:type="dxa"/>
            <w:tcBorders>
              <w:top w:val="nil"/>
              <w:left w:val="nil"/>
              <w:bottom w:val="nil"/>
              <w:right w:val="nil"/>
            </w:tcBorders>
            <w:shd w:val="pct10" w:color="auto" w:fill="auto"/>
          </w:tcPr>
          <w:p w14:paraId="4FEAD248"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64,421</w:t>
            </w:r>
          </w:p>
        </w:tc>
        <w:tc>
          <w:tcPr>
            <w:tcW w:w="936" w:type="dxa"/>
            <w:tcBorders>
              <w:top w:val="nil"/>
              <w:left w:val="nil"/>
              <w:bottom w:val="nil"/>
              <w:right w:val="nil"/>
            </w:tcBorders>
            <w:shd w:val="pct10" w:color="auto" w:fill="auto"/>
          </w:tcPr>
          <w:p w14:paraId="7E91EF57"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159,213</w:t>
            </w:r>
          </w:p>
        </w:tc>
        <w:tc>
          <w:tcPr>
            <w:tcW w:w="936" w:type="dxa"/>
            <w:tcBorders>
              <w:top w:val="nil"/>
              <w:left w:val="nil"/>
              <w:bottom w:val="nil"/>
              <w:right w:val="nil"/>
            </w:tcBorders>
            <w:shd w:val="pct10" w:color="auto" w:fill="auto"/>
          </w:tcPr>
          <w:p w14:paraId="3F97DEFB"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100,483</w:t>
            </w:r>
          </w:p>
        </w:tc>
        <w:tc>
          <w:tcPr>
            <w:tcW w:w="936" w:type="dxa"/>
            <w:tcBorders>
              <w:top w:val="nil"/>
              <w:left w:val="nil"/>
              <w:bottom w:val="nil"/>
              <w:right w:val="nil"/>
            </w:tcBorders>
            <w:shd w:val="pct10" w:color="auto" w:fill="auto"/>
          </w:tcPr>
          <w:p w14:paraId="40521F1F"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97,893</w:t>
            </w:r>
          </w:p>
        </w:tc>
        <w:tc>
          <w:tcPr>
            <w:tcW w:w="1219" w:type="dxa"/>
            <w:tcBorders>
              <w:top w:val="nil"/>
              <w:left w:val="nil"/>
              <w:bottom w:val="nil"/>
              <w:right w:val="nil"/>
            </w:tcBorders>
            <w:shd w:val="pct10" w:color="auto" w:fill="auto"/>
          </w:tcPr>
          <w:p w14:paraId="2980BD3B"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49,986</w:t>
            </w:r>
          </w:p>
        </w:tc>
      </w:tr>
      <w:tr w:rsidR="00321B78" w:rsidRPr="00CA09F4" w14:paraId="1707AF6B" w14:textId="77777777" w:rsidTr="00031031">
        <w:tc>
          <w:tcPr>
            <w:tcW w:w="2515" w:type="dxa"/>
            <w:tcBorders>
              <w:top w:val="nil"/>
              <w:left w:val="nil"/>
              <w:bottom w:val="nil"/>
              <w:right w:val="nil"/>
            </w:tcBorders>
          </w:tcPr>
          <w:p w14:paraId="4EBF426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Remove individuals with &gt; 0.9 % of missing data</w:t>
            </w:r>
          </w:p>
          <w:p w14:paraId="1A62F8EE"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Individuals removed</w:t>
            </w:r>
          </w:p>
        </w:tc>
        <w:tc>
          <w:tcPr>
            <w:tcW w:w="936" w:type="dxa"/>
            <w:tcBorders>
              <w:top w:val="nil"/>
              <w:left w:val="nil"/>
              <w:bottom w:val="nil"/>
              <w:right w:val="nil"/>
            </w:tcBorders>
          </w:tcPr>
          <w:p w14:paraId="61F48CF0"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113,598</w:t>
            </w:r>
          </w:p>
          <w:p w14:paraId="7DCFC227" w14:textId="77777777" w:rsidR="00321B78" w:rsidRPr="00CA09F4" w:rsidRDefault="00321B78" w:rsidP="00031031">
            <w:pPr>
              <w:jc w:val="both"/>
              <w:rPr>
                <w:rFonts w:ascii="Times New Roman" w:hAnsi="Times New Roman" w:cs="Times New Roman"/>
                <w:sz w:val="18"/>
                <w:szCs w:val="18"/>
              </w:rPr>
            </w:pPr>
          </w:p>
          <w:p w14:paraId="265852B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3</w:t>
            </w:r>
          </w:p>
        </w:tc>
        <w:tc>
          <w:tcPr>
            <w:tcW w:w="936" w:type="dxa"/>
            <w:tcBorders>
              <w:top w:val="nil"/>
              <w:left w:val="nil"/>
              <w:bottom w:val="nil"/>
              <w:right w:val="nil"/>
            </w:tcBorders>
          </w:tcPr>
          <w:p w14:paraId="256B378A"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73,646</w:t>
            </w:r>
          </w:p>
          <w:p w14:paraId="1D3E6DEB" w14:textId="77777777" w:rsidR="00321B78" w:rsidRPr="00CA09F4" w:rsidRDefault="00321B78" w:rsidP="00031031">
            <w:pPr>
              <w:jc w:val="both"/>
              <w:rPr>
                <w:rFonts w:ascii="Times New Roman" w:hAnsi="Times New Roman" w:cs="Times New Roman"/>
                <w:sz w:val="18"/>
                <w:szCs w:val="18"/>
              </w:rPr>
            </w:pPr>
          </w:p>
          <w:p w14:paraId="7F0BA077"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0</w:t>
            </w:r>
          </w:p>
        </w:tc>
        <w:tc>
          <w:tcPr>
            <w:tcW w:w="936" w:type="dxa"/>
            <w:tcBorders>
              <w:top w:val="nil"/>
              <w:left w:val="nil"/>
              <w:bottom w:val="nil"/>
              <w:right w:val="nil"/>
            </w:tcBorders>
          </w:tcPr>
          <w:p w14:paraId="7C17FC19"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64,339</w:t>
            </w:r>
          </w:p>
          <w:p w14:paraId="3F2F497D" w14:textId="77777777" w:rsidR="00321B78" w:rsidRPr="00CA09F4" w:rsidRDefault="00321B78" w:rsidP="00031031">
            <w:pPr>
              <w:jc w:val="both"/>
              <w:rPr>
                <w:rFonts w:ascii="Times New Roman" w:hAnsi="Times New Roman" w:cs="Times New Roman"/>
                <w:sz w:val="18"/>
                <w:szCs w:val="18"/>
              </w:rPr>
            </w:pPr>
          </w:p>
          <w:p w14:paraId="14230460"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2</w:t>
            </w:r>
          </w:p>
        </w:tc>
        <w:tc>
          <w:tcPr>
            <w:tcW w:w="936" w:type="dxa"/>
            <w:tcBorders>
              <w:top w:val="nil"/>
              <w:left w:val="nil"/>
              <w:bottom w:val="nil"/>
              <w:right w:val="nil"/>
            </w:tcBorders>
          </w:tcPr>
          <w:p w14:paraId="1E6B80B0"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159,213</w:t>
            </w:r>
          </w:p>
          <w:p w14:paraId="1D34A10D" w14:textId="77777777" w:rsidR="00321B78" w:rsidRPr="00CA09F4" w:rsidRDefault="00321B78" w:rsidP="00031031">
            <w:pPr>
              <w:jc w:val="both"/>
              <w:rPr>
                <w:rFonts w:ascii="Times New Roman" w:hAnsi="Times New Roman" w:cs="Times New Roman"/>
                <w:sz w:val="18"/>
                <w:szCs w:val="18"/>
              </w:rPr>
            </w:pPr>
          </w:p>
          <w:p w14:paraId="071343A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w:t>
            </w:r>
          </w:p>
        </w:tc>
        <w:tc>
          <w:tcPr>
            <w:tcW w:w="936" w:type="dxa"/>
            <w:tcBorders>
              <w:top w:val="nil"/>
              <w:left w:val="nil"/>
              <w:bottom w:val="nil"/>
              <w:right w:val="nil"/>
            </w:tcBorders>
          </w:tcPr>
          <w:p w14:paraId="0916D534"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100,303</w:t>
            </w:r>
          </w:p>
          <w:p w14:paraId="4BFDF193" w14:textId="77777777" w:rsidR="00321B78" w:rsidRPr="00CA09F4" w:rsidRDefault="00321B78" w:rsidP="00031031">
            <w:pPr>
              <w:jc w:val="both"/>
              <w:rPr>
                <w:rFonts w:ascii="Times New Roman" w:hAnsi="Times New Roman" w:cs="Times New Roman"/>
                <w:color w:val="000000" w:themeColor="text1"/>
                <w:sz w:val="18"/>
                <w:szCs w:val="18"/>
              </w:rPr>
            </w:pPr>
          </w:p>
          <w:p w14:paraId="68296B64"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1</w:t>
            </w:r>
          </w:p>
        </w:tc>
        <w:tc>
          <w:tcPr>
            <w:tcW w:w="936" w:type="dxa"/>
            <w:tcBorders>
              <w:top w:val="nil"/>
              <w:left w:val="nil"/>
              <w:bottom w:val="nil"/>
              <w:right w:val="nil"/>
            </w:tcBorders>
          </w:tcPr>
          <w:p w14:paraId="1809D71D"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97,893</w:t>
            </w:r>
          </w:p>
          <w:p w14:paraId="4C8E29B5" w14:textId="77777777" w:rsidR="00321B78" w:rsidRPr="00CA09F4" w:rsidRDefault="00321B78" w:rsidP="00031031">
            <w:pPr>
              <w:jc w:val="both"/>
              <w:rPr>
                <w:rFonts w:ascii="Times New Roman" w:hAnsi="Times New Roman" w:cs="Times New Roman"/>
                <w:color w:val="000000" w:themeColor="text1"/>
                <w:sz w:val="18"/>
                <w:szCs w:val="18"/>
              </w:rPr>
            </w:pPr>
          </w:p>
          <w:p w14:paraId="04E2EB1C"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0</w:t>
            </w:r>
          </w:p>
        </w:tc>
        <w:tc>
          <w:tcPr>
            <w:tcW w:w="1219" w:type="dxa"/>
            <w:tcBorders>
              <w:top w:val="nil"/>
              <w:left w:val="nil"/>
              <w:bottom w:val="nil"/>
              <w:right w:val="nil"/>
            </w:tcBorders>
          </w:tcPr>
          <w:p w14:paraId="1062494C"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49,976</w:t>
            </w:r>
          </w:p>
          <w:p w14:paraId="25A29DF6" w14:textId="77777777" w:rsidR="00321B78" w:rsidRPr="00CA09F4" w:rsidRDefault="00321B78" w:rsidP="00031031">
            <w:pPr>
              <w:jc w:val="both"/>
              <w:rPr>
                <w:rFonts w:ascii="Times New Roman" w:hAnsi="Times New Roman" w:cs="Times New Roman"/>
                <w:color w:val="000000" w:themeColor="text1"/>
                <w:sz w:val="18"/>
                <w:szCs w:val="18"/>
              </w:rPr>
            </w:pPr>
          </w:p>
          <w:p w14:paraId="6A92A66E"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1</w:t>
            </w:r>
          </w:p>
        </w:tc>
      </w:tr>
      <w:tr w:rsidR="00321B78" w:rsidRPr="00CA09F4" w14:paraId="34BED577" w14:textId="77777777" w:rsidTr="00031031">
        <w:tc>
          <w:tcPr>
            <w:tcW w:w="2515" w:type="dxa"/>
            <w:tcBorders>
              <w:top w:val="nil"/>
              <w:left w:val="nil"/>
              <w:bottom w:val="nil"/>
              <w:right w:val="nil"/>
            </w:tcBorders>
            <w:shd w:val="pct10" w:color="auto" w:fill="auto"/>
          </w:tcPr>
          <w:p w14:paraId="1CE14D1A"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SNP completeness &gt; 0.9 %</w:t>
            </w:r>
          </w:p>
        </w:tc>
        <w:tc>
          <w:tcPr>
            <w:tcW w:w="936" w:type="dxa"/>
            <w:tcBorders>
              <w:top w:val="nil"/>
              <w:left w:val="nil"/>
              <w:bottom w:val="nil"/>
              <w:right w:val="nil"/>
            </w:tcBorders>
            <w:shd w:val="pct10" w:color="auto" w:fill="auto"/>
          </w:tcPr>
          <w:p w14:paraId="0A579EE3"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7,862</w:t>
            </w:r>
          </w:p>
        </w:tc>
        <w:tc>
          <w:tcPr>
            <w:tcW w:w="936" w:type="dxa"/>
            <w:tcBorders>
              <w:top w:val="nil"/>
              <w:left w:val="nil"/>
              <w:bottom w:val="nil"/>
              <w:right w:val="nil"/>
            </w:tcBorders>
            <w:shd w:val="pct10" w:color="auto" w:fill="auto"/>
          </w:tcPr>
          <w:p w14:paraId="5E772608"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9,580</w:t>
            </w:r>
          </w:p>
        </w:tc>
        <w:tc>
          <w:tcPr>
            <w:tcW w:w="936" w:type="dxa"/>
            <w:tcBorders>
              <w:top w:val="nil"/>
              <w:left w:val="nil"/>
              <w:bottom w:val="nil"/>
              <w:right w:val="nil"/>
            </w:tcBorders>
            <w:shd w:val="pct10" w:color="auto" w:fill="auto"/>
          </w:tcPr>
          <w:p w14:paraId="1BFAEA42"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2,675</w:t>
            </w:r>
          </w:p>
        </w:tc>
        <w:tc>
          <w:tcPr>
            <w:tcW w:w="936" w:type="dxa"/>
            <w:tcBorders>
              <w:top w:val="nil"/>
              <w:left w:val="nil"/>
              <w:bottom w:val="nil"/>
              <w:right w:val="nil"/>
            </w:tcBorders>
            <w:shd w:val="pct10" w:color="auto" w:fill="auto"/>
          </w:tcPr>
          <w:p w14:paraId="03F9A84B"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11,653</w:t>
            </w:r>
          </w:p>
        </w:tc>
        <w:tc>
          <w:tcPr>
            <w:tcW w:w="936" w:type="dxa"/>
            <w:tcBorders>
              <w:top w:val="nil"/>
              <w:left w:val="nil"/>
              <w:bottom w:val="nil"/>
              <w:right w:val="nil"/>
            </w:tcBorders>
            <w:shd w:val="pct10" w:color="auto" w:fill="auto"/>
          </w:tcPr>
          <w:p w14:paraId="1BB9EF3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9,863</w:t>
            </w:r>
          </w:p>
        </w:tc>
        <w:tc>
          <w:tcPr>
            <w:tcW w:w="936" w:type="dxa"/>
            <w:tcBorders>
              <w:top w:val="nil"/>
              <w:left w:val="nil"/>
              <w:bottom w:val="nil"/>
              <w:right w:val="nil"/>
            </w:tcBorders>
            <w:shd w:val="pct10" w:color="auto" w:fill="auto"/>
          </w:tcPr>
          <w:p w14:paraId="471A934E"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10,727</w:t>
            </w:r>
          </w:p>
        </w:tc>
        <w:tc>
          <w:tcPr>
            <w:tcW w:w="1219" w:type="dxa"/>
            <w:tcBorders>
              <w:top w:val="nil"/>
              <w:left w:val="nil"/>
              <w:bottom w:val="nil"/>
              <w:right w:val="nil"/>
            </w:tcBorders>
            <w:shd w:val="pct10" w:color="auto" w:fill="auto"/>
          </w:tcPr>
          <w:p w14:paraId="6191E303"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6,790</w:t>
            </w:r>
          </w:p>
        </w:tc>
      </w:tr>
      <w:tr w:rsidR="00321B78" w:rsidRPr="00CA09F4" w14:paraId="563C3722" w14:textId="77777777" w:rsidTr="00321B78">
        <w:tc>
          <w:tcPr>
            <w:tcW w:w="2515" w:type="dxa"/>
            <w:tcBorders>
              <w:top w:val="nil"/>
              <w:left w:val="nil"/>
              <w:bottom w:val="nil"/>
              <w:right w:val="nil"/>
            </w:tcBorders>
          </w:tcPr>
          <w:p w14:paraId="180FF4E0"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MAF 0.01</w:t>
            </w:r>
          </w:p>
        </w:tc>
        <w:tc>
          <w:tcPr>
            <w:tcW w:w="936" w:type="dxa"/>
            <w:tcBorders>
              <w:top w:val="nil"/>
              <w:left w:val="nil"/>
              <w:bottom w:val="nil"/>
              <w:right w:val="nil"/>
            </w:tcBorders>
          </w:tcPr>
          <w:p w14:paraId="3731E328"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7,862</w:t>
            </w:r>
          </w:p>
        </w:tc>
        <w:tc>
          <w:tcPr>
            <w:tcW w:w="936" w:type="dxa"/>
            <w:tcBorders>
              <w:top w:val="nil"/>
              <w:left w:val="nil"/>
              <w:bottom w:val="nil"/>
              <w:right w:val="nil"/>
            </w:tcBorders>
          </w:tcPr>
          <w:p w14:paraId="0FE44EB3"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9,580</w:t>
            </w:r>
          </w:p>
        </w:tc>
        <w:tc>
          <w:tcPr>
            <w:tcW w:w="936" w:type="dxa"/>
            <w:tcBorders>
              <w:top w:val="nil"/>
              <w:left w:val="nil"/>
              <w:bottom w:val="nil"/>
              <w:right w:val="nil"/>
            </w:tcBorders>
          </w:tcPr>
          <w:p w14:paraId="44ABE259"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2,675</w:t>
            </w:r>
          </w:p>
        </w:tc>
        <w:tc>
          <w:tcPr>
            <w:tcW w:w="936" w:type="dxa"/>
            <w:tcBorders>
              <w:top w:val="nil"/>
              <w:left w:val="nil"/>
              <w:bottom w:val="nil"/>
              <w:right w:val="nil"/>
            </w:tcBorders>
          </w:tcPr>
          <w:p w14:paraId="11174873"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6,226</w:t>
            </w:r>
          </w:p>
        </w:tc>
        <w:tc>
          <w:tcPr>
            <w:tcW w:w="936" w:type="dxa"/>
            <w:tcBorders>
              <w:top w:val="nil"/>
              <w:left w:val="nil"/>
              <w:bottom w:val="nil"/>
              <w:right w:val="nil"/>
            </w:tcBorders>
          </w:tcPr>
          <w:p w14:paraId="45432EA1"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9,863</w:t>
            </w:r>
          </w:p>
        </w:tc>
        <w:tc>
          <w:tcPr>
            <w:tcW w:w="936" w:type="dxa"/>
            <w:tcBorders>
              <w:top w:val="nil"/>
              <w:left w:val="nil"/>
              <w:bottom w:val="nil"/>
              <w:right w:val="nil"/>
            </w:tcBorders>
          </w:tcPr>
          <w:p w14:paraId="3D60C1F0"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10,727</w:t>
            </w:r>
          </w:p>
        </w:tc>
        <w:tc>
          <w:tcPr>
            <w:tcW w:w="1219" w:type="dxa"/>
            <w:tcBorders>
              <w:top w:val="nil"/>
              <w:left w:val="nil"/>
              <w:bottom w:val="nil"/>
              <w:right w:val="nil"/>
            </w:tcBorders>
          </w:tcPr>
          <w:p w14:paraId="43FCD9CC"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6,790</w:t>
            </w:r>
          </w:p>
        </w:tc>
      </w:tr>
      <w:tr w:rsidR="00321B78" w:rsidRPr="00CA09F4" w14:paraId="525490EC" w14:textId="77777777" w:rsidTr="00321B78">
        <w:tc>
          <w:tcPr>
            <w:tcW w:w="2515" w:type="dxa"/>
            <w:tcBorders>
              <w:top w:val="nil"/>
              <w:left w:val="nil"/>
              <w:bottom w:val="single" w:sz="18" w:space="0" w:color="auto"/>
              <w:right w:val="nil"/>
            </w:tcBorders>
            <w:shd w:val="pct10" w:color="auto" w:fill="auto"/>
          </w:tcPr>
          <w:p w14:paraId="5F1BECE4"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i/>
                <w:iCs/>
                <w:sz w:val="18"/>
                <w:szCs w:val="18"/>
              </w:rPr>
              <w:t>H</w:t>
            </w:r>
            <w:r w:rsidRPr="00CA09F4">
              <w:rPr>
                <w:rFonts w:ascii="Times New Roman" w:hAnsi="Times New Roman" w:cs="Times New Roman"/>
                <w:i/>
                <w:iCs/>
                <w:sz w:val="18"/>
                <w:szCs w:val="18"/>
                <w:vertAlign w:val="subscript"/>
              </w:rPr>
              <w:t>O</w:t>
            </w:r>
            <w:r w:rsidRPr="00CA09F4">
              <w:rPr>
                <w:rFonts w:ascii="Times New Roman" w:hAnsi="Times New Roman" w:cs="Times New Roman"/>
                <w:sz w:val="18"/>
                <w:szCs w:val="18"/>
              </w:rPr>
              <w:t xml:space="preserve"> &lt; 0.45</w:t>
            </w:r>
          </w:p>
        </w:tc>
        <w:tc>
          <w:tcPr>
            <w:tcW w:w="936" w:type="dxa"/>
            <w:tcBorders>
              <w:top w:val="nil"/>
              <w:left w:val="nil"/>
              <w:bottom w:val="single" w:sz="18" w:space="0" w:color="auto"/>
              <w:right w:val="nil"/>
            </w:tcBorders>
            <w:shd w:val="pct10" w:color="auto" w:fill="auto"/>
          </w:tcPr>
          <w:p w14:paraId="4D5BC2FD"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7,843</w:t>
            </w:r>
          </w:p>
        </w:tc>
        <w:tc>
          <w:tcPr>
            <w:tcW w:w="936" w:type="dxa"/>
            <w:tcBorders>
              <w:top w:val="nil"/>
              <w:left w:val="nil"/>
              <w:bottom w:val="single" w:sz="18" w:space="0" w:color="auto"/>
              <w:right w:val="nil"/>
            </w:tcBorders>
            <w:shd w:val="pct10" w:color="auto" w:fill="auto"/>
          </w:tcPr>
          <w:p w14:paraId="54544DC8"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9,325</w:t>
            </w:r>
          </w:p>
        </w:tc>
        <w:tc>
          <w:tcPr>
            <w:tcW w:w="936" w:type="dxa"/>
            <w:tcBorders>
              <w:top w:val="nil"/>
              <w:left w:val="nil"/>
              <w:bottom w:val="single" w:sz="18" w:space="0" w:color="auto"/>
              <w:right w:val="nil"/>
            </w:tcBorders>
            <w:shd w:val="pct10" w:color="auto" w:fill="auto"/>
          </w:tcPr>
          <w:p w14:paraId="4138E4B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2,665</w:t>
            </w:r>
          </w:p>
        </w:tc>
        <w:tc>
          <w:tcPr>
            <w:tcW w:w="936" w:type="dxa"/>
            <w:tcBorders>
              <w:top w:val="nil"/>
              <w:left w:val="nil"/>
              <w:bottom w:val="single" w:sz="18" w:space="0" w:color="auto"/>
              <w:right w:val="nil"/>
            </w:tcBorders>
            <w:shd w:val="pct10" w:color="auto" w:fill="auto"/>
          </w:tcPr>
          <w:p w14:paraId="3EAC4D3A"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6,088</w:t>
            </w:r>
          </w:p>
        </w:tc>
        <w:tc>
          <w:tcPr>
            <w:tcW w:w="936" w:type="dxa"/>
            <w:tcBorders>
              <w:top w:val="nil"/>
              <w:left w:val="nil"/>
              <w:bottom w:val="single" w:sz="18" w:space="0" w:color="auto"/>
              <w:right w:val="nil"/>
            </w:tcBorders>
            <w:shd w:val="pct10" w:color="auto" w:fill="auto"/>
          </w:tcPr>
          <w:p w14:paraId="731B7BBD"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9,612</w:t>
            </w:r>
          </w:p>
        </w:tc>
        <w:tc>
          <w:tcPr>
            <w:tcW w:w="936" w:type="dxa"/>
            <w:tcBorders>
              <w:top w:val="nil"/>
              <w:left w:val="nil"/>
              <w:bottom w:val="single" w:sz="18" w:space="0" w:color="auto"/>
              <w:right w:val="nil"/>
            </w:tcBorders>
            <w:shd w:val="pct10" w:color="auto" w:fill="auto"/>
          </w:tcPr>
          <w:p w14:paraId="0067016B"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10,549</w:t>
            </w:r>
          </w:p>
        </w:tc>
        <w:tc>
          <w:tcPr>
            <w:tcW w:w="1219" w:type="dxa"/>
            <w:tcBorders>
              <w:top w:val="nil"/>
              <w:left w:val="nil"/>
              <w:bottom w:val="single" w:sz="18" w:space="0" w:color="auto"/>
              <w:right w:val="nil"/>
            </w:tcBorders>
            <w:shd w:val="pct10" w:color="auto" w:fill="auto"/>
          </w:tcPr>
          <w:p w14:paraId="0AAE0DD0"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6,310</w:t>
            </w:r>
          </w:p>
        </w:tc>
      </w:tr>
    </w:tbl>
    <w:p w14:paraId="0509FB7A" w14:textId="77777777" w:rsidR="00321B78" w:rsidRDefault="00321B78" w:rsidP="00321B78">
      <w:pPr>
        <w:tabs>
          <w:tab w:val="left" w:pos="1743"/>
        </w:tabs>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936"/>
        <w:gridCol w:w="936"/>
        <w:gridCol w:w="936"/>
        <w:gridCol w:w="936"/>
        <w:gridCol w:w="936"/>
        <w:gridCol w:w="936"/>
        <w:gridCol w:w="1219"/>
      </w:tblGrid>
      <w:tr w:rsidR="00321B78" w:rsidRPr="00CA09F4" w14:paraId="244CE2E2" w14:textId="77777777" w:rsidTr="00031031">
        <w:tc>
          <w:tcPr>
            <w:tcW w:w="9350" w:type="dxa"/>
            <w:gridSpan w:val="8"/>
            <w:tcBorders>
              <w:top w:val="single" w:sz="18" w:space="0" w:color="auto"/>
              <w:bottom w:val="single" w:sz="18" w:space="0" w:color="auto"/>
            </w:tcBorders>
          </w:tcPr>
          <w:p w14:paraId="6B0119EF" w14:textId="77777777" w:rsidR="00321B78" w:rsidRPr="00CA09F4" w:rsidRDefault="00321B78" w:rsidP="00031031">
            <w:pPr>
              <w:jc w:val="both"/>
              <w:rPr>
                <w:rFonts w:ascii="Times New Roman" w:hAnsi="Times New Roman" w:cs="Times New Roman"/>
                <w:sz w:val="18"/>
                <w:szCs w:val="18"/>
              </w:rPr>
            </w:pPr>
            <w:bookmarkStart w:id="14" w:name="TableS4"/>
            <w:r w:rsidRPr="00CA09F4">
              <w:rPr>
                <w:rFonts w:ascii="Times New Roman" w:hAnsi="Times New Roman" w:cs="Times New Roman"/>
                <w:b/>
                <w:bCs/>
                <w:sz w:val="18"/>
                <w:szCs w:val="18"/>
              </w:rPr>
              <w:t>Table S</w:t>
            </w:r>
            <w:r>
              <w:rPr>
                <w:rFonts w:ascii="Times New Roman" w:hAnsi="Times New Roman" w:cs="Times New Roman"/>
                <w:b/>
                <w:bCs/>
                <w:sz w:val="18"/>
                <w:szCs w:val="18"/>
              </w:rPr>
              <w:t>4</w:t>
            </w:r>
            <w:bookmarkEnd w:id="14"/>
            <w:r w:rsidRPr="00CA09F4">
              <w:rPr>
                <w:rFonts w:ascii="Times New Roman" w:hAnsi="Times New Roman" w:cs="Times New Roman"/>
                <w:b/>
                <w:bCs/>
                <w:sz w:val="18"/>
                <w:szCs w:val="18"/>
              </w:rPr>
              <w:t>.</w:t>
            </w:r>
            <w:r w:rsidRPr="00CA09F4">
              <w:rPr>
                <w:rFonts w:ascii="Times New Roman" w:hAnsi="Times New Roman" w:cs="Times New Roman"/>
                <w:sz w:val="18"/>
                <w:szCs w:val="18"/>
              </w:rPr>
              <w:t xml:space="preserve"> Number of SNPs retained after filtering step for the species in the TA: </w:t>
            </w:r>
            <w:r w:rsidRPr="00CA09F4">
              <w:rPr>
                <w:rFonts w:ascii="Times New Roman" w:hAnsi="Times New Roman" w:cs="Times New Roman"/>
                <w:i/>
                <w:iCs/>
                <w:sz w:val="18"/>
                <w:szCs w:val="18"/>
              </w:rPr>
              <w:t>M. aurolineatus</w:t>
            </w:r>
            <w:r w:rsidRPr="00CA09F4">
              <w:rPr>
                <w:rFonts w:ascii="Times New Roman" w:hAnsi="Times New Roman" w:cs="Times New Roman"/>
                <w:sz w:val="18"/>
                <w:szCs w:val="18"/>
              </w:rPr>
              <w:t xml:space="preserve"> (Ma), </w:t>
            </w:r>
            <w:r w:rsidRPr="00CA09F4">
              <w:rPr>
                <w:rFonts w:ascii="Times New Roman" w:hAnsi="Times New Roman" w:cs="Times New Roman"/>
                <w:i/>
                <w:iCs/>
                <w:sz w:val="18"/>
                <w:szCs w:val="18"/>
              </w:rPr>
              <w:t>M. boehlkei</w:t>
            </w:r>
            <w:r w:rsidRPr="00CA09F4">
              <w:rPr>
                <w:rFonts w:ascii="Times New Roman" w:hAnsi="Times New Roman" w:cs="Times New Roman"/>
                <w:sz w:val="18"/>
                <w:szCs w:val="18"/>
              </w:rPr>
              <w:t xml:space="preserve"> (Mb), </w:t>
            </w:r>
            <w:r w:rsidRPr="00CA09F4">
              <w:rPr>
                <w:rFonts w:ascii="Times New Roman" w:hAnsi="Times New Roman" w:cs="Times New Roman"/>
                <w:i/>
                <w:iCs/>
                <w:sz w:val="18"/>
                <w:szCs w:val="18"/>
              </w:rPr>
              <w:t>M. erdmani</w:t>
            </w:r>
            <w:r w:rsidRPr="00CA09F4">
              <w:rPr>
                <w:rFonts w:ascii="Times New Roman" w:hAnsi="Times New Roman" w:cs="Times New Roman"/>
                <w:sz w:val="18"/>
                <w:szCs w:val="18"/>
              </w:rPr>
              <w:t xml:space="preserve"> (Mer), </w:t>
            </w:r>
            <w:r w:rsidRPr="00CA09F4">
              <w:rPr>
                <w:rFonts w:ascii="Times New Roman" w:hAnsi="Times New Roman" w:cs="Times New Roman"/>
                <w:i/>
                <w:iCs/>
                <w:sz w:val="18"/>
                <w:szCs w:val="18"/>
              </w:rPr>
              <w:t>M. gilli</w:t>
            </w:r>
            <w:r w:rsidRPr="00CA09F4">
              <w:rPr>
                <w:rFonts w:ascii="Times New Roman" w:hAnsi="Times New Roman" w:cs="Times New Roman"/>
                <w:sz w:val="18"/>
                <w:szCs w:val="18"/>
              </w:rPr>
              <w:t xml:space="preserve"> (Mg), </w:t>
            </w:r>
            <w:r w:rsidRPr="00CA09F4">
              <w:rPr>
                <w:rFonts w:ascii="Times New Roman" w:hAnsi="Times New Roman" w:cs="Times New Roman"/>
                <w:i/>
                <w:iCs/>
                <w:sz w:val="18"/>
                <w:szCs w:val="18"/>
              </w:rPr>
              <w:t>M. macropus</w:t>
            </w:r>
            <w:r w:rsidRPr="00CA09F4">
              <w:rPr>
                <w:rFonts w:ascii="Times New Roman" w:hAnsi="Times New Roman" w:cs="Times New Roman"/>
                <w:sz w:val="18"/>
                <w:szCs w:val="18"/>
              </w:rPr>
              <w:t xml:space="preserve"> (Mc), </w:t>
            </w:r>
            <w:r w:rsidRPr="00CA09F4">
              <w:rPr>
                <w:rFonts w:ascii="Times New Roman" w:hAnsi="Times New Roman" w:cs="Times New Roman"/>
                <w:i/>
                <w:iCs/>
                <w:sz w:val="18"/>
                <w:szCs w:val="18"/>
              </w:rPr>
              <w:t>M.</w:t>
            </w:r>
            <w:r w:rsidRPr="00CA09F4">
              <w:rPr>
                <w:rFonts w:ascii="Times New Roman" w:hAnsi="Times New Roman" w:cs="Times New Roman"/>
                <w:sz w:val="18"/>
                <w:szCs w:val="18"/>
              </w:rPr>
              <w:t xml:space="preserve"> </w:t>
            </w:r>
            <w:r w:rsidRPr="00CA09F4">
              <w:rPr>
                <w:rFonts w:ascii="Times New Roman" w:hAnsi="Times New Roman" w:cs="Times New Roman"/>
                <w:i/>
                <w:iCs/>
                <w:sz w:val="18"/>
                <w:szCs w:val="18"/>
              </w:rPr>
              <w:t>triangulatus</w:t>
            </w:r>
            <w:r w:rsidRPr="00CA09F4">
              <w:rPr>
                <w:rFonts w:ascii="Times New Roman" w:hAnsi="Times New Roman" w:cs="Times New Roman"/>
                <w:sz w:val="18"/>
                <w:szCs w:val="18"/>
              </w:rPr>
              <w:t>-</w:t>
            </w:r>
            <w:r w:rsidRPr="00CA09F4">
              <w:rPr>
                <w:rFonts w:ascii="Times New Roman" w:hAnsi="Times New Roman" w:cs="Times New Roman"/>
                <w:i/>
                <w:iCs/>
                <w:sz w:val="18"/>
                <w:szCs w:val="18"/>
              </w:rPr>
              <w:t>M.</w:t>
            </w:r>
            <w:r w:rsidRPr="00CA09F4">
              <w:rPr>
                <w:rFonts w:ascii="Times New Roman" w:hAnsi="Times New Roman" w:cs="Times New Roman"/>
                <w:sz w:val="18"/>
                <w:szCs w:val="18"/>
              </w:rPr>
              <w:t xml:space="preserve"> </w:t>
            </w:r>
            <w:r w:rsidRPr="00CA09F4">
              <w:rPr>
                <w:rFonts w:ascii="Times New Roman" w:hAnsi="Times New Roman" w:cs="Times New Roman"/>
                <w:i/>
                <w:iCs/>
                <w:sz w:val="18"/>
                <w:szCs w:val="18"/>
              </w:rPr>
              <w:t>lianae</w:t>
            </w:r>
            <w:r w:rsidRPr="00CA09F4">
              <w:rPr>
                <w:rFonts w:ascii="Times New Roman" w:hAnsi="Times New Roman" w:cs="Times New Roman"/>
                <w:sz w:val="18"/>
                <w:szCs w:val="18"/>
              </w:rPr>
              <w:t>-</w:t>
            </w:r>
            <w:r w:rsidRPr="00CA09F4">
              <w:rPr>
                <w:rFonts w:ascii="Times New Roman" w:hAnsi="Times New Roman" w:cs="Times New Roman"/>
                <w:i/>
                <w:iCs/>
                <w:sz w:val="18"/>
                <w:szCs w:val="18"/>
              </w:rPr>
              <w:t>M. brunoi</w:t>
            </w:r>
            <w:r w:rsidRPr="00CA09F4">
              <w:rPr>
                <w:rFonts w:ascii="Times New Roman" w:hAnsi="Times New Roman" w:cs="Times New Roman"/>
                <w:sz w:val="18"/>
                <w:szCs w:val="18"/>
              </w:rPr>
              <w:t xml:space="preserve"> complex (</w:t>
            </w:r>
            <w:proofErr w:type="spellStart"/>
            <w:r w:rsidRPr="00CA09F4">
              <w:rPr>
                <w:rFonts w:ascii="Times New Roman" w:hAnsi="Times New Roman" w:cs="Times New Roman"/>
                <w:sz w:val="18"/>
                <w:szCs w:val="18"/>
              </w:rPr>
              <w:t>Mtr_spc</w:t>
            </w:r>
            <w:proofErr w:type="spellEnd"/>
            <w:r w:rsidRPr="00CA09F4">
              <w:rPr>
                <w:rFonts w:ascii="Times New Roman" w:hAnsi="Times New Roman" w:cs="Times New Roman"/>
                <w:sz w:val="18"/>
                <w:szCs w:val="18"/>
              </w:rPr>
              <w:t xml:space="preserve">), </w:t>
            </w:r>
            <w:r w:rsidRPr="00CA09F4">
              <w:rPr>
                <w:rFonts w:ascii="Times New Roman" w:hAnsi="Times New Roman" w:cs="Times New Roman"/>
                <w:i/>
                <w:iCs/>
                <w:sz w:val="18"/>
                <w:szCs w:val="18"/>
              </w:rPr>
              <w:t>M. versicolor</w:t>
            </w:r>
            <w:r w:rsidRPr="00CA09F4">
              <w:rPr>
                <w:rFonts w:ascii="Times New Roman" w:hAnsi="Times New Roman" w:cs="Times New Roman"/>
                <w:sz w:val="18"/>
                <w:szCs w:val="18"/>
              </w:rPr>
              <w:t xml:space="preserve"> (Mv).</w:t>
            </w:r>
          </w:p>
        </w:tc>
      </w:tr>
      <w:tr w:rsidR="00321B78" w:rsidRPr="00CA09F4" w14:paraId="4A5AD6A9" w14:textId="77777777" w:rsidTr="00031031">
        <w:tc>
          <w:tcPr>
            <w:tcW w:w="2515" w:type="dxa"/>
            <w:tcBorders>
              <w:top w:val="single" w:sz="18" w:space="0" w:color="auto"/>
              <w:bottom w:val="single" w:sz="18" w:space="0" w:color="auto"/>
            </w:tcBorders>
          </w:tcPr>
          <w:p w14:paraId="34A8B1B9"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b/>
                <w:bCs/>
                <w:sz w:val="18"/>
                <w:szCs w:val="18"/>
              </w:rPr>
              <w:t>Filter</w:t>
            </w:r>
          </w:p>
        </w:tc>
        <w:tc>
          <w:tcPr>
            <w:tcW w:w="936" w:type="dxa"/>
            <w:tcBorders>
              <w:top w:val="single" w:sz="18" w:space="0" w:color="auto"/>
              <w:bottom w:val="single" w:sz="18" w:space="0" w:color="auto"/>
            </w:tcBorders>
          </w:tcPr>
          <w:p w14:paraId="46B6D3D5" w14:textId="77777777" w:rsidR="00321B78" w:rsidRPr="00CA09F4" w:rsidRDefault="00321B78" w:rsidP="00031031">
            <w:pPr>
              <w:jc w:val="both"/>
              <w:rPr>
                <w:rFonts w:ascii="Times New Roman" w:hAnsi="Times New Roman" w:cs="Times New Roman"/>
                <w:b/>
                <w:bCs/>
                <w:sz w:val="18"/>
                <w:szCs w:val="18"/>
              </w:rPr>
            </w:pPr>
            <w:r w:rsidRPr="00CA09F4">
              <w:rPr>
                <w:rFonts w:ascii="Times New Roman" w:hAnsi="Times New Roman" w:cs="Times New Roman"/>
                <w:b/>
                <w:bCs/>
                <w:sz w:val="18"/>
                <w:szCs w:val="18"/>
              </w:rPr>
              <w:t>Ma</w:t>
            </w:r>
          </w:p>
        </w:tc>
        <w:tc>
          <w:tcPr>
            <w:tcW w:w="936" w:type="dxa"/>
            <w:tcBorders>
              <w:top w:val="single" w:sz="18" w:space="0" w:color="auto"/>
              <w:bottom w:val="single" w:sz="18" w:space="0" w:color="auto"/>
            </w:tcBorders>
          </w:tcPr>
          <w:p w14:paraId="6EE9731C" w14:textId="77777777" w:rsidR="00321B78" w:rsidRPr="00CA09F4" w:rsidRDefault="00321B78" w:rsidP="00031031">
            <w:pPr>
              <w:jc w:val="both"/>
              <w:rPr>
                <w:rFonts w:ascii="Times New Roman" w:hAnsi="Times New Roman" w:cs="Times New Roman"/>
                <w:b/>
                <w:bCs/>
                <w:sz w:val="18"/>
                <w:szCs w:val="18"/>
              </w:rPr>
            </w:pPr>
            <w:r w:rsidRPr="00CA09F4">
              <w:rPr>
                <w:rFonts w:ascii="Times New Roman" w:hAnsi="Times New Roman" w:cs="Times New Roman"/>
                <w:b/>
                <w:bCs/>
                <w:sz w:val="18"/>
                <w:szCs w:val="18"/>
              </w:rPr>
              <w:t>Mb</w:t>
            </w:r>
          </w:p>
        </w:tc>
        <w:tc>
          <w:tcPr>
            <w:tcW w:w="936" w:type="dxa"/>
            <w:tcBorders>
              <w:top w:val="single" w:sz="18" w:space="0" w:color="auto"/>
              <w:bottom w:val="single" w:sz="18" w:space="0" w:color="auto"/>
            </w:tcBorders>
          </w:tcPr>
          <w:p w14:paraId="0CF1E61F" w14:textId="77777777" w:rsidR="00321B78" w:rsidRPr="00CA09F4" w:rsidRDefault="00321B78" w:rsidP="00031031">
            <w:pPr>
              <w:jc w:val="both"/>
              <w:rPr>
                <w:rFonts w:ascii="Times New Roman" w:hAnsi="Times New Roman" w:cs="Times New Roman"/>
                <w:b/>
                <w:bCs/>
                <w:sz w:val="18"/>
                <w:szCs w:val="18"/>
              </w:rPr>
            </w:pPr>
            <w:r w:rsidRPr="00CA09F4">
              <w:rPr>
                <w:rFonts w:ascii="Times New Roman" w:hAnsi="Times New Roman" w:cs="Times New Roman"/>
                <w:b/>
                <w:bCs/>
                <w:sz w:val="18"/>
                <w:szCs w:val="18"/>
              </w:rPr>
              <w:t>Me</w:t>
            </w:r>
          </w:p>
        </w:tc>
        <w:tc>
          <w:tcPr>
            <w:tcW w:w="936" w:type="dxa"/>
            <w:tcBorders>
              <w:top w:val="single" w:sz="18" w:space="0" w:color="auto"/>
              <w:bottom w:val="single" w:sz="18" w:space="0" w:color="auto"/>
            </w:tcBorders>
          </w:tcPr>
          <w:p w14:paraId="3715EAE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b/>
                <w:bCs/>
                <w:sz w:val="18"/>
                <w:szCs w:val="18"/>
              </w:rPr>
              <w:t>Mg</w:t>
            </w:r>
          </w:p>
        </w:tc>
        <w:tc>
          <w:tcPr>
            <w:tcW w:w="936" w:type="dxa"/>
            <w:tcBorders>
              <w:top w:val="single" w:sz="18" w:space="0" w:color="auto"/>
              <w:bottom w:val="single" w:sz="18" w:space="0" w:color="auto"/>
            </w:tcBorders>
          </w:tcPr>
          <w:p w14:paraId="5EE2AB17" w14:textId="77777777" w:rsidR="00321B78" w:rsidRPr="00CA09F4" w:rsidRDefault="00321B78" w:rsidP="00031031">
            <w:pPr>
              <w:jc w:val="both"/>
              <w:rPr>
                <w:rFonts w:ascii="Times New Roman" w:hAnsi="Times New Roman" w:cs="Times New Roman"/>
                <w:b/>
                <w:bCs/>
                <w:sz w:val="18"/>
                <w:szCs w:val="18"/>
              </w:rPr>
            </w:pPr>
            <w:r w:rsidRPr="00CA09F4">
              <w:rPr>
                <w:rFonts w:ascii="Times New Roman" w:hAnsi="Times New Roman" w:cs="Times New Roman"/>
                <w:b/>
                <w:bCs/>
                <w:sz w:val="18"/>
                <w:szCs w:val="18"/>
              </w:rPr>
              <w:t>Mc</w:t>
            </w:r>
          </w:p>
        </w:tc>
        <w:tc>
          <w:tcPr>
            <w:tcW w:w="936" w:type="dxa"/>
            <w:tcBorders>
              <w:top w:val="single" w:sz="18" w:space="0" w:color="auto"/>
              <w:bottom w:val="single" w:sz="18" w:space="0" w:color="auto"/>
            </w:tcBorders>
          </w:tcPr>
          <w:p w14:paraId="38CA6A25" w14:textId="77777777" w:rsidR="00321B78" w:rsidRPr="00CA09F4" w:rsidRDefault="00321B78" w:rsidP="00031031">
            <w:pPr>
              <w:jc w:val="both"/>
              <w:rPr>
                <w:rFonts w:ascii="Times New Roman" w:hAnsi="Times New Roman" w:cs="Times New Roman"/>
                <w:b/>
                <w:bCs/>
                <w:sz w:val="18"/>
                <w:szCs w:val="18"/>
              </w:rPr>
            </w:pPr>
            <w:proofErr w:type="spellStart"/>
            <w:r w:rsidRPr="00CA09F4">
              <w:rPr>
                <w:rFonts w:ascii="Times New Roman" w:hAnsi="Times New Roman" w:cs="Times New Roman"/>
                <w:b/>
                <w:bCs/>
                <w:sz w:val="18"/>
                <w:szCs w:val="18"/>
              </w:rPr>
              <w:t>Mtr_spc</w:t>
            </w:r>
            <w:proofErr w:type="spellEnd"/>
          </w:p>
        </w:tc>
        <w:tc>
          <w:tcPr>
            <w:tcW w:w="1219" w:type="dxa"/>
            <w:tcBorders>
              <w:top w:val="single" w:sz="18" w:space="0" w:color="auto"/>
              <w:bottom w:val="single" w:sz="18" w:space="0" w:color="auto"/>
            </w:tcBorders>
          </w:tcPr>
          <w:p w14:paraId="4856F0A5" w14:textId="77777777" w:rsidR="00321B78" w:rsidRPr="00CA09F4" w:rsidRDefault="00321B78" w:rsidP="00031031">
            <w:pPr>
              <w:jc w:val="both"/>
              <w:rPr>
                <w:rFonts w:ascii="Times New Roman" w:hAnsi="Times New Roman" w:cs="Times New Roman"/>
                <w:b/>
                <w:bCs/>
                <w:sz w:val="18"/>
                <w:szCs w:val="18"/>
              </w:rPr>
            </w:pPr>
            <w:r w:rsidRPr="00CA09F4">
              <w:rPr>
                <w:rFonts w:ascii="Times New Roman" w:hAnsi="Times New Roman" w:cs="Times New Roman"/>
                <w:b/>
                <w:bCs/>
                <w:sz w:val="18"/>
                <w:szCs w:val="18"/>
              </w:rPr>
              <w:t>Mv</w:t>
            </w:r>
          </w:p>
        </w:tc>
      </w:tr>
      <w:tr w:rsidR="00321B78" w:rsidRPr="00CA09F4" w14:paraId="24C93098" w14:textId="77777777" w:rsidTr="00031031">
        <w:tc>
          <w:tcPr>
            <w:tcW w:w="2515" w:type="dxa"/>
            <w:tcBorders>
              <w:top w:val="single" w:sz="18" w:space="0" w:color="auto"/>
            </w:tcBorders>
          </w:tcPr>
          <w:p w14:paraId="19EA00BE"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Stacks catalog</w:t>
            </w:r>
          </w:p>
          <w:p w14:paraId="412B295A"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 xml:space="preserve">     --write_single_snp</w:t>
            </w:r>
          </w:p>
          <w:p w14:paraId="2FDE419B"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 xml:space="preserve">     --R 0.00</w:t>
            </w:r>
          </w:p>
        </w:tc>
        <w:tc>
          <w:tcPr>
            <w:tcW w:w="936" w:type="dxa"/>
            <w:tcBorders>
              <w:top w:val="single" w:sz="18" w:space="0" w:color="auto"/>
            </w:tcBorders>
          </w:tcPr>
          <w:p w14:paraId="7C879DF6"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133,447</w:t>
            </w:r>
          </w:p>
        </w:tc>
        <w:tc>
          <w:tcPr>
            <w:tcW w:w="936" w:type="dxa"/>
            <w:tcBorders>
              <w:top w:val="single" w:sz="18" w:space="0" w:color="auto"/>
            </w:tcBorders>
          </w:tcPr>
          <w:p w14:paraId="79C3F19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89,098</w:t>
            </w:r>
          </w:p>
        </w:tc>
        <w:tc>
          <w:tcPr>
            <w:tcW w:w="936" w:type="dxa"/>
            <w:tcBorders>
              <w:top w:val="single" w:sz="18" w:space="0" w:color="auto"/>
            </w:tcBorders>
          </w:tcPr>
          <w:p w14:paraId="6D17CDD9"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141,052</w:t>
            </w:r>
          </w:p>
        </w:tc>
        <w:tc>
          <w:tcPr>
            <w:tcW w:w="936" w:type="dxa"/>
            <w:tcBorders>
              <w:top w:val="single" w:sz="18" w:space="0" w:color="auto"/>
            </w:tcBorders>
          </w:tcPr>
          <w:p w14:paraId="4540ED40"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149,545</w:t>
            </w:r>
          </w:p>
        </w:tc>
        <w:tc>
          <w:tcPr>
            <w:tcW w:w="936" w:type="dxa"/>
            <w:tcBorders>
              <w:top w:val="single" w:sz="18" w:space="0" w:color="auto"/>
            </w:tcBorders>
          </w:tcPr>
          <w:p w14:paraId="66DA8DFC"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138,123</w:t>
            </w:r>
          </w:p>
        </w:tc>
        <w:tc>
          <w:tcPr>
            <w:tcW w:w="936" w:type="dxa"/>
            <w:tcBorders>
              <w:top w:val="single" w:sz="18" w:space="0" w:color="auto"/>
            </w:tcBorders>
          </w:tcPr>
          <w:p w14:paraId="6985DF4D"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286,612</w:t>
            </w:r>
          </w:p>
        </w:tc>
        <w:tc>
          <w:tcPr>
            <w:tcW w:w="1219" w:type="dxa"/>
            <w:tcBorders>
              <w:top w:val="single" w:sz="18" w:space="0" w:color="auto"/>
            </w:tcBorders>
          </w:tcPr>
          <w:p w14:paraId="4FD4763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67,876</w:t>
            </w:r>
          </w:p>
        </w:tc>
      </w:tr>
      <w:tr w:rsidR="00321B78" w:rsidRPr="00CA09F4" w14:paraId="47968810" w14:textId="77777777" w:rsidTr="00031031">
        <w:tc>
          <w:tcPr>
            <w:tcW w:w="2515" w:type="dxa"/>
            <w:shd w:val="pct10" w:color="auto" w:fill="auto"/>
          </w:tcPr>
          <w:p w14:paraId="555A0BA9"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 xml:space="preserve">Depth = 5, </w:t>
            </w:r>
            <w:proofErr w:type="spellStart"/>
            <w:r w:rsidRPr="00CA09F4">
              <w:rPr>
                <w:rFonts w:ascii="Times New Roman" w:hAnsi="Times New Roman" w:cs="Times New Roman"/>
                <w:sz w:val="18"/>
                <w:szCs w:val="18"/>
              </w:rPr>
              <w:t>qg</w:t>
            </w:r>
            <w:proofErr w:type="spellEnd"/>
            <w:r w:rsidRPr="00CA09F4">
              <w:rPr>
                <w:rFonts w:ascii="Times New Roman" w:hAnsi="Times New Roman" w:cs="Times New Roman"/>
                <w:sz w:val="18"/>
                <w:szCs w:val="18"/>
              </w:rPr>
              <w:t xml:space="preserve"> = 30</w:t>
            </w:r>
          </w:p>
        </w:tc>
        <w:tc>
          <w:tcPr>
            <w:tcW w:w="936" w:type="dxa"/>
            <w:shd w:val="pct10" w:color="auto" w:fill="auto"/>
          </w:tcPr>
          <w:p w14:paraId="7A7E476E"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103,443</w:t>
            </w:r>
          </w:p>
        </w:tc>
        <w:tc>
          <w:tcPr>
            <w:tcW w:w="936" w:type="dxa"/>
            <w:shd w:val="pct10" w:color="auto" w:fill="auto"/>
          </w:tcPr>
          <w:p w14:paraId="59873C86"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71,627</w:t>
            </w:r>
          </w:p>
        </w:tc>
        <w:tc>
          <w:tcPr>
            <w:tcW w:w="936" w:type="dxa"/>
            <w:shd w:val="pct10" w:color="auto" w:fill="auto"/>
          </w:tcPr>
          <w:p w14:paraId="3429BA5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110,522</w:t>
            </w:r>
          </w:p>
        </w:tc>
        <w:tc>
          <w:tcPr>
            <w:tcW w:w="936" w:type="dxa"/>
            <w:shd w:val="pct10" w:color="auto" w:fill="auto"/>
          </w:tcPr>
          <w:p w14:paraId="3FDF923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117,708</w:t>
            </w:r>
          </w:p>
        </w:tc>
        <w:tc>
          <w:tcPr>
            <w:tcW w:w="936" w:type="dxa"/>
            <w:shd w:val="pct10" w:color="auto" w:fill="auto"/>
          </w:tcPr>
          <w:p w14:paraId="7EFA5C84"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109,857</w:t>
            </w:r>
          </w:p>
        </w:tc>
        <w:tc>
          <w:tcPr>
            <w:tcW w:w="936" w:type="dxa"/>
            <w:shd w:val="pct10" w:color="auto" w:fill="auto"/>
          </w:tcPr>
          <w:p w14:paraId="65BC27CA"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216,132</w:t>
            </w:r>
          </w:p>
        </w:tc>
        <w:tc>
          <w:tcPr>
            <w:tcW w:w="1219" w:type="dxa"/>
            <w:shd w:val="pct10" w:color="auto" w:fill="auto"/>
          </w:tcPr>
          <w:p w14:paraId="7E4F69B0"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54,119</w:t>
            </w:r>
          </w:p>
        </w:tc>
      </w:tr>
      <w:tr w:rsidR="00321B78" w:rsidRPr="00CA09F4" w14:paraId="29786FFC" w14:textId="77777777" w:rsidTr="00031031">
        <w:tc>
          <w:tcPr>
            <w:tcW w:w="2515" w:type="dxa"/>
          </w:tcPr>
          <w:p w14:paraId="74EEA2DA"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Allele balance filter</w:t>
            </w:r>
          </w:p>
        </w:tc>
        <w:tc>
          <w:tcPr>
            <w:tcW w:w="936" w:type="dxa"/>
          </w:tcPr>
          <w:p w14:paraId="01EA8B9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98,654</w:t>
            </w:r>
          </w:p>
        </w:tc>
        <w:tc>
          <w:tcPr>
            <w:tcW w:w="936" w:type="dxa"/>
          </w:tcPr>
          <w:p w14:paraId="1DFB012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68,468</w:t>
            </w:r>
          </w:p>
        </w:tc>
        <w:tc>
          <w:tcPr>
            <w:tcW w:w="936" w:type="dxa"/>
          </w:tcPr>
          <w:p w14:paraId="4167ACA1"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105,033</w:t>
            </w:r>
          </w:p>
        </w:tc>
        <w:tc>
          <w:tcPr>
            <w:tcW w:w="936" w:type="dxa"/>
          </w:tcPr>
          <w:p w14:paraId="4156723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113,009</w:t>
            </w:r>
          </w:p>
        </w:tc>
        <w:tc>
          <w:tcPr>
            <w:tcW w:w="936" w:type="dxa"/>
          </w:tcPr>
          <w:p w14:paraId="2C682D4D"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103,558</w:t>
            </w:r>
          </w:p>
        </w:tc>
        <w:tc>
          <w:tcPr>
            <w:tcW w:w="936" w:type="dxa"/>
          </w:tcPr>
          <w:p w14:paraId="339EB8D7"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205,163</w:t>
            </w:r>
          </w:p>
        </w:tc>
        <w:tc>
          <w:tcPr>
            <w:tcW w:w="1219" w:type="dxa"/>
          </w:tcPr>
          <w:p w14:paraId="6B25F016"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50,963</w:t>
            </w:r>
          </w:p>
        </w:tc>
      </w:tr>
      <w:tr w:rsidR="00321B78" w:rsidRPr="00CA09F4" w14:paraId="40637799" w14:textId="77777777" w:rsidTr="00031031">
        <w:tc>
          <w:tcPr>
            <w:tcW w:w="2515" w:type="dxa"/>
            <w:shd w:val="pct10" w:color="auto" w:fill="auto"/>
          </w:tcPr>
          <w:p w14:paraId="0C6CD0EB"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Max depth = 100</w:t>
            </w:r>
          </w:p>
        </w:tc>
        <w:tc>
          <w:tcPr>
            <w:tcW w:w="936" w:type="dxa"/>
            <w:shd w:val="pct10" w:color="auto" w:fill="auto"/>
          </w:tcPr>
          <w:p w14:paraId="45978DF4"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92,874</w:t>
            </w:r>
          </w:p>
        </w:tc>
        <w:tc>
          <w:tcPr>
            <w:tcW w:w="936" w:type="dxa"/>
            <w:shd w:val="pct10" w:color="auto" w:fill="auto"/>
          </w:tcPr>
          <w:p w14:paraId="622DA786"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64,899</w:t>
            </w:r>
          </w:p>
        </w:tc>
        <w:tc>
          <w:tcPr>
            <w:tcW w:w="936" w:type="dxa"/>
            <w:shd w:val="pct10" w:color="auto" w:fill="auto"/>
          </w:tcPr>
          <w:p w14:paraId="0C80B060"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101,994</w:t>
            </w:r>
          </w:p>
        </w:tc>
        <w:tc>
          <w:tcPr>
            <w:tcW w:w="936" w:type="dxa"/>
            <w:shd w:val="pct10" w:color="auto" w:fill="auto"/>
          </w:tcPr>
          <w:p w14:paraId="3FFB0D8B"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105,567</w:t>
            </w:r>
          </w:p>
        </w:tc>
        <w:tc>
          <w:tcPr>
            <w:tcW w:w="936" w:type="dxa"/>
            <w:shd w:val="pct10" w:color="auto" w:fill="auto"/>
          </w:tcPr>
          <w:p w14:paraId="1D436FF4"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99,878</w:t>
            </w:r>
          </w:p>
        </w:tc>
        <w:tc>
          <w:tcPr>
            <w:tcW w:w="936" w:type="dxa"/>
            <w:shd w:val="pct10" w:color="auto" w:fill="auto"/>
          </w:tcPr>
          <w:p w14:paraId="3F2AB10B"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201,594</w:t>
            </w:r>
          </w:p>
        </w:tc>
        <w:tc>
          <w:tcPr>
            <w:tcW w:w="1219" w:type="dxa"/>
            <w:shd w:val="pct10" w:color="auto" w:fill="auto"/>
          </w:tcPr>
          <w:p w14:paraId="63D6BED2"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46,603</w:t>
            </w:r>
          </w:p>
        </w:tc>
      </w:tr>
      <w:tr w:rsidR="00321B78" w:rsidRPr="00CA09F4" w14:paraId="1B6A026C" w14:textId="77777777" w:rsidTr="00031031">
        <w:tc>
          <w:tcPr>
            <w:tcW w:w="2515" w:type="dxa"/>
          </w:tcPr>
          <w:p w14:paraId="42F00558"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Remove individuals with &gt; 0.9 % of missing data</w:t>
            </w:r>
          </w:p>
          <w:p w14:paraId="0D09D5DE"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Individuals removed</w:t>
            </w:r>
          </w:p>
        </w:tc>
        <w:tc>
          <w:tcPr>
            <w:tcW w:w="936" w:type="dxa"/>
          </w:tcPr>
          <w:p w14:paraId="4D5E5168"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92,874</w:t>
            </w:r>
          </w:p>
          <w:p w14:paraId="3665DF9E" w14:textId="77777777" w:rsidR="00321B78" w:rsidRPr="00CA09F4" w:rsidRDefault="00321B78" w:rsidP="00031031">
            <w:pPr>
              <w:jc w:val="both"/>
              <w:rPr>
                <w:rFonts w:ascii="Times New Roman" w:hAnsi="Times New Roman" w:cs="Times New Roman"/>
                <w:sz w:val="18"/>
                <w:szCs w:val="18"/>
              </w:rPr>
            </w:pPr>
          </w:p>
          <w:p w14:paraId="7D408C42"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w:t>
            </w:r>
          </w:p>
        </w:tc>
        <w:tc>
          <w:tcPr>
            <w:tcW w:w="936" w:type="dxa"/>
          </w:tcPr>
          <w:p w14:paraId="3051B457"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64,433</w:t>
            </w:r>
          </w:p>
          <w:p w14:paraId="49804AE4" w14:textId="77777777" w:rsidR="00321B78" w:rsidRPr="00CA09F4" w:rsidRDefault="00321B78" w:rsidP="00031031">
            <w:pPr>
              <w:jc w:val="both"/>
              <w:rPr>
                <w:rFonts w:ascii="Times New Roman" w:hAnsi="Times New Roman" w:cs="Times New Roman"/>
                <w:sz w:val="18"/>
                <w:szCs w:val="18"/>
              </w:rPr>
            </w:pPr>
          </w:p>
          <w:p w14:paraId="59C5EC23"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3</w:t>
            </w:r>
          </w:p>
        </w:tc>
        <w:tc>
          <w:tcPr>
            <w:tcW w:w="936" w:type="dxa"/>
          </w:tcPr>
          <w:p w14:paraId="1900D65B"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101,376</w:t>
            </w:r>
          </w:p>
          <w:p w14:paraId="502C1A27" w14:textId="77777777" w:rsidR="00321B78" w:rsidRPr="00CA09F4" w:rsidRDefault="00321B78" w:rsidP="00031031">
            <w:pPr>
              <w:jc w:val="both"/>
              <w:rPr>
                <w:rFonts w:ascii="Times New Roman" w:hAnsi="Times New Roman" w:cs="Times New Roman"/>
                <w:sz w:val="18"/>
                <w:szCs w:val="18"/>
              </w:rPr>
            </w:pPr>
          </w:p>
          <w:p w14:paraId="46F433BE"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3</w:t>
            </w:r>
          </w:p>
        </w:tc>
        <w:tc>
          <w:tcPr>
            <w:tcW w:w="936" w:type="dxa"/>
          </w:tcPr>
          <w:p w14:paraId="2171D73E"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99,012</w:t>
            </w:r>
          </w:p>
          <w:p w14:paraId="275B297C" w14:textId="77777777" w:rsidR="00321B78" w:rsidRPr="00CA09F4" w:rsidRDefault="00321B78" w:rsidP="00031031">
            <w:pPr>
              <w:jc w:val="both"/>
              <w:rPr>
                <w:rFonts w:ascii="Times New Roman" w:hAnsi="Times New Roman" w:cs="Times New Roman"/>
                <w:sz w:val="18"/>
                <w:szCs w:val="18"/>
              </w:rPr>
            </w:pPr>
          </w:p>
          <w:p w14:paraId="6F534A38"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1</w:t>
            </w:r>
          </w:p>
        </w:tc>
        <w:tc>
          <w:tcPr>
            <w:tcW w:w="936" w:type="dxa"/>
          </w:tcPr>
          <w:p w14:paraId="69532DD1"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98,535</w:t>
            </w:r>
          </w:p>
          <w:p w14:paraId="3711A549" w14:textId="77777777" w:rsidR="00321B78" w:rsidRPr="00CA09F4" w:rsidRDefault="00321B78" w:rsidP="00031031">
            <w:pPr>
              <w:jc w:val="both"/>
              <w:rPr>
                <w:rFonts w:ascii="Times New Roman" w:hAnsi="Times New Roman" w:cs="Times New Roman"/>
                <w:color w:val="000000" w:themeColor="text1"/>
                <w:sz w:val="18"/>
                <w:szCs w:val="18"/>
              </w:rPr>
            </w:pPr>
          </w:p>
          <w:p w14:paraId="3AFEACC0"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2</w:t>
            </w:r>
          </w:p>
        </w:tc>
        <w:tc>
          <w:tcPr>
            <w:tcW w:w="936" w:type="dxa"/>
          </w:tcPr>
          <w:p w14:paraId="57360350"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197,942</w:t>
            </w:r>
          </w:p>
        </w:tc>
        <w:tc>
          <w:tcPr>
            <w:tcW w:w="1219" w:type="dxa"/>
          </w:tcPr>
          <w:p w14:paraId="4E29EB6E"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46,603</w:t>
            </w:r>
          </w:p>
          <w:p w14:paraId="3939ACDC" w14:textId="77777777" w:rsidR="00321B78" w:rsidRPr="00CA09F4" w:rsidRDefault="00321B78" w:rsidP="00031031">
            <w:pPr>
              <w:jc w:val="both"/>
              <w:rPr>
                <w:rFonts w:ascii="Times New Roman" w:hAnsi="Times New Roman" w:cs="Times New Roman"/>
                <w:color w:val="000000" w:themeColor="text1"/>
                <w:sz w:val="18"/>
                <w:szCs w:val="18"/>
              </w:rPr>
            </w:pPr>
          </w:p>
          <w:p w14:paraId="74A93BDA" w14:textId="77777777" w:rsidR="00321B78" w:rsidRPr="00CA09F4" w:rsidRDefault="00321B78" w:rsidP="00031031">
            <w:pPr>
              <w:jc w:val="both"/>
              <w:rPr>
                <w:rFonts w:ascii="Times New Roman" w:hAnsi="Times New Roman" w:cs="Times New Roman"/>
                <w:color w:val="000000" w:themeColor="text1"/>
                <w:sz w:val="18"/>
                <w:szCs w:val="18"/>
              </w:rPr>
            </w:pPr>
            <w:r w:rsidRPr="00CA09F4">
              <w:rPr>
                <w:rFonts w:ascii="Times New Roman" w:hAnsi="Times New Roman" w:cs="Times New Roman"/>
                <w:color w:val="000000" w:themeColor="text1"/>
                <w:sz w:val="18"/>
                <w:szCs w:val="18"/>
              </w:rPr>
              <w:t>0</w:t>
            </w:r>
          </w:p>
        </w:tc>
      </w:tr>
      <w:tr w:rsidR="00321B78" w:rsidRPr="00CA09F4" w14:paraId="7E6B2616" w14:textId="77777777" w:rsidTr="00031031">
        <w:tc>
          <w:tcPr>
            <w:tcW w:w="2515" w:type="dxa"/>
            <w:shd w:val="pct10" w:color="auto" w:fill="auto"/>
          </w:tcPr>
          <w:p w14:paraId="4CEBB62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SNP completeness &gt; 0.9 %</w:t>
            </w:r>
          </w:p>
        </w:tc>
        <w:tc>
          <w:tcPr>
            <w:tcW w:w="936" w:type="dxa"/>
            <w:shd w:val="pct10" w:color="auto" w:fill="auto"/>
          </w:tcPr>
          <w:p w14:paraId="09B917D2"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5,259</w:t>
            </w:r>
          </w:p>
        </w:tc>
        <w:tc>
          <w:tcPr>
            <w:tcW w:w="936" w:type="dxa"/>
            <w:shd w:val="pct10" w:color="auto" w:fill="auto"/>
          </w:tcPr>
          <w:p w14:paraId="1CD3989A"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7,596</w:t>
            </w:r>
          </w:p>
        </w:tc>
        <w:tc>
          <w:tcPr>
            <w:tcW w:w="936" w:type="dxa"/>
            <w:shd w:val="pct10" w:color="auto" w:fill="auto"/>
          </w:tcPr>
          <w:p w14:paraId="7C920018"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9,959</w:t>
            </w:r>
          </w:p>
        </w:tc>
        <w:tc>
          <w:tcPr>
            <w:tcW w:w="936" w:type="dxa"/>
            <w:shd w:val="pct10" w:color="auto" w:fill="auto"/>
          </w:tcPr>
          <w:p w14:paraId="081A82BF"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3,552</w:t>
            </w:r>
          </w:p>
        </w:tc>
        <w:tc>
          <w:tcPr>
            <w:tcW w:w="936" w:type="dxa"/>
            <w:shd w:val="pct10" w:color="auto" w:fill="auto"/>
          </w:tcPr>
          <w:p w14:paraId="7C168DC2"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3,376</w:t>
            </w:r>
          </w:p>
        </w:tc>
        <w:tc>
          <w:tcPr>
            <w:tcW w:w="936" w:type="dxa"/>
            <w:shd w:val="pct10" w:color="auto" w:fill="auto"/>
          </w:tcPr>
          <w:p w14:paraId="08494A69"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9,533</w:t>
            </w:r>
          </w:p>
        </w:tc>
        <w:tc>
          <w:tcPr>
            <w:tcW w:w="1219" w:type="dxa"/>
            <w:shd w:val="pct10" w:color="auto" w:fill="auto"/>
          </w:tcPr>
          <w:p w14:paraId="7EB8463A"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7,776</w:t>
            </w:r>
          </w:p>
        </w:tc>
      </w:tr>
      <w:tr w:rsidR="00321B78" w:rsidRPr="00CA09F4" w14:paraId="1B82F1AA" w14:textId="77777777" w:rsidTr="00321B78">
        <w:tc>
          <w:tcPr>
            <w:tcW w:w="2515" w:type="dxa"/>
          </w:tcPr>
          <w:p w14:paraId="6FA1267B"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MAF 0.01</w:t>
            </w:r>
          </w:p>
        </w:tc>
        <w:tc>
          <w:tcPr>
            <w:tcW w:w="936" w:type="dxa"/>
          </w:tcPr>
          <w:p w14:paraId="144E2CB4"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5,258</w:t>
            </w:r>
          </w:p>
        </w:tc>
        <w:tc>
          <w:tcPr>
            <w:tcW w:w="936" w:type="dxa"/>
          </w:tcPr>
          <w:p w14:paraId="1615BE26"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7,596</w:t>
            </w:r>
          </w:p>
        </w:tc>
        <w:tc>
          <w:tcPr>
            <w:tcW w:w="936" w:type="dxa"/>
          </w:tcPr>
          <w:p w14:paraId="5B2C7997"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9,959</w:t>
            </w:r>
          </w:p>
        </w:tc>
        <w:tc>
          <w:tcPr>
            <w:tcW w:w="936" w:type="dxa"/>
          </w:tcPr>
          <w:p w14:paraId="54418220"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3,552</w:t>
            </w:r>
          </w:p>
        </w:tc>
        <w:tc>
          <w:tcPr>
            <w:tcW w:w="936" w:type="dxa"/>
          </w:tcPr>
          <w:p w14:paraId="7029F18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3,376</w:t>
            </w:r>
          </w:p>
        </w:tc>
        <w:tc>
          <w:tcPr>
            <w:tcW w:w="936" w:type="dxa"/>
          </w:tcPr>
          <w:p w14:paraId="14236ABD"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4,608</w:t>
            </w:r>
          </w:p>
        </w:tc>
        <w:tc>
          <w:tcPr>
            <w:tcW w:w="1219" w:type="dxa"/>
          </w:tcPr>
          <w:p w14:paraId="2DC28C09"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7,776</w:t>
            </w:r>
          </w:p>
        </w:tc>
      </w:tr>
      <w:tr w:rsidR="00321B78" w:rsidRPr="00CA09F4" w14:paraId="261E1D40" w14:textId="77777777" w:rsidTr="00321B78">
        <w:tc>
          <w:tcPr>
            <w:tcW w:w="2515" w:type="dxa"/>
            <w:tcBorders>
              <w:bottom w:val="single" w:sz="18" w:space="0" w:color="auto"/>
            </w:tcBorders>
            <w:shd w:val="pct10" w:color="auto" w:fill="auto"/>
          </w:tcPr>
          <w:p w14:paraId="097DC9AC"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i/>
                <w:iCs/>
                <w:sz w:val="18"/>
                <w:szCs w:val="18"/>
              </w:rPr>
              <w:t>H</w:t>
            </w:r>
            <w:r w:rsidRPr="00CA09F4">
              <w:rPr>
                <w:rFonts w:ascii="Times New Roman" w:hAnsi="Times New Roman" w:cs="Times New Roman"/>
                <w:i/>
                <w:iCs/>
                <w:sz w:val="18"/>
                <w:szCs w:val="18"/>
                <w:vertAlign w:val="subscript"/>
              </w:rPr>
              <w:t>O</w:t>
            </w:r>
            <w:r w:rsidRPr="00CA09F4">
              <w:rPr>
                <w:rFonts w:ascii="Times New Roman" w:hAnsi="Times New Roman" w:cs="Times New Roman"/>
                <w:sz w:val="18"/>
                <w:szCs w:val="18"/>
              </w:rPr>
              <w:t xml:space="preserve"> &lt; 0.45</w:t>
            </w:r>
          </w:p>
        </w:tc>
        <w:tc>
          <w:tcPr>
            <w:tcW w:w="936" w:type="dxa"/>
            <w:tcBorders>
              <w:bottom w:val="single" w:sz="18" w:space="0" w:color="auto"/>
            </w:tcBorders>
            <w:shd w:val="pct10" w:color="auto" w:fill="auto"/>
          </w:tcPr>
          <w:p w14:paraId="39AE86D4"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5,220</w:t>
            </w:r>
          </w:p>
        </w:tc>
        <w:tc>
          <w:tcPr>
            <w:tcW w:w="936" w:type="dxa"/>
            <w:tcBorders>
              <w:bottom w:val="single" w:sz="18" w:space="0" w:color="auto"/>
            </w:tcBorders>
            <w:shd w:val="pct10" w:color="auto" w:fill="auto"/>
          </w:tcPr>
          <w:p w14:paraId="7777477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7,393</w:t>
            </w:r>
          </w:p>
        </w:tc>
        <w:tc>
          <w:tcPr>
            <w:tcW w:w="936" w:type="dxa"/>
            <w:tcBorders>
              <w:bottom w:val="single" w:sz="18" w:space="0" w:color="auto"/>
            </w:tcBorders>
            <w:shd w:val="pct10" w:color="auto" w:fill="auto"/>
          </w:tcPr>
          <w:p w14:paraId="35FD488B"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9,888</w:t>
            </w:r>
          </w:p>
        </w:tc>
        <w:tc>
          <w:tcPr>
            <w:tcW w:w="936" w:type="dxa"/>
            <w:tcBorders>
              <w:bottom w:val="single" w:sz="18" w:space="0" w:color="auto"/>
            </w:tcBorders>
            <w:shd w:val="pct10" w:color="auto" w:fill="auto"/>
          </w:tcPr>
          <w:p w14:paraId="50D4CBD8"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3,535</w:t>
            </w:r>
          </w:p>
        </w:tc>
        <w:tc>
          <w:tcPr>
            <w:tcW w:w="936" w:type="dxa"/>
            <w:tcBorders>
              <w:bottom w:val="single" w:sz="18" w:space="0" w:color="auto"/>
            </w:tcBorders>
            <w:shd w:val="pct10" w:color="auto" w:fill="auto"/>
          </w:tcPr>
          <w:p w14:paraId="0E9D0506"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3,358</w:t>
            </w:r>
          </w:p>
        </w:tc>
        <w:tc>
          <w:tcPr>
            <w:tcW w:w="936" w:type="dxa"/>
            <w:tcBorders>
              <w:bottom w:val="single" w:sz="18" w:space="0" w:color="auto"/>
            </w:tcBorders>
            <w:shd w:val="pct10" w:color="auto" w:fill="auto"/>
          </w:tcPr>
          <w:p w14:paraId="38D66BB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4,583</w:t>
            </w:r>
          </w:p>
        </w:tc>
        <w:tc>
          <w:tcPr>
            <w:tcW w:w="1219" w:type="dxa"/>
            <w:tcBorders>
              <w:bottom w:val="single" w:sz="18" w:space="0" w:color="auto"/>
            </w:tcBorders>
            <w:shd w:val="pct10" w:color="auto" w:fill="auto"/>
          </w:tcPr>
          <w:p w14:paraId="14EEBEE5" w14:textId="77777777" w:rsidR="00321B78" w:rsidRPr="00CA09F4" w:rsidRDefault="00321B78" w:rsidP="00031031">
            <w:pPr>
              <w:jc w:val="both"/>
              <w:rPr>
                <w:rFonts w:ascii="Times New Roman" w:hAnsi="Times New Roman" w:cs="Times New Roman"/>
                <w:sz w:val="18"/>
                <w:szCs w:val="18"/>
              </w:rPr>
            </w:pPr>
            <w:r w:rsidRPr="00CA09F4">
              <w:rPr>
                <w:rFonts w:ascii="Times New Roman" w:hAnsi="Times New Roman" w:cs="Times New Roman"/>
                <w:sz w:val="18"/>
                <w:szCs w:val="18"/>
              </w:rPr>
              <w:t>7,544</w:t>
            </w:r>
          </w:p>
        </w:tc>
      </w:tr>
    </w:tbl>
    <w:p w14:paraId="567B6F18" w14:textId="77777777" w:rsidR="00321B78" w:rsidRDefault="00321B78" w:rsidP="00321B78">
      <w:pPr>
        <w:tabs>
          <w:tab w:val="left" w:pos="1743"/>
        </w:tabs>
        <w:rPr>
          <w:rFonts w:ascii="Times New Roman" w:hAnsi="Times New Roman" w:cs="Times New Roman"/>
        </w:rPr>
      </w:pPr>
    </w:p>
    <w:p w14:paraId="5861C2EF" w14:textId="77777777" w:rsidR="00321B78" w:rsidRPr="008108B8" w:rsidRDefault="00321B78" w:rsidP="00321B78">
      <w:pPr>
        <w:jc w:val="both"/>
        <w:rPr>
          <w:rFonts w:ascii="Times New Roman" w:hAnsi="Times New Roman" w:cs="Times New Roman"/>
          <w:color w:val="000000" w:themeColor="text1"/>
          <w:sz w:val="24"/>
          <w:szCs w:val="24"/>
        </w:rPr>
      </w:pPr>
      <w:r w:rsidRPr="008108B8">
        <w:rPr>
          <w:rFonts w:ascii="Times New Roman" w:hAnsi="Times New Roman" w:cs="Times New Roman"/>
          <w:color w:val="000000" w:themeColor="text1"/>
          <w:sz w:val="24"/>
          <w:szCs w:val="24"/>
        </w:rPr>
        <w:t>We also assembled SNP matrices for species that were collected only in one location, including several individuals (</w:t>
      </w:r>
      <w:r w:rsidRPr="008108B8">
        <w:rPr>
          <w:rFonts w:ascii="Times New Roman" w:hAnsi="Times New Roman" w:cs="Times New Roman"/>
          <w:i/>
          <w:iCs/>
          <w:color w:val="000000" w:themeColor="text1"/>
          <w:sz w:val="24"/>
          <w:szCs w:val="24"/>
        </w:rPr>
        <w:t>M. costaricanus</w:t>
      </w:r>
      <w:r w:rsidRPr="008108B8">
        <w:rPr>
          <w:rFonts w:ascii="Times New Roman" w:hAnsi="Times New Roman" w:cs="Times New Roman"/>
          <w:color w:val="000000" w:themeColor="text1"/>
          <w:sz w:val="24"/>
          <w:szCs w:val="24"/>
        </w:rPr>
        <w:t xml:space="preserve">, </w:t>
      </w:r>
      <w:r w:rsidRPr="008108B8">
        <w:rPr>
          <w:rFonts w:ascii="Times New Roman" w:hAnsi="Times New Roman" w:cs="Times New Roman"/>
          <w:i/>
          <w:iCs/>
          <w:color w:val="000000" w:themeColor="text1"/>
          <w:sz w:val="24"/>
          <w:szCs w:val="24"/>
        </w:rPr>
        <w:t>M. gigas</w:t>
      </w:r>
      <w:r w:rsidRPr="008108B8">
        <w:rPr>
          <w:rFonts w:ascii="Times New Roman" w:hAnsi="Times New Roman" w:cs="Times New Roman"/>
          <w:color w:val="000000" w:themeColor="text1"/>
          <w:sz w:val="24"/>
          <w:szCs w:val="24"/>
        </w:rPr>
        <w:t xml:space="preserve">, </w:t>
      </w:r>
      <w:r w:rsidRPr="008108B8">
        <w:rPr>
          <w:rFonts w:ascii="Times New Roman" w:hAnsi="Times New Roman" w:cs="Times New Roman"/>
          <w:i/>
          <w:iCs/>
          <w:color w:val="000000" w:themeColor="text1"/>
          <w:sz w:val="24"/>
          <w:szCs w:val="24"/>
        </w:rPr>
        <w:t>M. margaritae</w:t>
      </w:r>
      <w:r w:rsidRPr="008108B8">
        <w:rPr>
          <w:rFonts w:ascii="Times New Roman" w:hAnsi="Times New Roman" w:cs="Times New Roman"/>
          <w:color w:val="000000" w:themeColor="text1"/>
          <w:sz w:val="24"/>
          <w:szCs w:val="24"/>
        </w:rPr>
        <w:t xml:space="preserve">, and </w:t>
      </w:r>
      <w:r w:rsidRPr="008108B8">
        <w:rPr>
          <w:rFonts w:ascii="Times New Roman" w:hAnsi="Times New Roman" w:cs="Times New Roman"/>
          <w:i/>
          <w:iCs/>
          <w:color w:val="000000" w:themeColor="text1"/>
          <w:sz w:val="24"/>
          <w:szCs w:val="24"/>
        </w:rPr>
        <w:t>M. zonogaster</w:t>
      </w:r>
      <w:r w:rsidRPr="008108B8">
        <w:rPr>
          <w:rFonts w:ascii="Times New Roman" w:hAnsi="Times New Roman" w:cs="Times New Roman"/>
          <w:color w:val="000000" w:themeColor="text1"/>
          <w:sz w:val="24"/>
          <w:szCs w:val="24"/>
        </w:rPr>
        <w:t xml:space="preserve">). For these species, the SNP completeness filter was more relaxed (65% in </w:t>
      </w:r>
      <w:r w:rsidRPr="008108B8">
        <w:rPr>
          <w:rFonts w:ascii="Times New Roman" w:hAnsi="Times New Roman" w:cs="Times New Roman"/>
          <w:i/>
          <w:iCs/>
          <w:color w:val="000000" w:themeColor="text1"/>
          <w:sz w:val="24"/>
          <w:szCs w:val="24"/>
        </w:rPr>
        <w:t>M. gigas</w:t>
      </w:r>
      <w:r w:rsidRPr="008108B8">
        <w:rPr>
          <w:rFonts w:ascii="Times New Roman" w:hAnsi="Times New Roman" w:cs="Times New Roman"/>
          <w:color w:val="000000" w:themeColor="text1"/>
          <w:sz w:val="24"/>
          <w:szCs w:val="24"/>
        </w:rPr>
        <w:t>). Final SNP matrices varied between 3,000 and 40,000 SNPs.</w:t>
      </w:r>
    </w:p>
    <w:p w14:paraId="39803526" w14:textId="77777777" w:rsidR="00321B78" w:rsidRDefault="00321B78" w:rsidP="00321B78">
      <w:pPr>
        <w:tabs>
          <w:tab w:val="left" w:pos="1743"/>
        </w:tabs>
        <w:rPr>
          <w:rFonts w:ascii="Times New Roman" w:hAnsi="Times New Roman" w:cs="Times New Roman"/>
        </w:rPr>
      </w:pPr>
    </w:p>
    <w:p w14:paraId="0683C2FB" w14:textId="77777777" w:rsidR="00321B78" w:rsidRDefault="00321B78" w:rsidP="00321B78">
      <w:pPr>
        <w:tabs>
          <w:tab w:val="left" w:pos="1743"/>
        </w:tabs>
        <w:rPr>
          <w:rFonts w:ascii="Times New Roman" w:hAnsi="Times New Roman" w:cs="Times New Roman"/>
        </w:rPr>
      </w:pPr>
    </w:p>
    <w:p w14:paraId="136A3D18" w14:textId="77777777" w:rsidR="00321B78" w:rsidRDefault="00321B78" w:rsidP="00321B78">
      <w:pPr>
        <w:tabs>
          <w:tab w:val="left" w:pos="1743"/>
        </w:tabs>
        <w:rPr>
          <w:rFonts w:ascii="Times New Roman" w:hAnsi="Times New Roman" w:cs="Times New Roman"/>
        </w:rPr>
      </w:pPr>
    </w:p>
    <w:p w14:paraId="07DBD84D" w14:textId="77777777" w:rsidR="00321B78" w:rsidRDefault="00321B78" w:rsidP="00321B78">
      <w:pPr>
        <w:tabs>
          <w:tab w:val="left" w:pos="1743"/>
        </w:tabs>
        <w:rPr>
          <w:rFonts w:ascii="Times New Roman" w:hAnsi="Times New Roman" w:cs="Times New Roman"/>
        </w:rPr>
      </w:pPr>
    </w:p>
    <w:p w14:paraId="1805AF88" w14:textId="77777777" w:rsidR="00321B78" w:rsidRDefault="00321B78" w:rsidP="00321B78">
      <w:pPr>
        <w:tabs>
          <w:tab w:val="left" w:pos="1743"/>
        </w:tabs>
        <w:rPr>
          <w:rFonts w:ascii="Times New Roman" w:hAnsi="Times New Roman" w:cs="Times New Roman"/>
        </w:rPr>
      </w:pPr>
    </w:p>
    <w:p w14:paraId="2D2BB8AB" w14:textId="77777777" w:rsidR="00321B78" w:rsidRDefault="00321B78" w:rsidP="00321B78">
      <w:pPr>
        <w:tabs>
          <w:tab w:val="left" w:pos="1743"/>
        </w:tabs>
        <w:rPr>
          <w:rFonts w:ascii="Times New Roman" w:hAnsi="Times New Roman" w:cs="Times New Roman"/>
        </w:rPr>
      </w:pPr>
    </w:p>
    <w:p w14:paraId="01583DCF" w14:textId="77777777" w:rsidR="00321B78" w:rsidRDefault="00321B78" w:rsidP="00321B78">
      <w:pPr>
        <w:tabs>
          <w:tab w:val="left" w:pos="1743"/>
        </w:tabs>
        <w:rPr>
          <w:rFonts w:ascii="Times New Roman" w:hAnsi="Times New Roman" w:cs="Times New Roman"/>
        </w:rPr>
      </w:pPr>
      <w:r w:rsidRPr="00200D7C">
        <w:rPr>
          <w:rFonts w:ascii="Times New Roman" w:hAnsi="Times New Roman" w:cs="Times New Roman"/>
          <w:noProof/>
        </w:rPr>
        <w:drawing>
          <wp:anchor distT="0" distB="0" distL="114300" distR="114300" simplePos="0" relativeHeight="251735040" behindDoc="0" locked="0" layoutInCell="1" allowOverlap="1" wp14:anchorId="37DEFA6E" wp14:editId="6A4457A5">
            <wp:simplePos x="0" y="0"/>
            <wp:positionH relativeFrom="column">
              <wp:posOffset>0</wp:posOffset>
            </wp:positionH>
            <wp:positionV relativeFrom="paragraph">
              <wp:posOffset>0</wp:posOffset>
            </wp:positionV>
            <wp:extent cx="5943600" cy="4028440"/>
            <wp:effectExtent l="0" t="0" r="0" b="0"/>
            <wp:wrapNone/>
            <wp:docPr id="1866670618" name="Picture 1"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670618" name="Picture 1" descr="A screenshot of a chart&#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4028440"/>
                    </a:xfrm>
                    <a:prstGeom prst="rect">
                      <a:avLst/>
                    </a:prstGeom>
                  </pic:spPr>
                </pic:pic>
              </a:graphicData>
            </a:graphic>
            <wp14:sizeRelH relativeFrom="page">
              <wp14:pctWidth>0</wp14:pctWidth>
            </wp14:sizeRelH>
            <wp14:sizeRelV relativeFrom="page">
              <wp14:pctHeight>0</wp14:pctHeight>
            </wp14:sizeRelV>
          </wp:anchor>
        </w:drawing>
      </w:r>
    </w:p>
    <w:p w14:paraId="3147DED4" w14:textId="77777777" w:rsidR="00321B78" w:rsidRDefault="00321B78" w:rsidP="00321B78">
      <w:pPr>
        <w:tabs>
          <w:tab w:val="left" w:pos="1743"/>
        </w:tabs>
        <w:rPr>
          <w:rFonts w:ascii="Times New Roman" w:hAnsi="Times New Roman" w:cs="Times New Roman"/>
        </w:rPr>
      </w:pPr>
    </w:p>
    <w:p w14:paraId="2D3C4070" w14:textId="77777777" w:rsidR="00321B78" w:rsidRDefault="00321B78" w:rsidP="00321B78">
      <w:pPr>
        <w:tabs>
          <w:tab w:val="left" w:pos="1743"/>
        </w:tabs>
        <w:rPr>
          <w:rFonts w:ascii="Times New Roman" w:hAnsi="Times New Roman" w:cs="Times New Roman"/>
        </w:rPr>
      </w:pPr>
    </w:p>
    <w:p w14:paraId="7B80CA5C" w14:textId="77777777" w:rsidR="00321B78" w:rsidRDefault="00321B78" w:rsidP="00321B78">
      <w:pPr>
        <w:tabs>
          <w:tab w:val="left" w:pos="1743"/>
        </w:tabs>
        <w:rPr>
          <w:rFonts w:ascii="Times New Roman" w:hAnsi="Times New Roman" w:cs="Times New Roman"/>
        </w:rPr>
      </w:pPr>
    </w:p>
    <w:p w14:paraId="16E0206D" w14:textId="77777777" w:rsidR="00321B78" w:rsidRDefault="00321B78" w:rsidP="00321B78">
      <w:pPr>
        <w:tabs>
          <w:tab w:val="left" w:pos="1743"/>
        </w:tabs>
        <w:rPr>
          <w:rFonts w:ascii="Times New Roman" w:hAnsi="Times New Roman" w:cs="Times New Roman"/>
        </w:rPr>
      </w:pPr>
    </w:p>
    <w:p w14:paraId="2F48AE2B" w14:textId="77777777" w:rsidR="00321B78" w:rsidRDefault="00321B78" w:rsidP="00321B78">
      <w:pPr>
        <w:tabs>
          <w:tab w:val="left" w:pos="1743"/>
        </w:tabs>
        <w:rPr>
          <w:rFonts w:ascii="Times New Roman" w:hAnsi="Times New Roman" w:cs="Times New Roman"/>
        </w:rPr>
      </w:pPr>
    </w:p>
    <w:p w14:paraId="124E86C8" w14:textId="77777777" w:rsidR="00321B78" w:rsidRDefault="00321B78" w:rsidP="00321B78">
      <w:pPr>
        <w:tabs>
          <w:tab w:val="left" w:pos="1743"/>
        </w:tabs>
        <w:rPr>
          <w:rFonts w:ascii="Times New Roman" w:hAnsi="Times New Roman" w:cs="Times New Roman"/>
        </w:rPr>
      </w:pPr>
    </w:p>
    <w:p w14:paraId="6995745B" w14:textId="77777777" w:rsidR="00321B78" w:rsidRDefault="00321B78" w:rsidP="00321B78">
      <w:pPr>
        <w:tabs>
          <w:tab w:val="left" w:pos="1743"/>
        </w:tabs>
        <w:rPr>
          <w:rFonts w:ascii="Times New Roman" w:hAnsi="Times New Roman" w:cs="Times New Roman"/>
        </w:rPr>
      </w:pPr>
    </w:p>
    <w:p w14:paraId="259DAEC3" w14:textId="77777777" w:rsidR="00321B78" w:rsidRPr="00BC3B20" w:rsidRDefault="00321B78" w:rsidP="00321B78">
      <w:pPr>
        <w:rPr>
          <w:rFonts w:ascii="Times New Roman" w:hAnsi="Times New Roman" w:cs="Times New Roman"/>
        </w:rPr>
      </w:pPr>
    </w:p>
    <w:p w14:paraId="2D46314D" w14:textId="77777777" w:rsidR="00321B78" w:rsidRPr="00BC3B20" w:rsidRDefault="00321B78" w:rsidP="00321B78">
      <w:pPr>
        <w:rPr>
          <w:rFonts w:ascii="Times New Roman" w:hAnsi="Times New Roman" w:cs="Times New Roman"/>
        </w:rPr>
      </w:pPr>
    </w:p>
    <w:p w14:paraId="78DE353B" w14:textId="77777777" w:rsidR="00321B78" w:rsidRPr="00BC3B20" w:rsidRDefault="00321B78" w:rsidP="00321B78">
      <w:pPr>
        <w:rPr>
          <w:rFonts w:ascii="Times New Roman" w:hAnsi="Times New Roman" w:cs="Times New Roman"/>
        </w:rPr>
      </w:pPr>
    </w:p>
    <w:p w14:paraId="7FAD059A" w14:textId="77777777" w:rsidR="00321B78" w:rsidRPr="00BC3B20" w:rsidRDefault="00321B78" w:rsidP="00321B78">
      <w:pPr>
        <w:rPr>
          <w:rFonts w:ascii="Times New Roman" w:hAnsi="Times New Roman" w:cs="Times New Roman"/>
        </w:rPr>
      </w:pPr>
    </w:p>
    <w:p w14:paraId="2BBCD7D0" w14:textId="77777777" w:rsidR="00321B78" w:rsidRPr="00BC3B20" w:rsidRDefault="00321B78" w:rsidP="00321B78">
      <w:pPr>
        <w:rPr>
          <w:rFonts w:ascii="Times New Roman" w:hAnsi="Times New Roman" w:cs="Times New Roman"/>
        </w:rPr>
      </w:pPr>
    </w:p>
    <w:p w14:paraId="06B00B93" w14:textId="77777777" w:rsidR="00321B78" w:rsidRPr="00BC3B20" w:rsidRDefault="00321B78" w:rsidP="00321B78">
      <w:pPr>
        <w:rPr>
          <w:rFonts w:ascii="Times New Roman" w:hAnsi="Times New Roman" w:cs="Times New Roman"/>
        </w:rPr>
      </w:pPr>
    </w:p>
    <w:p w14:paraId="2AB8C50B" w14:textId="2D05FA24" w:rsidR="00321B78" w:rsidRPr="00BC3B20" w:rsidRDefault="008108B8" w:rsidP="00321B78">
      <w:pPr>
        <w:rPr>
          <w:rFonts w:ascii="Times New Roman" w:hAnsi="Times New Roman" w:cs="Times New Roman"/>
        </w:rPr>
      </w:pPr>
      <w:r w:rsidRPr="00802863">
        <w:rPr>
          <w:rFonts w:ascii="Helvetica" w:hAnsi="Helvetica"/>
          <w:noProof/>
        </w:rPr>
        <mc:AlternateContent>
          <mc:Choice Requires="wps">
            <w:drawing>
              <wp:anchor distT="0" distB="0" distL="114300" distR="114300" simplePos="0" relativeHeight="251734016" behindDoc="0" locked="0" layoutInCell="1" allowOverlap="1" wp14:anchorId="50F36235" wp14:editId="54EAD6E3">
                <wp:simplePos x="0" y="0"/>
                <wp:positionH relativeFrom="column">
                  <wp:posOffset>0</wp:posOffset>
                </wp:positionH>
                <wp:positionV relativeFrom="paragraph">
                  <wp:posOffset>244244</wp:posOffset>
                </wp:positionV>
                <wp:extent cx="5943600" cy="461010"/>
                <wp:effectExtent l="0" t="0" r="0" b="0"/>
                <wp:wrapNone/>
                <wp:docPr id="2127309196" name="Text Box 2"/>
                <wp:cNvGraphicFramePr/>
                <a:graphic xmlns:a="http://schemas.openxmlformats.org/drawingml/2006/main">
                  <a:graphicData uri="http://schemas.microsoft.com/office/word/2010/wordprocessingShape">
                    <wps:wsp>
                      <wps:cNvSpPr txBox="1"/>
                      <wps:spPr>
                        <a:xfrm>
                          <a:off x="0" y="0"/>
                          <a:ext cx="5943600" cy="461010"/>
                        </a:xfrm>
                        <a:prstGeom prst="rect">
                          <a:avLst/>
                        </a:prstGeom>
                        <a:noFill/>
                        <a:ln w="6350">
                          <a:noFill/>
                        </a:ln>
                      </wps:spPr>
                      <wps:txbx>
                        <w:txbxContent>
                          <w:p w14:paraId="1CDDA362" w14:textId="77777777" w:rsidR="00321B78" w:rsidRDefault="00321B78" w:rsidP="00321B78">
                            <w:pPr>
                              <w:jc w:val="both"/>
                            </w:pPr>
                            <w:bookmarkStart w:id="15" w:name="FigS10"/>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10</w:t>
                            </w:r>
                            <w:bookmarkEnd w:id="15"/>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clustering analyses using A) neutral, B) outlier, and C) neutral and outlier SNPs of </w:t>
                            </w:r>
                            <w:r w:rsidRPr="002C3CFF">
                              <w:rPr>
                                <w:rFonts w:ascii="Times New Roman" w:hAnsi="Times New Roman" w:cs="Times New Roman"/>
                                <w:i/>
                                <w:iCs/>
                                <w:color w:val="000000" w:themeColor="text1"/>
                                <w:sz w:val="20"/>
                                <w:szCs w:val="20"/>
                              </w:rPr>
                              <w:t>M. aurolineatus</w:t>
                            </w:r>
                            <w:r>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36235" id="_x0000_s1049" type="#_x0000_t202" style="position:absolute;margin-left:0;margin-top:19.25pt;width:468pt;height:36.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" filled="f" stroked="f" strokeweight=".5pt">
                <v:textbox>
                  <w:txbxContent>
                    <w:p w14:paraId="1CDDA362" w14:textId="77777777" w:rsidR="00321B78" w:rsidRDefault="00321B78" w:rsidP="00321B78">
                      <w:pPr>
                        <w:jc w:val="both"/>
                      </w:pPr>
                      <w:bookmarkStart w:id="25" w:name="FigS10"/>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10</w:t>
                      </w:r>
                      <w:bookmarkEnd w:id="25"/>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clustering analyses using A) neutral, B) outlier, and C) neutral and outlier SNPs of </w:t>
                      </w:r>
                      <w:r w:rsidRPr="002C3CFF">
                        <w:rPr>
                          <w:rFonts w:ascii="Times New Roman" w:hAnsi="Times New Roman" w:cs="Times New Roman"/>
                          <w:i/>
                          <w:iCs/>
                          <w:color w:val="000000" w:themeColor="text1"/>
                          <w:sz w:val="20"/>
                          <w:szCs w:val="20"/>
                        </w:rPr>
                        <w:t>M. aurolineatus</w:t>
                      </w:r>
                      <w:r>
                        <w:rPr>
                          <w:rFonts w:ascii="Times New Roman" w:hAnsi="Times New Roman" w:cs="Times New Roman"/>
                          <w:color w:val="000000" w:themeColor="text1"/>
                          <w:sz w:val="20"/>
                          <w:szCs w:val="20"/>
                        </w:rPr>
                        <w:t>.</w:t>
                      </w:r>
                    </w:p>
                  </w:txbxContent>
                </v:textbox>
              </v:shape>
            </w:pict>
          </mc:Fallback>
        </mc:AlternateContent>
      </w:r>
    </w:p>
    <w:p w14:paraId="239EACD9" w14:textId="4C45CE3E" w:rsidR="00321B78" w:rsidRPr="00BC3B20" w:rsidRDefault="00321B78" w:rsidP="00321B78">
      <w:pPr>
        <w:rPr>
          <w:rFonts w:ascii="Times New Roman" w:hAnsi="Times New Roman" w:cs="Times New Roman"/>
        </w:rPr>
      </w:pPr>
    </w:p>
    <w:p w14:paraId="16C1CB75" w14:textId="77777777" w:rsidR="00321B78" w:rsidRDefault="00321B78" w:rsidP="00321B78">
      <w:pPr>
        <w:rPr>
          <w:rFonts w:ascii="Times New Roman" w:hAnsi="Times New Roman" w:cs="Times New Roman"/>
        </w:rPr>
      </w:pPr>
    </w:p>
    <w:p w14:paraId="5AF99E32" w14:textId="6DB67D0F" w:rsidR="00321B78" w:rsidRPr="008108B8" w:rsidRDefault="00321B78" w:rsidP="00321B78">
      <w:pPr>
        <w:jc w:val="both"/>
        <w:rPr>
          <w:rFonts w:ascii="Times New Roman" w:hAnsi="Times New Roman" w:cs="Times New Roman"/>
          <w:b/>
          <w:bCs/>
          <w:color w:val="000000" w:themeColor="text1"/>
          <w:sz w:val="24"/>
          <w:szCs w:val="24"/>
        </w:rPr>
      </w:pPr>
      <w:r w:rsidRPr="008108B8">
        <w:rPr>
          <w:rFonts w:ascii="Times New Roman" w:hAnsi="Times New Roman" w:cs="Times New Roman"/>
          <w:b/>
          <w:bCs/>
          <w:color w:val="000000" w:themeColor="text1"/>
          <w:sz w:val="24"/>
          <w:szCs w:val="24"/>
        </w:rPr>
        <w:t>Locus assembly at macroevolutionary scales</w:t>
      </w:r>
    </w:p>
    <w:p w14:paraId="114930D9" w14:textId="0CE8A343" w:rsidR="00321B78" w:rsidRPr="008108B8" w:rsidRDefault="00321B78" w:rsidP="00321B78">
      <w:pPr>
        <w:jc w:val="both"/>
        <w:rPr>
          <w:rFonts w:ascii="Times New Roman" w:hAnsi="Times New Roman" w:cs="Times New Roman"/>
          <w:color w:val="000000" w:themeColor="text1"/>
          <w:sz w:val="24"/>
          <w:szCs w:val="24"/>
        </w:rPr>
      </w:pPr>
      <w:r w:rsidRPr="008108B8">
        <w:rPr>
          <w:rFonts w:ascii="Times New Roman" w:hAnsi="Times New Roman" w:cs="Times New Roman"/>
          <w:color w:val="000000" w:themeColor="text1"/>
          <w:sz w:val="24"/>
          <w:szCs w:val="24"/>
        </w:rPr>
        <w:t>At the macroevolutionary scale, we used three different approaches to assemble putative loci:</w:t>
      </w:r>
    </w:p>
    <w:p w14:paraId="1BEAAE4E" w14:textId="7FFF93AD" w:rsidR="00321B78" w:rsidRPr="008108B8" w:rsidRDefault="00321B78" w:rsidP="008108B8">
      <w:pPr>
        <w:jc w:val="both"/>
        <w:rPr>
          <w:rFonts w:ascii="Times New Roman" w:hAnsi="Times New Roman" w:cs="Times New Roman"/>
          <w:color w:val="000000" w:themeColor="text1"/>
          <w:sz w:val="24"/>
          <w:szCs w:val="24"/>
        </w:rPr>
      </w:pPr>
      <w:r w:rsidRPr="008108B8">
        <w:rPr>
          <w:rFonts w:ascii="Times New Roman" w:hAnsi="Times New Roman" w:cs="Times New Roman"/>
          <w:b/>
          <w:bCs/>
          <w:i/>
          <w:iCs/>
          <w:color w:val="000000" w:themeColor="text1"/>
          <w:sz w:val="24"/>
          <w:szCs w:val="24"/>
        </w:rPr>
        <w:t>1) De novo</w:t>
      </w:r>
      <w:r w:rsidRPr="008108B8">
        <w:rPr>
          <w:rFonts w:ascii="Times New Roman" w:hAnsi="Times New Roman" w:cs="Times New Roman"/>
          <w:b/>
          <w:bCs/>
          <w:color w:val="000000" w:themeColor="text1"/>
          <w:sz w:val="24"/>
          <w:szCs w:val="24"/>
        </w:rPr>
        <w:t xml:space="preserve"> assembly optimization:</w:t>
      </w:r>
      <w:r w:rsidRPr="008108B8">
        <w:rPr>
          <w:rFonts w:ascii="Times New Roman" w:hAnsi="Times New Roman" w:cs="Times New Roman"/>
          <w:color w:val="000000" w:themeColor="text1"/>
          <w:sz w:val="24"/>
          <w:szCs w:val="24"/>
        </w:rPr>
        <w:t xml:space="preserve"> We used 41 individuals representing the two most divergent individuals (whenever possible) from each of the 23 species of </w:t>
      </w:r>
      <w:r w:rsidRPr="008108B8">
        <w:rPr>
          <w:rFonts w:ascii="Times New Roman" w:hAnsi="Times New Roman" w:cs="Times New Roman"/>
          <w:i/>
          <w:iCs/>
          <w:color w:val="000000" w:themeColor="text1"/>
          <w:sz w:val="24"/>
          <w:szCs w:val="24"/>
        </w:rPr>
        <w:t xml:space="preserve">Malacoctenus </w:t>
      </w:r>
      <w:r w:rsidRPr="008108B8">
        <w:rPr>
          <w:rFonts w:ascii="Times New Roman" w:hAnsi="Times New Roman" w:cs="Times New Roman"/>
          <w:color w:val="000000" w:themeColor="text1"/>
          <w:sz w:val="24"/>
          <w:szCs w:val="24"/>
        </w:rPr>
        <w:t xml:space="preserve">along with the single </w:t>
      </w:r>
      <w:r w:rsidR="00A031EE">
        <w:rPr>
          <w:rFonts w:ascii="Times New Roman" w:hAnsi="Times New Roman" w:cs="Times New Roman"/>
          <w:i/>
          <w:iCs/>
          <w:color w:val="000000" w:themeColor="text1"/>
          <w:sz w:val="24"/>
          <w:szCs w:val="24"/>
        </w:rPr>
        <w:t>Brockius</w:t>
      </w:r>
      <w:r w:rsidRPr="008108B8">
        <w:rPr>
          <w:rFonts w:ascii="Times New Roman" w:hAnsi="Times New Roman" w:cs="Times New Roman"/>
          <w:i/>
          <w:iCs/>
          <w:color w:val="000000" w:themeColor="text1"/>
          <w:sz w:val="24"/>
          <w:szCs w:val="24"/>
        </w:rPr>
        <w:t xml:space="preserve"> striatus </w:t>
      </w:r>
      <w:r w:rsidRPr="008108B8">
        <w:rPr>
          <w:rFonts w:ascii="Times New Roman" w:hAnsi="Times New Roman" w:cs="Times New Roman"/>
          <w:color w:val="000000" w:themeColor="text1"/>
          <w:sz w:val="24"/>
          <w:szCs w:val="24"/>
        </w:rPr>
        <w:t xml:space="preserve">individual sequenced, which had the highest coverage values after the initial </w:t>
      </w:r>
      <w:r w:rsidRPr="008108B8">
        <w:rPr>
          <w:rFonts w:ascii="Times New Roman" w:hAnsi="Times New Roman" w:cs="Times New Roman"/>
          <w:i/>
          <w:iCs/>
          <w:color w:val="000000" w:themeColor="text1"/>
          <w:sz w:val="24"/>
          <w:szCs w:val="24"/>
        </w:rPr>
        <w:t>de novo</w:t>
      </w:r>
      <w:r w:rsidRPr="008108B8">
        <w:rPr>
          <w:rFonts w:ascii="Times New Roman" w:hAnsi="Times New Roman" w:cs="Times New Roman"/>
          <w:color w:val="000000" w:themeColor="text1"/>
          <w:sz w:val="24"/>
          <w:szCs w:val="24"/>
        </w:rPr>
        <w:t xml:space="preserve"> exploratory run conducted during the quality control steps. With this dataset, comprising 24 species, we assembled the data </w:t>
      </w:r>
      <w:r w:rsidRPr="008108B8">
        <w:rPr>
          <w:rFonts w:ascii="Times New Roman" w:hAnsi="Times New Roman" w:cs="Times New Roman"/>
          <w:i/>
          <w:iCs/>
          <w:color w:val="000000" w:themeColor="text1"/>
          <w:sz w:val="24"/>
          <w:szCs w:val="24"/>
        </w:rPr>
        <w:t xml:space="preserve">de novo </w:t>
      </w:r>
      <w:r w:rsidRPr="008108B8">
        <w:rPr>
          <w:rFonts w:ascii="Times New Roman" w:hAnsi="Times New Roman" w:cs="Times New Roman"/>
          <w:color w:val="000000" w:themeColor="text1"/>
          <w:sz w:val="24"/>
          <w:szCs w:val="24"/>
        </w:rPr>
        <w:t xml:space="preserve">using the optimal parameter combination (m3M5n6) selected for microevolutionary analyses. Additionally, we tried a combination where we relaxed the </w:t>
      </w:r>
      <w:r w:rsidRPr="008108B8">
        <w:rPr>
          <w:rFonts w:ascii="Times New Roman" w:hAnsi="Times New Roman" w:cs="Times New Roman"/>
          <w:i/>
          <w:iCs/>
          <w:color w:val="000000" w:themeColor="text1"/>
          <w:sz w:val="24"/>
          <w:szCs w:val="24"/>
        </w:rPr>
        <w:t>n</w:t>
      </w:r>
      <w:r w:rsidRPr="008108B8">
        <w:rPr>
          <w:rFonts w:ascii="Times New Roman" w:hAnsi="Times New Roman" w:cs="Times New Roman"/>
          <w:color w:val="000000" w:themeColor="text1"/>
          <w:sz w:val="24"/>
          <w:szCs w:val="24"/>
        </w:rPr>
        <w:t xml:space="preserve"> parameter to eight (m3M5n8), aiming to account for the inclusion of different species at macroevolutionary scales. However, this latter combination was computationally intensive and failed to produce a final dataset that included all individuals. Consequently, it was discarded from further analyses. We then filtered the SNP matrix to include only bi-allelic, unlinked, and orthologous SNPs, while applying different missing data thresholds using SNPfiltR (Table S5). As this step was also computationally intensive, we were unable to assemble a complete dataset using all 447 individuals that passed quality filters.</w:t>
      </w:r>
    </w:p>
    <w:p w14:paraId="12FF4064" w14:textId="53CBE9BA" w:rsidR="00321B78" w:rsidRPr="008108B8" w:rsidRDefault="00321B78" w:rsidP="00321B78">
      <w:pPr>
        <w:jc w:val="both"/>
        <w:rPr>
          <w:rFonts w:ascii="Times New Roman" w:hAnsi="Times New Roman" w:cs="Times New Roman"/>
          <w:color w:val="000000" w:themeColor="text1"/>
          <w:sz w:val="24"/>
          <w:szCs w:val="24"/>
        </w:rPr>
      </w:pPr>
      <w:r w:rsidRPr="008108B8">
        <w:rPr>
          <w:rFonts w:ascii="Times New Roman" w:hAnsi="Times New Roman" w:cs="Times New Roman"/>
          <w:b/>
          <w:bCs/>
          <w:i/>
          <w:iCs/>
          <w:color w:val="000000" w:themeColor="text1"/>
          <w:sz w:val="24"/>
          <w:szCs w:val="24"/>
        </w:rPr>
        <w:lastRenderedPageBreak/>
        <w:t xml:space="preserve">2) </w:t>
      </w:r>
      <w:r w:rsidRPr="008108B8">
        <w:rPr>
          <w:rFonts w:ascii="Times New Roman" w:hAnsi="Times New Roman" w:cs="Times New Roman"/>
          <w:b/>
          <w:bCs/>
          <w:color w:val="000000" w:themeColor="text1"/>
          <w:sz w:val="24"/>
          <w:szCs w:val="24"/>
        </w:rPr>
        <w:t>Reference Genome assembly:</w:t>
      </w:r>
      <w:r w:rsidRPr="008108B8">
        <w:rPr>
          <w:rFonts w:ascii="Times New Roman" w:hAnsi="Times New Roman" w:cs="Times New Roman"/>
          <w:color w:val="000000" w:themeColor="text1"/>
          <w:sz w:val="24"/>
          <w:szCs w:val="24"/>
        </w:rPr>
        <w:t xml:space="preserve"> We assembled the raw reads using the genome of the jewelled blenny (</w:t>
      </w:r>
      <w:r w:rsidRPr="008108B8">
        <w:rPr>
          <w:rFonts w:ascii="Times New Roman" w:hAnsi="Times New Roman" w:cs="Times New Roman"/>
          <w:i/>
          <w:iCs/>
          <w:color w:val="000000" w:themeColor="text1"/>
          <w:sz w:val="24"/>
          <w:szCs w:val="24"/>
        </w:rPr>
        <w:t>Salarias fasciatus</w:t>
      </w:r>
      <w:r w:rsidRPr="008108B8">
        <w:rPr>
          <w:rFonts w:ascii="Times New Roman" w:hAnsi="Times New Roman" w:cs="Times New Roman"/>
          <w:color w:val="000000" w:themeColor="text1"/>
          <w:sz w:val="24"/>
          <w:szCs w:val="24"/>
        </w:rPr>
        <w:t xml:space="preserve">, NCBI accession GCA_902148835.1) as reference, as it represents the closest available genome with a divergence time estimated around 65 Ma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{"citationItems":[{"id":"ITEM-1","itemData":{"DOI":"10.1186/s12862-017-0958-3","ISSN":"14712148","PMID":"28683774","abstract":"Background: 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 Results: The updated classification presented here is based on phylogenies inferred using molecular and genomic data for nearly 2000 fishes. A total of 72 orders (and 79 suborders) are recognized in this version, compared with 66 orders in version 1. The phylogeny resolves placement of 410 families, or ~80% of the total of 514 families of bony fishes currently recognized. The ordinal status of 30 percomorph families included in this study, however, remains uncertain (incertae sedis in the series Carangaria, Ovalentaria, or Eupercaria). Comments to support taxonomic decisions and comparisons with conflicting taxonomic groups proposed by others are presented. We also highlight cases were morphological support exist for the groups being classified. Conclusions: This version of the phylogenetic classification of bony fishes is substantially improved, providing resolution for more taxa than previous versions, based on more densely sampled phylogenetic trees. The classification presented in this study represents, unlike any other, the most up-to-date hypothesis of the Tree of Life of fishes.","author":[{"dropping-particle":"","family":"Betancur","given":"Ricardo R.","non-dropping-particle":"","parse-names":false,"suffix":""},{"dropping-particle":"","family":"Wiley","given":"Edward O.","non-dropping-particle":"","parse-names":false,"suffix":""},{"dropping-particle":"","family":"Arratia","given":"Gloria","non-dropping-particle":"","parse-names":false,"suffix":""},{"dropping-particle":"","family":"Acero","given":"Arturo","non-dropping-particle":"","parse-names":false,"suffix":""},{"dropping-particle":"","family":"Bailly","given":"Nicolas","non-dropping-particle":"","parse-names":false,"suffix":""},{"dropping-particle":"","family":"Miya","given":"Masaki","non-dropping-particle":"","parse-names":false,"suffix":""},{"dropping-particle":"","family":"Lecointre","given":"Guillaume","non-dropping-particle":"","parse-names":false,"suffix":""},{"dropping-particle":"","family":"Ortí","given":"Guillermo","non-dropping-particle":"","parse-names":false,"suffix":""}],"container-title":"BMC Evolutionary Biology","id":"ITEM-1","issue":"1","issued":{"date-parts":[["2017"]]},"page":"1-40","publisher":"BMC Evolutionary Biology","title":"Phylogenetic classification of bony fishes","type":"article-journal","volume":"17"},"uris":["http://www.mendeley.com/documents/?uuid=d9eda40b-6019-44f7-b9b8-48f142fa82fa"]},{"id":"ITEM-2","itemData":{"DOI":"10.1186/1471-2148-13-210","ISBN":"1471-2148","ISSN":"1471-2148","PMID":"24067147","abstract":"BACKGROUND: The Blenniiformes comprises six families, 151 genera and nearly 900 species of small teleost fishes closely associated with coastal benthic habitats. They provide an unparalleled opportunity for studying marine biogeography because they include the globally distributed families Tripterygiidae (triplefin blennies) and Blenniidae (combtooth blennies), the temperate Clinidae (kelp blennies), and three largely Neotropical families (Labrisomidae, Chaenopsidae, and Dactyloscopidae). However, interpretation of these distributional patterns has been hindered by largely unresolved inter-familial relationships and the lack of evidence of monophyly of the Labrisomidae. RESULTS: We explored the phylogenetic relationships of the Blenniiformes based on one mitochondrial (COI) and four nuclear (TMO-4C4, RAG1, Rhodopsin, and Histone H3) loci for 150 blenniiform species, and representative outgroups (Gobiesocidae, Opistognathidae and Grammatidae). According to the consensus of Bayesian Inference, Maximum Likelihood, and Maximum Parsimony analyses, the monophyly of the Blenniiformes and the Tripterygiidae, Blenniidae, Clinidae, and Dactyloscopidae is supported. The Tripterygiidae is the sister group of all other blennies, and the Blenniidae is the sister group of the remaining blennies. The monophyly of the Labrisomidae is supported with the exclusion of the Cryptotremini and inclusion of Stathmonotus, and we elevate two subgenera of Labrisomus to establish a monophyletic classification within the family. The monophyly of the Chaenopsidae is supported with the exclusion of Stathmonotus (placed in the Stathmonotini) and Neoclinus and Mccoskerichthys (placed in the Neoclinini). The origin of the Blenniiformes was estimated in the present-day IndoPacific region, corresponding to the Tethys Sea approximately 60.3 mya. A largely Neotropical lineage including the Labrisomidae, Chaenopsidae and Dactyloscopidae (node IV) evolved around 37.6 mya when the Neotropics were increasingly separated from the IndoPacific, but well before the closure of the Tethys Sea. CONCLUSIONS: Relationships recovered in this study are similar to those of earlier analyses within the Clinidae and Chaenopsidae, and partially similar within the Blenniidae, but tripterygiid relationships remain poorly resolved. We present the first comprehensive phylogenetic hypothesis for a monophyletic Labrisomidae with five tribes (Labrisomini, Mnierpini, Paraclinini, Stathmonotini and Starksiini). Global d…","author":[{"dropping-particle":"","family":"Lin","given":"Hsiu-Chin","non-dropping-particle":"","parse-names":false,"suffix":""},{"dropping-particle":"","family":"Hastings","given":"Philip A","non-dropping-particle":"","parse-names":false,"suffix":""}],"container-title":"BMC evolutionary biology","id":"ITEM-2","issue":"1","issued":{"date-parts":[["2013"]]},"page":"210","publisher":"BMC Evolutionary Biology","title":"Phylogeny and biogeography of a shallow water fish clade (Teleostei: Blenniiformes).","type":"article-journal","volume":"13"},"uris":["http://www.mendeley.com/documents/?uuid=56dee1c4-875d-418a-8b93-6f5352c2800c"]}],"mendeley":{"formattedCitation":"(77, 78)","plainTextFormattedCitation":"(77, 78)","previouslyFormattedCitation":"(76, 77)"},"properties":{"noteIndex":0},"schema":"https://github.com/citation-style-language/schema/raw/master/csl-citation.json"}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(77, 78)</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xml:space="preserve">. We utilized the </w:t>
      </w:r>
      <w:r w:rsidRPr="008108B8">
        <w:rPr>
          <w:rFonts w:ascii="Times New Roman" w:hAnsi="Times New Roman" w:cs="Times New Roman"/>
          <w:i/>
          <w:iCs/>
          <w:color w:val="000000" w:themeColor="text1"/>
          <w:sz w:val="24"/>
          <w:szCs w:val="24"/>
        </w:rPr>
        <w:t>ref_map.pl</w:t>
      </w:r>
      <w:r w:rsidRPr="008108B8">
        <w:rPr>
          <w:rFonts w:ascii="Times New Roman" w:hAnsi="Times New Roman" w:cs="Times New Roman"/>
          <w:color w:val="000000" w:themeColor="text1"/>
          <w:sz w:val="24"/>
          <w:szCs w:val="24"/>
        </w:rPr>
        <w:t xml:space="preserve"> wrapper available in Stacks using default values. We aligned the raw reads to the reference genome using BWA v0.7.17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 xml:space="preserve">ADDIN CSL_CITATION {"citationItems":[{"id":"ITEM-1","itemData":{"DOI":"10.1093/bioinformatics/btp324","ISSN":"13674803","PMID":"19451168","abstract":"Motivation: The enormous amount of short reads generated by the new DNA sequencing technologies call for the development of fast and accurate read alignment programs. A first generation of hash table-based methods has been developed, including MAQ, which is accurate, feature rich and fast enough to align short reads from a single individual. However, MAQ does not support gapped alignment for single-end reads, which makes it unsuitable for alignment of longer reads where indels may occur frequently. The speed of MAQ is also a concern when the alignment is scaled up to the resequencing of hundreds of individuals. Results: We implemented Burrows-Wheeler Alignment tool (BWA), a new read alignment package that is based on backward search with Burrows-Wheeler Transform (BWT), to efficiently align short sequencing reads against a large reference sequence such as the human genome, allowing mismatches and gaps. BWA supports both base space reads, e.g. from Illumina sequencing machines, and color space reads from AB SOLiD machines. Evaluations on both simulated and real data suggest that BWA is </w:instrText>
      </w:r>
      <w:r w:rsidRPr="008108B8">
        <w:rPr>
          <w:rFonts w:ascii="Cambria Math" w:hAnsi="Cambria Math" w:cs="Cambria Math"/>
          <w:color w:val="000000" w:themeColor="text1"/>
          <w:sz w:val="24"/>
          <w:szCs w:val="24"/>
        </w:rPr>
        <w:instrText>∼</w:instrText>
      </w:r>
      <w:r w:rsidRPr="008108B8">
        <w:rPr>
          <w:rFonts w:ascii="Times New Roman" w:hAnsi="Times New Roman" w:cs="Times New Roman"/>
          <w:color w:val="000000" w:themeColor="text1"/>
          <w:sz w:val="24"/>
          <w:szCs w:val="24"/>
        </w:rPr>
        <w:instrText>10-20× faster than MAQ, while achieving similar accuracy. In addition, BWA outputs alignment in the new standard SAM (Sequence Alignment/Map) format. Variant calling and other downstream analyses after the alignment can be achieved with the open source SAMtools software package. © 2009 The Author(s).","author":[{"dropping-particle":"","family":"Li","given":"Heng","non-dropping-particle":"","parse-names":false,"suffix":""},{"dropping-particle":"","family":"Durbin","given":"Richard","non-dropping-particle":"","parse-names":false,"suffix":""}],"container-title":"Bioinformatics","id":"ITEM-1","issue":"14","issued":{"date-parts":[["2009"]]},"page":"1754-1760","title":"Fast and accurate short read alignment with Burrows-Wheeler transform","type":"article-journal","volume":"25"},"uris":["http://www.mendeley.com/documents/?uuid=e05c149c-a7c5-4d86-b14c-03461e0443c3"]}],"mendeley":{"formattedCitation":"(51)","plainTextFormattedCitation":"(51)","previouslyFormattedCitation":"(50)"},"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(51)</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xml:space="preserve">, while allowing for mismatches and gaps (-B and -O parameters, respectively), and controlling for partial alignments (-L). To generate SNP matrices containing only bi-allelic, unlinked, and orthologous SNPs, we applied the same set of filters used in the </w:t>
      </w:r>
      <w:r w:rsidRPr="008108B8">
        <w:rPr>
          <w:rFonts w:ascii="Times New Roman" w:hAnsi="Times New Roman" w:cs="Times New Roman"/>
          <w:i/>
          <w:iCs/>
          <w:color w:val="000000" w:themeColor="text1"/>
          <w:sz w:val="24"/>
          <w:szCs w:val="24"/>
        </w:rPr>
        <w:t>de novo</w:t>
      </w:r>
      <w:r w:rsidRPr="008108B8">
        <w:rPr>
          <w:rFonts w:ascii="Times New Roman" w:hAnsi="Times New Roman" w:cs="Times New Roman"/>
          <w:color w:val="000000" w:themeColor="text1"/>
          <w:sz w:val="24"/>
          <w:szCs w:val="24"/>
        </w:rPr>
        <w:t xml:space="preserve"> assembly at the macroevolutionary level. The final reference assembled matrices included between 1,891 and 28,144 SNPs, with 29.1</w:t>
      </w:r>
      <w:r w:rsidRPr="008108B8">
        <w:rPr>
          <w:rFonts w:ascii="Times New Roman" w:hAnsi="Times New Roman" w:cs="Times New Roman"/>
          <w:noProof/>
          <w:sz w:val="24"/>
          <w:szCs w:val="24"/>
        </w:rPr>
        <w:t>–81.1</w:t>
      </w:r>
      <w:r w:rsidRPr="008108B8">
        <w:rPr>
          <w:rFonts w:ascii="Times New Roman" w:hAnsi="Times New Roman" w:cs="Times New Roman"/>
          <w:color w:val="000000" w:themeColor="text1"/>
          <w:sz w:val="24"/>
          <w:szCs w:val="24"/>
        </w:rPr>
        <w:t>% of missing data (Table S5).</w:t>
      </w:r>
    </w:p>
    <w:p w14:paraId="2DCEF8A5" w14:textId="50D25ABD" w:rsidR="00321B78" w:rsidRPr="008108B8" w:rsidRDefault="00321B78" w:rsidP="00321B78">
      <w:pPr>
        <w:jc w:val="both"/>
        <w:rPr>
          <w:rFonts w:ascii="Times New Roman" w:hAnsi="Times New Roman" w:cs="Times New Roman"/>
          <w:color w:val="000000" w:themeColor="text1"/>
          <w:sz w:val="24"/>
          <w:szCs w:val="24"/>
        </w:rPr>
      </w:pPr>
      <w:r w:rsidRPr="008108B8">
        <w:rPr>
          <w:rFonts w:ascii="Times New Roman" w:hAnsi="Times New Roman" w:cs="Times New Roman"/>
          <w:b/>
          <w:bCs/>
          <w:i/>
          <w:iCs/>
          <w:color w:val="000000" w:themeColor="text1"/>
          <w:sz w:val="24"/>
          <w:szCs w:val="24"/>
        </w:rPr>
        <w:t>3</w:t>
      </w:r>
      <w:r w:rsidRPr="008108B8">
        <w:rPr>
          <w:rFonts w:ascii="Times New Roman" w:hAnsi="Times New Roman" w:cs="Times New Roman"/>
          <w:b/>
          <w:bCs/>
          <w:color w:val="000000" w:themeColor="text1"/>
          <w:sz w:val="24"/>
          <w:szCs w:val="24"/>
        </w:rPr>
        <w:t xml:space="preserve">) </w:t>
      </w:r>
      <w:r w:rsidRPr="008108B8">
        <w:rPr>
          <w:rFonts w:ascii="Times New Roman" w:hAnsi="Times New Roman" w:cs="Times New Roman"/>
          <w:b/>
          <w:bCs/>
          <w:i/>
          <w:iCs/>
          <w:color w:val="000000" w:themeColor="text1"/>
          <w:sz w:val="24"/>
          <w:szCs w:val="24"/>
        </w:rPr>
        <w:t>Quasi de novo</w:t>
      </w:r>
      <w:r w:rsidRPr="008108B8">
        <w:rPr>
          <w:rFonts w:ascii="Times New Roman" w:hAnsi="Times New Roman" w:cs="Times New Roman"/>
          <w:b/>
          <w:bCs/>
          <w:color w:val="000000" w:themeColor="text1"/>
          <w:sz w:val="24"/>
          <w:szCs w:val="24"/>
        </w:rPr>
        <w:t xml:space="preserve"> approach:</w:t>
      </w:r>
      <w:r w:rsidRPr="008108B8">
        <w:rPr>
          <w:rFonts w:ascii="Times New Roman" w:hAnsi="Times New Roman" w:cs="Times New Roman"/>
          <w:color w:val="000000" w:themeColor="text1"/>
          <w:sz w:val="24"/>
          <w:szCs w:val="24"/>
        </w:rPr>
        <w:t xml:space="preserve"> Previous studies have demonstrated that generating loci </w:t>
      </w:r>
      <w:r w:rsidRPr="008108B8">
        <w:rPr>
          <w:rFonts w:ascii="Times New Roman" w:hAnsi="Times New Roman" w:cs="Times New Roman"/>
          <w:i/>
          <w:iCs/>
          <w:color w:val="000000" w:themeColor="text1"/>
          <w:sz w:val="24"/>
          <w:szCs w:val="24"/>
        </w:rPr>
        <w:t>de novo</w:t>
      </w:r>
      <w:r w:rsidRPr="008108B8">
        <w:rPr>
          <w:rFonts w:ascii="Times New Roman" w:hAnsi="Times New Roman" w:cs="Times New Roman"/>
          <w:color w:val="000000" w:themeColor="text1"/>
          <w:sz w:val="24"/>
          <w:szCs w:val="24"/>
        </w:rPr>
        <w:t xml:space="preserve"> and integrating the resulting alignment with a reference genome is more efficient than aligning raw data directly to the reference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{"citationItems":[{"id":"ITEM-1","itemData":{"DOI":"10.1111/2041-210X.12775","ISSN":"2041210X","abstract":"Restriction site-Associated DNA sequencing (RAD-seq) has become a widely adopted method for genotyping populations of model and non-model organisms. Generating a reliable set of loci for downstream analysis requires appropriate use of bioinformatics software, such as the program stacks. Using three empirical RAD-seq datasets, we demonstrate a method for optimising a de novo assembly of loci using stacks. By iterating values of the program's main parameters and plotting resultant core metrics for visualisation, researchers can gain a much better understanding of their dataset and select an optimal set of parameters; we present the 80% rule as a generally effective method to select the core parameters for stacks. Visualisation of the metrics plotted for the three RAD-seq datasets shows that they differ in the optimal parameters that should be used to maximise the amount of available biological information. We also demonstrate that building loci de novo and then integrating alignment positions is more effective than aligning raw reads directly to a reference genome. Our methods will help the community in honing the analytical skills necessary to accurately assemble a RAD-seq dataset.","author":[{"dropping-particle":"","family":"Paris","given":"Josephine R.","non-dropping-particle":"","parse-names":false,"suffix":""},{"dropping-particle":"","family":"Stevens","given":"Jamie R.","non-dropping-particle":"","parse-names":false,"suffix":""},{"dropping-particle":"","family":"Catchen","given":"Julian M.","non-dropping-particle":"","parse-names":false,"suffix":""}],"container-title":"Methods in Ecology and Evolution","id":"ITEM-1","issue":"10","issued":{"date-parts":[["2017"]]},"page":"1360-1373","title":"Lost in parameter space: a road map for stacks","type":"article-journal","volume":"8"},"uris":["http://www.mendeley.com/documents/?uuid=63928161-c6fb-41de-a398-2603a959f2cd"]}],"mendeley":{"formattedCitation":"(61)","plainTextFormattedCitation":"(61)","previouslyFormattedCitation":"(60)"},"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(61)</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xml:space="preserve">. Therefore, we also aligned the consensus sequences of the “optimal” </w:t>
      </w:r>
      <w:r w:rsidRPr="008108B8">
        <w:rPr>
          <w:rFonts w:ascii="Times New Roman" w:hAnsi="Times New Roman" w:cs="Times New Roman"/>
          <w:i/>
          <w:iCs/>
          <w:color w:val="000000" w:themeColor="text1"/>
          <w:sz w:val="24"/>
          <w:szCs w:val="24"/>
        </w:rPr>
        <w:t>de novo</w:t>
      </w:r>
      <w:r w:rsidRPr="008108B8">
        <w:rPr>
          <w:rFonts w:ascii="Times New Roman" w:hAnsi="Times New Roman" w:cs="Times New Roman"/>
          <w:color w:val="000000" w:themeColor="text1"/>
          <w:sz w:val="24"/>
          <w:szCs w:val="24"/>
        </w:rPr>
        <w:t xml:space="preserve"> assembly catalog loci to the jewelled blenny (</w:t>
      </w:r>
      <w:r w:rsidRPr="008108B8">
        <w:rPr>
          <w:rFonts w:ascii="Times New Roman" w:hAnsi="Times New Roman" w:cs="Times New Roman"/>
          <w:i/>
          <w:iCs/>
          <w:color w:val="000000" w:themeColor="text1"/>
          <w:sz w:val="24"/>
          <w:szCs w:val="24"/>
        </w:rPr>
        <w:t>Salarias fasciatus</w:t>
      </w:r>
      <w:r w:rsidRPr="008108B8">
        <w:rPr>
          <w:rFonts w:ascii="Times New Roman" w:hAnsi="Times New Roman" w:cs="Times New Roman"/>
          <w:color w:val="000000" w:themeColor="text1"/>
          <w:sz w:val="24"/>
          <w:szCs w:val="24"/>
        </w:rPr>
        <w:t xml:space="preserve">) genome using the </w:t>
      </w:r>
      <w:r w:rsidRPr="008108B8">
        <w:rPr>
          <w:rFonts w:ascii="Times New Roman" w:hAnsi="Times New Roman" w:cs="Times New Roman"/>
          <w:i/>
          <w:iCs/>
          <w:color w:val="000000" w:themeColor="text1"/>
          <w:sz w:val="24"/>
          <w:szCs w:val="24"/>
        </w:rPr>
        <w:t>stacks-integrate-alignments</w:t>
      </w:r>
      <w:r w:rsidRPr="008108B8">
        <w:rPr>
          <w:rFonts w:ascii="Times New Roman" w:hAnsi="Times New Roman" w:cs="Times New Roman"/>
          <w:color w:val="000000" w:themeColor="text1"/>
          <w:sz w:val="24"/>
          <w:szCs w:val="24"/>
        </w:rPr>
        <w:t xml:space="preserve"> option from Stacks. The same SNP filtering steps as before were applied, with a SNP completeness of 25% resulting in a matrix of 1025 SNPs (Table S5). </w:t>
      </w:r>
    </w:p>
    <w:p w14:paraId="7825AA6E" w14:textId="77777777" w:rsidR="00321B78" w:rsidRPr="008108B8" w:rsidRDefault="00321B78" w:rsidP="00321B78">
      <w:pPr>
        <w:ind w:firstLine="720"/>
        <w:jc w:val="both"/>
        <w:rPr>
          <w:rFonts w:ascii="Times New Roman" w:hAnsi="Times New Roman" w:cs="Times New Roman"/>
          <w:color w:val="000000" w:themeColor="text1"/>
          <w:sz w:val="24"/>
          <w:szCs w:val="24"/>
        </w:rPr>
      </w:pPr>
      <w:r w:rsidRPr="008108B8">
        <w:rPr>
          <w:rFonts w:ascii="Times New Roman" w:hAnsi="Times New Roman" w:cs="Times New Roman"/>
          <w:color w:val="000000" w:themeColor="text1"/>
          <w:sz w:val="24"/>
          <w:szCs w:val="24"/>
        </w:rPr>
        <w:t xml:space="preserve">We conducted preliminary phylogenetic trees for each assembly approach based on SNPs present in at least 25% on the individuals (-R) (Fig. 34). We selected the genome reference-based assembly because it produced similar amounts of genetic information compared to the </w:t>
      </w:r>
      <w:r w:rsidRPr="008108B8">
        <w:rPr>
          <w:rFonts w:ascii="Times New Roman" w:hAnsi="Times New Roman" w:cs="Times New Roman"/>
          <w:i/>
          <w:iCs/>
          <w:color w:val="000000" w:themeColor="text1"/>
          <w:sz w:val="24"/>
          <w:szCs w:val="24"/>
        </w:rPr>
        <w:t>de novo</w:t>
      </w:r>
      <w:r w:rsidRPr="008108B8">
        <w:rPr>
          <w:rFonts w:ascii="Times New Roman" w:hAnsi="Times New Roman" w:cs="Times New Roman"/>
          <w:color w:val="000000" w:themeColor="text1"/>
          <w:sz w:val="24"/>
          <w:szCs w:val="24"/>
        </w:rPr>
        <w:t xml:space="preserve"> and </w:t>
      </w:r>
      <w:r w:rsidRPr="008108B8">
        <w:rPr>
          <w:rFonts w:ascii="Times New Roman" w:hAnsi="Times New Roman" w:cs="Times New Roman"/>
          <w:i/>
          <w:iCs/>
          <w:color w:val="000000" w:themeColor="text1"/>
          <w:sz w:val="24"/>
          <w:szCs w:val="24"/>
        </w:rPr>
        <w:t>quasi de novo</w:t>
      </w:r>
      <w:r w:rsidRPr="008108B8">
        <w:rPr>
          <w:rFonts w:ascii="Times New Roman" w:hAnsi="Times New Roman" w:cs="Times New Roman"/>
          <w:color w:val="000000" w:themeColor="text1"/>
          <w:sz w:val="24"/>
          <w:szCs w:val="24"/>
        </w:rPr>
        <w:t xml:space="preserve"> assemblies, but had lower proportions of missing data (28.2%, compared to 52.6% and 49.7% for the </w:t>
      </w:r>
      <w:r w:rsidRPr="008108B8">
        <w:rPr>
          <w:rFonts w:ascii="Times New Roman" w:hAnsi="Times New Roman" w:cs="Times New Roman"/>
          <w:i/>
          <w:iCs/>
          <w:color w:val="000000" w:themeColor="text1"/>
          <w:sz w:val="24"/>
          <w:szCs w:val="24"/>
        </w:rPr>
        <w:t>de novo</w:t>
      </w:r>
      <w:r w:rsidRPr="008108B8">
        <w:rPr>
          <w:rFonts w:ascii="Times New Roman" w:hAnsi="Times New Roman" w:cs="Times New Roman"/>
          <w:color w:val="000000" w:themeColor="text1"/>
          <w:sz w:val="24"/>
          <w:szCs w:val="24"/>
        </w:rPr>
        <w:t xml:space="preserve"> and </w:t>
      </w:r>
      <w:r w:rsidRPr="008108B8">
        <w:rPr>
          <w:rFonts w:ascii="Times New Roman" w:hAnsi="Times New Roman" w:cs="Times New Roman"/>
          <w:i/>
          <w:iCs/>
          <w:color w:val="000000" w:themeColor="text1"/>
          <w:sz w:val="24"/>
          <w:szCs w:val="24"/>
        </w:rPr>
        <w:t xml:space="preserve">quasi de novo </w:t>
      </w:r>
      <w:r w:rsidRPr="008108B8">
        <w:rPr>
          <w:rFonts w:ascii="Times New Roman" w:hAnsi="Times New Roman" w:cs="Times New Roman"/>
          <w:color w:val="000000" w:themeColor="text1"/>
          <w:sz w:val="24"/>
          <w:szCs w:val="24"/>
        </w:rPr>
        <w:t xml:space="preserve">assemblies, respectively). Although the percentage of raw reads that aligned to the reference genome was less than 3% for both the reference-based and </w:t>
      </w:r>
      <w:r w:rsidRPr="008108B8">
        <w:rPr>
          <w:rFonts w:ascii="Times New Roman" w:hAnsi="Times New Roman" w:cs="Times New Roman"/>
          <w:i/>
          <w:iCs/>
          <w:color w:val="000000" w:themeColor="text1"/>
          <w:sz w:val="24"/>
          <w:szCs w:val="24"/>
        </w:rPr>
        <w:t>quasi de novo</w:t>
      </w:r>
      <w:r w:rsidRPr="008108B8">
        <w:rPr>
          <w:rFonts w:ascii="Times New Roman" w:hAnsi="Times New Roman" w:cs="Times New Roman"/>
          <w:color w:val="000000" w:themeColor="text1"/>
          <w:sz w:val="24"/>
          <w:szCs w:val="24"/>
        </w:rPr>
        <w:t xml:space="preserve"> approaches, the </w:t>
      </w:r>
      <w:r w:rsidRPr="008108B8">
        <w:rPr>
          <w:rFonts w:ascii="Times New Roman" w:hAnsi="Times New Roman" w:cs="Times New Roman"/>
          <w:i/>
          <w:iCs/>
          <w:color w:val="000000" w:themeColor="text1"/>
          <w:sz w:val="24"/>
          <w:szCs w:val="24"/>
        </w:rPr>
        <w:t>de novo</w:t>
      </w:r>
      <w:r w:rsidRPr="008108B8">
        <w:rPr>
          <w:rFonts w:ascii="Times New Roman" w:hAnsi="Times New Roman" w:cs="Times New Roman"/>
          <w:color w:val="000000" w:themeColor="text1"/>
          <w:sz w:val="24"/>
          <w:szCs w:val="24"/>
        </w:rPr>
        <w:t xml:space="preserve"> method resulted in significantly more missing data. This method also enabled us to assemble a matrix using the 447 individuals, which was subsequently used to generate matrices for phylogenomic and seascape genomic analyses (see below).</w:t>
      </w:r>
    </w:p>
    <w:p w14:paraId="58082BA8" w14:textId="77777777" w:rsidR="00321B78" w:rsidRDefault="00321B78" w:rsidP="00321B78">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1872"/>
        <w:gridCol w:w="1872"/>
        <w:gridCol w:w="2158"/>
      </w:tblGrid>
      <w:tr w:rsidR="00321B78" w:rsidRPr="00802863" w14:paraId="579832DB" w14:textId="77777777" w:rsidTr="00031031">
        <w:tc>
          <w:tcPr>
            <w:tcW w:w="9353" w:type="dxa"/>
            <w:gridSpan w:val="4"/>
            <w:tcBorders>
              <w:top w:val="single" w:sz="18" w:space="0" w:color="auto"/>
              <w:bottom w:val="single" w:sz="18" w:space="0" w:color="auto"/>
            </w:tcBorders>
          </w:tcPr>
          <w:p w14:paraId="4C7FA2DF" w14:textId="77777777" w:rsidR="00321B78" w:rsidRPr="004C2E65" w:rsidRDefault="00321B78" w:rsidP="00031031">
            <w:pPr>
              <w:jc w:val="both"/>
              <w:rPr>
                <w:rFonts w:ascii="Times New Roman" w:hAnsi="Times New Roman" w:cs="Times New Roman"/>
                <w:sz w:val="20"/>
                <w:szCs w:val="20"/>
              </w:rPr>
            </w:pPr>
            <w:bookmarkStart w:id="16" w:name="TableS5"/>
            <w:r w:rsidRPr="004C2E65">
              <w:rPr>
                <w:rFonts w:ascii="Times New Roman" w:hAnsi="Times New Roman" w:cs="Times New Roman"/>
                <w:b/>
                <w:bCs/>
                <w:sz w:val="20"/>
                <w:szCs w:val="20"/>
              </w:rPr>
              <w:t>Table S</w:t>
            </w:r>
            <w:r>
              <w:rPr>
                <w:rFonts w:ascii="Times New Roman" w:hAnsi="Times New Roman" w:cs="Times New Roman"/>
                <w:b/>
                <w:bCs/>
                <w:sz w:val="20"/>
                <w:szCs w:val="20"/>
              </w:rPr>
              <w:t>5</w:t>
            </w:r>
            <w:bookmarkEnd w:id="16"/>
            <w:r w:rsidRPr="004C2E65">
              <w:rPr>
                <w:rFonts w:ascii="Times New Roman" w:hAnsi="Times New Roman" w:cs="Times New Roman"/>
                <w:b/>
                <w:bCs/>
                <w:sz w:val="20"/>
                <w:szCs w:val="20"/>
              </w:rPr>
              <w:t>.</w:t>
            </w:r>
            <w:r w:rsidRPr="004C2E65">
              <w:rPr>
                <w:rFonts w:ascii="Times New Roman" w:hAnsi="Times New Roman" w:cs="Times New Roman"/>
                <w:sz w:val="20"/>
                <w:szCs w:val="20"/>
              </w:rPr>
              <w:t xml:space="preserve"> Number of SNPs retained using three different approaches to assemble the raw data, and after filtering steps for the data set with 49 individuals, including 23 </w:t>
            </w:r>
            <w:r w:rsidRPr="004C2E65">
              <w:rPr>
                <w:rFonts w:ascii="Times New Roman" w:hAnsi="Times New Roman" w:cs="Times New Roman"/>
                <w:i/>
                <w:iCs/>
                <w:sz w:val="20"/>
                <w:szCs w:val="20"/>
              </w:rPr>
              <w:t>Malacoctenus</w:t>
            </w:r>
            <w:r w:rsidRPr="004C2E65">
              <w:rPr>
                <w:rFonts w:ascii="Times New Roman" w:hAnsi="Times New Roman" w:cs="Times New Roman"/>
                <w:sz w:val="20"/>
                <w:szCs w:val="20"/>
              </w:rPr>
              <w:t xml:space="preserve"> species and </w:t>
            </w:r>
            <w:r w:rsidRPr="004C2E65">
              <w:rPr>
                <w:rFonts w:ascii="Times New Roman" w:hAnsi="Times New Roman" w:cs="Times New Roman"/>
                <w:i/>
                <w:iCs/>
                <w:sz w:val="20"/>
                <w:szCs w:val="20"/>
              </w:rPr>
              <w:t>L. striatus</w:t>
            </w:r>
            <w:r w:rsidRPr="004C2E65">
              <w:rPr>
                <w:rFonts w:ascii="Times New Roman" w:hAnsi="Times New Roman" w:cs="Times New Roman"/>
                <w:sz w:val="20"/>
                <w:szCs w:val="20"/>
              </w:rPr>
              <w:t xml:space="preserve"> as an outgroup.</w:t>
            </w:r>
          </w:p>
        </w:tc>
      </w:tr>
      <w:tr w:rsidR="00321B78" w:rsidRPr="00802863" w14:paraId="00AC6500" w14:textId="77777777" w:rsidTr="00031031">
        <w:tc>
          <w:tcPr>
            <w:tcW w:w="3451" w:type="dxa"/>
            <w:tcBorders>
              <w:top w:val="single" w:sz="18" w:space="0" w:color="auto"/>
              <w:bottom w:val="single" w:sz="18" w:space="0" w:color="auto"/>
            </w:tcBorders>
          </w:tcPr>
          <w:p w14:paraId="04E3E057" w14:textId="77777777" w:rsidR="00321B78" w:rsidRPr="004C2E65" w:rsidRDefault="00321B78" w:rsidP="00031031">
            <w:pPr>
              <w:jc w:val="both"/>
              <w:rPr>
                <w:rFonts w:ascii="Times New Roman" w:hAnsi="Times New Roman" w:cs="Times New Roman"/>
                <w:b/>
                <w:bCs/>
                <w:sz w:val="20"/>
                <w:szCs w:val="20"/>
              </w:rPr>
            </w:pPr>
            <w:r w:rsidRPr="004C2E65">
              <w:rPr>
                <w:rFonts w:ascii="Times New Roman" w:hAnsi="Times New Roman" w:cs="Times New Roman"/>
                <w:b/>
                <w:bCs/>
                <w:sz w:val="20"/>
                <w:szCs w:val="20"/>
              </w:rPr>
              <w:t>Filter</w:t>
            </w:r>
          </w:p>
        </w:tc>
        <w:tc>
          <w:tcPr>
            <w:tcW w:w="1872" w:type="dxa"/>
            <w:tcBorders>
              <w:top w:val="single" w:sz="18" w:space="0" w:color="auto"/>
              <w:bottom w:val="single" w:sz="18" w:space="0" w:color="auto"/>
            </w:tcBorders>
          </w:tcPr>
          <w:p w14:paraId="352228D9" w14:textId="77777777" w:rsidR="00321B78" w:rsidRPr="004C2E65" w:rsidRDefault="00321B78" w:rsidP="00031031">
            <w:pPr>
              <w:jc w:val="both"/>
              <w:rPr>
                <w:rFonts w:ascii="Times New Roman" w:hAnsi="Times New Roman" w:cs="Times New Roman"/>
                <w:b/>
                <w:bCs/>
                <w:sz w:val="20"/>
                <w:szCs w:val="20"/>
              </w:rPr>
            </w:pPr>
            <w:r w:rsidRPr="004C2E65">
              <w:rPr>
                <w:rFonts w:ascii="Times New Roman" w:hAnsi="Times New Roman" w:cs="Times New Roman"/>
                <w:b/>
                <w:bCs/>
                <w:i/>
                <w:iCs/>
                <w:sz w:val="20"/>
                <w:szCs w:val="20"/>
              </w:rPr>
              <w:t>De novo</w:t>
            </w:r>
          </w:p>
        </w:tc>
        <w:tc>
          <w:tcPr>
            <w:tcW w:w="1872" w:type="dxa"/>
            <w:tcBorders>
              <w:top w:val="single" w:sz="18" w:space="0" w:color="auto"/>
              <w:bottom w:val="single" w:sz="18" w:space="0" w:color="auto"/>
            </w:tcBorders>
          </w:tcPr>
          <w:p w14:paraId="7A85CBFE" w14:textId="77777777" w:rsidR="00321B78" w:rsidRPr="004C2E65" w:rsidRDefault="00321B78" w:rsidP="00031031">
            <w:pPr>
              <w:jc w:val="both"/>
              <w:rPr>
                <w:rFonts w:ascii="Times New Roman" w:hAnsi="Times New Roman" w:cs="Times New Roman"/>
                <w:b/>
                <w:bCs/>
                <w:sz w:val="20"/>
                <w:szCs w:val="20"/>
              </w:rPr>
            </w:pPr>
            <w:r w:rsidRPr="004C2E65">
              <w:rPr>
                <w:rFonts w:ascii="Times New Roman" w:hAnsi="Times New Roman" w:cs="Times New Roman"/>
                <w:b/>
                <w:bCs/>
                <w:sz w:val="20"/>
                <w:szCs w:val="20"/>
              </w:rPr>
              <w:t>Reference-based</w:t>
            </w:r>
          </w:p>
        </w:tc>
        <w:tc>
          <w:tcPr>
            <w:tcW w:w="2158" w:type="dxa"/>
            <w:tcBorders>
              <w:top w:val="single" w:sz="18" w:space="0" w:color="auto"/>
              <w:bottom w:val="single" w:sz="18" w:space="0" w:color="auto"/>
            </w:tcBorders>
          </w:tcPr>
          <w:p w14:paraId="79EFD431" w14:textId="77777777" w:rsidR="00321B78" w:rsidRPr="004C2E65" w:rsidRDefault="00321B78" w:rsidP="00031031">
            <w:pPr>
              <w:jc w:val="both"/>
              <w:rPr>
                <w:rFonts w:ascii="Times New Roman" w:hAnsi="Times New Roman" w:cs="Times New Roman"/>
                <w:b/>
                <w:bCs/>
                <w:i/>
                <w:iCs/>
                <w:sz w:val="20"/>
                <w:szCs w:val="20"/>
              </w:rPr>
            </w:pPr>
            <w:r w:rsidRPr="004C2E65">
              <w:rPr>
                <w:rFonts w:ascii="Times New Roman" w:hAnsi="Times New Roman" w:cs="Times New Roman"/>
                <w:b/>
                <w:bCs/>
                <w:i/>
                <w:iCs/>
                <w:sz w:val="20"/>
                <w:szCs w:val="20"/>
              </w:rPr>
              <w:t>Quasi De Novo</w:t>
            </w:r>
          </w:p>
        </w:tc>
      </w:tr>
      <w:tr w:rsidR="00321B78" w:rsidRPr="00802863" w14:paraId="271AA51B" w14:textId="77777777" w:rsidTr="00031031">
        <w:tc>
          <w:tcPr>
            <w:tcW w:w="3451" w:type="dxa"/>
            <w:tcBorders>
              <w:top w:val="single" w:sz="18" w:space="0" w:color="auto"/>
            </w:tcBorders>
            <w:shd w:val="pct10" w:color="auto" w:fill="auto"/>
          </w:tcPr>
          <w:p w14:paraId="70AB5497"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Num. Individuals/Species</w:t>
            </w:r>
          </w:p>
        </w:tc>
        <w:tc>
          <w:tcPr>
            <w:tcW w:w="1872" w:type="dxa"/>
            <w:tcBorders>
              <w:top w:val="single" w:sz="18" w:space="0" w:color="auto"/>
            </w:tcBorders>
            <w:shd w:val="pct10" w:color="auto" w:fill="auto"/>
          </w:tcPr>
          <w:p w14:paraId="77D90968"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31/1</w:t>
            </w:r>
            <w:r>
              <w:rPr>
                <w:rFonts w:ascii="Times New Roman" w:hAnsi="Times New Roman" w:cs="Times New Roman"/>
                <w:sz w:val="20"/>
                <w:szCs w:val="20"/>
              </w:rPr>
              <w:t>8</w:t>
            </w:r>
          </w:p>
        </w:tc>
        <w:tc>
          <w:tcPr>
            <w:tcW w:w="1872" w:type="dxa"/>
            <w:tcBorders>
              <w:top w:val="single" w:sz="18" w:space="0" w:color="auto"/>
            </w:tcBorders>
            <w:shd w:val="pct10" w:color="auto" w:fill="auto"/>
          </w:tcPr>
          <w:p w14:paraId="5C4ADD61"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41/24</w:t>
            </w:r>
          </w:p>
        </w:tc>
        <w:tc>
          <w:tcPr>
            <w:tcW w:w="2158" w:type="dxa"/>
            <w:tcBorders>
              <w:top w:val="single" w:sz="18" w:space="0" w:color="auto"/>
            </w:tcBorders>
            <w:shd w:val="pct10" w:color="auto" w:fill="auto"/>
          </w:tcPr>
          <w:p w14:paraId="3F1BC328"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28/24</w:t>
            </w:r>
          </w:p>
        </w:tc>
      </w:tr>
      <w:tr w:rsidR="00321B78" w:rsidRPr="00802863" w14:paraId="09A7A6F1" w14:textId="77777777" w:rsidTr="00031031">
        <w:tc>
          <w:tcPr>
            <w:tcW w:w="3451" w:type="dxa"/>
          </w:tcPr>
          <w:p w14:paraId="443CD2E7"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Stacks catalog</w:t>
            </w:r>
          </w:p>
          <w:p w14:paraId="6C73B671"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 xml:space="preserve">     --write_single_snp</w:t>
            </w:r>
          </w:p>
          <w:p w14:paraId="2E2AF4AE"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 xml:space="preserve">     --R 0.00</w:t>
            </w:r>
          </w:p>
        </w:tc>
        <w:tc>
          <w:tcPr>
            <w:tcW w:w="1872" w:type="dxa"/>
          </w:tcPr>
          <w:p w14:paraId="40F972C7"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1184687</w:t>
            </w:r>
          </w:p>
        </w:tc>
        <w:tc>
          <w:tcPr>
            <w:tcW w:w="1872" w:type="dxa"/>
          </w:tcPr>
          <w:p w14:paraId="3CB525A5"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151434</w:t>
            </w:r>
          </w:p>
        </w:tc>
        <w:tc>
          <w:tcPr>
            <w:tcW w:w="2158" w:type="dxa"/>
          </w:tcPr>
          <w:p w14:paraId="0C71ED42"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73973</w:t>
            </w:r>
          </w:p>
        </w:tc>
      </w:tr>
      <w:tr w:rsidR="00321B78" w:rsidRPr="00802863" w14:paraId="49391459" w14:textId="77777777" w:rsidTr="00031031">
        <w:tc>
          <w:tcPr>
            <w:tcW w:w="3451" w:type="dxa"/>
            <w:tcBorders>
              <w:bottom w:val="single" w:sz="18" w:space="0" w:color="auto"/>
            </w:tcBorders>
            <w:shd w:val="pct10" w:color="auto" w:fill="auto"/>
          </w:tcPr>
          <w:p w14:paraId="7FBC143C"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Allele balance filter</w:t>
            </w:r>
          </w:p>
          <w:p w14:paraId="6D6133D6"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Max. depth 100</w:t>
            </w:r>
          </w:p>
          <w:p w14:paraId="450E8444" w14:textId="77777777" w:rsidR="00321B78" w:rsidRPr="004C2E65" w:rsidRDefault="00321B78" w:rsidP="00031031">
            <w:pPr>
              <w:jc w:val="both"/>
              <w:rPr>
                <w:rFonts w:ascii="Times New Roman" w:hAnsi="Times New Roman" w:cs="Times New Roman"/>
                <w:sz w:val="20"/>
                <w:szCs w:val="20"/>
              </w:rPr>
            </w:pPr>
            <w:r w:rsidRPr="004C2E65">
              <w:rPr>
                <w:rFonts w:ascii="Times New Roman" w:hAnsi="Times New Roman" w:cs="Times New Roman"/>
                <w:sz w:val="20"/>
                <w:szCs w:val="20"/>
              </w:rPr>
              <w:t>SNP completeness &gt; 0.25 %</w:t>
            </w:r>
          </w:p>
          <w:p w14:paraId="58F4F15B" w14:textId="77777777" w:rsidR="00321B78" w:rsidRPr="004C2E65" w:rsidRDefault="00321B78" w:rsidP="00031031">
            <w:pPr>
              <w:jc w:val="both"/>
              <w:rPr>
                <w:rFonts w:ascii="Times New Roman" w:hAnsi="Times New Roman" w:cs="Times New Roman"/>
                <w:b/>
                <w:bCs/>
                <w:sz w:val="20"/>
                <w:szCs w:val="20"/>
              </w:rPr>
            </w:pPr>
            <w:r w:rsidRPr="004C2E65">
              <w:rPr>
                <w:rFonts w:ascii="Times New Roman" w:hAnsi="Times New Roman" w:cs="Times New Roman"/>
                <w:b/>
                <w:bCs/>
                <w:sz w:val="20"/>
                <w:szCs w:val="20"/>
              </w:rPr>
              <w:t>SNPs</w:t>
            </w:r>
          </w:p>
        </w:tc>
        <w:tc>
          <w:tcPr>
            <w:tcW w:w="1872" w:type="dxa"/>
            <w:tcBorders>
              <w:bottom w:val="single" w:sz="18" w:space="0" w:color="auto"/>
            </w:tcBorders>
            <w:shd w:val="pct10" w:color="auto" w:fill="auto"/>
          </w:tcPr>
          <w:p w14:paraId="47DC02EE" w14:textId="77777777" w:rsidR="00321B78" w:rsidRPr="004C2E65" w:rsidRDefault="00321B78" w:rsidP="00031031">
            <w:pPr>
              <w:jc w:val="both"/>
              <w:rPr>
                <w:rFonts w:ascii="Times New Roman" w:hAnsi="Times New Roman" w:cs="Times New Roman"/>
                <w:sz w:val="20"/>
                <w:szCs w:val="20"/>
              </w:rPr>
            </w:pPr>
          </w:p>
          <w:p w14:paraId="5E693A41" w14:textId="77777777" w:rsidR="00321B78" w:rsidRPr="004C2E65" w:rsidRDefault="00321B78" w:rsidP="00031031">
            <w:pPr>
              <w:jc w:val="both"/>
              <w:rPr>
                <w:rFonts w:ascii="Times New Roman" w:hAnsi="Times New Roman" w:cs="Times New Roman"/>
                <w:sz w:val="20"/>
                <w:szCs w:val="20"/>
              </w:rPr>
            </w:pPr>
          </w:p>
          <w:p w14:paraId="05ECA8A2" w14:textId="77777777" w:rsidR="00321B78" w:rsidRPr="004C2E65" w:rsidRDefault="00321B78" w:rsidP="00031031">
            <w:pPr>
              <w:jc w:val="both"/>
              <w:rPr>
                <w:rFonts w:ascii="Times New Roman" w:hAnsi="Times New Roman" w:cs="Times New Roman"/>
                <w:sz w:val="20"/>
                <w:szCs w:val="20"/>
              </w:rPr>
            </w:pPr>
          </w:p>
          <w:p w14:paraId="630DFA3C" w14:textId="77777777" w:rsidR="00321B78" w:rsidRPr="004C2E65" w:rsidRDefault="00321B78" w:rsidP="00031031">
            <w:pPr>
              <w:jc w:val="both"/>
              <w:rPr>
                <w:rFonts w:ascii="Times New Roman" w:hAnsi="Times New Roman" w:cs="Times New Roman"/>
                <w:b/>
                <w:bCs/>
                <w:sz w:val="20"/>
                <w:szCs w:val="20"/>
              </w:rPr>
            </w:pPr>
            <w:r w:rsidRPr="004C2E65">
              <w:rPr>
                <w:rFonts w:ascii="Times New Roman" w:hAnsi="Times New Roman" w:cs="Times New Roman"/>
                <w:b/>
                <w:bCs/>
                <w:sz w:val="20"/>
                <w:szCs w:val="20"/>
              </w:rPr>
              <w:t>1652</w:t>
            </w:r>
          </w:p>
        </w:tc>
        <w:tc>
          <w:tcPr>
            <w:tcW w:w="1872" w:type="dxa"/>
            <w:tcBorders>
              <w:bottom w:val="single" w:sz="18" w:space="0" w:color="auto"/>
            </w:tcBorders>
            <w:shd w:val="pct10" w:color="auto" w:fill="auto"/>
          </w:tcPr>
          <w:p w14:paraId="2A45B028" w14:textId="77777777" w:rsidR="00321B78" w:rsidRPr="004C2E65" w:rsidRDefault="00321B78" w:rsidP="00031031">
            <w:pPr>
              <w:jc w:val="both"/>
              <w:rPr>
                <w:rFonts w:ascii="Times New Roman" w:hAnsi="Times New Roman" w:cs="Times New Roman"/>
                <w:sz w:val="20"/>
                <w:szCs w:val="20"/>
              </w:rPr>
            </w:pPr>
          </w:p>
          <w:p w14:paraId="4E83B8A3" w14:textId="77777777" w:rsidR="00321B78" w:rsidRPr="004C2E65" w:rsidRDefault="00321B78" w:rsidP="00031031">
            <w:pPr>
              <w:jc w:val="both"/>
              <w:rPr>
                <w:rFonts w:ascii="Times New Roman" w:hAnsi="Times New Roman" w:cs="Times New Roman"/>
                <w:sz w:val="20"/>
                <w:szCs w:val="20"/>
              </w:rPr>
            </w:pPr>
          </w:p>
          <w:p w14:paraId="2E4F1158" w14:textId="77777777" w:rsidR="00321B78" w:rsidRPr="004C2E65" w:rsidRDefault="00321B78" w:rsidP="00031031">
            <w:pPr>
              <w:jc w:val="both"/>
              <w:rPr>
                <w:rFonts w:ascii="Times New Roman" w:hAnsi="Times New Roman" w:cs="Times New Roman"/>
                <w:sz w:val="20"/>
                <w:szCs w:val="20"/>
              </w:rPr>
            </w:pPr>
          </w:p>
          <w:p w14:paraId="2A59256D" w14:textId="77777777" w:rsidR="00321B78" w:rsidRPr="004C2E65" w:rsidRDefault="00321B78" w:rsidP="00031031">
            <w:pPr>
              <w:jc w:val="both"/>
              <w:rPr>
                <w:rFonts w:ascii="Times New Roman" w:hAnsi="Times New Roman" w:cs="Times New Roman"/>
                <w:b/>
                <w:bCs/>
                <w:sz w:val="20"/>
                <w:szCs w:val="20"/>
              </w:rPr>
            </w:pPr>
            <w:r w:rsidRPr="004C2E65">
              <w:rPr>
                <w:rFonts w:ascii="Times New Roman" w:hAnsi="Times New Roman" w:cs="Times New Roman"/>
                <w:b/>
                <w:bCs/>
                <w:sz w:val="20"/>
                <w:szCs w:val="20"/>
              </w:rPr>
              <w:t>1891</w:t>
            </w:r>
          </w:p>
        </w:tc>
        <w:tc>
          <w:tcPr>
            <w:tcW w:w="2158" w:type="dxa"/>
            <w:tcBorders>
              <w:bottom w:val="single" w:sz="18" w:space="0" w:color="auto"/>
            </w:tcBorders>
            <w:shd w:val="pct10" w:color="auto" w:fill="auto"/>
          </w:tcPr>
          <w:p w14:paraId="38FD92E0" w14:textId="77777777" w:rsidR="00321B78" w:rsidRPr="004C2E65" w:rsidRDefault="00321B78" w:rsidP="00031031">
            <w:pPr>
              <w:jc w:val="both"/>
              <w:rPr>
                <w:rFonts w:ascii="Times New Roman" w:hAnsi="Times New Roman" w:cs="Times New Roman"/>
                <w:sz w:val="20"/>
                <w:szCs w:val="20"/>
              </w:rPr>
            </w:pPr>
          </w:p>
          <w:p w14:paraId="72F871C4" w14:textId="77777777" w:rsidR="00321B78" w:rsidRPr="004C2E65" w:rsidRDefault="00321B78" w:rsidP="00031031">
            <w:pPr>
              <w:jc w:val="both"/>
              <w:rPr>
                <w:rFonts w:ascii="Times New Roman" w:hAnsi="Times New Roman" w:cs="Times New Roman"/>
                <w:sz w:val="20"/>
                <w:szCs w:val="20"/>
              </w:rPr>
            </w:pPr>
          </w:p>
          <w:p w14:paraId="4031569A" w14:textId="77777777" w:rsidR="00321B78" w:rsidRPr="004C2E65" w:rsidRDefault="00321B78" w:rsidP="00031031">
            <w:pPr>
              <w:jc w:val="both"/>
              <w:rPr>
                <w:rFonts w:ascii="Times New Roman" w:hAnsi="Times New Roman" w:cs="Times New Roman"/>
                <w:sz w:val="20"/>
                <w:szCs w:val="20"/>
              </w:rPr>
            </w:pPr>
          </w:p>
          <w:p w14:paraId="3FD42916" w14:textId="77777777" w:rsidR="00321B78" w:rsidRPr="004C2E65" w:rsidRDefault="00321B78" w:rsidP="00031031">
            <w:pPr>
              <w:jc w:val="both"/>
              <w:rPr>
                <w:rFonts w:ascii="Times New Roman" w:hAnsi="Times New Roman" w:cs="Times New Roman"/>
                <w:b/>
                <w:bCs/>
                <w:sz w:val="20"/>
                <w:szCs w:val="20"/>
              </w:rPr>
            </w:pPr>
            <w:r w:rsidRPr="004C2E65">
              <w:rPr>
                <w:rFonts w:ascii="Times New Roman" w:hAnsi="Times New Roman" w:cs="Times New Roman"/>
                <w:b/>
                <w:bCs/>
                <w:sz w:val="20"/>
                <w:szCs w:val="20"/>
              </w:rPr>
              <w:t>1025</w:t>
            </w:r>
          </w:p>
        </w:tc>
      </w:tr>
    </w:tbl>
    <w:p w14:paraId="2DCE6EA1" w14:textId="77777777" w:rsidR="00321B78" w:rsidRDefault="00321B78" w:rsidP="00321B78">
      <w:pPr>
        <w:jc w:val="both"/>
        <w:rPr>
          <w:rFonts w:ascii="Times New Roman" w:hAnsi="Times New Roman" w:cs="Times New Roman"/>
          <w:b/>
          <w:bCs/>
          <w:color w:val="000000" w:themeColor="text1"/>
        </w:rPr>
      </w:pPr>
    </w:p>
    <w:p w14:paraId="6A6812C3" w14:textId="77777777" w:rsidR="008108B8" w:rsidRDefault="008108B8" w:rsidP="00321B78">
      <w:pPr>
        <w:jc w:val="both"/>
        <w:rPr>
          <w:rFonts w:ascii="Times New Roman" w:hAnsi="Times New Roman" w:cs="Times New Roman"/>
          <w:b/>
          <w:bCs/>
          <w:color w:val="000000" w:themeColor="text1"/>
        </w:rPr>
      </w:pPr>
    </w:p>
    <w:p w14:paraId="098E34B2" w14:textId="77777777" w:rsidR="008108B8" w:rsidRDefault="008108B8" w:rsidP="00321B78">
      <w:pPr>
        <w:jc w:val="both"/>
        <w:rPr>
          <w:rFonts w:ascii="Times New Roman" w:hAnsi="Times New Roman" w:cs="Times New Roman"/>
          <w:b/>
          <w:bCs/>
          <w:color w:val="000000" w:themeColor="text1"/>
        </w:rPr>
      </w:pPr>
    </w:p>
    <w:p w14:paraId="17328734" w14:textId="77777777" w:rsidR="008108B8" w:rsidRDefault="008108B8" w:rsidP="00321B78">
      <w:pPr>
        <w:jc w:val="both"/>
        <w:rPr>
          <w:rFonts w:ascii="Times New Roman" w:hAnsi="Times New Roman" w:cs="Times New Roman"/>
          <w:b/>
          <w:bCs/>
          <w:color w:val="000000" w:themeColor="text1"/>
        </w:rPr>
      </w:pPr>
    </w:p>
    <w:p w14:paraId="612BA383" w14:textId="0879A133" w:rsidR="00321B78" w:rsidRPr="008108B8" w:rsidRDefault="00321B78" w:rsidP="00321B78">
      <w:pPr>
        <w:jc w:val="both"/>
        <w:rPr>
          <w:rFonts w:ascii="Times New Roman" w:hAnsi="Times New Roman" w:cs="Times New Roman"/>
          <w:b/>
          <w:bCs/>
          <w:color w:val="000000" w:themeColor="text1"/>
          <w:sz w:val="24"/>
          <w:szCs w:val="24"/>
        </w:rPr>
      </w:pPr>
      <w:r w:rsidRPr="008108B8">
        <w:rPr>
          <w:rFonts w:ascii="Times New Roman" w:hAnsi="Times New Roman" w:cs="Times New Roman"/>
          <w:b/>
          <w:bCs/>
          <w:color w:val="000000" w:themeColor="text1"/>
          <w:sz w:val="24"/>
          <w:szCs w:val="24"/>
        </w:rPr>
        <w:lastRenderedPageBreak/>
        <w:t>MICROEVOLUTIONARY ANALYSES OF INDIVIDUALLY SAMPLED SPECIES</w:t>
      </w:r>
    </w:p>
    <w:p w14:paraId="622CB174" w14:textId="77777777" w:rsidR="00321B78" w:rsidRPr="008108B8" w:rsidRDefault="00321B78" w:rsidP="00321B78">
      <w:pPr>
        <w:jc w:val="both"/>
        <w:rPr>
          <w:rFonts w:ascii="Times New Roman" w:hAnsi="Times New Roman" w:cs="Times New Roman"/>
          <w:color w:val="000000" w:themeColor="text1"/>
          <w:sz w:val="24"/>
          <w:szCs w:val="24"/>
        </w:rPr>
      </w:pPr>
      <w:r w:rsidRPr="008108B8">
        <w:rPr>
          <w:rFonts w:ascii="Times New Roman" w:hAnsi="Times New Roman" w:cs="Times New Roman"/>
          <w:b/>
          <w:bCs/>
          <w:color w:val="000000" w:themeColor="text1"/>
          <w:sz w:val="24"/>
          <w:szCs w:val="24"/>
        </w:rPr>
        <w:t xml:space="preserve">Population structure. </w:t>
      </w:r>
      <w:r w:rsidRPr="008108B8">
        <w:rPr>
          <w:rFonts w:ascii="Times New Roman" w:hAnsi="Times New Roman" w:cs="Times New Roman"/>
          <w:color w:val="000000" w:themeColor="text1"/>
          <w:sz w:val="24"/>
          <w:szCs w:val="24"/>
        </w:rPr>
        <w:t xml:space="preserve">We evaluated the population structure among sampling locations of 14 species, for which one to 26 individuals were collected across at least two populations (Appendix S1). We performed these analyses at the intra-specific level to detect broader to finer patterns of genomic structure. Additionally, we considered </w:t>
      </w:r>
      <w:r w:rsidRPr="008108B8">
        <w:rPr>
          <w:rFonts w:ascii="Times New Roman" w:hAnsi="Times New Roman" w:cs="Times New Roman"/>
          <w:i/>
          <w:iCs/>
          <w:color w:val="000000" w:themeColor="text1"/>
          <w:sz w:val="24"/>
          <w:szCs w:val="24"/>
        </w:rPr>
        <w:t>M. hubbsi</w:t>
      </w:r>
      <w:r w:rsidRPr="008108B8">
        <w:rPr>
          <w:rFonts w:ascii="Times New Roman" w:hAnsi="Times New Roman" w:cs="Times New Roman"/>
          <w:color w:val="000000" w:themeColor="text1"/>
          <w:sz w:val="24"/>
          <w:szCs w:val="24"/>
        </w:rPr>
        <w:t xml:space="preserve"> plus </w:t>
      </w:r>
      <w:r w:rsidRPr="008108B8">
        <w:rPr>
          <w:rFonts w:ascii="Times New Roman" w:hAnsi="Times New Roman" w:cs="Times New Roman"/>
          <w:i/>
          <w:iCs/>
          <w:color w:val="000000" w:themeColor="text1"/>
          <w:sz w:val="24"/>
          <w:szCs w:val="24"/>
        </w:rPr>
        <w:t>M. polyporosus</w:t>
      </w:r>
      <w:r w:rsidRPr="008108B8">
        <w:rPr>
          <w:rFonts w:ascii="Times New Roman" w:hAnsi="Times New Roman" w:cs="Times New Roman"/>
          <w:color w:val="000000" w:themeColor="text1"/>
          <w:sz w:val="24"/>
          <w:szCs w:val="24"/>
        </w:rPr>
        <w:t xml:space="preserve">; and </w:t>
      </w:r>
      <w:r w:rsidRPr="008108B8">
        <w:rPr>
          <w:rFonts w:ascii="Times New Roman" w:hAnsi="Times New Roman" w:cs="Times New Roman"/>
          <w:i/>
          <w:iCs/>
          <w:color w:val="000000" w:themeColor="text1"/>
          <w:sz w:val="24"/>
          <w:szCs w:val="24"/>
        </w:rPr>
        <w:t>M. triangulatus</w:t>
      </w:r>
      <w:r w:rsidRPr="008108B8">
        <w:rPr>
          <w:rFonts w:ascii="Times New Roman" w:hAnsi="Times New Roman" w:cs="Times New Roman"/>
          <w:color w:val="000000" w:themeColor="text1"/>
          <w:sz w:val="24"/>
          <w:szCs w:val="24"/>
        </w:rPr>
        <w:t xml:space="preserve"> plus </w:t>
      </w:r>
      <w:r w:rsidRPr="008108B8">
        <w:rPr>
          <w:rFonts w:ascii="Times New Roman" w:hAnsi="Times New Roman" w:cs="Times New Roman"/>
          <w:i/>
          <w:iCs/>
          <w:color w:val="000000" w:themeColor="text1"/>
          <w:sz w:val="24"/>
          <w:szCs w:val="24"/>
        </w:rPr>
        <w:t>M. lianae</w:t>
      </w:r>
      <w:r w:rsidRPr="008108B8">
        <w:rPr>
          <w:rFonts w:ascii="Times New Roman" w:hAnsi="Times New Roman" w:cs="Times New Roman"/>
          <w:color w:val="000000" w:themeColor="text1"/>
          <w:sz w:val="24"/>
          <w:szCs w:val="24"/>
        </w:rPr>
        <w:t xml:space="preserve"> as species complexes (i.e., </w:t>
      </w:r>
      <w:r w:rsidRPr="008108B8">
        <w:rPr>
          <w:rFonts w:ascii="Times New Roman" w:hAnsi="Times New Roman" w:cs="Times New Roman"/>
          <w:i/>
          <w:iCs/>
          <w:color w:val="000000" w:themeColor="text1"/>
          <w:sz w:val="24"/>
          <w:szCs w:val="24"/>
        </w:rPr>
        <w:t>M. triangulatus</w:t>
      </w:r>
      <w:r w:rsidRPr="008108B8">
        <w:rPr>
          <w:rFonts w:ascii="Times New Roman" w:hAnsi="Times New Roman" w:cs="Times New Roman"/>
          <w:color w:val="000000" w:themeColor="text1"/>
          <w:sz w:val="24"/>
          <w:szCs w:val="24"/>
        </w:rPr>
        <w:t xml:space="preserve"> complex and </w:t>
      </w:r>
      <w:r w:rsidRPr="008108B8">
        <w:rPr>
          <w:rFonts w:ascii="Times New Roman" w:hAnsi="Times New Roman" w:cs="Times New Roman"/>
          <w:i/>
          <w:iCs/>
          <w:color w:val="000000" w:themeColor="text1"/>
          <w:sz w:val="24"/>
          <w:szCs w:val="24"/>
        </w:rPr>
        <w:t>M.</w:t>
      </w:r>
      <w:r w:rsidRPr="008108B8">
        <w:rPr>
          <w:rFonts w:ascii="Times New Roman" w:hAnsi="Times New Roman" w:cs="Times New Roman"/>
          <w:color w:val="000000" w:themeColor="text1"/>
          <w:sz w:val="24"/>
          <w:szCs w:val="24"/>
        </w:rPr>
        <w:t xml:space="preserve"> </w:t>
      </w:r>
      <w:r w:rsidRPr="008108B8">
        <w:rPr>
          <w:rFonts w:ascii="Times New Roman" w:hAnsi="Times New Roman" w:cs="Times New Roman"/>
          <w:i/>
          <w:iCs/>
          <w:color w:val="000000" w:themeColor="text1"/>
          <w:sz w:val="24"/>
          <w:szCs w:val="24"/>
        </w:rPr>
        <w:t>hubbsi</w:t>
      </w:r>
      <w:r w:rsidRPr="008108B8">
        <w:rPr>
          <w:rFonts w:ascii="Times New Roman" w:hAnsi="Times New Roman" w:cs="Times New Roman"/>
          <w:color w:val="000000" w:themeColor="text1"/>
          <w:sz w:val="24"/>
          <w:szCs w:val="24"/>
        </w:rPr>
        <w:t xml:space="preserve"> complex, respectively) because our analyses identified low genetic divergence within each species pair, suggesting taxonomic over splitting. To investigate population clustering, we first conducted a discriminant analysis of principal components (DAPC) using the R package adegenet</w:t>
      </w:r>
      <w:r w:rsidRPr="008108B8">
        <w:rPr>
          <w:rFonts w:ascii="Times New Roman" w:hAnsi="Times New Roman" w:cs="Times New Roman"/>
          <w:i/>
          <w:iCs/>
          <w:color w:val="000000" w:themeColor="text1"/>
          <w:sz w:val="24"/>
          <w:szCs w:val="24"/>
        </w:rPr>
        <w:t xml:space="preserve"> </w:t>
      </w:r>
      <w:r w:rsidRPr="008108B8">
        <w:rPr>
          <w:rFonts w:ascii="Times New Roman" w:hAnsi="Times New Roman" w:cs="Times New Roman"/>
          <w:i/>
          <w:iCs/>
          <w:color w:val="000000" w:themeColor="text1"/>
          <w:sz w:val="24"/>
          <w:szCs w:val="24"/>
        </w:rPr>
        <w:fldChar w:fldCharType="begin" w:fldLock="1"/>
      </w:r>
      <w:r w:rsidRPr="008108B8">
        <w:rPr>
          <w:rFonts w:ascii="Times New Roman" w:hAnsi="Times New Roman" w:cs="Times New Roman"/>
          <w:i/>
          <w:iCs/>
          <w:color w:val="000000" w:themeColor="text1"/>
          <w:sz w:val="24"/>
          <w:szCs w:val="24"/>
        </w:rPr>
        <w:instrText>ADDIN CSL_CITATION {"citationItems":[{"id":"ITEM-1","itemData":{"DOI":"10.1093/bioinformatics/btn129","ISBN":"1367-4803","ISSN":"13674803","PMID":"18397895","abstract":"UNLABELLED: The package adegenet for the R software is dedicated to the multivariate analysis of genetic markers. It extends the ade4 package of multivariate methods by implementing formal classes and functions to manipulate and analyse genetic markers. Data can be imported from common population genetics software and exported to other software and R packages. adegenet also implements standard population genetics tools along with more original approaches for spatial genetics and hybridization. AVAILABILITY: Stable version is available from CRAN: http://cran.r-project.org/mirrors.html. Development version is available from adegenet website: http://adegenet.r-forge.r-project.org/. Both versions can be installed directly from R. adegenet is distributed under the GNU General Public Licence (v.2).","author":[{"dropping-particle":"","family":"Jombart","given":"Thibaut","non-dropping-particle":"","parse-names":false,"suffix":""}],"container-title":"Bioinformatics","id":"ITEM-1","issue":"11","issued":{"date-parts":[["2008"]]},"page":"1403-1405","title":"Adegenet: A R package for the multivariate analysis of genetic markers","type":"article-journal","volume":"24"},"uris":["http://www.mendeley.com/documents/?uuid=714f2077-30b7-47bd-ac5c-89490ac70b5f"]}],"mendeley":{"formattedCitation":"(21)","plainTextFormattedCitation":"(21)","previouslyFormattedCitation":"(21)"},"properties":{"noteIndex":0},"schema":"https://github.com/citation-style-language/schema/raw/master/csl-citation.json"}</w:instrText>
      </w:r>
      <w:r w:rsidRPr="008108B8">
        <w:rPr>
          <w:rFonts w:ascii="Times New Roman" w:hAnsi="Times New Roman" w:cs="Times New Roman"/>
          <w:i/>
          <w:iCs/>
          <w:color w:val="000000" w:themeColor="text1"/>
          <w:sz w:val="24"/>
          <w:szCs w:val="24"/>
        </w:rPr>
        <w:fldChar w:fldCharType="separate"/>
      </w:r>
      <w:r w:rsidRPr="008108B8">
        <w:rPr>
          <w:rFonts w:ascii="Times New Roman" w:hAnsi="Times New Roman" w:cs="Times New Roman"/>
          <w:iCs/>
          <w:noProof/>
          <w:color w:val="000000" w:themeColor="text1"/>
          <w:sz w:val="24"/>
          <w:szCs w:val="24"/>
        </w:rPr>
        <w:t>(21)</w:t>
      </w:r>
      <w:r w:rsidRPr="008108B8">
        <w:rPr>
          <w:rFonts w:ascii="Times New Roman" w:hAnsi="Times New Roman" w:cs="Times New Roman"/>
          <w:i/>
          <w:iCs/>
          <w:color w:val="000000" w:themeColor="text1"/>
          <w:sz w:val="24"/>
          <w:szCs w:val="24"/>
        </w:rPr>
        <w:fldChar w:fldCharType="end"/>
      </w:r>
      <w:r w:rsidRPr="008108B8">
        <w:rPr>
          <w:rFonts w:ascii="Times New Roman" w:hAnsi="Times New Roman" w:cs="Times New Roman"/>
          <w:color w:val="000000" w:themeColor="text1"/>
          <w:sz w:val="24"/>
          <w:szCs w:val="24"/>
        </w:rPr>
        <w:t xml:space="preserve">. We evaluated both </w:t>
      </w:r>
      <w:r w:rsidRPr="008108B8">
        <w:rPr>
          <w:rFonts w:ascii="Times New Roman" w:hAnsi="Times New Roman" w:cs="Times New Roman"/>
          <w:i/>
          <w:iCs/>
          <w:color w:val="000000" w:themeColor="text1"/>
          <w:sz w:val="24"/>
          <w:szCs w:val="24"/>
        </w:rPr>
        <w:t>de novo</w:t>
      </w:r>
      <w:r w:rsidRPr="008108B8">
        <w:rPr>
          <w:rFonts w:ascii="Times New Roman" w:hAnsi="Times New Roman" w:cs="Times New Roman"/>
          <w:color w:val="000000" w:themeColor="text1"/>
          <w:sz w:val="24"/>
          <w:szCs w:val="24"/>
        </w:rPr>
        <w:t xml:space="preserve"> structures and </w:t>
      </w:r>
      <w:r w:rsidRPr="008108B8">
        <w:rPr>
          <w:rFonts w:ascii="Times New Roman" w:hAnsi="Times New Roman" w:cs="Times New Roman"/>
          <w:i/>
          <w:iCs/>
          <w:color w:val="000000" w:themeColor="text1"/>
          <w:sz w:val="24"/>
          <w:szCs w:val="24"/>
        </w:rPr>
        <w:t>a priori</w:t>
      </w:r>
      <w:r w:rsidRPr="008108B8">
        <w:rPr>
          <w:rFonts w:ascii="Times New Roman" w:hAnsi="Times New Roman" w:cs="Times New Roman"/>
          <w:color w:val="000000" w:themeColor="text1"/>
          <w:sz w:val="24"/>
          <w:szCs w:val="24"/>
        </w:rPr>
        <w:t xml:space="preserve"> groupings, as the effect of group misspecification is unknown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{"citationItems":[{"id":"ITEM-1","itemData":{"DOI":"10.1038/s41437-020-0348-2","ISSN":"13652540","PMID":"32753664","abstract":"Inference of genetic clusters is a key aim of population genetics, sparking development of numerous analytical methods. Within these, there is a conceptual divide between finding de novo structure versus assessment of a priori groups. Recently developed, Discriminant Analysis of Principal Components (DAPC), combines discriminant analysis (DA) with principal component (PC) analysis. When applying DAPC, the groups used in the DA (specified a priori or described de novo) need to be carefully assessed. While DAPC has rapidly become a core technique, the sensitivity of the method to misspecification of groups and how it is being empirically applied, are unknown. To address this, we conducted a simulation study examining the influence of a priori versus de novo group designations, and a literature review of how DAPC is being applied. We found that with a priori groupings, distance between genetic clusters reflected underlying FST. However, when migration rates were high and groups were described de novo there was considerable inaccuracy, both in terms of the number of genetic clusters suggested and placement of individuals into those clusters. Nearly all (90.1%) of 224 studies surveyed used DAPC to find de novo clusters, and for the majority (62.5%) the stated goal matched the results. However, most studies (52.3%) omit key run parameters, preventing repeatability and transparency. Therefore, we present recommendations for standard reporting of parameters used in DAPC analyses. The influence of groupings in genetic clustering is not unique to DAPC, and researchers need to consider their goal and which methods will be most appropriate.","author":[{"dropping-particle":"","family":"Miller","given":"Joshua M.","non-dropping-particle":"","parse-names":false,"suffix":""},{"dropping-particle":"","family":"Cullingham","given":"Catherine I.","non-dropping-particle":"","parse-names":false,"suffix":""},{"dropping-particle":"","family":"Peery","given":"Rhiannon M.","non-dropping-particle":"","parse-names":false,"suffix":""}],"container-title":"Heredity","id":"ITEM-1","issue":"5","issued":{"date-parts":[["2020"]]},"page":"269-280","publisher":"Springer US","title":"The influence of a priori grouping on inference of genetic clusters: simulation study and literature review of the DAPC method","type":"article-journal","volume":"125"},"uris":["http://www.mendeley.com/documents/?uuid=63a9e34f-f84d-474b-9d27-0fadcd25e203"]}],"mendeley":{"formattedCitation":"(22)","plainTextFormattedCitation":"(22)","previouslyFormattedCitation":"(22)"},"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(22)</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xml:space="preserve">. We then used fastSTRUCTURE v1.0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{"citationItems":[{"id":"ITEM-1","itemData":{"DOI":"10.1534/genetics.114.164350","ISBN":"1943-2631 (Electronic)\\r0016-6731 (Linking)","ISSN":"19432631","PMID":"24700103","abstract":"Tools for estimating population structure from genetic data are now used in a wide variety of applications in population genetics. However, inferring population structure in large modern data sets imposes severe computational challenges. Here, we develop efficient algorithms for approximate inference of the model underlying the STRUCTURE program using a variational Bayesian framework. Variational methods pose the problem of computing relevant posterior distributions as an optimization problem, allowing us to build on recent advances in optimization theory to develop fast inference tools. In addition, we propose useful heuristic scores to identify the number of populations represented in a data set and a new hierarchical prior to detect weak population structure in the data. We test the variational algorithms on simulated data and illustrate using genotype data from the CEPH-Human Genome Diversity Panel. The variational algorithms are almost two orders of magnitude faster than STRUCTURE and achieve accuracies comparable to those of ADMIXTURE. Furthermore, our results show that the heuristic scores for choosing model complexity provide a reasonable range of values for the number of populations represented in the data, with minimal bias toward detecting structure when it is very weak. Our algorithm, fastSTRUCTURE, is freely available online at http://pritchardlab.stanford.edu/structure.html.","author":[{"dropping-particle":"","family":"Raj","given":"Anil","non-dropping-particle":"","parse-names":false,"suffix":""},{"dropping-particle":"","family":"Stephens","given":"Matthew","non-dropping-particle":"","parse-names":false,"suffix":""},{"dropping-particle":"","family":"Pritchard","given":"Jonathan K.","non-dropping-particle":"","parse-names":false,"suffix":""}],"container-title":"Genetics","id":"ITEM-1","issue":"2","issued":{"date-parts":[["2014"]]},"page":"573-589","title":"FastSTRUCTURE: Variational inference of population structure in large SNP data sets","type":"article-journal","volume":"197"},"uris":["http://www.mendeley.com/documents/?uuid=c6b2e1c8-f517-4ef4-b773-0ae8977f7e2f"]}],"mendeley":{"formattedCitation":"(20)","plainTextFormattedCitation":"(20)","previouslyFormattedCitation":"(20)"},"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(20)</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xml:space="preserve"> and ADMIXTURE v1.3.0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{"citationItems":[{"id":"ITEM-1","itemData":{"DOI":"10.1101/gr.094052.109","ISSN":"10889051","PMID":"19648217","abstract":"Population stratification has long been recognized as a confounding factor in genetic association studies. Estimated ancestries, derived from multi-locus genotype data, can be used to perform a statistical correction for population stratification. One popular technique for estimation of ancestry is the model-based approach embodied by the widely applied program structure. Another approach, implemented in the program EIGENSTRAT, relies on Principal Component Analysis rather than model-based estimation and does not directly deliver admixture fractions. EIGENSTRAT has gained in popularity in part owing to its remarkable speed in comparison to structure. We present a new algorithm and a program, ADMIXTURE, for model-based estimation of ancestry in unrelated individuals. ADMIXTURE adopts the likelihood model embedded in structure. However, ADMIXTURE runs considerably faster, solving problems in minutes that take structure hours. In many of our experiments, we have found that ADMIXTURE is almost as fast as EIGENSTRAT. The runtime improvements of ADMIXTURE rely on a fast block relaxation scheme using sequential quadratic programming for block updates, coupled with a novel quasi-Newton acceleration of convergence. Our algorithm also runs faster and with greater accuracy than the implementation of an Expectation-Maximization (EM) algorithm incorporated in the program FRAPPE. Our simulations show that ADMIXTURE's maximum likelihood estimates of the underlying admixture coefficients and ancestral allele frequencies are as accurate as structure's Bayesian estimates. On real-world data sets, ADMIXTURE's estimates are directly comparable to those from structure and EIGENSTRAT. Taken together, our results show that ADMIXTURE's computational speed opens up the possibility of using a much larger set of markers in model-based ancestry estimation and that its estimates are suitable for use in correcting for population stratification in association studies. © 2009 by Cold Spring Harbor Laboratory Press.","author":[{"dropping-particle":"","family":"Alexander","given":"David H.","non-dropping-particle":"","parse-names":false,"suffix":""},{"dropping-particle":"","family":"Novembre","given":"John","non-dropping-particle":"","parse-names":false,"suffix":""},{"dropping-particle":"","family":"Lange","given":"Kenneth","non-dropping-particle":"","parse-names":false,"suffix":""}],"container-title":"Genome Research","id":"ITEM-1","issue":"9","issued":{"date-parts":[["2009"]]},"page":"1655-1664","title":"Fast model-based estimation of ancestry in unrelated individuals","type":"article-journal","volume":"19"},"uris":["http://www.mendeley.com/documents/?uuid=747849da-419c-495b-a3d6-217f2af2eca5"]}],"mendeley":{"formattedCitation":"(18)","plainTextFormattedCitation":"(18)","previouslyFormattedCitation":"(18)"},"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(18)</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xml:space="preserve"> software to infer population structure. Both methods aim to identify the best value of </w:t>
      </w:r>
      <w:r w:rsidRPr="008108B8">
        <w:rPr>
          <w:rFonts w:ascii="Times New Roman" w:hAnsi="Times New Roman" w:cs="Times New Roman"/>
          <w:i/>
          <w:iCs/>
          <w:color w:val="000000" w:themeColor="text1"/>
          <w:sz w:val="24"/>
          <w:szCs w:val="24"/>
        </w:rPr>
        <w:t>k</w:t>
      </w:r>
      <w:r w:rsidRPr="008108B8">
        <w:rPr>
          <w:rFonts w:ascii="Times New Roman" w:hAnsi="Times New Roman" w:cs="Times New Roman"/>
          <w:color w:val="000000" w:themeColor="text1"/>
          <w:sz w:val="24"/>
          <w:szCs w:val="24"/>
        </w:rPr>
        <w:t xml:space="preserve">, the number of populations, based on the same statistical model as STRUCTURE (i.e., independent loci, admixture model). However, they implement faster algorithms. While ADMIXTURE uses a maximum-likelihood approach to determine a single best-fit population scheme, fastSTRUCTURE, a Bayesian clustering method, outputs a range of biologically plausible scenarios based on the observed structure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{"citationItems":[{"id":"ITEM-1","itemData":{"DOI":"10.1534/genetics.114.164350","ISBN":"1943-2631 (Electronic)\\r0016-6731 (Linking)","ISSN":"19432631","PMID":"24700103","abstract":"Tools for estimating population structure from genetic data are now used in a wide variety of applications in population genetics. However, inferring population structure in large modern data sets imposes severe computational challenges. Here, we develop efficient algorithms for approximate inference of the model underlying the STRUCTURE program using a variational Bayesian framework. Variational methods pose the problem of computing relevant posterior distributions as an optimization problem, allowing us to build on recent advances in optimization theory to develop fast inference tools. In addition, we propose useful heuristic scores to identify the number of populations represented in a data set and a new hierarchical prior to detect weak population structure in the data. We test the variational algorithms on simulated data and illustrate using genotype data from the CEPH-Human Genome Diversity Panel. The variational algorithms are almost two orders of magnitude faster than STRUCTURE and achieve accuracies comparable to those of ADMIXTURE. Furthermore, our results show that the heuristic scores for choosing model complexity provide a reasonable range of values for the number of populations represented in the data, with minimal bias toward detecting structure when it is very weak. Our algorithm, fastSTRUCTURE, is freely available online at http://pritchardlab.stanford.edu/structure.html.","author":[{"dropping-particle":"","family":"Raj","given":"Anil","non-dropping-particle":"","parse-names":false,"suffix":""},{"dropping-particle":"","family":"Stephens","given":"Matthew","non-dropping-particle":"","parse-names":false,"suffix":""},{"dropping-particle":"","family":"Pritchard","given":"Jonathan K.","non-dropping-particle":"","parse-names":false,"suffix":""}],"container-title":"Genetics","id":"ITEM-1","issue":"2","issued":{"date-parts":[["2014"]]},"page":"573-589","title":"FastSTRUCTURE: Variational inference of population structure in large SNP data sets","type":"article-journal","volume":"197"},"uris":["http://www.mendeley.com/documents/?uuid=c6b2e1c8-f517-4ef4-b773-0ae8977f7e2f"]}],"mendeley":{"formattedCitation":"(20)","plainTextFormattedCitation":"(20)","previouslyFormattedCitation":"(20)"},"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(20)</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To evaluate potential cryptic diversity,</w:t>
      </w:r>
      <w:r w:rsidRPr="008108B8" w:rsidDel="001B2485">
        <w:rPr>
          <w:rFonts w:ascii="Times New Roman" w:hAnsi="Times New Roman" w:cs="Times New Roman"/>
          <w:color w:val="000000" w:themeColor="text1"/>
          <w:sz w:val="24"/>
          <w:szCs w:val="24"/>
        </w:rPr>
        <w:t xml:space="preserve"> </w:t>
      </w:r>
      <w:r w:rsidRPr="008108B8">
        <w:rPr>
          <w:rFonts w:ascii="Times New Roman" w:hAnsi="Times New Roman" w:cs="Times New Roman"/>
          <w:color w:val="000000" w:themeColor="text1"/>
          <w:sz w:val="24"/>
          <w:szCs w:val="24"/>
        </w:rPr>
        <w:t xml:space="preserve">we ran both analyses with </w:t>
      </w:r>
      <w:r w:rsidRPr="008108B8">
        <w:rPr>
          <w:rFonts w:ascii="Times New Roman" w:hAnsi="Times New Roman" w:cs="Times New Roman"/>
          <w:i/>
          <w:iCs/>
          <w:color w:val="000000" w:themeColor="text1"/>
          <w:sz w:val="24"/>
          <w:szCs w:val="24"/>
        </w:rPr>
        <w:t>k</w:t>
      </w:r>
      <w:r w:rsidRPr="008108B8">
        <w:rPr>
          <w:rFonts w:ascii="Times New Roman" w:hAnsi="Times New Roman" w:cs="Times New Roman"/>
          <w:color w:val="000000" w:themeColor="text1"/>
          <w:sz w:val="24"/>
          <w:szCs w:val="24"/>
        </w:rPr>
        <w:t xml:space="preserve"> values ranging from the number of sampling sites plus an additional genomic grouping (</w:t>
      </w:r>
      <w:r w:rsidRPr="008108B8">
        <w:rPr>
          <w:rFonts w:ascii="Times New Roman" w:hAnsi="Times New Roman" w:cs="Times New Roman"/>
          <w:i/>
          <w:iCs/>
          <w:color w:val="000000" w:themeColor="text1"/>
          <w:sz w:val="24"/>
          <w:szCs w:val="24"/>
        </w:rPr>
        <w:t xml:space="preserve">n </w:t>
      </w:r>
      <w:r w:rsidRPr="008108B8">
        <w:rPr>
          <w:rFonts w:ascii="Times New Roman" w:hAnsi="Times New Roman" w:cs="Times New Roman"/>
          <w:color w:val="000000" w:themeColor="text1"/>
          <w:sz w:val="24"/>
          <w:szCs w:val="24"/>
        </w:rPr>
        <w:t xml:space="preserve">+ 1). For the fastSTRUCTURE analyses, we applied a logistic prior and used the script </w:t>
      </w:r>
      <w:r w:rsidRPr="008108B8">
        <w:rPr>
          <w:rFonts w:ascii="Times New Roman" w:hAnsi="Times New Roman" w:cs="Times New Roman"/>
          <w:i/>
          <w:iCs/>
          <w:color w:val="000000" w:themeColor="text1"/>
          <w:sz w:val="24"/>
          <w:szCs w:val="24"/>
        </w:rPr>
        <w:t>chooseK.py</w:t>
      </w:r>
      <w:r w:rsidRPr="008108B8">
        <w:rPr>
          <w:rFonts w:ascii="Times New Roman" w:hAnsi="Times New Roman" w:cs="Times New Roman"/>
          <w:color w:val="000000" w:themeColor="text1"/>
          <w:sz w:val="24"/>
          <w:szCs w:val="24"/>
        </w:rPr>
        <w:t xml:space="preserve"> from fastSTRUCTURE to select the best-fitting model (</w:t>
      </w:r>
      <w:r w:rsidRPr="008108B8">
        <w:rPr>
          <w:rFonts w:ascii="Times New Roman" w:hAnsi="Times New Roman" w:cs="Times New Roman"/>
          <w:i/>
          <w:iCs/>
          <w:color w:val="000000" w:themeColor="text1"/>
          <w:sz w:val="24"/>
          <w:szCs w:val="24"/>
        </w:rPr>
        <w:t>k</w:t>
      </w:r>
      <w:r w:rsidRPr="008108B8">
        <w:rPr>
          <w:rFonts w:ascii="Times New Roman" w:hAnsi="Times New Roman" w:cs="Times New Roman"/>
          <w:color w:val="000000" w:themeColor="text1"/>
          <w:sz w:val="24"/>
          <w:szCs w:val="24"/>
        </w:rPr>
        <w:t>). We then re-ran the analyses 25 times with multiple random starting seeds to identify the five highest values of log-marginal likelihood (LLBO). For the ADMIXTURE analyses, we used a cross-validation method to select the optimal number of genetic clusters (</w:t>
      </w:r>
      <w:r w:rsidRPr="008108B8">
        <w:rPr>
          <w:rFonts w:ascii="Times New Roman" w:hAnsi="Times New Roman" w:cs="Times New Roman"/>
          <w:i/>
          <w:iCs/>
          <w:color w:val="000000" w:themeColor="text1"/>
          <w:sz w:val="24"/>
          <w:szCs w:val="24"/>
        </w:rPr>
        <w:t>k</w:t>
      </w:r>
      <w:r w:rsidRPr="008108B8">
        <w:rPr>
          <w:rFonts w:ascii="Times New Roman" w:hAnsi="Times New Roman" w:cs="Times New Roman"/>
          <w:color w:val="000000" w:themeColor="text1"/>
          <w:sz w:val="24"/>
          <w:szCs w:val="24"/>
        </w:rPr>
        <w:t>), where the lowest rate represents the best-fit model. ADMIXTURE was run with fivefold cross-validation rate (--</w:t>
      </w:r>
      <w:r w:rsidRPr="008108B8">
        <w:rPr>
          <w:rFonts w:ascii="Times New Roman" w:hAnsi="Times New Roman" w:cs="Times New Roman"/>
          <w:i/>
          <w:iCs/>
          <w:color w:val="000000" w:themeColor="text1"/>
          <w:sz w:val="24"/>
          <w:szCs w:val="24"/>
        </w:rPr>
        <w:t>cv</w:t>
      </w:r>
      <w:r w:rsidRPr="008108B8">
        <w:rPr>
          <w:rFonts w:ascii="Times New Roman" w:hAnsi="Times New Roman" w:cs="Times New Roman"/>
          <w:color w:val="000000" w:themeColor="text1"/>
          <w:sz w:val="24"/>
          <w:szCs w:val="24"/>
        </w:rPr>
        <w:t xml:space="preserve"> = 5) and 2,000 bootstraps (-</w:t>
      </w:r>
      <w:r w:rsidRPr="008108B8">
        <w:rPr>
          <w:rFonts w:ascii="Times New Roman" w:hAnsi="Times New Roman" w:cs="Times New Roman"/>
          <w:i/>
          <w:iCs/>
          <w:color w:val="000000" w:themeColor="text1"/>
          <w:sz w:val="24"/>
          <w:szCs w:val="24"/>
        </w:rPr>
        <w:t xml:space="preserve">B </w:t>
      </w:r>
      <w:r w:rsidRPr="008108B8">
        <w:rPr>
          <w:rFonts w:ascii="Times New Roman" w:hAnsi="Times New Roman" w:cs="Times New Roman"/>
          <w:color w:val="000000" w:themeColor="text1"/>
          <w:sz w:val="24"/>
          <w:szCs w:val="24"/>
        </w:rPr>
        <w:t>= 2000), allowing precise calculation of the cross-validation rate and estimation of parameter standard error. To create final plots and visualize the results of fastSTRUCTURE and ADMIXTURE analyses, we used the R package pophelper</w:t>
      </w:r>
      <w:r w:rsidRPr="008108B8">
        <w:rPr>
          <w:rFonts w:ascii="Times New Roman" w:hAnsi="Times New Roman" w:cs="Times New Roman"/>
          <w:i/>
          <w:iCs/>
          <w:color w:val="000000" w:themeColor="text1"/>
          <w:sz w:val="24"/>
          <w:szCs w:val="24"/>
        </w:rPr>
        <w:t xml:space="preserve"> </w:t>
      </w:r>
      <w:r w:rsidRPr="008108B8">
        <w:rPr>
          <w:rFonts w:ascii="Times New Roman" w:hAnsi="Times New Roman" w:cs="Times New Roman"/>
          <w:i/>
          <w:iCs/>
          <w:color w:val="000000" w:themeColor="text1"/>
          <w:sz w:val="24"/>
          <w:szCs w:val="24"/>
        </w:rPr>
        <w:fldChar w:fldCharType="begin" w:fldLock="1"/>
      </w:r>
      <w:r w:rsidRPr="008108B8">
        <w:rPr>
          <w:rFonts w:ascii="Times New Roman" w:hAnsi="Times New Roman" w:cs="Times New Roman"/>
          <w:i/>
          <w:iCs/>
          <w:color w:val="000000" w:themeColor="text1"/>
          <w:sz w:val="24"/>
          <w:szCs w:val="24"/>
        </w:rPr>
        <w:instrText>ADDIN CSL_CITATION {"citationItems":[{"id":"ITEM-1","itemData":{"DOI":"10.1111/1755-0998.12509","ISSN":"17550998","PMID":"26850166","abstract":"The pophelper r package and web app are software tools to aid in population structure analyses. They can be used for the analyses and visualization of output generated from population assignment programs such as admixture, structure and tess. Some of the functions include parsing output run files to tabulate data, estimating K using the Evanno method, generating files for clumpp and functionality to create barplots. These functions can be streamlined into standard r analysis workflows. The latest version of the package is available on github (https://github.com/royfrancis/pophelper). An interactive web version of the pophelper package is available which covers the same functionalities as the r package version with features such as interactive plots, cluster alignment during plotting, sorting individuals and ordering of population groups. The interactive version is available at http://pophelper.com/.","author":[{"dropping-particle":"","family":"Francis","given":"R. M.","non-dropping-particle":"","parse-names":false,"suffix":""}],"container-title":"Molecular Ecology Resources","id":"ITEM-1","issue":"1","issued":{"date-parts":[["2017"]]},"page":"27-32","title":"pophelper: an R package and web app to analyse and visualize population structure","type":"article-journal","volume":"17"},"uris":["http://www.mendeley.com/documents/?uuid=128d23e0-5ed7-4521-a154-dd1b0c07353f"]}],"mendeley":{"formattedCitation":"(79)","plainTextFormattedCitation":"(79)","previouslyFormattedCitation":"(78)"},"properties":{"noteIndex":0},"schema":"https://github.com/citation-style-language/schema/raw/master/csl-citation.json"}</w:instrText>
      </w:r>
      <w:r w:rsidRPr="008108B8">
        <w:rPr>
          <w:rFonts w:ascii="Times New Roman" w:hAnsi="Times New Roman" w:cs="Times New Roman"/>
          <w:i/>
          <w:iCs/>
          <w:color w:val="000000" w:themeColor="text1"/>
          <w:sz w:val="24"/>
          <w:szCs w:val="24"/>
        </w:rPr>
        <w:fldChar w:fldCharType="separate"/>
      </w:r>
      <w:r w:rsidRPr="008108B8">
        <w:rPr>
          <w:rFonts w:ascii="Times New Roman" w:hAnsi="Times New Roman" w:cs="Times New Roman"/>
          <w:iCs/>
          <w:noProof/>
          <w:color w:val="000000" w:themeColor="text1"/>
          <w:sz w:val="24"/>
          <w:szCs w:val="24"/>
        </w:rPr>
        <w:t>(79)</w:t>
      </w:r>
      <w:r w:rsidRPr="008108B8">
        <w:rPr>
          <w:rFonts w:ascii="Times New Roman" w:hAnsi="Times New Roman" w:cs="Times New Roman"/>
          <w:i/>
          <w:iCs/>
          <w:color w:val="000000" w:themeColor="text1"/>
          <w:sz w:val="24"/>
          <w:szCs w:val="24"/>
        </w:rPr>
        <w:fldChar w:fldCharType="end"/>
      </w:r>
      <w:r w:rsidRPr="008108B8">
        <w:rPr>
          <w:rFonts w:ascii="Times New Roman" w:hAnsi="Times New Roman" w:cs="Times New Roman"/>
          <w:color w:val="000000" w:themeColor="text1"/>
          <w:sz w:val="24"/>
          <w:szCs w:val="24"/>
        </w:rPr>
        <w:t xml:space="preserve">. Finally, we estimated phylogenetic trees using the concatenated SNP-loci matrices under a maximum likelihood framework in IQtree v2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{"citationItems":[{"id":"ITEM-1","itemData":{"DOI":"10.1093/molbev/msu300","ISSN":"15371719","PMID":"25371430","abstract":"Large phylogenomics data sets require fast tree inference methods, especially for maximum-likelihood (ML) phylogenies. Fast programs exist, but due to inherent heuristics to find optimal trees, it is not clear whether the best tree is found. Thus, there is need for additional approaches that employ different search strategies to find ML trees and that are at the same time as fast as currently available ML programs. We show that a combination of hill-climbing approaches and a stochastic perturbation method can be time-efficiently implemented. If we allow the same CPU time as RAxML and PhyML, then our software IQ-TREE found higher likelihoods between 62.2% and 87.1% of the studied alignments, thus efficiently exploring the tree-space. If we use the IQ-TREE stopping rule, RAxML and PhyML are faster in 75.7% and 47.1% of the DNA alignments and 42.2% and 100% of the protein alignments, respectively. However, the range of obtaining higher likelihoods with IQ-TREE improves to 73.3-97.1%. IQ-TREE is freely available at http://www.cibiv.at/software/iqtree.","author":[{"dropping-particle":"","family":"Nguyen","given":"Lam Tung","non-dropping-particle":"","parse-names":false,"suffix":""},{"dropping-particle":"","family":"Schmidt","given":"Heiko A.","non-dropping-particle":"","parse-names":false,"suffix":""},{"dropping-particle":"","family":"Haeseler","given":"Arndt","non-dropping-particle":"Von","parse-names":false,"suffix":""},{"dropping-particle":"","family":"Minh","given":"Bui Quang","non-dropping-particle":"","parse-names":false,"suffix":""}],"container-title":"Molecular Biology and Evolution","id":"ITEM-1","issue":"1","issued":{"date-parts":[["2015"]]},"page":"268-274","title":"IQ-TREE: A fast and effective stochastic algorithm for estimating maximum-likelihood phylogenies","type":"article-journal","volume":"32"},"uris":["http://www.mendeley.com/documents/?uuid=eda0db3a-ec45-4865-a70f-8c22c8c4870e"]}],"mendeley":{"formattedCitation":"(23)","plainTextFormattedCitation":"(23)","previouslyFormattedCitation":"(23)"},"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(23)</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To account for ascertainment bias, we applied the GTR plus ascertainment bias correction model (+ASC)</w:t>
      </w:r>
      <w:r w:rsidRPr="008108B8">
        <w:rPr>
          <w:rFonts w:ascii="Times New Roman" w:hAnsi="Times New Roman" w:cs="Times New Roman"/>
          <w:sz w:val="24"/>
          <w:szCs w:val="24"/>
        </w:rPr>
        <w:t>.</w:t>
      </w:r>
    </w:p>
    <w:p w14:paraId="67A09950" w14:textId="77777777" w:rsidR="00321B78" w:rsidRPr="008108B8" w:rsidRDefault="00321B78" w:rsidP="00321B78">
      <w:pPr>
        <w:rPr>
          <w:rFonts w:ascii="Times New Roman" w:hAnsi="Times New Roman" w:cs="Times New Roman"/>
          <w:sz w:val="24"/>
          <w:szCs w:val="24"/>
        </w:rPr>
      </w:pPr>
    </w:p>
    <w:p w14:paraId="3A3C951D" w14:textId="30EFDA28" w:rsidR="00321B78" w:rsidRPr="008108B8" w:rsidRDefault="00321B78" w:rsidP="00321B78">
      <w:pPr>
        <w:autoSpaceDE w:val="0"/>
        <w:autoSpaceDN w:val="0"/>
        <w:adjustRightInd w:val="0"/>
        <w:jc w:val="both"/>
        <w:rPr>
          <w:rFonts w:ascii="Times New Roman" w:hAnsi="Times New Roman" w:cs="Times New Roman"/>
          <w:sz w:val="24"/>
          <w:szCs w:val="24"/>
        </w:rPr>
      </w:pPr>
      <w:r w:rsidRPr="008108B8">
        <w:rPr>
          <w:rFonts w:ascii="Times New Roman" w:hAnsi="Times New Roman" w:cs="Times New Roman"/>
          <w:b/>
          <w:bCs/>
          <w:color w:val="000000" w:themeColor="text1"/>
          <w:sz w:val="24"/>
          <w:szCs w:val="24"/>
        </w:rPr>
        <w:t>Spatial patterns of genetic structure.</w:t>
      </w:r>
      <w:r w:rsidRPr="008108B8">
        <w:rPr>
          <w:rFonts w:ascii="Times New Roman" w:hAnsi="Times New Roman" w:cs="Times New Roman"/>
          <w:sz w:val="24"/>
          <w:szCs w:val="24"/>
        </w:rPr>
        <w:t xml:space="preserve"> We employed the estimation of effective migration surfaces (EEMS) method </w:t>
      </w:r>
      <w:r w:rsidRPr="008108B8">
        <w:rPr>
          <w:rFonts w:ascii="Times New Roman" w:hAnsi="Times New Roman" w:cs="Times New Roman"/>
          <w:sz w:val="24"/>
          <w:szCs w:val="24"/>
        </w:rPr>
        <w:fldChar w:fldCharType="begin" w:fldLock="1"/>
      </w:r>
      <w:r w:rsidRPr="008108B8">
        <w:rPr>
          <w:rFonts w:ascii="Times New Roman" w:hAnsi="Times New Roman" w:cs="Times New Roman"/>
          <w:sz w:val="24"/>
          <w:szCs w:val="24"/>
        </w:rPr>
        <w:instrText>ADDIN CSL_CITATION {"citationItems":[{"id":"ITEM-1","itemData":{"DOI":"10.1038/ng.3464","ISSN":"15461718","PMID":"26642242","abstract":"Genetic data often exhibit patterns broadly consistent with 'isolation by distance' - a phenomenon where genetic similarity decays with geographic distance. In a heterogeneous habitat, this may occur more quickly in some regions than in others: for example, barriers to gene flow can accelerate differentiation between neighboring groups. We use the concept of 'effective migration' to model the relationship between genetics and geography. In this paradigm, effective migration is low in regions where genetic similarity decays quickly. We present a method to visualize variation in effective migration across a habitat from geographically indexed genetic data. Our approach uses a population genetic model to relate effective migration rates to expected genetic dissimilarities. We illustrate its potential and limitations using simulations and data from elephant, human and Arabidopsis thaliana populations. The resulting visualizations highlight important spatial features of population structure that are difficult to discern using existing methods for summarizing genetic variation.","author":[{"dropping-particle":"","family":"Petkova","given":"Desislava","non-dropping-particle":"","parse-names":false,"suffix":""},{"dropping-particle":"","family":"Novembre","given":"John","non-dropping-particle":"","parse-names":false,"suffix":""},{"dropping-particle":"","family":"Stephens","given":"Matthew","non-dropping-particle":"","parse-names":false,"suffix":""}],"container-title":"Nature Genetics","id":"ITEM-1","issue":"1","issued":{"date-parts":[["2015"]]},"page":"94-100","publisher":"Nature Publishing Group","title":"Visualizing spatial population structure with estimated effective migration surfaces","type":"article-journal","volume":"48"},"uris":["http://www.mendeley.com/documents/?uuid=521ddfb6-8cc1-4662-85d9-e0c405e6ba1e"]}],"mendeley":{"formattedCitation":"(25)","plainTextFormattedCitation":"(25)","previouslyFormattedCitation":"(25)"},"properties":{"noteIndex":0},"schema":"https://github.com/citation-style-language/schema/raw/master/csl-citation.json"}</w:instrText>
      </w:r>
      <w:r w:rsidRPr="008108B8">
        <w:rPr>
          <w:rFonts w:ascii="Times New Roman" w:hAnsi="Times New Roman" w:cs="Times New Roman"/>
          <w:sz w:val="24"/>
          <w:szCs w:val="24"/>
        </w:rPr>
        <w:fldChar w:fldCharType="separate"/>
      </w:r>
      <w:r w:rsidRPr="008108B8">
        <w:rPr>
          <w:rFonts w:ascii="Times New Roman" w:hAnsi="Times New Roman" w:cs="Times New Roman"/>
          <w:noProof/>
          <w:sz w:val="24"/>
          <w:szCs w:val="24"/>
        </w:rPr>
        <w:t>(25)</w:t>
      </w:r>
      <w:r w:rsidRPr="008108B8">
        <w:rPr>
          <w:rFonts w:ascii="Times New Roman" w:hAnsi="Times New Roman" w:cs="Times New Roman"/>
          <w:sz w:val="24"/>
          <w:szCs w:val="24"/>
        </w:rPr>
        <w:fldChar w:fldCharType="end"/>
      </w:r>
      <w:r w:rsidRPr="008108B8">
        <w:rPr>
          <w:rFonts w:ascii="Times New Roman" w:hAnsi="Times New Roman" w:cs="Times New Roman"/>
          <w:sz w:val="24"/>
          <w:szCs w:val="24"/>
        </w:rPr>
        <w:t xml:space="preserve"> as a means to visualize the spatial patterns of population genetic structure and identify barriers to gene flow. EEMS</w:t>
      </w:r>
      <w:r w:rsidRPr="008108B8" w:rsidDel="00B751A7">
        <w:rPr>
          <w:rFonts w:ascii="Times New Roman" w:hAnsi="Times New Roman" w:cs="Times New Roman"/>
          <w:sz w:val="24"/>
          <w:szCs w:val="24"/>
        </w:rPr>
        <w:t xml:space="preserve"> </w:t>
      </w:r>
      <w:r w:rsidRPr="008108B8">
        <w:rPr>
          <w:rFonts w:ascii="Times New Roman" w:hAnsi="Times New Roman" w:cs="Times New Roman"/>
          <w:sz w:val="24"/>
          <w:szCs w:val="24"/>
        </w:rPr>
        <w:t xml:space="preserve">represents genetic differentiation as a function of migration rates, based on an isolation-by-distance model (IBD), and quantifies genetic differentiation among geo-referenced samples. By comparing the observed genetic differentiation among individuals to expectations under an IBD model, this method identifies areas where differentiation exceeds IBD predictions, which correspond to areas of lower migration (barriers to gene flow). Conversely, areas where differentiation is less than predicted represent areas of greater effective migration (corridors) </w:t>
      </w:r>
      <w:r w:rsidRPr="008108B8">
        <w:rPr>
          <w:rFonts w:ascii="Times New Roman" w:hAnsi="Times New Roman" w:cs="Times New Roman"/>
          <w:sz w:val="24"/>
          <w:szCs w:val="24"/>
        </w:rPr>
        <w:fldChar w:fldCharType="begin" w:fldLock="1"/>
      </w:r>
      <w:r w:rsidRPr="008108B8">
        <w:rPr>
          <w:rFonts w:ascii="Times New Roman" w:hAnsi="Times New Roman" w:cs="Times New Roman"/>
          <w:sz w:val="24"/>
          <w:szCs w:val="24"/>
        </w:rPr>
        <w:instrText>ADDIN CSL_CITATION {"citationItems":[{"id":"ITEM-1","itemData":{"DOI":"10.1371/journal.pone.0274189","ISBN":"1111111111","ISSN":"19326203","PMID":"36099302","abstract":"Characterizing genetic structure across a species’ range is relevant for management and conservation as it can be used to define population boundaries and quantify connectivity. Wide-ranging species residing in continuously distributed habitat pose substantial challenges for the characterization of genetic structure as many analytical methods used are less effective when isolation by distance is an underlying biological pattern. Here, we illustrate strategies for overcoming these challenges using a species of significant conservation concern, the Greater Sage-grouse (Centrocercus urophasianus), providing a new method to identify centers of genetic differentiation and combining multiple methods to help inform management and conservation strategies for this and other such species. Our objectives were to (1) describe large-scale patterns of population genetic structure and gene flow and (2) to characterize genetic subpopulation centers across the range of Greater Sage-grouse. Samples from 2,134 individuals were genotyped at 15 microsatellite loci. Using standard STRUCTURE and spatial principal components analyses, we found evidence for four or six areas of large-scale genetic differentiation and, following our novel method, 12 subpopulation centers of differentiation. Gene flow was greater, and differentiation reduced in areas of contiguous habitat (eastern Montana, most of Wyoming, much of Oregon, Nevada, and parts of Idaho). As expected, areas of fragmented habitat such as in Utah (with 6 subpopulation centers) exhibited the greatest genetic differentiation and lowest effective migration. The subpopulation centers defined here could be monitored to maintain genetic diversity and connectivity with other subpopulation centers. Many areas outside subpopulation centers are contact zones where different genetic groups converge and could be priorities for maintaining overall connectivity. Our novel method and process of leveraging multiple different analyses to find common genetic patterns provides a path forward to characterizing genetic structure in wide-ranging, continuously distributed species.","author":[{"dropping-particle":"","family":"Oyler-McCance","given":"Sara J.","non-dropping-particle":"","parse-names":false,"suffix":""},{"dropping-particle":"","family":"Cross","given":"Todd B.","non-dropping-particle":"","parse-names":false,"suffix":""},{"dropping-particle":"","family":"Row","given":"Jeffery R.","non-dropping-particle":"","parse-names":false,"suffix":""},{"dropping-particle":"","family":"Schwartz","given":"Michael K.","non-dropping-particle":"","parse-names":false,"suffix":""},{"dropping-particle":"","family":"Naugle","given":"Dave E.","non-dropping-particle":"","parse-names":false,"suffix":""},{"dropping-particle":"","family":"Fike","given":"Jennifer A.","non-dropping-particle":"","parse-names":false,"suffix":""},{"dropping-particle":"","family":"Winiarski","given":"Kristopher","non-dropping-particle":"","parse-names":false,"suffix":""},{"dropping-particle":"","family":"Fedy","given":"Brad C.","non-dropping-particle":"","parse-names":false,"suffix":""}],"container-title":"PLoS ONE","id":"ITEM-1","issue":"9 September","issued":{"date-parts":[["2022"]]},"page":"1-22","title":"New strategies for characterizing genetic structure in wide-ranging, continuously distributed species: A Greater Sage-grouse case study","type":"article-journal","volume":"17"},"uris":["http://www.mendeley.com/documents/?uuid=2f19f76f-7891-4073-baf8-fc9d69099890"]},{"id":"ITEM-2","itemData":{"DOI":"10.1038/ng.3464","ISSN":"15461718","PMID":"26642242","abstract":"Genetic data often exhibit patterns broadly consistent with 'isolation by distance' - a phenomenon where genetic similarity decays with geographic distance. In a heterogeneous habitat, this may occur more quickly in some regions than in others: for example, barriers to gene flow can accelerate differentiation between neighboring groups. We use the concept of 'effective migration' to model the relationship between genetics and geography. In this paradigm, effective migration is low in regions where genetic similarity decays quickly. We present a method to visualize variation in effective migration across a habitat from geographically indexed genetic data. Our approach uses a population genetic model to relate effective migration rates to expected genetic dissimilarities. We illustrate its potential and limitations using simulations and data from elephant, human and Arabidopsis thaliana populations. The resulting visualizations highlight important spatial features of population structure that are difficult to discern using existing methods for summarizing genetic variation.","author":[{"dropping-particle":"","family":"Petkova","given":"Desislava","non-dropping-particle":"","parse-names":false,"suffix":""},{"dropping-particle":"","family":"Novembre","given":"John","non-dropping-particle":"","parse-names":false,"suffix":""},{"dropping-particle":"","family":"Stephens","given":"Matthew","non-dropping-particle":"","parse-names":false,"suffix":""}],"container-title":"Nature Genetics","id":"ITEM-2","issue":"1","issued":{"date-parts":[["2015"]]},"page":"94-100","publisher":"Nature Publishing Group","title":"Visualizing spatial population structure with estimated effective migration surfaces","type":"article-journal","volume":"48"},"uris":["http://www.mendeley.com/documents/?uuid=521ddfb6-8cc1-4662-85d9-e0c405e6ba1e"]}],"mendeley":{"formattedCitation":"(25, 80)","plainTextFormattedCitation":"(25, 80)","previouslyFormattedCitation":"(25, 79)"},"properties":{"noteIndex":0},"schema":"https://github.com/citation-style-language/schema/raw/master/csl-citation.json"}</w:instrText>
      </w:r>
      <w:r w:rsidRPr="008108B8">
        <w:rPr>
          <w:rFonts w:ascii="Times New Roman" w:hAnsi="Times New Roman" w:cs="Times New Roman"/>
          <w:sz w:val="24"/>
          <w:szCs w:val="24"/>
        </w:rPr>
        <w:fldChar w:fldCharType="separate"/>
      </w:r>
      <w:r w:rsidRPr="008108B8">
        <w:rPr>
          <w:rFonts w:ascii="Times New Roman" w:hAnsi="Times New Roman" w:cs="Times New Roman"/>
          <w:noProof/>
          <w:sz w:val="24"/>
          <w:szCs w:val="24"/>
        </w:rPr>
        <w:t>(25, 80)</w:t>
      </w:r>
      <w:r w:rsidRPr="008108B8">
        <w:rPr>
          <w:rFonts w:ascii="Times New Roman" w:hAnsi="Times New Roman" w:cs="Times New Roman"/>
          <w:sz w:val="24"/>
          <w:szCs w:val="24"/>
        </w:rPr>
        <w:fldChar w:fldCharType="end"/>
      </w:r>
      <w:r w:rsidRPr="008108B8">
        <w:rPr>
          <w:rFonts w:ascii="Times New Roman" w:hAnsi="Times New Roman" w:cs="Times New Roman"/>
          <w:sz w:val="24"/>
          <w:szCs w:val="24"/>
        </w:rPr>
        <w:t xml:space="preserve">. This method requires a genetic distance matrix of geo-referenced samples and a distribution polygon of the geographical area. To estimate the genetic </w:t>
      </w:r>
      <w:r w:rsidRPr="008108B8">
        <w:rPr>
          <w:rFonts w:ascii="Times New Roman" w:hAnsi="Times New Roman" w:cs="Times New Roman"/>
          <w:sz w:val="24"/>
          <w:szCs w:val="24"/>
        </w:rPr>
        <w:lastRenderedPageBreak/>
        <w:t xml:space="preserve">dissimilarity matrix, we used the </w:t>
      </w:r>
      <w:r w:rsidRPr="008108B8">
        <w:rPr>
          <w:rFonts w:ascii="Times New Roman" w:hAnsi="Times New Roman" w:cs="Times New Roman"/>
          <w:i/>
          <w:iCs/>
          <w:sz w:val="24"/>
          <w:szCs w:val="24"/>
        </w:rPr>
        <w:t>bed2diffs</w:t>
      </w:r>
      <w:r w:rsidRPr="008108B8">
        <w:rPr>
          <w:rFonts w:ascii="Times New Roman" w:hAnsi="Times New Roman" w:cs="Times New Roman"/>
          <w:sz w:val="24"/>
          <w:szCs w:val="24"/>
        </w:rPr>
        <w:t xml:space="preserve"> module from EEMS. To delineate the geographical polygons illustrating the species’ distribution range, we visualized the geographic coordinates of </w:t>
      </w:r>
      <w:r w:rsidRPr="008108B8">
        <w:rPr>
          <w:rFonts w:ascii="Times New Roman" w:hAnsi="Times New Roman" w:cs="Times New Roman"/>
          <w:color w:val="000000" w:themeColor="text1"/>
          <w:sz w:val="24"/>
          <w:szCs w:val="24"/>
        </w:rPr>
        <w:t xml:space="preserve">museum and scientific collection records available in the Global Biodiversity Information Facility (GBIF, gbif.org) data archive, using QGIS v3.22 software </w:t>
      </w:r>
      <w:r w:rsidRPr="008108B8">
        <w:rPr>
          <w:rFonts w:ascii="Times New Roman" w:hAnsi="Times New Roman" w:cs="Times New Roman"/>
          <w:color w:val="000000" w:themeColor="text1"/>
          <w:sz w:val="24"/>
          <w:szCs w:val="24"/>
        </w:rPr>
        <w:fldChar w:fldCharType="begin" w:fldLock="1"/>
      </w:r>
      <w:r w:rsidRPr="008108B8">
        <w:rPr>
          <w:rFonts w:ascii="Times New Roman" w:hAnsi="Times New Roman" w:cs="Times New Roman"/>
          <w:color w:val="000000" w:themeColor="text1"/>
          <w:sz w:val="24"/>
          <w:szCs w:val="24"/>
        </w:rPr>
        <w:instrText>ADDIN CSL_CITATION {"citationItems":[{"id":"ITEM-1","itemData":{"author":[{"dropping-particle":"","family":"QGIS Development Team","given":"","non-dropping-particle":"","parse-names":false,"suffix":""}],"id":"ITEM-1","issued":{"date-parts":[["2009"]]},"title":"QGIS Geographic Information System","type":"article"},"uris":["http://www.mendeley.com/documents/?uuid=93da8fb1-b1e7-477c-ba81-a2b4a0c37292"]}],"mendeley":{"formattedCitation":"(81)","plainTextFormattedCitation":"(81)","previouslyFormattedCitation":"(80)"},"properties":{"noteIndex":0},"schema":"https://github.com/citation-style-language/schema/raw/master/csl-citation.json"}</w:instrText>
      </w:r>
      <w:r w:rsidRPr="008108B8">
        <w:rPr>
          <w:rFonts w:ascii="Times New Roman" w:hAnsi="Times New Roman" w:cs="Times New Roman"/>
          <w:color w:val="000000" w:themeColor="text1"/>
          <w:sz w:val="24"/>
          <w:szCs w:val="24"/>
        </w:rPr>
        <w:fldChar w:fldCharType="separate"/>
      </w:r>
      <w:r w:rsidRPr="008108B8">
        <w:rPr>
          <w:rFonts w:ascii="Times New Roman" w:hAnsi="Times New Roman" w:cs="Times New Roman"/>
          <w:noProof/>
          <w:color w:val="000000" w:themeColor="text1"/>
          <w:sz w:val="24"/>
          <w:szCs w:val="24"/>
        </w:rPr>
        <w:t>(81)</w:t>
      </w:r>
      <w:r w:rsidRPr="008108B8">
        <w:rPr>
          <w:rFonts w:ascii="Times New Roman" w:hAnsi="Times New Roman" w:cs="Times New Roman"/>
          <w:color w:val="000000" w:themeColor="text1"/>
          <w:sz w:val="24"/>
          <w:szCs w:val="24"/>
        </w:rPr>
        <w:fldChar w:fldCharType="end"/>
      </w:r>
      <w:r w:rsidRPr="008108B8">
        <w:rPr>
          <w:rFonts w:ascii="Times New Roman" w:hAnsi="Times New Roman" w:cs="Times New Roman"/>
          <w:color w:val="000000" w:themeColor="text1"/>
          <w:sz w:val="24"/>
          <w:szCs w:val="24"/>
        </w:rPr>
        <w:t xml:space="preserve">. We then used the Google Maps API v3 tool (www.birdtheme.org/useful/v3tool.html) to generate the KML files necessary for the analyses. </w:t>
      </w:r>
      <w:r w:rsidRPr="008108B8">
        <w:rPr>
          <w:rFonts w:ascii="Times New Roman" w:hAnsi="Times New Roman" w:cs="Times New Roman"/>
          <w:sz w:val="24"/>
          <w:szCs w:val="24"/>
        </w:rPr>
        <w:t>We ran EEMS using 200, 300, 450, and 600 demes, repeating the process twice for each deme to ensure model convergence using random starting points. We used 10 million MCMC burn-in iterations followed by 50 million sampling iterations. We plotted the surfaces of effective migration rates (</w:t>
      </w:r>
      <w:r w:rsidRPr="008108B8">
        <w:rPr>
          <w:rFonts w:ascii="Times New Roman" w:hAnsi="Times New Roman" w:cs="Times New Roman"/>
          <w:i/>
          <w:iCs/>
          <w:sz w:val="24"/>
          <w:szCs w:val="24"/>
        </w:rPr>
        <w:t>m</w:t>
      </w:r>
      <w:r w:rsidRPr="008108B8">
        <w:rPr>
          <w:rFonts w:ascii="Times New Roman" w:hAnsi="Times New Roman" w:cs="Times New Roman"/>
          <w:sz w:val="24"/>
          <w:szCs w:val="24"/>
        </w:rPr>
        <w:t>) and effective diversity (</w:t>
      </w:r>
      <w:r w:rsidRPr="008108B8">
        <w:rPr>
          <w:rFonts w:ascii="Times New Roman" w:hAnsi="Times New Roman" w:cs="Times New Roman"/>
          <w:i/>
          <w:iCs/>
          <w:sz w:val="24"/>
          <w:szCs w:val="24"/>
        </w:rPr>
        <w:t>q</w:t>
      </w:r>
      <w:r w:rsidRPr="008108B8">
        <w:rPr>
          <w:rFonts w:ascii="Times New Roman" w:hAnsi="Times New Roman" w:cs="Times New Roman"/>
          <w:sz w:val="24"/>
          <w:szCs w:val="24"/>
        </w:rPr>
        <w:t xml:space="preserve">) resulting from the 600 demes scheme using the R package rEEMSplots </w:t>
      </w:r>
      <w:r w:rsidRPr="008108B8">
        <w:rPr>
          <w:rFonts w:ascii="Times New Roman" w:hAnsi="Times New Roman" w:cs="Times New Roman"/>
          <w:sz w:val="24"/>
          <w:szCs w:val="24"/>
        </w:rPr>
        <w:fldChar w:fldCharType="begin" w:fldLock="1"/>
      </w:r>
      <w:r w:rsidRPr="008108B8">
        <w:rPr>
          <w:rFonts w:ascii="Times New Roman" w:hAnsi="Times New Roman" w:cs="Times New Roman"/>
          <w:sz w:val="24"/>
          <w:szCs w:val="24"/>
        </w:rPr>
        <w:instrText>ADDIN CSL_CITATION {"citationItems":[{"id":"ITEM-1","itemData":{"DOI":"10.1038/ng.3464","ISSN":"15461718","PMID":"26642242","abstract":"Genetic data often exhibit patterns broadly consistent with 'isolation by distance' - a phenomenon where genetic similarity decays with geographic distance. In a heterogeneous habitat, this may occur more quickly in some regions than in others: for example, barriers to gene flow can accelerate differentiation between neighboring groups. We use the concept of 'effective migration' to model the relationship between genetics and geography. In this paradigm, effective migration is low in regions where genetic similarity decays quickly. We present a method to visualize variation in effective migration across a habitat from geographically indexed genetic data. Our approach uses a population genetic model to relate effective migration rates to expected genetic dissimilarities. We illustrate its potential and limitations using simulations and data from elephant, human and Arabidopsis thaliana populations. The resulting visualizations highlight important spatial features of population structure that are difficult to discern using existing methods for summarizing genetic variation.","author":[{"dropping-particle":"","family":"Petkova","given":"Desislava","non-dropping-particle":"","parse-names":false,"suffix":""},{"dropping-particle":"","family":"Novembre","given":"John","non-dropping-particle":"","parse-names":false,"suffix":""},{"dropping-particle":"","family":"Stephens","given":"Matthew","non-dropping-particle":"","parse-names":false,"suffix":""}],"container-title":"Nature Genetics","id":"ITEM-1","issue":"1","issued":{"date-parts":[["2015"]]},"page":"94-100","publisher":"Nature Publishing Group","title":"Visualizing spatial population structure with estimated effective migration surfaces","type":"article-journal","volume":"48"},"uris":["http://www.mendeley.com/documents/?uuid=521ddfb6-8cc1-4662-85d9-e0c405e6ba1e"]}],"mendeley":{"formattedCitation":"(25)","plainTextFormattedCitation":"(25)","previouslyFormattedCitation":"(25)"},"properties":{"noteIndex":0},"schema":"https://github.com/citation-style-language/schema/raw/master/csl-citation.json"}</w:instrText>
      </w:r>
      <w:r w:rsidRPr="008108B8">
        <w:rPr>
          <w:rFonts w:ascii="Times New Roman" w:hAnsi="Times New Roman" w:cs="Times New Roman"/>
          <w:sz w:val="24"/>
          <w:szCs w:val="24"/>
        </w:rPr>
        <w:fldChar w:fldCharType="separate"/>
      </w:r>
      <w:r w:rsidRPr="008108B8">
        <w:rPr>
          <w:rFonts w:ascii="Times New Roman" w:hAnsi="Times New Roman" w:cs="Times New Roman"/>
          <w:noProof/>
          <w:sz w:val="24"/>
          <w:szCs w:val="24"/>
        </w:rPr>
        <w:t>(25)</w:t>
      </w:r>
      <w:r w:rsidRPr="008108B8">
        <w:rPr>
          <w:rFonts w:ascii="Times New Roman" w:hAnsi="Times New Roman" w:cs="Times New Roman"/>
          <w:sz w:val="24"/>
          <w:szCs w:val="24"/>
        </w:rPr>
        <w:fldChar w:fldCharType="end"/>
      </w:r>
      <w:r w:rsidRPr="008108B8">
        <w:rPr>
          <w:rFonts w:ascii="Times New Roman" w:hAnsi="Times New Roman" w:cs="Times New Roman"/>
          <w:sz w:val="24"/>
          <w:szCs w:val="24"/>
        </w:rPr>
        <w:t xml:space="preserve">. We also conducted an individual-based spatial principal component analysis (sPCA) </w:t>
      </w:r>
      <w:r w:rsidRPr="008108B8">
        <w:rPr>
          <w:rFonts w:ascii="Times New Roman" w:hAnsi="Times New Roman" w:cs="Times New Roman"/>
          <w:sz w:val="24"/>
          <w:szCs w:val="24"/>
        </w:rPr>
        <w:fldChar w:fldCharType="begin" w:fldLock="1"/>
      </w:r>
      <w:r w:rsidRPr="008108B8">
        <w:rPr>
          <w:rFonts w:ascii="Times New Roman" w:hAnsi="Times New Roman" w:cs="Times New Roman"/>
          <w:sz w:val="24"/>
          <w:szCs w:val="24"/>
        </w:rPr>
        <w:instrText>ADDIN CSL_CITATION {"citationItems":[{"id":"ITEM-1","itemData":{"DOI":"10.1038/hdy.2008.34","ISSN":"0018067X","PMID":"18446182","abstract":"Increasing attention is being devoted to taking landscape information into account in genetic studies. Among landscape variables, space is often considered as one of the most important. To reveal spatial patterns, a statistical method should be spatially explicit, that is, it should directly take spatial information into account as a component of the adjusted model or of the optimized criterion. In this paper we propose a new spatially explicit multivariate method, spatial principal component analysis (sPCA), to investigate the spatial pattern of genetic variability using allelic frequency data of individuals or populations. This analysis does not require data to meet Hardy-Weinberg expectations or linkage equilibrium to exist between loci. The sPCA yields scores summarizing both the genetic variability and the spatial structure among individuals (or populations). Global structures (patches, clines and intermediates) are disentangled from local ones (strong genetic differences between neighbors) and from random noise. Two statistical tests are proposed to detect the existence of both types of patterns. As an illustration, the results of principal component analysis (PCA) and sPCA are compared using simulated datasets and real georeferenced microsatellite data of Scandinavian brown bear individuals (Ursus arctos). sPCA performed better than PCA to reveal spatial genetic patterns. The proposed methodology is implemented in the adegenet package of the free software R. © 2008 Nature Publishing Group All rights reserved.","author":[{"dropping-particle":"","family":"Jombart","given":"T.","non-dropping-particle":"","parse-names":false,"suffix":""},{"dropping-particle":"","family":"Devillard","given":"S.","non-dropping-particle":"","parse-names":false,"suffix":""},{"dropping-particle":"","family":"Dufour","given":"A. B.","non-dropping-particle":"","parse-names":false,"suffix":""},{"dropping-particle":"","family":"Pontier","given":"D.","non-dropping-particle":"","parse-names":false,"suffix":""}],"container-title":"Heredity","id":"ITEM-1","issue":"1","issued":{"date-parts":[["2008"]]},"page":"92-103","title":"Revealing cryptic spatial patterns in genetic variability by a new multivariate method","type":"article-journal","volume":"101"},"uris":["http://www.mendeley.com/documents/?uuid=c177f8e4-eb3e-4ed9-bc17-6f9c8d7f268c"]}],"mendeley":{"formattedCitation":"(82)","plainTextFormattedCitation":"(82)","previouslyFormattedCitation":"(81)"},"properties":{"noteIndex":0},"schema":"https://github.com/citation-style-language/schema/raw/master/csl-citation.json"}</w:instrText>
      </w:r>
      <w:r w:rsidRPr="008108B8">
        <w:rPr>
          <w:rFonts w:ascii="Times New Roman" w:hAnsi="Times New Roman" w:cs="Times New Roman"/>
          <w:sz w:val="24"/>
          <w:szCs w:val="24"/>
        </w:rPr>
        <w:fldChar w:fldCharType="separate"/>
      </w:r>
      <w:r w:rsidRPr="008108B8">
        <w:rPr>
          <w:rFonts w:ascii="Times New Roman" w:hAnsi="Times New Roman" w:cs="Times New Roman"/>
          <w:noProof/>
          <w:sz w:val="24"/>
          <w:szCs w:val="24"/>
        </w:rPr>
        <w:t>(82)</w:t>
      </w:r>
      <w:r w:rsidRPr="008108B8">
        <w:rPr>
          <w:rFonts w:ascii="Times New Roman" w:hAnsi="Times New Roman" w:cs="Times New Roman"/>
          <w:sz w:val="24"/>
          <w:szCs w:val="24"/>
        </w:rPr>
        <w:fldChar w:fldCharType="end"/>
      </w:r>
      <w:r w:rsidRPr="008108B8">
        <w:rPr>
          <w:rFonts w:ascii="Times New Roman" w:hAnsi="Times New Roman" w:cs="Times New Roman"/>
          <w:sz w:val="24"/>
          <w:szCs w:val="24"/>
        </w:rPr>
        <w:t xml:space="preserve"> using the </w:t>
      </w:r>
      <w:r w:rsidRPr="008108B8">
        <w:rPr>
          <w:rFonts w:ascii="Times New Roman" w:hAnsi="Times New Roman" w:cs="Times New Roman"/>
          <w:i/>
          <w:iCs/>
          <w:sz w:val="24"/>
          <w:szCs w:val="24"/>
        </w:rPr>
        <w:t>spca</w:t>
      </w:r>
      <w:r w:rsidRPr="008108B8">
        <w:rPr>
          <w:rFonts w:ascii="Times New Roman" w:hAnsi="Times New Roman" w:cs="Times New Roman"/>
          <w:sz w:val="24"/>
          <w:szCs w:val="24"/>
        </w:rPr>
        <w:t xml:space="preserve"> function in the adegenet R package to visualize genetically distinct clusters. This method is suitable to detect complex or cryptic genetic structures as it does not require data to meet Hardy-Weinberg expectations </w:t>
      </w:r>
      <w:r w:rsidRPr="008108B8">
        <w:rPr>
          <w:rFonts w:ascii="Times New Roman" w:hAnsi="Times New Roman" w:cs="Times New Roman"/>
          <w:sz w:val="24"/>
          <w:szCs w:val="24"/>
        </w:rPr>
        <w:fldChar w:fldCharType="begin" w:fldLock="1"/>
      </w:r>
      <w:r w:rsidRPr="008108B8">
        <w:rPr>
          <w:rFonts w:ascii="Times New Roman" w:hAnsi="Times New Roman" w:cs="Times New Roman"/>
          <w:sz w:val="24"/>
          <w:szCs w:val="24"/>
        </w:rPr>
        <w:instrText>ADDIN CSL_CITATION {"citationItems":[{"id":"ITEM-1","itemData":{"DOI":"10.1038/hdy.2008.34","ISSN":"0018067X","PMID":"18446182","abstract":"Increasing attention is being devoted to taking landscape information into account in genetic studies. Among landscape variables, space is often considered as one of the most important. To reveal spatial patterns, a statistical method should be spatially explicit, that is, it should directly take spatial information into account as a component of the adjusted model or of the optimized criterion. In this paper we propose a new spatially explicit multivariate method, spatial principal component analysis (sPCA), to investigate the spatial pattern of genetic variability using allelic frequency data of individuals or populations. This analysis does not require data to meet Hardy-Weinberg expectations or linkage equilibrium to exist between loci. The sPCA yields scores summarizing both the genetic variability and the spatial structure among individuals (or populations). Global structures (patches, clines and intermediates) are disentangled from local ones (strong genetic differences between neighbors) and from random noise. Two statistical tests are proposed to detect the existence of both types of patterns. As an illustration, the results of principal component analysis (PCA) and sPCA are compared using simulated datasets and real georeferenced microsatellite data of Scandinavian brown bear individuals (Ursus arctos). sPCA performed better than PCA to reveal spatial genetic patterns. The proposed methodology is implemented in the adegenet package of the free software R. © 2008 Nature Publishing Group All rights reserved.","author":[{"dropping-particle":"","family":"Jombart","given":"T.","non-dropping-particle":"","parse-names":false,"suffix":""},{"dropping-particle":"","family":"Devillard","given":"S.","non-dropping-particle":"","parse-names":false,"suffix":""},{"dropping-particle":"","family":"Dufour","given":"A. B.","non-dropping-particle":"","parse-names":false,"suffix":""},{"dropping-particle":"","family":"Pontier","given":"D.","non-dropping-particle":"","parse-names":false,"suffix":""}],"container-title":"Heredity","id":"ITEM-1","issue":"1","issued":{"date-parts":[["2008"]]},"page":"92-103","title":"Revealing cryptic spatial patterns in genetic variability by a new multivariate method","type":"article-journal","volume":"101"},"uris":["http://www.mendeley.com/documents/?uuid=c177f8e4-eb3e-4ed9-bc17-6f9c8d7f268c"]}],"mendeley":{"formattedCitation":"(82)","plainTextFormattedCitation":"(82)","previouslyFormattedCitation":"(81)"},"properties":{"noteIndex":0},"schema":"https://github.com/citation-style-language/schema/raw/master/csl-citation.json"}</w:instrText>
      </w:r>
      <w:r w:rsidRPr="008108B8">
        <w:rPr>
          <w:rFonts w:ascii="Times New Roman" w:hAnsi="Times New Roman" w:cs="Times New Roman"/>
          <w:sz w:val="24"/>
          <w:szCs w:val="24"/>
        </w:rPr>
        <w:fldChar w:fldCharType="separate"/>
      </w:r>
      <w:r w:rsidRPr="008108B8">
        <w:rPr>
          <w:rFonts w:ascii="Times New Roman" w:hAnsi="Times New Roman" w:cs="Times New Roman"/>
          <w:noProof/>
          <w:sz w:val="24"/>
          <w:szCs w:val="24"/>
        </w:rPr>
        <w:t>(82)</w:t>
      </w:r>
      <w:r w:rsidRPr="008108B8">
        <w:rPr>
          <w:rFonts w:ascii="Times New Roman" w:hAnsi="Times New Roman" w:cs="Times New Roman"/>
          <w:sz w:val="24"/>
          <w:szCs w:val="24"/>
        </w:rPr>
        <w:fldChar w:fldCharType="end"/>
      </w:r>
      <w:r w:rsidRPr="008108B8">
        <w:rPr>
          <w:rFonts w:ascii="Times New Roman" w:hAnsi="Times New Roman" w:cs="Times New Roman"/>
          <w:sz w:val="24"/>
          <w:szCs w:val="24"/>
        </w:rPr>
        <w:t>. We performed sPCA analyses using the georeferenced SNP matrices, retaining one eigenvalue representing a pattern of global structure, which correspond to strong genetic similarity between neighbors, and one representing local structure, indicating strong genetic dissimilarity between neighbors.</w:t>
      </w:r>
    </w:p>
    <w:p w14:paraId="41314CB5" w14:textId="77777777" w:rsidR="00321B78" w:rsidRPr="008108B8" w:rsidRDefault="00321B78" w:rsidP="00321B78">
      <w:pPr>
        <w:autoSpaceDE w:val="0"/>
        <w:autoSpaceDN w:val="0"/>
        <w:adjustRightInd w:val="0"/>
        <w:ind w:firstLine="720"/>
        <w:jc w:val="both"/>
        <w:rPr>
          <w:rFonts w:ascii="Times New Roman" w:hAnsi="Times New Roman" w:cs="Times New Roman"/>
          <w:sz w:val="24"/>
          <w:szCs w:val="24"/>
        </w:rPr>
      </w:pPr>
      <w:r w:rsidRPr="008108B8">
        <w:rPr>
          <w:rFonts w:ascii="Times New Roman" w:hAnsi="Times New Roman" w:cs="Times New Roman"/>
          <w:sz w:val="24"/>
          <w:szCs w:val="24"/>
        </w:rPr>
        <w:t xml:space="preserve">Finally, for some species, population structure analyses yielded different outcomes regarding the number of genomic clusters and patterns of geographical division. In such cases, we used an analysis of molecular variance (AMOVA) to evaluate the relative contributions of each genomic grouping to genetic variation and to determine which hypothesis has the highest support. We conducted AMOVAs using the </w:t>
      </w:r>
      <w:r w:rsidRPr="008108B8">
        <w:rPr>
          <w:rFonts w:ascii="Times New Roman" w:hAnsi="Times New Roman" w:cs="Times New Roman"/>
          <w:i/>
          <w:iCs/>
          <w:sz w:val="24"/>
          <w:szCs w:val="24"/>
        </w:rPr>
        <w:t>poppr.amova</w:t>
      </w:r>
      <w:r w:rsidRPr="008108B8">
        <w:rPr>
          <w:rFonts w:ascii="Times New Roman" w:hAnsi="Times New Roman" w:cs="Times New Roman"/>
          <w:sz w:val="24"/>
          <w:szCs w:val="24"/>
        </w:rPr>
        <w:t xml:space="preserve"> function within poppr R package </w:t>
      </w:r>
      <w:r w:rsidRPr="008108B8">
        <w:rPr>
          <w:rFonts w:ascii="Times New Roman" w:hAnsi="Times New Roman" w:cs="Times New Roman"/>
          <w:sz w:val="24"/>
          <w:szCs w:val="24"/>
        </w:rPr>
        <w:fldChar w:fldCharType="begin" w:fldLock="1"/>
      </w:r>
      <w:r w:rsidRPr="008108B8">
        <w:rPr>
          <w:rFonts w:ascii="Times New Roman" w:hAnsi="Times New Roman" w:cs="Times New Roman"/>
          <w:sz w:val="24"/>
          <w:szCs w:val="24"/>
        </w:rPr>
        <w:instrText>ADDIN CSL_CITATION {"citationItems":[{"id":"ITEM-1","itemData":{"DOI":"10.7717/peerj.281","ISSN":"2167-8359","author":[{"dropping-particle":"","family":"Kamvar","given":"Zhian N","non-dropping-particle":"","parse-names":false,"suffix":""},{"dropping-particle":"","family":"Tabima","given":"Javier F","non-dropping-particle":"","parse-names":false,"suffix":""},{"dropping-particle":"","family":"Grünwald","given":"Niklaus J","non-dropping-particle":"","parse-names":false,"suffix":""}],"container-title":"PeerJ","id":"ITEM-1","issued":{"date-parts":[["2014"]]},"page":"e281","title":"Poppr: an R package for genetic analysis of populations with clonal, partially clonal, and/or sexual reproduction.","type":"article-journal","volume":"2"},"uris":["http://www.mendeley.com/documents/?uuid=a0e02b94-734c-479a-ad16-f39ada0c9d17"]}],"mendeley":{"formattedCitation":"(24)","plainTextFormattedCitation":"(24)","previouslyFormattedCitation":"(24)"},"properties":{"noteIndex":0},"schema":"https://github.com/citation-style-language/schema/raw/master/csl-citation.json"}</w:instrText>
      </w:r>
      <w:r w:rsidRPr="008108B8">
        <w:rPr>
          <w:rFonts w:ascii="Times New Roman" w:hAnsi="Times New Roman" w:cs="Times New Roman"/>
          <w:sz w:val="24"/>
          <w:szCs w:val="24"/>
        </w:rPr>
        <w:fldChar w:fldCharType="separate"/>
      </w:r>
      <w:r w:rsidRPr="008108B8">
        <w:rPr>
          <w:rFonts w:ascii="Times New Roman" w:hAnsi="Times New Roman" w:cs="Times New Roman"/>
          <w:noProof/>
          <w:sz w:val="24"/>
          <w:szCs w:val="24"/>
        </w:rPr>
        <w:t>(24)</w:t>
      </w:r>
      <w:r w:rsidRPr="008108B8">
        <w:rPr>
          <w:rFonts w:ascii="Times New Roman" w:hAnsi="Times New Roman" w:cs="Times New Roman"/>
          <w:sz w:val="24"/>
          <w:szCs w:val="24"/>
        </w:rPr>
        <w:fldChar w:fldCharType="end"/>
      </w:r>
      <w:r w:rsidRPr="008108B8">
        <w:rPr>
          <w:rFonts w:ascii="Times New Roman" w:hAnsi="Times New Roman" w:cs="Times New Roman"/>
          <w:sz w:val="24"/>
          <w:szCs w:val="24"/>
        </w:rPr>
        <w:t xml:space="preserve">, with variation computed between genomic clusters, between samples within clusters, and within samples. To assess statistical significance, we used a randomization test with 9,999 replications and the pegas </w:t>
      </w:r>
      <w:r w:rsidRPr="008108B8">
        <w:rPr>
          <w:rFonts w:ascii="Times New Roman" w:hAnsi="Times New Roman" w:cs="Times New Roman"/>
          <w:sz w:val="24"/>
          <w:szCs w:val="24"/>
        </w:rPr>
        <w:fldChar w:fldCharType="begin" w:fldLock="1"/>
      </w:r>
      <w:r w:rsidRPr="008108B8">
        <w:rPr>
          <w:rFonts w:ascii="Times New Roman" w:hAnsi="Times New Roman" w:cs="Times New Roman"/>
          <w:sz w:val="24"/>
          <w:szCs w:val="24"/>
        </w:rPr>
        <w:instrText>ADDIN CSL_CITATION {"citationItems":[{"id":"ITEM-1","itemData":{"DOI":"10.1093/bioinformatics/btp696","author":[{"dropping-particle":"","family":"Paradis","given":"Emmanuel","non-dropping-particle":"","parse-names":false,"suffix":""}],"container-title":"Bioinformatics","id":"ITEM-1","issued":{"date-parts":[["2010"]]},"page":"419-420","title":"pegas: an R package for population genetics with an integrated--modular approach","type":"article-journal","volume":"26"},"uris":["http://www.mendeley.com/documents/?uuid=a16e2aed-8649-49f7-9993-aaf5c614da6c"]}],"mendeley":{"formattedCitation":"(83)","plainTextFormattedCitation":"(83)","previouslyFormattedCitation":"(82)"},"properties":{"noteIndex":0},"schema":"https://github.com/citation-style-language/schema/raw/master/csl-citation.json"}</w:instrText>
      </w:r>
      <w:r w:rsidRPr="008108B8">
        <w:rPr>
          <w:rFonts w:ascii="Times New Roman" w:hAnsi="Times New Roman" w:cs="Times New Roman"/>
          <w:sz w:val="24"/>
          <w:szCs w:val="24"/>
        </w:rPr>
        <w:fldChar w:fldCharType="separate"/>
      </w:r>
      <w:r w:rsidRPr="008108B8">
        <w:rPr>
          <w:rFonts w:ascii="Times New Roman" w:hAnsi="Times New Roman" w:cs="Times New Roman"/>
          <w:noProof/>
          <w:sz w:val="24"/>
          <w:szCs w:val="24"/>
        </w:rPr>
        <w:t>(83)</w:t>
      </w:r>
      <w:r w:rsidRPr="008108B8">
        <w:rPr>
          <w:rFonts w:ascii="Times New Roman" w:hAnsi="Times New Roman" w:cs="Times New Roman"/>
          <w:sz w:val="24"/>
          <w:szCs w:val="24"/>
        </w:rPr>
        <w:fldChar w:fldCharType="end"/>
      </w:r>
      <w:r w:rsidRPr="008108B8">
        <w:rPr>
          <w:rFonts w:ascii="Times New Roman" w:hAnsi="Times New Roman" w:cs="Times New Roman"/>
          <w:sz w:val="24"/>
          <w:szCs w:val="24"/>
        </w:rPr>
        <w:t xml:space="preserve"> package in R.</w:t>
      </w:r>
    </w:p>
    <w:p w14:paraId="2674A4F2" w14:textId="3D29C3B2" w:rsidR="00931688" w:rsidRPr="008108B8" w:rsidRDefault="00931688" w:rsidP="008108B8">
      <w:pPr>
        <w:autoSpaceDE w:val="0"/>
        <w:autoSpaceDN w:val="0"/>
        <w:adjustRightInd w:val="0"/>
        <w:jc w:val="both"/>
        <w:rPr>
          <w:rFonts w:ascii="Times New Roman" w:hAnsi="Times New Roman" w:cs="Times New Roman"/>
          <w:b/>
          <w:bCs/>
          <w:color w:val="000000" w:themeColor="text1"/>
          <w:sz w:val="24"/>
          <w:szCs w:val="24"/>
        </w:rPr>
      </w:pPr>
      <w:r w:rsidRPr="008108B8">
        <w:rPr>
          <w:rFonts w:ascii="Times New Roman" w:hAnsi="Times New Roman" w:cs="Times New Roman"/>
          <w:b/>
          <w:bCs/>
          <w:color w:val="000000" w:themeColor="text1"/>
          <w:sz w:val="24"/>
          <w:szCs w:val="24"/>
        </w:rPr>
        <w:t>PHENOTYPIC ANALYSES OF BODY SHAPE</w:t>
      </w:r>
    </w:p>
    <w:p w14:paraId="70992F0D" w14:textId="5A6DB39C" w:rsidR="00931688" w:rsidRPr="004C2E65" w:rsidRDefault="008108B8" w:rsidP="00931688">
      <w:pPr>
        <w:jc w:val="both"/>
        <w:rPr>
          <w:rFonts w:ascii="Times New Roman" w:hAnsi="Times New Roman" w:cs="Times New Roman"/>
          <w:color w:val="000000" w:themeColor="text1"/>
        </w:rPr>
      </w:pPr>
      <w:r w:rsidRPr="00802863">
        <w:rPr>
          <w:rFonts w:ascii="Helvetica" w:hAnsi="Helvetica"/>
          <w:noProof/>
        </w:rPr>
        <mc:AlternateContent>
          <mc:Choice Requires="wps">
            <w:drawing>
              <wp:anchor distT="0" distB="0" distL="114300" distR="114300" simplePos="0" relativeHeight="251740160" behindDoc="0" locked="0" layoutInCell="1" allowOverlap="1" wp14:anchorId="203143FE" wp14:editId="70B93BA2">
                <wp:simplePos x="0" y="0"/>
                <wp:positionH relativeFrom="column">
                  <wp:posOffset>3545205</wp:posOffset>
                </wp:positionH>
                <wp:positionV relativeFrom="paragraph">
                  <wp:posOffset>2402205</wp:posOffset>
                </wp:positionV>
                <wp:extent cx="2369185" cy="601345"/>
                <wp:effectExtent l="0" t="0" r="0" b="0"/>
                <wp:wrapSquare wrapText="bothSides"/>
                <wp:docPr id="1143809437" name="Text Box 2"/>
                <wp:cNvGraphicFramePr/>
                <a:graphic xmlns:a="http://schemas.openxmlformats.org/drawingml/2006/main">
                  <a:graphicData uri="http://schemas.microsoft.com/office/word/2010/wordprocessingShape">
                    <wps:wsp>
                      <wps:cNvSpPr txBox="1"/>
                      <wps:spPr>
                        <a:xfrm>
                          <a:off x="0" y="0"/>
                          <a:ext cx="2369185" cy="601345"/>
                        </a:xfrm>
                        <a:prstGeom prst="rect">
                          <a:avLst/>
                        </a:prstGeom>
                        <a:noFill/>
                        <a:ln w="6350">
                          <a:noFill/>
                        </a:ln>
                      </wps:spPr>
                      <wps:txbx>
                        <w:txbxContent>
                          <w:p w14:paraId="7997DE29" w14:textId="77777777" w:rsidR="00931688" w:rsidRPr="002F6E53" w:rsidRDefault="00931688" w:rsidP="00931688">
                            <w:pPr>
                              <w:jc w:val="both"/>
                              <w:rPr>
                                <w:rFonts w:ascii="Times New Roman" w:hAnsi="Times New Roman" w:cs="Times New Roman"/>
                                <w:color w:val="000000" w:themeColor="text1"/>
                                <w:sz w:val="20"/>
                                <w:szCs w:val="20"/>
                              </w:rPr>
                            </w:pPr>
                            <w:bookmarkStart w:id="17" w:name="FigS11"/>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11</w:t>
                            </w:r>
                            <w:bookmarkEnd w:id="17"/>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Morphospace of photographs (depicted in red circles) and radiographs (blue squares) of </w:t>
                            </w:r>
                            <w:r w:rsidRPr="00B76470">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143FE" id="_x0000_t202" coordsize="21600,21600" o:spt="202" path="m,l,21600r21600,l21600,xe">
                <v:stroke joinstyle="miter"/>
                <v:path gradientshapeok="t" o:connecttype="rect"/>
              </v:shapetype>
              <v:shape id="_x0000_s1050" type="#_x0000_t202" style="position:absolute;left:0;text-align:left;margin-left:279.15pt;margin-top:189.15pt;width:186.55pt;height:4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" filled="f" stroked="f" strokeweight=".5pt">
                <v:textbox>
                  <w:txbxContent>
                    <w:p w14:paraId="7997DE29" w14:textId="77777777" w:rsidR="00931688" w:rsidRPr="002F6E53" w:rsidRDefault="00931688" w:rsidP="00931688">
                      <w:pPr>
                        <w:jc w:val="both"/>
                        <w:rPr>
                          <w:rFonts w:ascii="Times New Roman" w:hAnsi="Times New Roman" w:cs="Times New Roman"/>
                          <w:color w:val="000000" w:themeColor="text1"/>
                          <w:sz w:val="20"/>
                          <w:szCs w:val="20"/>
                        </w:rPr>
                      </w:pPr>
                      <w:bookmarkStart w:id="18" w:name="FigS11"/>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11</w:t>
                      </w:r>
                      <w:bookmarkEnd w:id="18"/>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Morphospace of photographs (depicted in red circles) and radiographs (blue squares) of </w:t>
                      </w:r>
                      <w:r w:rsidRPr="00B76470">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w:t>
                      </w:r>
                    </w:p>
                  </w:txbxContent>
                </v:textbox>
                <w10:wrap type="square"/>
              </v:shape>
            </w:pict>
          </mc:Fallback>
        </mc:AlternateContent>
      </w:r>
      <w:r w:rsidRPr="008108B8">
        <w:rPr>
          <w:rFonts w:ascii="Times New Roman" w:hAnsi="Times New Roman" w:cs="Times New Roman"/>
          <w:noProof/>
          <w:color w:val="000000" w:themeColor="text1"/>
          <w:sz w:val="24"/>
          <w:szCs w:val="24"/>
        </w:rPr>
        <w:drawing>
          <wp:anchor distT="0" distB="0" distL="114300" distR="114300" simplePos="0" relativeHeight="251739136" behindDoc="0" locked="0" layoutInCell="1" allowOverlap="1" wp14:anchorId="78845F9E" wp14:editId="443F3D22">
            <wp:simplePos x="0" y="0"/>
            <wp:positionH relativeFrom="column">
              <wp:posOffset>3543300</wp:posOffset>
            </wp:positionH>
            <wp:positionV relativeFrom="paragraph">
              <wp:posOffset>112626</wp:posOffset>
            </wp:positionV>
            <wp:extent cx="2483485" cy="2301240"/>
            <wp:effectExtent l="0" t="0" r="5715" b="0"/>
            <wp:wrapSquare wrapText="bothSides"/>
            <wp:docPr id="800400228" name="Picture 4" descr="A graph of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00228" name="Picture 4" descr="A graph of red and blue squares&#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483485" cy="2301240"/>
                    </a:xfrm>
                    <a:prstGeom prst="rect">
                      <a:avLst/>
                    </a:prstGeom>
                  </pic:spPr>
                </pic:pic>
              </a:graphicData>
            </a:graphic>
            <wp14:sizeRelH relativeFrom="page">
              <wp14:pctWidth>0</wp14:pctWidth>
            </wp14:sizeRelH>
            <wp14:sizeRelV relativeFrom="page">
              <wp14:pctHeight>0</wp14:pctHeight>
            </wp14:sizeRelV>
          </wp:anchor>
        </w:drawing>
      </w:r>
      <w:r w:rsidR="00931688" w:rsidRPr="008108B8">
        <w:rPr>
          <w:rFonts w:ascii="Times New Roman" w:hAnsi="Times New Roman" w:cs="Times New Roman"/>
          <w:color w:val="000000" w:themeColor="text1"/>
          <w:sz w:val="24"/>
          <w:szCs w:val="24"/>
        </w:rPr>
        <w:t>We employed 2D geometric morphometric analysis to quantify intra-species body shape diversity and to evaluate if there are patterns of geographic clustering that correspond to the patterns of genomic structure recovered in this study. We also conducted this analysis at the inter-species level to evaluate the extend of morphological variation across species.</w:t>
      </w:r>
      <w:r w:rsidR="00931688" w:rsidRPr="008108B8">
        <w:rPr>
          <w:rFonts w:ascii="Times New Roman" w:hAnsi="Times New Roman" w:cs="Times New Roman"/>
          <w:b/>
          <w:bCs/>
          <w:color w:val="000000" w:themeColor="text1"/>
          <w:sz w:val="24"/>
          <w:szCs w:val="24"/>
        </w:rPr>
        <w:t xml:space="preserve"> </w:t>
      </w:r>
      <w:r w:rsidR="00931688" w:rsidRPr="008108B8">
        <w:rPr>
          <w:rFonts w:ascii="Times New Roman" w:hAnsi="Times New Roman" w:cs="Times New Roman"/>
          <w:color w:val="000000" w:themeColor="text1"/>
          <w:sz w:val="24"/>
          <w:szCs w:val="24"/>
        </w:rPr>
        <w:t xml:space="preserve">A total of 20 fixed-landmarks and 16 semi-landmarks, commonly used in fish morphometric studies at the intra- and inter-specific levels, were placed to represent variation of body shape across localities or species </w:t>
      </w:r>
      <w:r w:rsidR="00931688" w:rsidRPr="008108B8">
        <w:rPr>
          <w:rFonts w:ascii="Times New Roman" w:hAnsi="Times New Roman" w:cs="Times New Roman"/>
          <w:color w:val="000000" w:themeColor="text1"/>
          <w:sz w:val="24"/>
          <w:szCs w:val="24"/>
        </w:rPr>
        <w:fldChar w:fldCharType="begin" w:fldLock="1"/>
      </w:r>
      <w:r w:rsidR="00931688" w:rsidRPr="008108B8">
        <w:rPr>
          <w:rFonts w:ascii="Times New Roman" w:hAnsi="Times New Roman" w:cs="Times New Roman"/>
          <w:color w:val="000000" w:themeColor="text1"/>
          <w:sz w:val="24"/>
          <w:szCs w:val="24"/>
        </w:rPr>
        <w:instrText>ADDIN CSL_CITATION {"citationItems":[{"id":"ITEM-1","itemData":{"DOI":"10.1134/S0032945217010052","ISSN":"15556425","abstract":"We present the results of application of geometric morphometrics for studies of variability in populations of the members of two families of South Atlantic mesopelagic fishes, Sternoptyx diaphana (Sternoptychidae) and Ceratoscopelus warmingii (Myctophidae), in which an almost complete genetic isolation was previously discovered within the borders of hydrographic regions. A system of landmark points is developed, describing both anatomical features and configuration of luminescent organs, photophores, which allows to consider not only the influence of external physical and ecological conditions but also the existence of population-specific signaling system as a potential cause of genetic isolation. Morphological similarities are demonstrated for S. diaphana throughout the whole studied portion of the distribution area, while certain differences affecting the head shape and position of individual photophores on the body are discovered between C. warmingii populations.","author":[{"dropping-particle":"V.","family":"Gordeeva","given":"N.","non-dropping-particle":"","parse-names":false,"suffix":""},{"dropping-particle":"","family":"Nanova","given":"O. G.","non-dropping-particle":"","parse-names":false,"suffix":""}],"container-title":"Journal of Ichthyology","id":"ITEM-1","issue":"1","issued":{"date-parts":[["2017"]]},"page":"29-36","title":"Application of geometric morphometrics for intraspecific variability analysis in mesopelagic fishes of Sternoptychidae and Myctophidae families","type":"article-journal","volume":"57"},"uris":["http://www.mendeley.com/documents/?uuid=cfb0f2d6-bbd1-49c5-94bd-cec7e92868ca"]},{"id":"ITEM-2","itemData":{"abstract":"Students learn how to apply landmark-based geometric morphmetric techniques to compare lake samples of the threespine stickleback fish (Gasterosteus aculeatus) from Cook Inlet, Alaska. The stickleback is an excellent model organism to teach natural selection, adaptation, and speciation. It is ancestrally a marine or sea-run fish. In-numerable freshwater populations have evolved from these sea-run forms and exhibit specializations to freshwater habitats that range from shallow, structurally complex lakes with benthic-foraging stickleback, to deeper, structur-ally simple lakes with open-water planktivorous stickleback. Body shapes of benthic and planktivore stickleback are analyzed using free Tps-series software. Landmark digitization and shape analysis are emphasized.","author":[{"dropping-particle":"","family":"Park","given":"Peter J","non-dropping-particle":"","parse-names":false,"suffix":""},{"dropping-particle":"","family":"Aguirre","given":"Windsor E","non-dropping-particle":"","parse-names":false,"suffix":""},{"dropping-particle":"","family":"Spikes","given":"Deborah A","non-dropping-particle":"","parse-names":false,"suffix":""},{"dropping-particle":"","family":"Miyazaki","given":"Joan M","non-dropping-particle":"","parse-names":false,"suffix":""}],"container-title":"Tested Studies for Laboratory Teaching Proceedings of the Association for Biology Laboratory Education","id":"ITEM-2","issued":{"date-parts":[["2013"]]},"page":"361-371","title":"Landmark-Based Geometric Morphometrics: What Fish Shapes Can Tell Us about Fish Evolution","type":"article-journal","volume":"34"},"uris":["http://www.mendeley.com/documents/?uuid=d0975a5a-0647-42ba-b020-80e09a0c8bd1"]},{"id":"ITEM-3","itemData":{"DOI":"10.1007/s10228-013-0339-x","ISSN":"13418998","abstract":"The present study analyzes the effects of freezing and alcohol preservation in geometric morphometric data, using 15 individuals of the peacock fish Cichla kelberi (12.9-26.4 cm SL) divided into freezing and alcohol groups, conserved in each preservation method for 90 days. Discriminant analysis revealed significant difference between before and after treatments, and principal component analysis also showed separation between treatments, for both conservation methods. These results introduce a significant preservation influence that should be considered in biological, ecological and evolutionary interpretations of fish data in geometric morphometric approaches. © 2013 The Ichthyological Society of Japan.","author":[{"dropping-particle":"","family":"Berbel-Filho","given":"Waldir M.","non-dropping-particle":"","parse-names":false,"suffix":""},{"dropping-particle":"","family":"Jacobina","given":"Uedson P.","non-dropping-particle":"","parse-names":false,"suffix":""},{"dropping-particle":"","family":"Martinez","given":"Pablo A.","non-dropping-particle":"","parse-names":false,"suffix":""}],"container-title":"Ichthyological Research","id":"ITEM-3","issue":"3","issued":{"date-parts":[["2013"]]},"page":"268-271","title":"Preservation effects in geometric morphometric approaches: Freezing and alcohol in a freshwater fish","type":"article-journal","volume":"60"},"uris":["http://www.mendeley.com/documents/?uuid=94ef74b4-148a-475b-8382-b87d9f9cac8a"]},{"id":"ITEM-4","itemData":{"DOI":"10.15517/rbt.v65i2.25500","ISSN":"0034-7744","abstract":"Vieja melanura is a Neotropical cichlid occurring in the Petén-lake district systems of Guatemala, as well as the Río Grijalva-Usumacinta basin, and other systems in Southern México, Belize, and Guatemala. A caudal stripe, extending forward from the caudal peduncle, is characteristic of this species. This stripe is sloped downward in nearly all individuals of V. melanura, but the degree of the slope is highly variable throughout its range. The slope and shape of the stripe has previously been used in diagnosing and differentiating between species of Vieja. The purpose of this study was to use objective methods to investigate morphological variation in the caudal stripe and body shape throughout the range of V. melanura. We studied geometric morphometric analyses of body shape and empirical measurements of the slope of the caudal stripe in 215 specimens of V. melanura. We also used the mitochondrial cytochrome b marker to study population level patterns within V. melanura. Results from our analyses showed significant geographic variation in body shape and patterns of coloration with little mitochondrial phylogeographic structure. These patterns likely correspond to differences in riverine habitats throughout the species’ distribution. In conclusion, these results can be used to inform other studies of color and shape variation as it applies to taxonomy and systematics.","author":[{"dropping-particle":"","family":"McMahan","given":"Caleb D.","non-dropping-particle":"","parse-names":false,"suffix":""},{"dropping-particle":"","family":"Kutz","given":"Justin","non-dropping-particle":"","parse-names":false,"suffix":""},{"dropping-particle":"","family":"Murray","given":"Christopher","non-dropping-particle":"","parse-names":false,"suffix":""},{"dropping-particle":"","family":"Chakrabarty","given":"Prosanta","non-dropping-particle":"","parse-names":false,"suffix":""},{"dropping-particle":"","family":"Geheber","given":"Aaron","non-dropping-particle":"","parse-names":false,"suffix":""},{"dropping-particle":"","family":"Elias","given":"Diego","non-dropping-particle":"","parse-names":false,"suffix":""}],"container-title":"Revista de Biología Tropical","id":"ITEM-4","issue":"2","issued":{"date-parts":[["2017"]]},"page":"623-631","title":"Objectively measuring subjectively described traits: geographic variation in body shape and caudal coloration pattern within Vieja melanura (Teleostei: Cichlidae)","type":"article-journal","volume":"65"},"uris":["http://www.mendeley.com/documents/?uuid=764c51e2-83af-455e-96ce-500673e188e4"]}],"mendeley":{"formattedCitation":"(84–87)","plainTextFormattedCitation":"(84–87)","previouslyFormattedCitation":"(83–86)"},"properties":{"noteIndex":0},"schema":"https://github.com/citation-style-language/schema/raw/master/csl-citation.json"}</w:instrText>
      </w:r>
      <w:r w:rsidR="00931688" w:rsidRPr="008108B8">
        <w:rPr>
          <w:rFonts w:ascii="Times New Roman" w:hAnsi="Times New Roman" w:cs="Times New Roman"/>
          <w:color w:val="000000" w:themeColor="text1"/>
          <w:sz w:val="24"/>
          <w:szCs w:val="24"/>
        </w:rPr>
        <w:fldChar w:fldCharType="separate"/>
      </w:r>
      <w:r w:rsidR="00931688" w:rsidRPr="008108B8">
        <w:rPr>
          <w:rFonts w:ascii="Times New Roman" w:hAnsi="Times New Roman" w:cs="Times New Roman"/>
          <w:noProof/>
          <w:color w:val="000000" w:themeColor="text1"/>
          <w:sz w:val="24"/>
          <w:szCs w:val="24"/>
        </w:rPr>
        <w:t>(84–87)</w:t>
      </w:r>
      <w:r w:rsidR="00931688" w:rsidRPr="008108B8">
        <w:rPr>
          <w:rFonts w:ascii="Times New Roman" w:hAnsi="Times New Roman" w:cs="Times New Roman"/>
          <w:color w:val="000000" w:themeColor="text1"/>
          <w:sz w:val="24"/>
          <w:szCs w:val="24"/>
        </w:rPr>
        <w:fldChar w:fldCharType="end"/>
      </w:r>
      <w:r w:rsidR="00931688" w:rsidRPr="008108B8">
        <w:rPr>
          <w:rFonts w:ascii="Times New Roman" w:hAnsi="Times New Roman" w:cs="Times New Roman"/>
          <w:color w:val="000000" w:themeColor="text1"/>
          <w:sz w:val="24"/>
          <w:szCs w:val="24"/>
        </w:rPr>
        <w:t>. These data were obtained from high-quality photographs taken during field expeditions or retrieved from online museum repositories (</w:t>
      </w:r>
      <w:r w:rsidR="00931688" w:rsidRPr="008108B8">
        <w:rPr>
          <w:rFonts w:ascii="Times New Roman" w:hAnsi="Times New Roman" w:cs="Times New Roman"/>
          <w:i/>
          <w:iCs/>
          <w:color w:val="000000" w:themeColor="text1"/>
          <w:sz w:val="24"/>
          <w:szCs w:val="24"/>
        </w:rPr>
        <w:t>Appendix S2</w:t>
      </w:r>
      <w:r w:rsidR="00931688" w:rsidRPr="008108B8">
        <w:rPr>
          <w:rFonts w:ascii="Times New Roman" w:hAnsi="Times New Roman" w:cs="Times New Roman"/>
          <w:color w:val="000000" w:themeColor="text1"/>
          <w:sz w:val="24"/>
          <w:szCs w:val="24"/>
        </w:rPr>
        <w:t xml:space="preserve">). In total, we examined 101 photographs from 20 species of  </w:t>
      </w:r>
      <w:r w:rsidR="00931688" w:rsidRPr="008108B8">
        <w:rPr>
          <w:rFonts w:ascii="Times New Roman" w:hAnsi="Times New Roman" w:cs="Times New Roman"/>
          <w:i/>
          <w:iCs/>
          <w:color w:val="000000" w:themeColor="text1"/>
          <w:sz w:val="24"/>
          <w:szCs w:val="24"/>
        </w:rPr>
        <w:t>Malacoctenus</w:t>
      </w:r>
      <w:r w:rsidR="00931688" w:rsidRPr="008108B8">
        <w:rPr>
          <w:rFonts w:ascii="Times New Roman" w:hAnsi="Times New Roman" w:cs="Times New Roman"/>
          <w:color w:val="000000" w:themeColor="text1"/>
          <w:sz w:val="24"/>
          <w:szCs w:val="24"/>
        </w:rPr>
        <w:t xml:space="preserve">. At the inter-specific level, we included </w:t>
      </w:r>
      <w:r w:rsidR="00931688" w:rsidRPr="008108B8">
        <w:rPr>
          <w:rFonts w:ascii="Times New Roman" w:hAnsi="Times New Roman" w:cs="Times New Roman"/>
          <w:color w:val="000000" w:themeColor="text1"/>
          <w:sz w:val="24"/>
          <w:szCs w:val="24"/>
        </w:rPr>
        <w:lastRenderedPageBreak/>
        <w:t xml:space="preserve">one to ten individuals per species while maximizing representation of different sampled localities whenever possible. At the intra-specific level, we analyzed photos of </w:t>
      </w:r>
      <w:r w:rsidR="00931688" w:rsidRPr="008108B8">
        <w:rPr>
          <w:rFonts w:ascii="Times New Roman" w:hAnsi="Times New Roman" w:cs="Times New Roman"/>
          <w:i/>
          <w:iCs/>
          <w:color w:val="000000" w:themeColor="text1"/>
          <w:sz w:val="24"/>
          <w:szCs w:val="24"/>
        </w:rPr>
        <w:t>M. tetranemus</w:t>
      </w:r>
      <w:r w:rsidR="00931688" w:rsidRPr="008108B8">
        <w:rPr>
          <w:rFonts w:ascii="Times New Roman" w:hAnsi="Times New Roman" w:cs="Times New Roman"/>
          <w:color w:val="000000" w:themeColor="text1"/>
          <w:sz w:val="24"/>
          <w:szCs w:val="24"/>
        </w:rPr>
        <w:t xml:space="preserve"> and </w:t>
      </w:r>
      <w:r w:rsidR="00931688" w:rsidRPr="008108B8">
        <w:rPr>
          <w:rFonts w:ascii="Times New Roman" w:hAnsi="Times New Roman" w:cs="Times New Roman"/>
          <w:i/>
          <w:iCs/>
          <w:color w:val="000000" w:themeColor="text1"/>
          <w:sz w:val="24"/>
          <w:szCs w:val="24"/>
        </w:rPr>
        <w:t xml:space="preserve">M. triangulatus </w:t>
      </w:r>
      <w:r w:rsidR="00931688" w:rsidRPr="008108B8">
        <w:rPr>
          <w:rFonts w:ascii="Times New Roman" w:hAnsi="Times New Roman" w:cs="Times New Roman"/>
          <w:color w:val="000000" w:themeColor="text1"/>
          <w:sz w:val="24"/>
          <w:szCs w:val="24"/>
        </w:rPr>
        <w:t xml:space="preserve">(47 and 42, respectively), as those were the only species for which we could obtain photos from multiple locations representing their broad geographic ranges. Additionally, we retrieved 75 x-rays of </w:t>
      </w:r>
      <w:r w:rsidR="00931688" w:rsidRPr="008108B8">
        <w:rPr>
          <w:rFonts w:ascii="Times New Roman" w:hAnsi="Times New Roman" w:cs="Times New Roman"/>
          <w:i/>
          <w:iCs/>
          <w:color w:val="000000" w:themeColor="text1"/>
          <w:sz w:val="24"/>
          <w:szCs w:val="24"/>
        </w:rPr>
        <w:t>M. triangulatus</w:t>
      </w:r>
      <w:r w:rsidR="00931688" w:rsidRPr="008108B8">
        <w:rPr>
          <w:rFonts w:ascii="Times New Roman" w:hAnsi="Times New Roman" w:cs="Times New Roman"/>
          <w:color w:val="000000" w:themeColor="text1"/>
          <w:sz w:val="24"/>
          <w:szCs w:val="24"/>
        </w:rPr>
        <w:t xml:space="preserve"> from the fish collection database of the Smithsonian National Museum of Natural History (NMNH) (collections.nmnh.si.edu/search/fishes).</w:t>
      </w:r>
      <w:r w:rsidR="00931688" w:rsidRPr="004C2E65">
        <w:rPr>
          <w:rFonts w:ascii="Times New Roman" w:hAnsi="Times New Roman" w:cs="Times New Roman"/>
          <w:color w:val="000000" w:themeColor="text1"/>
        </w:rPr>
        <w:t xml:space="preserve"> </w:t>
      </w:r>
    </w:p>
    <w:p w14:paraId="3FAEF404" w14:textId="087A8E84" w:rsidR="00931688" w:rsidRPr="00216F3E" w:rsidRDefault="00931688" w:rsidP="00931688">
      <w:pPr>
        <w:ind w:firstLine="720"/>
        <w:jc w:val="both"/>
        <w:rPr>
          <w:rFonts w:ascii="Times New Roman" w:hAnsi="Times New Roman" w:cs="Times New Roman"/>
          <w:b/>
          <w:bCs/>
          <w:color w:val="000000" w:themeColor="text1"/>
          <w:sz w:val="24"/>
          <w:szCs w:val="24"/>
        </w:rPr>
      </w:pPr>
      <w:r w:rsidRPr="00216F3E">
        <w:rPr>
          <w:rFonts w:ascii="Times New Roman" w:hAnsi="Times New Roman" w:cs="Times New Roman"/>
          <w:color w:val="000000" w:themeColor="text1"/>
          <w:sz w:val="24"/>
          <w:szCs w:val="24"/>
        </w:rPr>
        <w:t xml:space="preserve">To minimize potential allometric effects, we included only adult specimens in our dataset. We digitized the set of landmarks and semi-landmarks using the R package StereoMorph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{"citationItems":[{"id":"ITEM-1","itemData":{"DOI":"10.1111/2041-210X.12326","ISSN":"2041210X","abstract":"Quantitative, three-dimensional measurements of anatomy in biology and paleontology are key to understanding the evolutionary processes underlying morphological, functional and ecological diversification. However, the collection of 3D morphometric data from a large number of samples or in the field is currently limited by methods that are either too costly, too time-consuming or lack portability. We present a new R package, StereoMorph, for the rapid and accurate collection of 3D landmarks and curves using two standard digital cameras. StereoMorph provides a complete set of tools for every step in the collection of 3D landmarks and curves using a stereo camera set-up. This includes image processing and optimization functions for automated camera calibration using a checkerboard pattern, an easy-to-use application for digitizing landmarks and curves from photographs, and tools for reconstructing points and curves in 3D. The image processing tools and digitizing application are readily applicable to 2D morphometrics as well, enabling 2D landmarks and curves to be digitized and scaled automatically using a checkerboard pattern. We include five examples that demonstrate key functionalities of StereoMorph: automated detection of checkerboard corners, camera calibration, testing calibration accuracy, digitizing photographs and 3D curve reconstruction. With a set-up costing less than $1500, we show that it is possible to achieve a mean reconstruction error of less than 30 microns. Once the cameras are assembled, specimens can be photographed as quickly as with 2D morphometrics while digitizing takes two to three times as long as digitizing a single photograph. We conclude by presenting an accompanying tutorial which details all of the steps required to collect 3D landmarks and curves using StereoMorph. Additionally, we present a web blog that will provide a platform for updates and user questions and suggestions.","author":[{"dropping-particle":"","family":"Olsen","given":"Aaron M.","non-dropping-particle":"","parse-names":false,"suffix":""},{"dropping-particle":"","family":"Westneat","given":"Mark W.","non-dropping-particle":"","parse-names":false,"suffix":""}],"container-title":"Methods in Ecology and Evolution","id":"ITEM-1","issue":"3","issued":{"date-parts":[["2015","3","1"]]},"page":"351-356","publisher":"British Ecological Society","title":"StereoMorph: An R package for the collection of 3D landmarks and curves using a stereo camera set-up","type":"article-journal","volume":"6"},"uris":["http://www.mendeley.com/documents/?uuid=eaa36211-e812-3dfd-ab20-efc993425f1b"]}],"mendeley":{"formattedCitation":"(26)","plainTextFormattedCitation":"(26)","previouslyFormattedCitation":"(26)"},"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(26)</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The semi-landmarks were placed as curves, and represented by ten equally-spaced points that captured the body’s deep profile from the anterior base of the dorsal fin to the posterior end, and from the anterior base of the anal fin to the end. To correct for distortions, size, and position of different specimen images, we conducted a generalized Procrustes analysis (GPA). We then performed a principal component analysis (PCA) using the R package geomorph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{"citationItems":[{"id":"ITEM-1","itemData":{"DOI":"10.1111/2041-210X.12035","ISSN":"2041210X","abstract":"Many ecological and evolutionary studies seek to explain patterns of shape variation and its covariation with other variables. Geometric morphometrics is often used for this purpose, where a set of shape variables are obtained from landmark coordinates following a Procrustes superimposition. We introduce geomorph: a software package for performing geometric morphometric shape analysis in the r statistical computing environment. Geomorph provides routines for all stages of landmark-based geometric morphometric analyses in two and three-dimensions. It is an open source package to read, manipulate, and digitize landmark data, generate shape variables via Procrustes analysis for points, curves and surfaces, perform statistical analyses of shape variation and covariation, and to provide graphical depictions of shapes and patterns of shape variation. An important contribution of geomorph is the ability to perform Procrustes superimposition on landmark points, as well as semilandmarks from curves and surfaces. A wide range of statistical methods germane to testing ecological and evolutionary hypotheses of shape variation are provided. These include standard multivariate methods such as principal components analysis, and approaches for multivariate regression and group comparison. Methods for more specialized analyses, such as for assessing shape allometry, comparing shape trajectories, examining morphological integration, and for assessing phylogenetic signal, are also included. Several functions are provided to graphically visualize results, including routines for examining variation in shape space, visualizing allometric trajectories, comparing specific shapes to one another and for plotting phylogenetic changes in morphospace. Finally, geomorph participates to make available advanced geometric morphometric analyses through the r statistical computing platform. © 2013 The Authors. Methods in Ecology and Evolution © 2013 British Ecological Society.","author":[{"dropping-particle":"","family":"Adams","given":"Dean C.","non-dropping-particle":"","parse-names":false,"suffix":""},{"dropping-particle":"","family":"Otárola-Castillo","given":"Erik","non-dropping-particle":"","parse-names":false,"suffix":""}],"container-title":"Methods in Ecology and Evolution","id":"ITEM-1","issue":"4","issued":{"date-parts":[["2013","4"]]},"page":"393-399","title":"Geomorph: An r package for the collection and analysis of geometric morphometric shape data","type":"article-journal","volume":"4"},"uris":["http://www.mendeley.com/documents/?uuid=8d23bac5-de70-3335-ad2c-37dc8eaeb730"]}],"mendeley":{"formattedCitation":"(27)","plainTextFormattedCitation":"(27)","previouslyFormattedCitation":"(27)"},"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(27)</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To minimize digitization errors associated with landmarks, all landmarks were consistently positioned by a single individual. Nevertheless, in cases of repeated attempts, it is highly likely that each landmark may be placed slightly differently compared to its previous positioning. Therefore, to measure the error rate of landmark digitization, we digitized five times five individuals from </w:t>
      </w:r>
      <w:r w:rsidRPr="00216F3E">
        <w:rPr>
          <w:rFonts w:ascii="Times New Roman" w:hAnsi="Times New Roman" w:cs="Times New Roman"/>
          <w:i/>
          <w:iCs/>
          <w:color w:val="000000" w:themeColor="text1"/>
          <w:sz w:val="24"/>
          <w:szCs w:val="24"/>
        </w:rPr>
        <w:t>M. tetranemus</w:t>
      </w:r>
      <w:r w:rsidRPr="00216F3E">
        <w:rPr>
          <w:rFonts w:ascii="Times New Roman" w:hAnsi="Times New Roman" w:cs="Times New Roman"/>
          <w:color w:val="000000" w:themeColor="text1"/>
          <w:sz w:val="24"/>
          <w:szCs w:val="24"/>
        </w:rPr>
        <w:t xml:space="preserve"> and </w:t>
      </w:r>
      <w:r w:rsidRPr="00216F3E">
        <w:rPr>
          <w:rFonts w:ascii="Times New Roman" w:hAnsi="Times New Roman" w:cs="Times New Roman"/>
          <w:i/>
          <w:iCs/>
          <w:color w:val="000000" w:themeColor="text1"/>
          <w:sz w:val="24"/>
          <w:szCs w:val="24"/>
        </w:rPr>
        <w:t>M. triangulatus.</w:t>
      </w:r>
      <w:r w:rsidRPr="00216F3E">
        <w:rPr>
          <w:rFonts w:ascii="Times New Roman" w:hAnsi="Times New Roman" w:cs="Times New Roman"/>
          <w:color w:val="000000" w:themeColor="text1"/>
          <w:sz w:val="24"/>
          <w:szCs w:val="24"/>
        </w:rPr>
        <w:t xml:space="preserve"> Repeating digitization multiple times on the same photographs allowed us to quantify the similarity between digitizations and to calculate measurement error. To this end, we plotted the centroid scores along the morphospace (Csize value) to see if repeated measurements of the same individual clustered together. As replicates are supposed to represent the same underlying value, any variability among them can be attributed to measurement error. Therefore, we calculated the coefficient of variation (CV) among replicates as the ratio of the standard deviation to the mean value, expressed as percentage.</w:t>
      </w:r>
    </w:p>
    <w:p w14:paraId="35D425AE" w14:textId="77777777" w:rsidR="00931688" w:rsidRDefault="00931688" w:rsidP="00931688">
      <w:pPr>
        <w:ind w:firstLine="720"/>
        <w:jc w:val="both"/>
        <w:rPr>
          <w:rFonts w:ascii="Times New Roman" w:hAnsi="Times New Roman" w:cs="Times New Roman"/>
          <w:color w:val="000000" w:themeColor="text1"/>
          <w:sz w:val="24"/>
          <w:szCs w:val="24"/>
        </w:rPr>
      </w:pPr>
      <w:r w:rsidRPr="00F30CFB">
        <w:rPr>
          <w:rFonts w:ascii="Times New Roman" w:hAnsi="Times New Roman" w:cs="Times New Roman"/>
          <w:color w:val="000000" w:themeColor="text1"/>
          <w:sz w:val="24"/>
          <w:szCs w:val="24"/>
        </w:rPr>
        <w:t>We analyzed photographs and x-rays separately, as preliminary analyses showed that the two datasets formed different, almost no</w:t>
      </w:r>
      <w:r w:rsidRPr="00216F3E">
        <w:rPr>
          <w:rFonts w:ascii="Times New Roman" w:hAnsi="Times New Roman" w:cs="Times New Roman"/>
          <w:color w:val="000000" w:themeColor="text1"/>
          <w:sz w:val="24"/>
          <w:szCs w:val="24"/>
        </w:rPr>
        <w:t xml:space="preserve">n-overlapping clusters separated by the PC2 axis in the morphospace (Fig. S11). This may be related to the differential ability in distinguishing specific characters depending on the image source. For example, the base of the fin rays is easily distinguishable in x-rays. Alternatively, it may be related to the condition of the specimen at the moment of image capture, as it has been suggested that the type of preservation of the specimen influences geometric morphometric analyses, where differences related to the method could be confounded with biologically-relevant disparity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{"citationItems":[{"id":"ITEM-1","itemData":{"DOI":"10.1007/s10228-013-0339-x","ISSN":"13418998","abstract":"The present study analyzes the effects of freezing and alcohol preservation in geometric morphometric data, using 15 individuals of the peacock fish Cichla kelberi (12.9-26.4 cm SL) divided into freezing and alcohol groups, conserved in each preservation method for 90 days. Discriminant analysis revealed significant difference between before and after treatments, and principal component analysis also showed separation between treatments, for both conservation methods. These results introduce a significant preservation influence that should be considered in biological, ecological and evolutionary interpretations of fish data in geometric morphometric approaches. © 2013 The Ichthyological Society of Japan.","author":[{"dropping-particle":"","family":"Berbel-Filho","given":"Waldir M.","non-dropping-particle":"","parse-names":false,"suffix":""},{"dropping-particle":"","family":"Jacobina","given":"Uedson P.","non-dropping-particle":"","parse-names":false,"suffix":""},{"dropping-particle":"","family":"Martinez","given":"Pablo A.","non-dropping-particle":"","parse-names":false,"suffix":""}],"container-title":"Ichthyological Research","id":"ITEM-1","issue":"3","issued":{"date-parts":[["2013"]]},"page":"268-271","title":"Preservation effects in geometric morphometric approaches: Freezing and alcohol in a freshwater fish","type":"article-journal","volume":"60"},"uris":["http://www.mendeley.com/documents/?uuid=94ef74b4-148a-475b-8382-b87d9f9cac8a"]},{"id":"ITEM-2","itemData":{"DOI":"10.1007/s00427-016-0537-4","ISSN":"1432041X","PMID":"27038025","abstract":"Geometric morphometrics—a set of methods for the statistical analysis of shape once saluted as a revolutionary advancement in the analysis of morphology —is now mature and routinely used in ecology and evolution. However, a factor often disregarded in empirical studies is the presence and the extent of measurement error. This is potentially a very serious issue because random measurement error can inflate the amount of variance and, since many statistical analyses are based on the amount of “explained” relative to “residual” variance, can result in loss of statistical power. On the other hand, systematic bias can affect statistical analyses by biasing the results (i.e. variation due to bias is incorporated in the analysis and treated as biologically-meaningful variation). Here, I briefly review common sources of error in geometric morphometrics. I then review the most commonly used methods to measure and account for both random and non-random measurement error, providing a worked example using a real dataset.","author":[{"dropping-particle":"","family":"Fruciano","given":"Carmelo","non-dropping-particle":"","parse-names":false,"suffix":""}],"container-title":"Development Genes and Evolution","id":"ITEM-2","issue":"3","issued":{"date-parts":[["2016"]]},"page":"139-158","publisher":"Development Genes and Evolution","title":"Measurement error in geometric morphometrics","type":"article-journal","volume":"226"},"uris":["http://www.mendeley.com/documents/?uuid=c85c1733-723c-4166-9059-17460bed279d"]}],"mendeley":{"formattedCitation":"(86, 88)","plainTextFormattedCitation":"(86, 88)","previouslyFormattedCitation":"(85, 87)"},"properties":{"noteIndex":0},"schema":"https://github.com/citation-style-language/schema/raw/master/csl-citation.json"}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(86, 88)</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For instance, photographs were taken using fresh specimens, while x-rays were taken from fixed and preserved specimens deposited at the NMNH fish collection.</w:t>
      </w:r>
      <w:r w:rsidRPr="00216F3E" w:rsidDel="00611B47">
        <w:rPr>
          <w:rFonts w:ascii="Times New Roman" w:hAnsi="Times New Roman" w:cs="Times New Roman"/>
          <w:color w:val="000000" w:themeColor="text1"/>
          <w:sz w:val="24"/>
          <w:szCs w:val="24"/>
        </w:rPr>
        <w:t xml:space="preserve"> </w:t>
      </w:r>
      <w:r w:rsidRPr="00216F3E">
        <w:rPr>
          <w:rFonts w:ascii="Times New Roman" w:hAnsi="Times New Roman" w:cs="Times New Roman"/>
          <w:color w:val="000000" w:themeColor="text1"/>
          <w:sz w:val="24"/>
          <w:szCs w:val="24"/>
        </w:rPr>
        <w:t>As an additional quality control step, we also generated four different schemes, each comprising various combinations of landmarks and semi-landmarks. The first scheme contained all landmarks and semi-landmarks, while the second scheme solely comprised fixed landmarks. In the third scheme, only landmarks located on the head were included, and the fourth scheme comprised landmarks positioned on the anterior body (Fig. S12).</w:t>
      </w:r>
    </w:p>
    <w:p w14:paraId="447BA75B" w14:textId="77777777" w:rsidR="00F30CFB" w:rsidRDefault="00F30CFB" w:rsidP="00931688">
      <w:pPr>
        <w:ind w:firstLine="720"/>
        <w:jc w:val="both"/>
        <w:rPr>
          <w:rFonts w:ascii="Times New Roman" w:hAnsi="Times New Roman" w:cs="Times New Roman"/>
          <w:color w:val="000000" w:themeColor="text1"/>
          <w:sz w:val="24"/>
          <w:szCs w:val="24"/>
        </w:rPr>
      </w:pPr>
    </w:p>
    <w:p w14:paraId="63EE7C16" w14:textId="77777777" w:rsidR="00216F3E" w:rsidRPr="00216F3E" w:rsidRDefault="00216F3E" w:rsidP="00931688">
      <w:pPr>
        <w:ind w:firstLine="720"/>
        <w:jc w:val="both"/>
        <w:rPr>
          <w:rFonts w:ascii="Times New Roman" w:hAnsi="Times New Roman" w:cs="Times New Roman"/>
          <w:color w:val="000000" w:themeColor="text1"/>
          <w:sz w:val="24"/>
          <w:szCs w:val="24"/>
        </w:rPr>
      </w:pPr>
    </w:p>
    <w:p w14:paraId="26B65117" w14:textId="77777777" w:rsidR="00931688" w:rsidRDefault="00931688" w:rsidP="00931688">
      <w:pPr>
        <w:jc w:val="both"/>
        <w:rPr>
          <w:rFonts w:ascii="Times New Roman" w:hAnsi="Times New Roman" w:cs="Times New Roman"/>
          <w:b/>
          <w:bCs/>
          <w:color w:val="000000" w:themeColor="text1"/>
        </w:rPr>
      </w:pPr>
    </w:p>
    <w:p w14:paraId="3B51A0C5" w14:textId="77777777" w:rsidR="00931688" w:rsidRDefault="00931688" w:rsidP="00931688">
      <w:pPr>
        <w:jc w:val="both"/>
        <w:rPr>
          <w:rFonts w:ascii="Times New Roman" w:hAnsi="Times New Roman" w:cs="Times New Roman"/>
          <w:b/>
          <w:bCs/>
          <w:color w:val="000000" w:themeColor="text1"/>
        </w:rPr>
      </w:pPr>
      <w:r>
        <w:rPr>
          <w:rFonts w:ascii="Times New Roman" w:hAnsi="Times New Roman" w:cs="Times New Roman"/>
          <w:b/>
          <w:bCs/>
          <w:noProof/>
          <w:color w:val="000000" w:themeColor="text1"/>
        </w:rPr>
        <w:drawing>
          <wp:anchor distT="0" distB="0" distL="114300" distR="114300" simplePos="0" relativeHeight="251742208" behindDoc="0" locked="0" layoutInCell="1" allowOverlap="1" wp14:anchorId="2B4BBFE9" wp14:editId="140E1488">
            <wp:simplePos x="0" y="0"/>
            <wp:positionH relativeFrom="column">
              <wp:posOffset>345440</wp:posOffset>
            </wp:positionH>
            <wp:positionV relativeFrom="paragraph">
              <wp:posOffset>36195</wp:posOffset>
            </wp:positionV>
            <wp:extent cx="5262880" cy="2910328"/>
            <wp:effectExtent l="0" t="0" r="0" b="0"/>
            <wp:wrapNone/>
            <wp:docPr id="293064374" name="Picture 1" descr="A diagram of a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64374" name="Picture 1" descr="A diagram of a fish&#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62880" cy="2910328"/>
                    </a:xfrm>
                    <a:prstGeom prst="rect">
                      <a:avLst/>
                    </a:prstGeom>
                  </pic:spPr>
                </pic:pic>
              </a:graphicData>
            </a:graphic>
            <wp14:sizeRelH relativeFrom="page">
              <wp14:pctWidth>0</wp14:pctWidth>
            </wp14:sizeRelH>
            <wp14:sizeRelV relativeFrom="page">
              <wp14:pctHeight>0</wp14:pctHeight>
            </wp14:sizeRelV>
          </wp:anchor>
        </w:drawing>
      </w:r>
    </w:p>
    <w:p w14:paraId="45916EFF" w14:textId="77777777" w:rsidR="00931688" w:rsidRDefault="00931688" w:rsidP="00931688">
      <w:pPr>
        <w:jc w:val="both"/>
        <w:rPr>
          <w:rFonts w:ascii="Times New Roman" w:hAnsi="Times New Roman" w:cs="Times New Roman"/>
          <w:b/>
          <w:bCs/>
          <w:color w:val="000000" w:themeColor="text1"/>
        </w:rPr>
      </w:pPr>
    </w:p>
    <w:p w14:paraId="775C06C6" w14:textId="77777777" w:rsidR="00931688" w:rsidRDefault="00931688" w:rsidP="00931688">
      <w:pPr>
        <w:jc w:val="both"/>
        <w:rPr>
          <w:rFonts w:ascii="Times New Roman" w:hAnsi="Times New Roman" w:cs="Times New Roman"/>
          <w:b/>
          <w:bCs/>
          <w:color w:val="000000" w:themeColor="text1"/>
        </w:rPr>
      </w:pPr>
    </w:p>
    <w:p w14:paraId="207CC77A" w14:textId="77777777" w:rsidR="00931688" w:rsidRDefault="00931688" w:rsidP="00931688">
      <w:pPr>
        <w:jc w:val="both"/>
        <w:rPr>
          <w:rFonts w:ascii="Times New Roman" w:hAnsi="Times New Roman" w:cs="Times New Roman"/>
          <w:b/>
          <w:bCs/>
          <w:color w:val="000000" w:themeColor="text1"/>
        </w:rPr>
      </w:pPr>
    </w:p>
    <w:p w14:paraId="6DFD5C5F" w14:textId="77777777" w:rsidR="00931688" w:rsidRDefault="00931688" w:rsidP="00931688">
      <w:pPr>
        <w:jc w:val="both"/>
        <w:rPr>
          <w:rFonts w:ascii="Times New Roman" w:hAnsi="Times New Roman" w:cs="Times New Roman"/>
          <w:b/>
          <w:bCs/>
          <w:color w:val="000000" w:themeColor="text1"/>
        </w:rPr>
      </w:pPr>
    </w:p>
    <w:p w14:paraId="2BCDAC89" w14:textId="77777777" w:rsidR="00931688" w:rsidRDefault="00931688" w:rsidP="00931688">
      <w:pPr>
        <w:jc w:val="both"/>
        <w:rPr>
          <w:rFonts w:ascii="Times New Roman" w:hAnsi="Times New Roman" w:cs="Times New Roman"/>
          <w:b/>
          <w:bCs/>
          <w:color w:val="000000" w:themeColor="text1"/>
        </w:rPr>
      </w:pPr>
    </w:p>
    <w:p w14:paraId="0C60DFB6" w14:textId="77777777" w:rsidR="00931688" w:rsidRDefault="00931688" w:rsidP="00931688">
      <w:pPr>
        <w:jc w:val="both"/>
        <w:rPr>
          <w:rFonts w:ascii="Times New Roman" w:hAnsi="Times New Roman" w:cs="Times New Roman"/>
          <w:b/>
          <w:bCs/>
          <w:color w:val="000000" w:themeColor="text1"/>
        </w:rPr>
      </w:pPr>
    </w:p>
    <w:p w14:paraId="7B72F7B8" w14:textId="77777777" w:rsidR="00931688" w:rsidRDefault="00931688" w:rsidP="00931688">
      <w:pPr>
        <w:jc w:val="both"/>
        <w:rPr>
          <w:rFonts w:ascii="Times New Roman" w:hAnsi="Times New Roman" w:cs="Times New Roman"/>
          <w:b/>
          <w:bCs/>
          <w:color w:val="000000" w:themeColor="text1"/>
        </w:rPr>
      </w:pPr>
    </w:p>
    <w:p w14:paraId="04964D4D" w14:textId="77777777" w:rsidR="00931688" w:rsidRDefault="00931688" w:rsidP="00931688">
      <w:pPr>
        <w:jc w:val="both"/>
        <w:rPr>
          <w:rFonts w:ascii="Times New Roman" w:hAnsi="Times New Roman" w:cs="Times New Roman"/>
          <w:b/>
          <w:bCs/>
          <w:color w:val="000000" w:themeColor="text1"/>
        </w:rPr>
      </w:pPr>
    </w:p>
    <w:p w14:paraId="15203567" w14:textId="77777777" w:rsidR="00931688" w:rsidRDefault="00931688" w:rsidP="00931688">
      <w:pPr>
        <w:jc w:val="both"/>
        <w:rPr>
          <w:rFonts w:ascii="Times New Roman" w:hAnsi="Times New Roman" w:cs="Times New Roman"/>
          <w:b/>
          <w:bCs/>
          <w:color w:val="000000" w:themeColor="text1"/>
        </w:rPr>
      </w:pPr>
    </w:p>
    <w:p w14:paraId="11BE7922" w14:textId="77777777" w:rsidR="00931688" w:rsidRDefault="00931688" w:rsidP="00931688">
      <w:pPr>
        <w:jc w:val="both"/>
        <w:rPr>
          <w:rFonts w:ascii="Times New Roman" w:hAnsi="Times New Roman" w:cs="Times New Roman"/>
          <w:b/>
          <w:bCs/>
          <w:color w:val="000000" w:themeColor="text1"/>
        </w:rPr>
      </w:pPr>
    </w:p>
    <w:p w14:paraId="5339C2D9" w14:textId="77777777" w:rsidR="00931688" w:rsidRDefault="00931688" w:rsidP="00931688">
      <w:pPr>
        <w:jc w:val="both"/>
        <w:rPr>
          <w:rFonts w:ascii="Times New Roman" w:hAnsi="Times New Roman" w:cs="Times New Roman"/>
          <w:b/>
          <w:bCs/>
          <w:color w:val="000000" w:themeColor="text1"/>
        </w:rPr>
      </w:pPr>
      <w:r w:rsidRPr="00802863">
        <w:rPr>
          <w:rFonts w:ascii="Helvetica" w:hAnsi="Helvetica"/>
          <w:noProof/>
        </w:rPr>
        <mc:AlternateContent>
          <mc:Choice Requires="wps">
            <w:drawing>
              <wp:anchor distT="0" distB="0" distL="114300" distR="114300" simplePos="0" relativeHeight="251741184" behindDoc="0" locked="0" layoutInCell="1" allowOverlap="1" wp14:anchorId="7B36526F" wp14:editId="6E0572E5">
                <wp:simplePos x="0" y="0"/>
                <wp:positionH relativeFrom="column">
                  <wp:posOffset>12096</wp:posOffset>
                </wp:positionH>
                <wp:positionV relativeFrom="paragraph">
                  <wp:posOffset>47346</wp:posOffset>
                </wp:positionV>
                <wp:extent cx="6024245" cy="288290"/>
                <wp:effectExtent l="0" t="0" r="0" b="0"/>
                <wp:wrapNone/>
                <wp:docPr id="2029169903" name="Text Box 2"/>
                <wp:cNvGraphicFramePr/>
                <a:graphic xmlns:a="http://schemas.openxmlformats.org/drawingml/2006/main">
                  <a:graphicData uri="http://schemas.microsoft.com/office/word/2010/wordprocessingShape">
                    <wps:wsp>
                      <wps:cNvSpPr txBox="1"/>
                      <wps:spPr>
                        <a:xfrm>
                          <a:off x="0" y="0"/>
                          <a:ext cx="6024245" cy="288290"/>
                        </a:xfrm>
                        <a:prstGeom prst="rect">
                          <a:avLst/>
                        </a:prstGeom>
                        <a:noFill/>
                        <a:ln w="6350">
                          <a:noFill/>
                        </a:ln>
                      </wps:spPr>
                      <wps:txbx>
                        <w:txbxContent>
                          <w:p w14:paraId="00DD18E3" w14:textId="77777777" w:rsidR="00931688" w:rsidRPr="00AC36DC" w:rsidRDefault="00931688" w:rsidP="00931688">
                            <w:pPr>
                              <w:jc w:val="both"/>
                              <w:rPr>
                                <w:rFonts w:ascii="Times New Roman" w:hAnsi="Times New Roman" w:cs="Times New Roman"/>
                                <w:color w:val="000000" w:themeColor="text1"/>
                                <w:sz w:val="20"/>
                                <w:szCs w:val="20"/>
                              </w:rPr>
                            </w:pPr>
                            <w:bookmarkStart w:id="18" w:name="FigS12"/>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12</w:t>
                            </w:r>
                            <w:bookmarkEnd w:id="18"/>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Schemes of landmarks and semi-landmarks used to conduct geometric morphometric analyses.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6526F" id="_x0000_s1051" type="#_x0000_t202" style="position:absolute;left:0;text-align:left;margin-left:.95pt;margin-top:3.75pt;width:474.35pt;height:2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" filled="f" stroked="f" strokeweight=".5pt">
                <v:textbox>
                  <w:txbxContent>
                    <w:p w14:paraId="00DD18E3" w14:textId="77777777" w:rsidR="00931688" w:rsidRPr="00AC36DC" w:rsidRDefault="00931688" w:rsidP="00931688">
                      <w:pPr>
                        <w:jc w:val="both"/>
                        <w:rPr>
                          <w:rFonts w:ascii="Times New Roman" w:hAnsi="Times New Roman" w:cs="Times New Roman"/>
                          <w:color w:val="000000" w:themeColor="text1"/>
                          <w:sz w:val="20"/>
                          <w:szCs w:val="20"/>
                        </w:rPr>
                      </w:pPr>
                      <w:bookmarkStart w:id="30" w:name="FigS12"/>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12</w:t>
                      </w:r>
                      <w:bookmarkEnd w:id="30"/>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Schemes of landmarks and semi-landmarks used to conduct geometric morphometric analyses.</w:t>
                      </w:r>
                    </w:p>
                  </w:txbxContent>
                </v:textbox>
              </v:shape>
            </w:pict>
          </mc:Fallback>
        </mc:AlternateContent>
      </w:r>
    </w:p>
    <w:p w14:paraId="7522A25F" w14:textId="77777777" w:rsidR="00931688" w:rsidRDefault="00931688" w:rsidP="00931688">
      <w:pPr>
        <w:jc w:val="both"/>
        <w:rPr>
          <w:rFonts w:ascii="Times New Roman" w:hAnsi="Times New Roman" w:cs="Times New Roman"/>
          <w:b/>
          <w:bCs/>
          <w:color w:val="000000" w:themeColor="text1"/>
        </w:rPr>
      </w:pPr>
    </w:p>
    <w:p w14:paraId="4CBC1537" w14:textId="77777777" w:rsidR="00931688" w:rsidRPr="00216F3E" w:rsidRDefault="00931688" w:rsidP="00931688">
      <w:pPr>
        <w:jc w:val="both"/>
        <w:rPr>
          <w:rFonts w:ascii="Helvetica" w:hAnsi="Helvetica" w:cs="Times New Roman"/>
          <w:b/>
          <w:bCs/>
          <w:color w:val="000000" w:themeColor="text1"/>
          <w:sz w:val="36"/>
          <w:szCs w:val="36"/>
        </w:rPr>
      </w:pPr>
      <w:r w:rsidRPr="00216F3E">
        <w:rPr>
          <w:rFonts w:ascii="Times New Roman" w:hAnsi="Times New Roman" w:cs="Times New Roman"/>
          <w:color w:val="000000" w:themeColor="text1"/>
          <w:sz w:val="24"/>
          <w:szCs w:val="24"/>
        </w:rPr>
        <w:t>We selected scheme 4 as landmarks and semi-landmarks placed on the caudal fin showed “bending effects” due to specimen preservation artifacts (Fig. S28</w:t>
      </w:r>
      <w:r w:rsidRPr="00216F3E">
        <w:rPr>
          <w:rFonts w:ascii="Times New Roman" w:hAnsi="Times New Roman" w:cs="Times New Roman"/>
          <w:noProof/>
          <w:sz w:val="24"/>
          <w:szCs w:val="24"/>
        </w:rPr>
        <w:t>–S30)</w:t>
      </w:r>
      <w:r w:rsidRPr="00216F3E">
        <w:rPr>
          <w:rFonts w:ascii="Times New Roman" w:hAnsi="Times New Roman" w:cs="Times New Roman"/>
          <w:color w:val="000000" w:themeColor="text1"/>
          <w:sz w:val="24"/>
          <w:szCs w:val="24"/>
        </w:rPr>
        <w:t>.</w:t>
      </w:r>
    </w:p>
    <w:p w14:paraId="6686BED0" w14:textId="77777777" w:rsidR="00931688" w:rsidRPr="00216F3E" w:rsidRDefault="00931688" w:rsidP="00931688">
      <w:pPr>
        <w:jc w:val="both"/>
        <w:rPr>
          <w:rFonts w:ascii="Times New Roman" w:hAnsi="Times New Roman" w:cs="Times New Roman"/>
          <w:b/>
          <w:bCs/>
          <w:color w:val="000000" w:themeColor="text1"/>
          <w:sz w:val="28"/>
          <w:szCs w:val="28"/>
        </w:rPr>
      </w:pPr>
    </w:p>
    <w:p w14:paraId="40BDCB03" w14:textId="4F1B3AAC" w:rsidR="00931688" w:rsidRPr="00216F3E" w:rsidRDefault="00931688" w:rsidP="00931688">
      <w:pPr>
        <w:autoSpaceDE w:val="0"/>
        <w:autoSpaceDN w:val="0"/>
        <w:adjustRightInd w:val="0"/>
        <w:jc w:val="both"/>
        <w:rPr>
          <w:rFonts w:ascii="Times New Roman" w:hAnsi="Times New Roman" w:cs="Times New Roman"/>
          <w:b/>
          <w:bCs/>
          <w:color w:val="000000" w:themeColor="text1"/>
          <w:sz w:val="24"/>
          <w:szCs w:val="24"/>
        </w:rPr>
      </w:pPr>
      <w:r w:rsidRPr="00216F3E">
        <w:rPr>
          <w:rFonts w:ascii="Times New Roman" w:hAnsi="Times New Roman" w:cs="Times New Roman"/>
          <w:b/>
          <w:bCs/>
          <w:color w:val="000000" w:themeColor="text1"/>
          <w:sz w:val="24"/>
          <w:szCs w:val="24"/>
        </w:rPr>
        <w:t>SEASCAPE GENOMICS</w:t>
      </w:r>
    </w:p>
    <w:p w14:paraId="4E30FDAA" w14:textId="62A6BACA" w:rsidR="00931688" w:rsidRPr="00216F3E" w:rsidRDefault="00931688" w:rsidP="00216F3E">
      <w:pPr>
        <w:jc w:val="both"/>
        <w:rPr>
          <w:rFonts w:ascii="Times New Roman" w:hAnsi="Times New Roman" w:cs="Times New Roman"/>
          <w:color w:val="000000" w:themeColor="text1"/>
          <w:sz w:val="24"/>
          <w:szCs w:val="24"/>
        </w:rPr>
      </w:pPr>
      <w:r w:rsidRPr="00216F3E">
        <w:rPr>
          <w:rFonts w:ascii="Times New Roman" w:hAnsi="Times New Roman" w:cs="Times New Roman"/>
          <w:color w:val="000000" w:themeColor="text1"/>
          <w:sz w:val="24"/>
          <w:szCs w:val="24"/>
        </w:rPr>
        <w:t xml:space="preserve">To disentangle the effect of spatial distribution, oceanic currents and environmental variables on the patterns of genomic variation in the TEP and GC, we analyzed </w:t>
      </w:r>
      <w:r w:rsidRPr="00216F3E">
        <w:rPr>
          <w:rFonts w:ascii="Times New Roman" w:hAnsi="Times New Roman" w:cs="Times New Roman"/>
          <w:i/>
          <w:iCs/>
          <w:color w:val="000000" w:themeColor="text1"/>
          <w:sz w:val="24"/>
          <w:szCs w:val="24"/>
        </w:rPr>
        <w:t>M. tetranemus</w:t>
      </w:r>
      <w:r w:rsidRPr="00216F3E">
        <w:rPr>
          <w:rFonts w:ascii="Times New Roman" w:hAnsi="Times New Roman" w:cs="Times New Roman"/>
          <w:color w:val="000000" w:themeColor="text1"/>
          <w:sz w:val="24"/>
          <w:szCs w:val="24"/>
        </w:rPr>
        <w:t xml:space="preserve"> and </w:t>
      </w:r>
      <w:r w:rsidRPr="00216F3E">
        <w:rPr>
          <w:rFonts w:ascii="Times New Roman" w:hAnsi="Times New Roman" w:cs="Times New Roman"/>
          <w:i/>
          <w:iCs/>
          <w:color w:val="000000" w:themeColor="text1"/>
          <w:sz w:val="24"/>
          <w:szCs w:val="24"/>
        </w:rPr>
        <w:t>M. triangulatus</w:t>
      </w:r>
      <w:r w:rsidRPr="00216F3E">
        <w:rPr>
          <w:rFonts w:ascii="Times New Roman" w:hAnsi="Times New Roman" w:cs="Times New Roman"/>
          <w:color w:val="000000" w:themeColor="text1"/>
          <w:sz w:val="24"/>
          <w:szCs w:val="24"/>
        </w:rPr>
        <w:t xml:space="preserve"> (the most widespread species in the TEP and GC, respectively) under a seascape genomics framework.</w:t>
      </w:r>
    </w:p>
    <w:p w14:paraId="48802FEF" w14:textId="77777777" w:rsidR="00931688" w:rsidRPr="00216F3E" w:rsidRDefault="00931688" w:rsidP="00931688">
      <w:pPr>
        <w:autoSpaceDE w:val="0"/>
        <w:autoSpaceDN w:val="0"/>
        <w:adjustRightInd w:val="0"/>
        <w:jc w:val="both"/>
        <w:rPr>
          <w:rFonts w:ascii="Times New Roman" w:hAnsi="Times New Roman" w:cs="Times New Roman"/>
          <w:color w:val="000000" w:themeColor="text1"/>
          <w:sz w:val="24"/>
          <w:szCs w:val="24"/>
        </w:rPr>
      </w:pPr>
      <w:r w:rsidRPr="00216F3E">
        <w:rPr>
          <w:rFonts w:ascii="Times New Roman" w:hAnsi="Times New Roman" w:cs="Times New Roman"/>
          <w:b/>
          <w:bCs/>
          <w:color w:val="000000" w:themeColor="text1"/>
          <w:sz w:val="24"/>
          <w:szCs w:val="24"/>
        </w:rPr>
        <w:t>Environmental variables</w:t>
      </w:r>
      <w:r w:rsidRPr="00216F3E">
        <w:rPr>
          <w:rFonts w:ascii="Times New Roman" w:hAnsi="Times New Roman" w:cs="Times New Roman"/>
          <w:color w:val="000000" w:themeColor="text1"/>
          <w:sz w:val="24"/>
          <w:szCs w:val="24"/>
        </w:rPr>
        <w:t xml:space="preserve">. To accurately test the influence of environmental variables and collect most of the variables recognized as drivers of population divergence or speciation among fishes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{"citationItems":[{"id":"ITEM-1","itemData":{"DOI":"https://doi.org/10.1111/mec.16339","abstract":"Abstract Inferring the genomic basis of local adaptation is a long-standing goal of evolutionary biology. Beyond its fundamental evolutionary implications, such knowledge can guide conservation decisions for populations of conservation and management concern. Here, we investigated the genomic basis of local adaptation in the Coho salmon (Oncorhynchus kisutch) across its entire North American range. We hypothesized that extensive spatial variation in environmental conditions and the species’ homing behaviour may promote the establishment of local adaptation. We genotyped 7829 individuals representing 217 sampling locations at more than 100,000 high-quality RADseq loci to investigate how recombination might affect the detection of loci putatively under selection and took advantage of the precise description of the demographic history of the species from our previous work to draw accurate population genomic inferences about local adaptation. The results indicated that genetic differentiation scans and genetic–environment association analyses were both significantly affected by variation in recombination rate as low recombination regions displayed an increased number of outliers. By taking these confounding factors into consideration, we revealed that migration distance was the primary selective factor driving local adaptation and partial parallel divergence among distant populations. Moreover, we identified several candidate single nucleotide polymorphisms associated with long-distance migration and altitude including a gene known to be involved in adaptation to altitude in other species. The evolutionary implications of our findings are discussed along with conservation applications.","author":[{"dropping-particle":"","family":"Rougemont","given":"Quentin","non-dropping-particle":"","parse-names":false,"suffix":""},{"dropping-particle":"","family":"Xuereb","given":"Amanda","non-dropping-particle":"","parse-names":false,"suffix":""},{"dropping-particle":"","family":"Dallaire","given":"Xavier","non-dropping-particle":"","parse-names":false,"suffix":""},{"dropping-particle":"","family":"Moore","given":"Jean-Sébastien","non-dropping-particle":"","parse-names":false,"suffix":""},{"dropping-particle":"","family":"Normandeau","given":"Eric","non-dropping-particle":"","parse-names":false,"suffix":""},{"dropping-particle":"","family":"Perreault-Payette","given":"Alysse","non-dropping-particle":"","parse-names":false,"suffix":""},{"dropping-particle":"","family":"Bougas","given":"Bérénice","non-dropping-particle":"","parse-names":false,"suffix":""},{"dropping-particle":"","family":"Rondeau","given":"Eric B","non-dropping-particle":"","parse-names":false,"suffix":""},{"dropping-particle":"","family":"Withler","given":"Ruth E","non-dropping-particle":"","parse-names":false,"suffix":""},{"dropping-particle":"","family":"Doornik","given":"Donald M","non-dropping-particle":"Van","parse-names":false,"suffix":""},{"dropping-particle":"","family":"Crane","given":"Penelope A","non-dropping-particle":"","parse-names":false,"suffix":""},{"dropping-particle":"","family":"Naish","given":"Kerry A","non-dropping-particle":"","parse-names":false,"suffix":""},{"dropping-particle":"","family":"Garza","given":"John Carlos","non-dropping-particle":"","parse-names":false,"suffix":""},{"dropping-particle":"","family":"Beacham","given":"Terry D","non-dropping-particle":"","parse-names":false,"suffix":""},{"dropping-particle":"","family":"Koop","given":"Ben F","non-dropping-particle":"","parse-names":false,"suffix":""},{"dropping-particle":"","family":"Bernatchez","given":"Louis","non-dropping-particle":"","parse-names":false,"suffix":""}],"container-title":"Molecular Ecology","id":"ITEM-1","issue":"3","issued":{"date-parts":[["2023"]]},"page":"542-559","title":"Long-distance migration is a major factor driving local adaptation at continental scale in Coho salmon","type":"article-journal","volume":"32"},"uris":["http://www.mendeley.com/documents/?uuid=f761169c-dc2a-4c50-9d3c-a2f6ba686ede"]},{"id":"ITEM-2","itemData":{"DOI":"10.1111/mec.13811","ISSN":"1365294X","PMID":"27543860","abstract":"Investigating how environmental features shape the genetic structure of populations is crucial for understanding how they are potentially adapted to their habitats, as well as for sound management. In this study, we assessed the relative importance of spatial distribution, ocean currents and sea surface temperature (SST) on patterns of putatively neutral and adaptive genetic variation among American lobster from 19 locations using population differentiation (PD) approaches combined with environmental association (EA) analyses. First, PD approaches (using bayescan, arlequin and outflank) found 28 outlier SNPs putatively under divergent selection and 9770 neutral SNPs in common. Redundancy analysis revealed that spatial distribution, ocean current-mediated larval connectivity and SST explained 31.7% of the neutral genetic differentiation, with ocean currents driving the majority of this relationship (21.0%). After removing the influence of spatial distribution, no SST were significant for putatively neutral genetic variation whereas minimum annual SST still had a significant impact and explained 8.1% of the putatively adaptive genetic variation. Second, EA analyses (using Pearson correlation tests, bayescenv and lfmm) jointly identified seven SNPs as candidates for thermal adaptation. Covariation at these SNPs was assessed with a spatial multivariate analysis that highlighted a significant temperature association, after accounting for the influence of spatial distribution. Among the 505 candidate SNPs detected by at least one of the three approaches, we discovered three polymorphisms located in genes previously shown to play a role in thermal adaptation. Our results have implications for the management of the American lobster and provide a foundation on which to predict how this species will cope with climate change.","author":[{"dropping-particle":"","family":"Benestan","given":"Laura","non-dropping-particle":"","parse-names":false,"suffix":""},{"dropping-particle":"","family":"Quinn","given":"Brady K.","non-dropping-particle":"","parse-names":false,"suffix":""},{"dropping-particle":"","family":"Maaroufi","given":"Halim","non-dropping-particle":"","parse-names":false,"suffix":""},{"dropping-particle":"","family":"Laporte","given":"Martin","non-dropping-particle":"","parse-names":false,"suffix":""},{"dropping-particle":"","family":"Clark","given":"Fraser K.","non-dropping-particle":"","parse-names":false,"suffix":""},{"dropping-particle":"","family":"Greenwood","given":"Spencer J.","non-dropping-particle":"","parse-names":false,"suffix":""},{"dropping-particle":"","family":"Rochette","given":"Rémy","non-dropping-particle":"","parse-names":false,"suffix":""},{"dropping-particle":"","family":"Bernatchez","given":"Louis","non-dropping-particle":"","parse-names":false,"suffix":""}],"container-title":"Molecular ecology","id":"ITEM-2","issue":"20","issued":{"date-parts":[["2016"]]},"page":"5073-5092","title":"Seascape genomics provides evidence for thermal adaptation and current-mediated population structure in American lobster (Homarus americanus)","type":"article-journal","volume":"25"},"uris":["http://www.mendeley.com/documents/?uuid=157903ae-9073-4030-98b4-21ec26b2c2ae"]},{"id":"ITEM-3","itemData":{"DOI":"10.1098/rspb.2021.0458","ISBN":"0000000226950","ISSN":"14712954","PMID":"34004134","abstract":"How far do marine larvae disperse in the ocean? Decades of population genetic studies have revealed generally low levels of genetic structure at large spatial scales (hundreds of kilometres). Yet this result, typically based on discrete sampling designs, does not necessarily imply extensive dispersal. Here, we adopt a continuous sampling strategy along 950 km of coast in the northwestern Mediterranean Sea to address this question in four species. In line with expectations, we observe weak genetic structure at a large spatial scale. Nevertheless, our continuous sampling strategy uncovers a pattern of isolation by distance at small spatial scales (few tens of kilometres) in two species. Individual-based simulations indicate that this signal is an expected signature of restricted dispersal. At the other extreme of the connectivity spectrum, two pairs of individuals that are closely related genetically were found more than 290 km apart, indicating long-distance dispersal. Such a combination of restricted dispersal with rare long-distance dispersal events is supported by a high-resolution biophysical model of larval dispersal in the study area, and we posit that it may be common in marine species. Our results bridge population genetic studies with direct dispersal studies and have implications for the design of marine reserve networks.","author":[{"dropping-particle":"","family":"Benestan","given":"L.","non-dropping-particle":"","parse-names":false,"suffix":""},{"dropping-particle":"","family":"Fietz","given":"K.","non-dropping-particle":"","parse-names":false,"suffix":""},{"dropping-particle":"","family":"Loiseau","given":"N.","non-dropping-particle":"","parse-names":false,"suffix":""},{"dropping-particle":"","family":"Guerin","given":"P. E.","non-dropping-particle":"","parse-names":false,"suffix":""},{"dropping-particle":"","family":"Trofimenko","given":"E.","non-dropping-particle":"","parse-names":false,"suffix":""},{"dropping-particle":"","family":"Rühs","given":"S.","non-dropping-particle":"","parse-names":false,"suffix":""},{"dropping-particle":"","family":"Schmidt","given":"C.","non-dropping-particle":"","parse-names":false,"suffix":""},{"dropping-particle":"","family":"Rath","given":"W.","non-dropping-particle":"","parse-names":false,"suffix":""},{"dropping-particle":"","family":"Biastoch","given":"A.","non-dropping-particle":"","parse-names":false,"suffix":""},{"dropping-particle":"","family":"Pérez-Ruzafa","given":"A.","non-dropping-particle":"","parse-names":false,"suffix":""},{"dropping-particle":"","family":"Baixauli","given":"P.","non-dropping-particle":"","parse-names":false,"suffix":""},{"dropping-particle":"","family":"Forcada","given":"A.","non-dropping-particle":"","parse-names":false,"suffix":""},{"dropping-particle":"","family":"Arcas","given":"E.","non-dropping-particle":"","parse-names":false,"suffix":""},{"dropping-particle":"","family":"Lenfant","given":"P.","non-dropping-particle":"","parse-names":false,"suffix":""},{"dropping-particle":"","family":"Mallol","given":"S.","non-dropping-particle":"","parse-names":false,"suffix":""},{"dropping-particle":"","family":"Goñi","given":"R.","non-dropping-particle":"","parse-names":false,"suffix":""},{"dropping-particle":"","family":"Velez","given":"L.","non-dropping-particle":"","parse-names":false,"suffix":""},{"dropping-particle":"","family":"Höppner","given":"M.","non-dropping-particle":"","parse-names":false,"suffix":""},{"dropping-particle":"","family":"Kininmonth","given":"S.","non-dropping-particle":"","parse-names":false,"suffix":""},{"dropping-particle":"","family":"Mouillot","given":"D.","non-dropping-particle":"","parse-names":false,"suffix":""},{"dropping-particle":"","family":"Puebla","given":"O.","non-dropping-particle":"","parse-names":false,"suffix":""},{"dropping-particle":"","family":"Manel","given":"S.","non-dropping-particle":"","parse-names":false,"suffix":""}],"container-title":"Proceedings of the Royal Society B: Biological Sciences","id":"ITEM-3","issue":"1951","issued":{"date-parts":[["2021"]]},"title":"Restricted dispersal in a sea of gene flow","type":"article-journal","volume":"288"},"uris":["http://www.mendeley.com/documents/?uuid=24b7e3e3-a8d1-4abd-ac05-a57c7cade31b"]}],"mendeley":{"formattedCitation":"(89–91)","plainTextFormattedCitation":"(89–91)","previouslyFormattedCitation":"(88–90)"},"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(89–91)</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we mined environmental information from the Marine Copernicus online data archive (</w:t>
      </w:r>
      <w:hyperlink r:id="rId63" w:history="1">
        <w:r w:rsidRPr="00216F3E">
          <w:rPr>
            <w:rFonts w:ascii="Times New Roman" w:hAnsi="Times New Roman" w:cs="Times New Roman"/>
            <w:color w:val="000000" w:themeColor="text1"/>
            <w:sz w:val="24"/>
            <w:szCs w:val="24"/>
          </w:rPr>
          <w:t>http://marine.copernicus.eu/</w:t>
        </w:r>
      </w:hyperlink>
      <w:r w:rsidRPr="00216F3E">
        <w:rPr>
          <w:rFonts w:ascii="Times New Roman" w:hAnsi="Times New Roman" w:cs="Times New Roman"/>
          <w:color w:val="000000" w:themeColor="text1"/>
          <w:sz w:val="24"/>
          <w:szCs w:val="24"/>
        </w:rPr>
        <w:t xml:space="preserve">). We extracted six estimates of sea surface temperature (SST), and the mean and standard deviation values for the mass concentration of chlorophyll </w:t>
      </w:r>
      <w:r w:rsidRPr="00216F3E">
        <w:rPr>
          <w:rFonts w:ascii="Times New Roman" w:hAnsi="Times New Roman" w:cs="Times New Roman"/>
          <w:color w:val="000000" w:themeColor="text1"/>
          <w:sz w:val="24"/>
          <w:szCs w:val="24"/>
        </w:rPr>
        <w:sym w:font="Symbol" w:char="F061"/>
      </w:r>
      <w:r w:rsidRPr="00216F3E">
        <w:rPr>
          <w:rFonts w:ascii="Times New Roman" w:hAnsi="Times New Roman" w:cs="Times New Roman"/>
          <w:color w:val="000000" w:themeColor="text1"/>
          <w:sz w:val="24"/>
          <w:szCs w:val="24"/>
        </w:rPr>
        <w:t xml:space="preserve"> in sea water (CHL), surface partial pressure of carbon dioxide in sea water (CO2), sea water pH reported on total scale (pH), mass concentration of suspended matter in sea water (SPM), sea surface salinity (SSS), and sea current velocity (SCV), sampled at monthly intervals over the sampling years (2015-2017) (Table S6) using the raster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{"citationItems":[{"id":"ITEM-1","itemData":{"author":[{"dropping-particle":"","family":"Hijmans","given":"Robert J","non-dropping-particle":"","parse-names":false,"suffix":""}],"id":"ITEM-1","issued":{"date-parts":[["2023"]]},"note":"R package version 3.6-21","title":"raster: Geographic Data Analysis and Modeling","type":"article"},"uris":["http://www.mendeley.com/documents/?uuid=ce3f9fe9-b33e-4add-a67c-caba0546cb6c"]}],"mendeley":{"formattedCitation":"(92)","plainTextFormattedCitation":"(92)","previouslyFormattedCitation":"(91)"},"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(92)</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R package. We conducted a principal component analysis (PCA) using the environmental matrix containing 18 variables sampled at each sampling location using the </w:t>
      </w:r>
      <w:r w:rsidRPr="00216F3E">
        <w:rPr>
          <w:rFonts w:ascii="Times New Roman" w:hAnsi="Times New Roman" w:cs="Times New Roman"/>
          <w:i/>
          <w:iCs/>
          <w:color w:val="000000" w:themeColor="text1"/>
          <w:sz w:val="24"/>
          <w:szCs w:val="24"/>
        </w:rPr>
        <w:t>dudi.pca</w:t>
      </w:r>
      <w:r w:rsidRPr="00216F3E">
        <w:rPr>
          <w:rFonts w:ascii="Times New Roman" w:hAnsi="Times New Roman" w:cs="Times New Roman"/>
          <w:color w:val="000000" w:themeColor="text1"/>
          <w:sz w:val="24"/>
          <w:szCs w:val="24"/>
        </w:rPr>
        <w:t xml:space="preserve"> function in the R package ade4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{"citationItems":[{"id":"ITEM-1","itemData":{"DOI":"10.18637/jss.v022.i04","ISSN":"15487660","abstract":"Multivariate analyses are well known and widely used to identify and understand structures of ecological communities. The ade4 package for the R statistical environment proposes a great number of multivariate methods. Its implementation follows the tradition of the French school of \"Analyse des Données\" and is based on the use of the duality diagram. We present the theory of the duality diagram and discuss its implementation in ade4. Classes and main functions are presented. An example is given to illustrate the ade4 philosophy.","author":[{"dropping-particle":"","family":"Dray","given":"Stéphane","non-dropping-particle":"","parse-names":false,"suffix":""},{"dropping-particle":"","family":"Dufour","given":"Anne Béatrice","non-dropping-particle":"","parse-names":false,"suffix":""}],"container-title":"Journal of Statistical Software","id":"ITEM-1","issue":"4","issued":{"date-parts":[["2007"]]},"page":"1-20","title":"The ade4 package: Implementing the duality diagram for ecologists","type":"article-journal","volume":"22"},"uris":["http://www.mendeley.com/documents/?uuid=aa0c2ee4-4fa8-4e26-8626-5372449e540f"]}],"mendeley":{"formattedCitation":"(93)","plainTextFormattedCitation":"(93)","previouslyFormattedCitation":"(92)"},"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(93)</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We retained the first three </w:t>
      </w:r>
      <w:r w:rsidRPr="00216F3E">
        <w:rPr>
          <w:rFonts w:ascii="Times New Roman" w:hAnsi="Times New Roman" w:cs="Times New Roman"/>
          <w:color w:val="000000" w:themeColor="text1"/>
          <w:sz w:val="24"/>
          <w:szCs w:val="24"/>
        </w:rPr>
        <w:lastRenderedPageBreak/>
        <w:t xml:space="preserve">principal component (PC) axes to conduct represent environmental seascape variables in the dbRDA analyses (see below). </w:t>
      </w:r>
    </w:p>
    <w:p w14:paraId="78BBC11B" w14:textId="77777777" w:rsidR="00931688" w:rsidRPr="00216F3E" w:rsidRDefault="00931688" w:rsidP="00931688">
      <w:pPr>
        <w:jc w:val="both"/>
        <w:rPr>
          <w:rFonts w:ascii="Times New Roman" w:hAnsi="Times New Roman" w:cs="Times New Roman"/>
          <w:b/>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1980"/>
        <w:gridCol w:w="1170"/>
        <w:gridCol w:w="990"/>
        <w:gridCol w:w="900"/>
        <w:gridCol w:w="2070"/>
      </w:tblGrid>
      <w:tr w:rsidR="00931688" w:rsidRPr="004C2E65" w14:paraId="60C00052" w14:textId="77777777" w:rsidTr="00031031">
        <w:tc>
          <w:tcPr>
            <w:tcW w:w="9360" w:type="dxa"/>
            <w:gridSpan w:val="6"/>
            <w:tcBorders>
              <w:top w:val="single" w:sz="18" w:space="0" w:color="auto"/>
              <w:bottom w:val="single" w:sz="18" w:space="0" w:color="auto"/>
            </w:tcBorders>
          </w:tcPr>
          <w:p w14:paraId="55EC2E7B" w14:textId="77777777" w:rsidR="00931688" w:rsidRPr="004C2E65" w:rsidRDefault="00931688" w:rsidP="00031031">
            <w:pPr>
              <w:jc w:val="both"/>
              <w:rPr>
                <w:rFonts w:ascii="Times New Roman" w:hAnsi="Times New Roman" w:cs="Times New Roman"/>
                <w:bCs/>
                <w:sz w:val="15"/>
                <w:szCs w:val="15"/>
              </w:rPr>
            </w:pPr>
            <w:bookmarkStart w:id="19" w:name="TableS6"/>
            <w:r w:rsidRPr="004C2E65">
              <w:rPr>
                <w:rFonts w:ascii="Times New Roman" w:hAnsi="Times New Roman" w:cs="Times New Roman"/>
                <w:b/>
                <w:sz w:val="15"/>
                <w:szCs w:val="15"/>
              </w:rPr>
              <w:t>Table S6</w:t>
            </w:r>
            <w:bookmarkEnd w:id="19"/>
            <w:r w:rsidRPr="004C2E65">
              <w:rPr>
                <w:rFonts w:ascii="Times New Roman" w:hAnsi="Times New Roman" w:cs="Times New Roman"/>
                <w:b/>
                <w:sz w:val="15"/>
                <w:szCs w:val="15"/>
              </w:rPr>
              <w:t xml:space="preserve">. </w:t>
            </w:r>
            <w:r w:rsidRPr="004C2E65">
              <w:rPr>
                <w:rFonts w:ascii="Times New Roman" w:hAnsi="Times New Roman" w:cs="Times New Roman"/>
                <w:bCs/>
                <w:sz w:val="15"/>
                <w:szCs w:val="15"/>
              </w:rPr>
              <w:t>Environmental variables retrieved from Marine Copernicus data archive.</w:t>
            </w:r>
          </w:p>
        </w:tc>
      </w:tr>
      <w:tr w:rsidR="00931688" w:rsidRPr="004C2E65" w14:paraId="44D671D8" w14:textId="77777777" w:rsidTr="00031031">
        <w:tc>
          <w:tcPr>
            <w:tcW w:w="2250" w:type="dxa"/>
            <w:tcBorders>
              <w:top w:val="single" w:sz="18" w:space="0" w:color="auto"/>
              <w:bottom w:val="single" w:sz="18" w:space="0" w:color="auto"/>
            </w:tcBorders>
          </w:tcPr>
          <w:p w14:paraId="40D9293F" w14:textId="77777777" w:rsidR="00931688" w:rsidRPr="004C2E65" w:rsidRDefault="00931688" w:rsidP="00031031">
            <w:pPr>
              <w:jc w:val="both"/>
              <w:rPr>
                <w:rFonts w:ascii="Times New Roman" w:hAnsi="Times New Roman" w:cs="Times New Roman"/>
                <w:b/>
                <w:sz w:val="15"/>
                <w:szCs w:val="15"/>
              </w:rPr>
            </w:pPr>
            <w:r w:rsidRPr="004C2E65">
              <w:rPr>
                <w:rFonts w:ascii="Times New Roman" w:hAnsi="Times New Roman" w:cs="Times New Roman"/>
                <w:b/>
                <w:sz w:val="15"/>
                <w:szCs w:val="15"/>
              </w:rPr>
              <w:t>Environmental variable</w:t>
            </w:r>
          </w:p>
        </w:tc>
        <w:tc>
          <w:tcPr>
            <w:tcW w:w="1980" w:type="dxa"/>
            <w:tcBorders>
              <w:top w:val="single" w:sz="18" w:space="0" w:color="auto"/>
              <w:bottom w:val="single" w:sz="18" w:space="0" w:color="auto"/>
            </w:tcBorders>
          </w:tcPr>
          <w:p w14:paraId="66103F75" w14:textId="77777777" w:rsidR="00931688" w:rsidRPr="004C2E65" w:rsidRDefault="00931688" w:rsidP="00031031">
            <w:pPr>
              <w:jc w:val="both"/>
              <w:rPr>
                <w:rFonts w:ascii="Times New Roman" w:hAnsi="Times New Roman" w:cs="Times New Roman"/>
                <w:b/>
                <w:sz w:val="15"/>
                <w:szCs w:val="15"/>
              </w:rPr>
            </w:pPr>
            <w:r w:rsidRPr="004C2E65">
              <w:rPr>
                <w:rFonts w:ascii="Times New Roman" w:hAnsi="Times New Roman" w:cs="Times New Roman"/>
                <w:b/>
                <w:sz w:val="15"/>
                <w:szCs w:val="15"/>
              </w:rPr>
              <w:t>CMEMS product name</w:t>
            </w:r>
          </w:p>
        </w:tc>
        <w:tc>
          <w:tcPr>
            <w:tcW w:w="1170" w:type="dxa"/>
            <w:tcBorders>
              <w:top w:val="single" w:sz="18" w:space="0" w:color="auto"/>
              <w:bottom w:val="single" w:sz="18" w:space="0" w:color="auto"/>
            </w:tcBorders>
          </w:tcPr>
          <w:p w14:paraId="185F6916" w14:textId="77777777" w:rsidR="00931688" w:rsidRPr="004C2E65" w:rsidRDefault="00931688" w:rsidP="00031031">
            <w:pPr>
              <w:jc w:val="both"/>
              <w:rPr>
                <w:rFonts w:ascii="Times New Roman" w:hAnsi="Times New Roman" w:cs="Times New Roman"/>
                <w:b/>
                <w:sz w:val="15"/>
                <w:szCs w:val="15"/>
              </w:rPr>
            </w:pPr>
            <w:r w:rsidRPr="004C2E65">
              <w:rPr>
                <w:rFonts w:ascii="Times New Roman" w:hAnsi="Times New Roman" w:cs="Times New Roman"/>
                <w:b/>
                <w:sz w:val="15"/>
                <w:szCs w:val="15"/>
              </w:rPr>
              <w:t>Spatial resolution</w:t>
            </w:r>
          </w:p>
        </w:tc>
        <w:tc>
          <w:tcPr>
            <w:tcW w:w="990" w:type="dxa"/>
            <w:tcBorders>
              <w:top w:val="single" w:sz="18" w:space="0" w:color="auto"/>
              <w:bottom w:val="single" w:sz="18" w:space="0" w:color="auto"/>
            </w:tcBorders>
          </w:tcPr>
          <w:p w14:paraId="1F4F34F4" w14:textId="77777777" w:rsidR="00931688" w:rsidRPr="004C2E65" w:rsidRDefault="00931688" w:rsidP="00031031">
            <w:pPr>
              <w:jc w:val="both"/>
              <w:rPr>
                <w:rFonts w:ascii="Times New Roman" w:hAnsi="Times New Roman" w:cs="Times New Roman"/>
                <w:b/>
                <w:sz w:val="15"/>
                <w:szCs w:val="15"/>
              </w:rPr>
            </w:pPr>
            <w:r w:rsidRPr="004C2E65">
              <w:rPr>
                <w:rFonts w:ascii="Times New Roman" w:hAnsi="Times New Roman" w:cs="Times New Roman"/>
                <w:b/>
                <w:sz w:val="15"/>
                <w:szCs w:val="15"/>
              </w:rPr>
              <w:t>Temporal resolution</w:t>
            </w:r>
          </w:p>
        </w:tc>
        <w:tc>
          <w:tcPr>
            <w:tcW w:w="900" w:type="dxa"/>
            <w:tcBorders>
              <w:top w:val="single" w:sz="18" w:space="0" w:color="auto"/>
              <w:bottom w:val="single" w:sz="18" w:space="0" w:color="auto"/>
            </w:tcBorders>
          </w:tcPr>
          <w:p w14:paraId="3CAF44D0" w14:textId="77777777" w:rsidR="00931688" w:rsidRPr="004C2E65" w:rsidRDefault="00931688" w:rsidP="00031031">
            <w:pPr>
              <w:jc w:val="both"/>
              <w:rPr>
                <w:rFonts w:ascii="Times New Roman" w:hAnsi="Times New Roman" w:cs="Times New Roman"/>
                <w:b/>
                <w:sz w:val="15"/>
                <w:szCs w:val="15"/>
              </w:rPr>
            </w:pPr>
            <w:r w:rsidRPr="004C2E65">
              <w:rPr>
                <w:rFonts w:ascii="Times New Roman" w:hAnsi="Times New Roman" w:cs="Times New Roman"/>
                <w:b/>
                <w:sz w:val="15"/>
                <w:szCs w:val="15"/>
              </w:rPr>
              <w:t>Temporal extent</w:t>
            </w:r>
          </w:p>
        </w:tc>
        <w:tc>
          <w:tcPr>
            <w:tcW w:w="2070" w:type="dxa"/>
            <w:tcBorders>
              <w:top w:val="single" w:sz="18" w:space="0" w:color="auto"/>
              <w:bottom w:val="single" w:sz="18" w:space="0" w:color="auto"/>
            </w:tcBorders>
          </w:tcPr>
          <w:p w14:paraId="2AEFC70A" w14:textId="77777777" w:rsidR="00931688" w:rsidRPr="004C2E65" w:rsidRDefault="00931688" w:rsidP="00031031">
            <w:pPr>
              <w:jc w:val="both"/>
              <w:rPr>
                <w:rFonts w:ascii="Times New Roman" w:hAnsi="Times New Roman" w:cs="Times New Roman"/>
                <w:b/>
                <w:sz w:val="15"/>
                <w:szCs w:val="15"/>
              </w:rPr>
            </w:pPr>
            <w:r w:rsidRPr="004C2E65">
              <w:rPr>
                <w:rFonts w:ascii="Times New Roman" w:hAnsi="Times New Roman" w:cs="Times New Roman"/>
                <w:b/>
                <w:sz w:val="15"/>
                <w:szCs w:val="15"/>
              </w:rPr>
              <w:t>Output variables</w:t>
            </w:r>
          </w:p>
          <w:p w14:paraId="4BB39E8D" w14:textId="77777777" w:rsidR="00931688" w:rsidRPr="004C2E65" w:rsidRDefault="00931688" w:rsidP="00031031">
            <w:pPr>
              <w:jc w:val="both"/>
              <w:rPr>
                <w:rFonts w:ascii="Times New Roman" w:hAnsi="Times New Roman" w:cs="Times New Roman"/>
                <w:b/>
                <w:sz w:val="15"/>
                <w:szCs w:val="15"/>
              </w:rPr>
            </w:pPr>
          </w:p>
        </w:tc>
      </w:tr>
      <w:tr w:rsidR="00931688" w:rsidRPr="004C2E65" w14:paraId="6302A52E" w14:textId="77777777" w:rsidTr="00031031">
        <w:tc>
          <w:tcPr>
            <w:tcW w:w="2250" w:type="dxa"/>
            <w:tcBorders>
              <w:top w:val="single" w:sz="18" w:space="0" w:color="auto"/>
            </w:tcBorders>
            <w:vAlign w:val="center"/>
          </w:tcPr>
          <w:p w14:paraId="71DA5783"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b/>
                <w:sz w:val="15"/>
                <w:szCs w:val="15"/>
              </w:rPr>
              <w:t>Sea surface salinity (SSS)</w:t>
            </w:r>
          </w:p>
        </w:tc>
        <w:tc>
          <w:tcPr>
            <w:tcW w:w="1980" w:type="dxa"/>
            <w:tcBorders>
              <w:top w:val="single" w:sz="18" w:space="0" w:color="auto"/>
            </w:tcBorders>
            <w:vAlign w:val="center"/>
          </w:tcPr>
          <w:p w14:paraId="605C39F1"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GLOBAL_MULTIYEAR_PHY_001_030</w:t>
            </w:r>
          </w:p>
        </w:tc>
        <w:tc>
          <w:tcPr>
            <w:tcW w:w="1170" w:type="dxa"/>
            <w:tcBorders>
              <w:top w:val="single" w:sz="18" w:space="0" w:color="auto"/>
            </w:tcBorders>
            <w:vAlign w:val="center"/>
          </w:tcPr>
          <w:p w14:paraId="4D27CE68"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0.083</w:t>
            </w:r>
            <w:r w:rsidRPr="004C2E65">
              <w:rPr>
                <w:rFonts w:ascii="Times New Roman" w:hAnsi="Times New Roman" w:cs="Times New Roman"/>
                <w:color w:val="000000"/>
                <w:sz w:val="15"/>
                <w:szCs w:val="15"/>
              </w:rPr>
              <w:t>°</w:t>
            </w:r>
          </w:p>
        </w:tc>
        <w:tc>
          <w:tcPr>
            <w:tcW w:w="990" w:type="dxa"/>
            <w:tcBorders>
              <w:top w:val="single" w:sz="18" w:space="0" w:color="auto"/>
            </w:tcBorders>
            <w:vAlign w:val="center"/>
          </w:tcPr>
          <w:p w14:paraId="0B264F4A"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monthly</w:t>
            </w:r>
          </w:p>
        </w:tc>
        <w:tc>
          <w:tcPr>
            <w:tcW w:w="900" w:type="dxa"/>
            <w:tcBorders>
              <w:top w:val="single" w:sz="18" w:space="0" w:color="auto"/>
            </w:tcBorders>
            <w:vAlign w:val="center"/>
          </w:tcPr>
          <w:p w14:paraId="57BC85C0"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2010-2017</w:t>
            </w:r>
          </w:p>
        </w:tc>
        <w:tc>
          <w:tcPr>
            <w:tcW w:w="2070" w:type="dxa"/>
            <w:tcBorders>
              <w:top w:val="single" w:sz="18" w:space="0" w:color="auto"/>
            </w:tcBorders>
            <w:vAlign w:val="center"/>
          </w:tcPr>
          <w:p w14:paraId="7663F59B"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average</w:t>
            </w:r>
          </w:p>
          <w:p w14:paraId="73D239DC"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standard deviation</w:t>
            </w:r>
          </w:p>
        </w:tc>
      </w:tr>
      <w:tr w:rsidR="00931688" w:rsidRPr="004C2E65" w14:paraId="3CF7A433" w14:textId="77777777" w:rsidTr="00031031">
        <w:tc>
          <w:tcPr>
            <w:tcW w:w="2250" w:type="dxa"/>
            <w:shd w:val="pct10" w:color="auto" w:fill="auto"/>
            <w:vAlign w:val="center"/>
          </w:tcPr>
          <w:p w14:paraId="7787C414"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b/>
                <w:sz w:val="15"/>
                <w:szCs w:val="15"/>
              </w:rPr>
              <w:t>Sea current velocity (EWV, NWV)</w:t>
            </w:r>
          </w:p>
        </w:tc>
        <w:tc>
          <w:tcPr>
            <w:tcW w:w="1980" w:type="dxa"/>
            <w:shd w:val="pct10" w:color="auto" w:fill="auto"/>
            <w:vAlign w:val="center"/>
          </w:tcPr>
          <w:p w14:paraId="2E7A2276"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GLOBAL_MULTIYEAR_PHY_001_030</w:t>
            </w:r>
          </w:p>
        </w:tc>
        <w:tc>
          <w:tcPr>
            <w:tcW w:w="1170" w:type="dxa"/>
            <w:shd w:val="pct10" w:color="auto" w:fill="auto"/>
            <w:vAlign w:val="center"/>
          </w:tcPr>
          <w:p w14:paraId="1E88D1A0"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0.083</w:t>
            </w:r>
            <w:r w:rsidRPr="004C2E65">
              <w:rPr>
                <w:rFonts w:ascii="Times New Roman" w:hAnsi="Times New Roman" w:cs="Times New Roman"/>
                <w:color w:val="000000"/>
                <w:sz w:val="15"/>
                <w:szCs w:val="15"/>
              </w:rPr>
              <w:t>°</w:t>
            </w:r>
          </w:p>
        </w:tc>
        <w:tc>
          <w:tcPr>
            <w:tcW w:w="990" w:type="dxa"/>
            <w:shd w:val="pct10" w:color="auto" w:fill="auto"/>
            <w:vAlign w:val="center"/>
          </w:tcPr>
          <w:p w14:paraId="01DEA8EB"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monthly</w:t>
            </w:r>
          </w:p>
        </w:tc>
        <w:tc>
          <w:tcPr>
            <w:tcW w:w="900" w:type="dxa"/>
            <w:shd w:val="pct10" w:color="auto" w:fill="auto"/>
            <w:vAlign w:val="center"/>
          </w:tcPr>
          <w:p w14:paraId="5602DEEA"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2010-2017</w:t>
            </w:r>
          </w:p>
        </w:tc>
        <w:tc>
          <w:tcPr>
            <w:tcW w:w="2070" w:type="dxa"/>
            <w:shd w:val="pct10" w:color="auto" w:fill="auto"/>
            <w:vAlign w:val="center"/>
          </w:tcPr>
          <w:p w14:paraId="472EA2E8"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average</w:t>
            </w:r>
          </w:p>
          <w:p w14:paraId="632C7E56"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standard deviation</w:t>
            </w:r>
          </w:p>
        </w:tc>
      </w:tr>
      <w:tr w:rsidR="00931688" w:rsidRPr="004C2E65" w14:paraId="49FFBAC6" w14:textId="77777777" w:rsidTr="00031031">
        <w:tc>
          <w:tcPr>
            <w:tcW w:w="2250" w:type="dxa"/>
            <w:vAlign w:val="center"/>
          </w:tcPr>
          <w:p w14:paraId="03631525"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b/>
                <w:sz w:val="15"/>
                <w:szCs w:val="15"/>
              </w:rPr>
              <w:t>Chlorophyll a concentration (CHL)</w:t>
            </w:r>
          </w:p>
        </w:tc>
        <w:tc>
          <w:tcPr>
            <w:tcW w:w="1980" w:type="dxa"/>
            <w:vAlign w:val="center"/>
          </w:tcPr>
          <w:p w14:paraId="0B2ECD0A"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OCEANCOLOUR_GLO_BGC_L4_MY_009_104</w:t>
            </w:r>
          </w:p>
        </w:tc>
        <w:tc>
          <w:tcPr>
            <w:tcW w:w="1170" w:type="dxa"/>
            <w:vAlign w:val="center"/>
          </w:tcPr>
          <w:p w14:paraId="1D7CACA3"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4 km</w:t>
            </w:r>
          </w:p>
        </w:tc>
        <w:tc>
          <w:tcPr>
            <w:tcW w:w="990" w:type="dxa"/>
            <w:vAlign w:val="center"/>
          </w:tcPr>
          <w:p w14:paraId="52F79EF0"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monthly</w:t>
            </w:r>
          </w:p>
        </w:tc>
        <w:tc>
          <w:tcPr>
            <w:tcW w:w="900" w:type="dxa"/>
            <w:vAlign w:val="center"/>
          </w:tcPr>
          <w:p w14:paraId="00994019"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2010-2017</w:t>
            </w:r>
          </w:p>
        </w:tc>
        <w:tc>
          <w:tcPr>
            <w:tcW w:w="2070" w:type="dxa"/>
            <w:vAlign w:val="center"/>
          </w:tcPr>
          <w:p w14:paraId="123CA992"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average</w:t>
            </w:r>
          </w:p>
          <w:p w14:paraId="3C41F924"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standard deviation</w:t>
            </w:r>
          </w:p>
        </w:tc>
      </w:tr>
      <w:tr w:rsidR="00931688" w:rsidRPr="004C2E65" w14:paraId="4342BFA0" w14:textId="77777777" w:rsidTr="00031031">
        <w:tc>
          <w:tcPr>
            <w:tcW w:w="2250" w:type="dxa"/>
            <w:shd w:val="pct10" w:color="auto" w:fill="auto"/>
            <w:vAlign w:val="center"/>
          </w:tcPr>
          <w:p w14:paraId="72AD143F"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b/>
                <w:sz w:val="15"/>
                <w:szCs w:val="15"/>
              </w:rPr>
              <w:t>Sea water pH (PH)</w:t>
            </w:r>
          </w:p>
        </w:tc>
        <w:tc>
          <w:tcPr>
            <w:tcW w:w="1980" w:type="dxa"/>
            <w:shd w:val="pct10" w:color="auto" w:fill="auto"/>
            <w:vAlign w:val="center"/>
          </w:tcPr>
          <w:p w14:paraId="74EE9850"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GLOBAL_MULTIYEAR_BGC_001_029</w:t>
            </w:r>
          </w:p>
        </w:tc>
        <w:tc>
          <w:tcPr>
            <w:tcW w:w="1170" w:type="dxa"/>
            <w:shd w:val="pct10" w:color="auto" w:fill="auto"/>
            <w:vAlign w:val="center"/>
          </w:tcPr>
          <w:p w14:paraId="005636C5"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0.25</w:t>
            </w:r>
            <w:r w:rsidRPr="004C2E65">
              <w:rPr>
                <w:rFonts w:ascii="Times New Roman" w:hAnsi="Times New Roman" w:cs="Times New Roman"/>
                <w:color w:val="000000"/>
                <w:sz w:val="15"/>
                <w:szCs w:val="15"/>
              </w:rPr>
              <w:t>°</w:t>
            </w:r>
          </w:p>
        </w:tc>
        <w:tc>
          <w:tcPr>
            <w:tcW w:w="990" w:type="dxa"/>
            <w:shd w:val="pct10" w:color="auto" w:fill="auto"/>
            <w:vAlign w:val="center"/>
          </w:tcPr>
          <w:p w14:paraId="067FC0DE"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monthly</w:t>
            </w:r>
          </w:p>
        </w:tc>
        <w:tc>
          <w:tcPr>
            <w:tcW w:w="900" w:type="dxa"/>
            <w:shd w:val="pct10" w:color="auto" w:fill="auto"/>
            <w:vAlign w:val="center"/>
          </w:tcPr>
          <w:p w14:paraId="6E16B8F3"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2010-2017</w:t>
            </w:r>
          </w:p>
        </w:tc>
        <w:tc>
          <w:tcPr>
            <w:tcW w:w="2070" w:type="dxa"/>
            <w:shd w:val="pct10" w:color="auto" w:fill="auto"/>
            <w:vAlign w:val="center"/>
          </w:tcPr>
          <w:p w14:paraId="78C2223E"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average</w:t>
            </w:r>
          </w:p>
          <w:p w14:paraId="4AA8A806"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standard deviation</w:t>
            </w:r>
          </w:p>
        </w:tc>
      </w:tr>
      <w:tr w:rsidR="00931688" w:rsidRPr="004C2E65" w14:paraId="4693EB02" w14:textId="77777777" w:rsidTr="00031031">
        <w:tc>
          <w:tcPr>
            <w:tcW w:w="2250" w:type="dxa"/>
            <w:shd w:val="clear" w:color="auto" w:fill="auto"/>
            <w:vAlign w:val="center"/>
          </w:tcPr>
          <w:p w14:paraId="72BE47F8" w14:textId="77777777" w:rsidR="00931688" w:rsidRPr="004C2E65" w:rsidRDefault="00931688" w:rsidP="00031031">
            <w:pPr>
              <w:rPr>
                <w:rFonts w:ascii="Times New Roman" w:hAnsi="Times New Roman" w:cs="Times New Roman"/>
                <w:b/>
                <w:sz w:val="15"/>
                <w:szCs w:val="15"/>
              </w:rPr>
            </w:pPr>
            <w:r w:rsidRPr="004C2E65">
              <w:rPr>
                <w:rFonts w:ascii="Times New Roman" w:hAnsi="Times New Roman" w:cs="Times New Roman"/>
                <w:b/>
                <w:sz w:val="15"/>
                <w:szCs w:val="15"/>
              </w:rPr>
              <w:t>CO</w:t>
            </w:r>
            <w:r w:rsidRPr="004C2E65">
              <w:rPr>
                <w:rFonts w:ascii="Times New Roman" w:hAnsi="Times New Roman" w:cs="Times New Roman"/>
                <w:b/>
                <w:sz w:val="15"/>
                <w:szCs w:val="15"/>
                <w:vertAlign w:val="subscript"/>
              </w:rPr>
              <w:t>2</w:t>
            </w:r>
            <w:r w:rsidRPr="004C2E65">
              <w:rPr>
                <w:rFonts w:ascii="Times New Roman" w:hAnsi="Times New Roman" w:cs="Times New Roman"/>
                <w:b/>
                <w:sz w:val="15"/>
                <w:szCs w:val="15"/>
              </w:rPr>
              <w:t xml:space="preserve"> in sea water (CO2)</w:t>
            </w:r>
          </w:p>
        </w:tc>
        <w:tc>
          <w:tcPr>
            <w:tcW w:w="1980" w:type="dxa"/>
            <w:shd w:val="clear" w:color="auto" w:fill="auto"/>
            <w:vAlign w:val="center"/>
          </w:tcPr>
          <w:p w14:paraId="08DBF60D"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GLOBAL_MULTIYEAR_BGC_001_029</w:t>
            </w:r>
          </w:p>
        </w:tc>
        <w:tc>
          <w:tcPr>
            <w:tcW w:w="1170" w:type="dxa"/>
            <w:shd w:val="clear" w:color="auto" w:fill="auto"/>
            <w:vAlign w:val="center"/>
          </w:tcPr>
          <w:p w14:paraId="797AF50F"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0.25</w:t>
            </w:r>
            <w:r w:rsidRPr="004C2E65">
              <w:rPr>
                <w:rFonts w:ascii="Times New Roman" w:hAnsi="Times New Roman" w:cs="Times New Roman"/>
                <w:color w:val="000000"/>
                <w:sz w:val="15"/>
                <w:szCs w:val="15"/>
              </w:rPr>
              <w:t>°</w:t>
            </w:r>
          </w:p>
        </w:tc>
        <w:tc>
          <w:tcPr>
            <w:tcW w:w="990" w:type="dxa"/>
            <w:shd w:val="clear" w:color="auto" w:fill="auto"/>
            <w:vAlign w:val="center"/>
          </w:tcPr>
          <w:p w14:paraId="7D184452"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monthly</w:t>
            </w:r>
          </w:p>
        </w:tc>
        <w:tc>
          <w:tcPr>
            <w:tcW w:w="900" w:type="dxa"/>
            <w:shd w:val="clear" w:color="auto" w:fill="auto"/>
            <w:vAlign w:val="center"/>
          </w:tcPr>
          <w:p w14:paraId="2701F201"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2010-2017</w:t>
            </w:r>
          </w:p>
        </w:tc>
        <w:tc>
          <w:tcPr>
            <w:tcW w:w="2070" w:type="dxa"/>
            <w:shd w:val="clear" w:color="auto" w:fill="auto"/>
            <w:vAlign w:val="center"/>
          </w:tcPr>
          <w:p w14:paraId="10ADDFB7"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average</w:t>
            </w:r>
          </w:p>
          <w:p w14:paraId="796C30AA"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standard deviation</w:t>
            </w:r>
          </w:p>
        </w:tc>
      </w:tr>
      <w:tr w:rsidR="00931688" w:rsidRPr="004C2E65" w14:paraId="4D69201E" w14:textId="77777777" w:rsidTr="00031031">
        <w:tc>
          <w:tcPr>
            <w:tcW w:w="2250" w:type="dxa"/>
            <w:shd w:val="pct10" w:color="auto" w:fill="auto"/>
            <w:vAlign w:val="center"/>
          </w:tcPr>
          <w:p w14:paraId="33AB924E"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b/>
                <w:sz w:val="15"/>
                <w:szCs w:val="15"/>
              </w:rPr>
              <w:t>Suspended particulate matter (SPM)</w:t>
            </w:r>
          </w:p>
        </w:tc>
        <w:tc>
          <w:tcPr>
            <w:tcW w:w="1980" w:type="dxa"/>
            <w:shd w:val="pct10" w:color="auto" w:fill="auto"/>
            <w:vAlign w:val="center"/>
          </w:tcPr>
          <w:p w14:paraId="5818875C"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OCEANCOLOUR_GLO_BGC_L4_MY_001_104</w:t>
            </w:r>
          </w:p>
        </w:tc>
        <w:tc>
          <w:tcPr>
            <w:tcW w:w="1170" w:type="dxa"/>
            <w:shd w:val="pct10" w:color="auto" w:fill="auto"/>
            <w:vAlign w:val="center"/>
          </w:tcPr>
          <w:p w14:paraId="400DCA22"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4 km</w:t>
            </w:r>
          </w:p>
        </w:tc>
        <w:tc>
          <w:tcPr>
            <w:tcW w:w="990" w:type="dxa"/>
            <w:shd w:val="pct10" w:color="auto" w:fill="auto"/>
            <w:vAlign w:val="center"/>
          </w:tcPr>
          <w:p w14:paraId="6C1061E6"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monthly</w:t>
            </w:r>
          </w:p>
        </w:tc>
        <w:tc>
          <w:tcPr>
            <w:tcW w:w="900" w:type="dxa"/>
            <w:shd w:val="pct10" w:color="auto" w:fill="auto"/>
            <w:vAlign w:val="center"/>
          </w:tcPr>
          <w:p w14:paraId="4B88B5CE"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2010-2017</w:t>
            </w:r>
          </w:p>
        </w:tc>
        <w:tc>
          <w:tcPr>
            <w:tcW w:w="2070" w:type="dxa"/>
            <w:shd w:val="pct10" w:color="auto" w:fill="auto"/>
            <w:vAlign w:val="center"/>
          </w:tcPr>
          <w:p w14:paraId="56B38669"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average</w:t>
            </w:r>
          </w:p>
          <w:p w14:paraId="40385D89" w14:textId="77777777" w:rsidR="00931688" w:rsidRPr="004C2E65" w:rsidRDefault="00931688" w:rsidP="00031031">
            <w:pPr>
              <w:rPr>
                <w:rFonts w:ascii="Times New Roman" w:hAnsi="Times New Roman" w:cs="Times New Roman"/>
                <w:sz w:val="15"/>
                <w:szCs w:val="15"/>
              </w:rPr>
            </w:pPr>
            <w:r w:rsidRPr="004C2E65">
              <w:rPr>
                <w:rFonts w:ascii="Times New Roman" w:hAnsi="Times New Roman" w:cs="Times New Roman"/>
                <w:sz w:val="15"/>
                <w:szCs w:val="15"/>
              </w:rPr>
              <w:t>-overall standard deviation</w:t>
            </w:r>
          </w:p>
        </w:tc>
      </w:tr>
      <w:tr w:rsidR="00931688" w:rsidRPr="004C2E65" w14:paraId="727ADEB9" w14:textId="77777777" w:rsidTr="00031031">
        <w:tc>
          <w:tcPr>
            <w:tcW w:w="2250" w:type="dxa"/>
            <w:tcBorders>
              <w:bottom w:val="single" w:sz="18" w:space="0" w:color="auto"/>
            </w:tcBorders>
            <w:shd w:val="clear" w:color="auto" w:fill="auto"/>
            <w:vAlign w:val="center"/>
          </w:tcPr>
          <w:p w14:paraId="55020673"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b/>
                <w:color w:val="000000" w:themeColor="text1"/>
                <w:sz w:val="15"/>
                <w:szCs w:val="15"/>
              </w:rPr>
              <w:t>Sea surface temperature (SST)</w:t>
            </w:r>
          </w:p>
        </w:tc>
        <w:tc>
          <w:tcPr>
            <w:tcW w:w="1980" w:type="dxa"/>
            <w:tcBorders>
              <w:bottom w:val="single" w:sz="18" w:space="0" w:color="auto"/>
            </w:tcBorders>
            <w:shd w:val="clear" w:color="auto" w:fill="auto"/>
            <w:vAlign w:val="center"/>
          </w:tcPr>
          <w:p w14:paraId="49BE44AA"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color w:val="000000" w:themeColor="text1"/>
                <w:sz w:val="15"/>
                <w:szCs w:val="15"/>
              </w:rPr>
              <w:t>GLOBAL_MULTIYEAR_PHY_001_030</w:t>
            </w:r>
          </w:p>
        </w:tc>
        <w:tc>
          <w:tcPr>
            <w:tcW w:w="1170" w:type="dxa"/>
            <w:tcBorders>
              <w:bottom w:val="single" w:sz="18" w:space="0" w:color="auto"/>
            </w:tcBorders>
            <w:shd w:val="clear" w:color="auto" w:fill="auto"/>
            <w:vAlign w:val="center"/>
          </w:tcPr>
          <w:p w14:paraId="235D1443"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color w:val="000000" w:themeColor="text1"/>
                <w:sz w:val="15"/>
                <w:szCs w:val="15"/>
              </w:rPr>
              <w:t>0.083°</w:t>
            </w:r>
          </w:p>
        </w:tc>
        <w:tc>
          <w:tcPr>
            <w:tcW w:w="990" w:type="dxa"/>
            <w:tcBorders>
              <w:bottom w:val="single" w:sz="18" w:space="0" w:color="auto"/>
            </w:tcBorders>
            <w:shd w:val="clear" w:color="auto" w:fill="auto"/>
            <w:vAlign w:val="center"/>
          </w:tcPr>
          <w:p w14:paraId="44DF1466"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color w:val="000000" w:themeColor="text1"/>
                <w:sz w:val="15"/>
                <w:szCs w:val="15"/>
              </w:rPr>
              <w:t>daily</w:t>
            </w:r>
          </w:p>
        </w:tc>
        <w:tc>
          <w:tcPr>
            <w:tcW w:w="900" w:type="dxa"/>
            <w:tcBorders>
              <w:bottom w:val="single" w:sz="18" w:space="0" w:color="auto"/>
            </w:tcBorders>
            <w:shd w:val="clear" w:color="auto" w:fill="auto"/>
            <w:vAlign w:val="center"/>
          </w:tcPr>
          <w:p w14:paraId="3D1E6086"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color w:val="000000" w:themeColor="text1"/>
                <w:sz w:val="15"/>
                <w:szCs w:val="15"/>
              </w:rPr>
              <w:t>2010-2017</w:t>
            </w:r>
          </w:p>
        </w:tc>
        <w:tc>
          <w:tcPr>
            <w:tcW w:w="2070" w:type="dxa"/>
            <w:tcBorders>
              <w:bottom w:val="single" w:sz="18" w:space="0" w:color="auto"/>
            </w:tcBorders>
            <w:shd w:val="clear" w:color="auto" w:fill="auto"/>
            <w:vAlign w:val="center"/>
          </w:tcPr>
          <w:p w14:paraId="5169DBDB"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color w:val="000000" w:themeColor="text1"/>
                <w:sz w:val="15"/>
                <w:szCs w:val="15"/>
              </w:rPr>
              <w:t>-overall average</w:t>
            </w:r>
          </w:p>
          <w:p w14:paraId="65243EF7"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color w:val="000000" w:themeColor="text1"/>
                <w:sz w:val="15"/>
                <w:szCs w:val="15"/>
              </w:rPr>
              <w:t>-overall standard deviation</w:t>
            </w:r>
          </w:p>
          <w:p w14:paraId="3A9084D7"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color w:val="000000" w:themeColor="text1"/>
                <w:sz w:val="15"/>
                <w:szCs w:val="15"/>
              </w:rPr>
              <w:t>-average of the hottest month</w:t>
            </w:r>
          </w:p>
          <w:p w14:paraId="5544F04A"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color w:val="000000" w:themeColor="text1"/>
                <w:sz w:val="15"/>
                <w:szCs w:val="15"/>
              </w:rPr>
              <w:t>-average of coldest month</w:t>
            </w:r>
          </w:p>
          <w:p w14:paraId="50C32BF6"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color w:val="000000" w:themeColor="text1"/>
                <w:sz w:val="15"/>
                <w:szCs w:val="15"/>
              </w:rPr>
              <w:t>-</w:t>
            </w:r>
            <w:proofErr w:type="spellStart"/>
            <w:r w:rsidRPr="004C2E65">
              <w:rPr>
                <w:rFonts w:ascii="Times New Roman" w:hAnsi="Times New Roman" w:cs="Times New Roman"/>
                <w:color w:val="000000" w:themeColor="text1"/>
                <w:sz w:val="15"/>
                <w:szCs w:val="15"/>
              </w:rPr>
              <w:t>st.</w:t>
            </w:r>
            <w:proofErr w:type="spellEnd"/>
            <w:r w:rsidRPr="004C2E65">
              <w:rPr>
                <w:rFonts w:ascii="Times New Roman" w:hAnsi="Times New Roman" w:cs="Times New Roman"/>
                <w:color w:val="000000" w:themeColor="text1"/>
                <w:sz w:val="15"/>
                <w:szCs w:val="15"/>
              </w:rPr>
              <w:t xml:space="preserve"> dev. hottest month</w:t>
            </w:r>
          </w:p>
          <w:p w14:paraId="6A7A577A" w14:textId="77777777" w:rsidR="00931688" w:rsidRPr="004C2E65" w:rsidRDefault="00931688" w:rsidP="00031031">
            <w:pPr>
              <w:rPr>
                <w:rFonts w:ascii="Times New Roman" w:hAnsi="Times New Roman" w:cs="Times New Roman"/>
                <w:color w:val="000000" w:themeColor="text1"/>
                <w:sz w:val="15"/>
                <w:szCs w:val="15"/>
              </w:rPr>
            </w:pPr>
            <w:r w:rsidRPr="004C2E65">
              <w:rPr>
                <w:rFonts w:ascii="Times New Roman" w:hAnsi="Times New Roman" w:cs="Times New Roman"/>
                <w:color w:val="000000" w:themeColor="text1"/>
                <w:sz w:val="15"/>
                <w:szCs w:val="15"/>
              </w:rPr>
              <w:t>-</w:t>
            </w:r>
            <w:proofErr w:type="spellStart"/>
            <w:r w:rsidRPr="004C2E65">
              <w:rPr>
                <w:rFonts w:ascii="Times New Roman" w:hAnsi="Times New Roman" w:cs="Times New Roman"/>
                <w:color w:val="000000" w:themeColor="text1"/>
                <w:sz w:val="15"/>
                <w:szCs w:val="15"/>
              </w:rPr>
              <w:t>st.</w:t>
            </w:r>
            <w:proofErr w:type="spellEnd"/>
            <w:r w:rsidRPr="004C2E65">
              <w:rPr>
                <w:rFonts w:ascii="Times New Roman" w:hAnsi="Times New Roman" w:cs="Times New Roman"/>
                <w:color w:val="000000" w:themeColor="text1"/>
                <w:sz w:val="15"/>
                <w:szCs w:val="15"/>
              </w:rPr>
              <w:t xml:space="preserve"> dev. coldest month</w:t>
            </w:r>
          </w:p>
        </w:tc>
      </w:tr>
    </w:tbl>
    <w:p w14:paraId="6EBF65A0" w14:textId="77777777" w:rsidR="00931688" w:rsidRDefault="00931688" w:rsidP="00931688">
      <w:pPr>
        <w:jc w:val="both"/>
        <w:rPr>
          <w:rFonts w:ascii="Times New Roman" w:hAnsi="Times New Roman" w:cs="Times New Roman"/>
          <w:b/>
          <w:bCs/>
          <w:color w:val="000000" w:themeColor="text1"/>
        </w:rPr>
      </w:pPr>
    </w:p>
    <w:p w14:paraId="10B8100F" w14:textId="3158BD36" w:rsidR="00931688" w:rsidRPr="00216F3E" w:rsidRDefault="00931688" w:rsidP="00931688">
      <w:pPr>
        <w:jc w:val="both"/>
        <w:rPr>
          <w:rFonts w:ascii="Times New Roman" w:hAnsi="Times New Roman" w:cs="Times New Roman"/>
          <w:color w:val="000000" w:themeColor="text1"/>
          <w:sz w:val="24"/>
          <w:szCs w:val="24"/>
        </w:rPr>
      </w:pPr>
      <w:r w:rsidRPr="00216F3E">
        <w:rPr>
          <w:rFonts w:ascii="Times New Roman" w:hAnsi="Times New Roman" w:cs="Times New Roman"/>
          <w:color w:val="000000" w:themeColor="text1"/>
          <w:sz w:val="24"/>
          <w:szCs w:val="24"/>
        </w:rPr>
        <w:t xml:space="preserve">To summarize the patterns of environmental variation at the sampling sites, we employed principal component analysis and hierarchical clustering approaches using the </w:t>
      </w:r>
      <w:r w:rsidRPr="00216F3E">
        <w:rPr>
          <w:rFonts w:ascii="Times New Roman" w:hAnsi="Times New Roman" w:cs="Times New Roman"/>
          <w:i/>
          <w:iCs/>
          <w:color w:val="000000" w:themeColor="text1"/>
          <w:sz w:val="24"/>
          <w:szCs w:val="24"/>
        </w:rPr>
        <w:t>prcomp</w:t>
      </w:r>
      <w:r w:rsidRPr="00216F3E">
        <w:rPr>
          <w:rFonts w:ascii="Times New Roman" w:hAnsi="Times New Roman" w:cs="Times New Roman"/>
          <w:color w:val="000000" w:themeColor="text1"/>
          <w:sz w:val="24"/>
          <w:szCs w:val="24"/>
        </w:rPr>
        <w:t xml:space="preserve"> and </w:t>
      </w:r>
      <w:r w:rsidRPr="00216F3E">
        <w:rPr>
          <w:rFonts w:ascii="Times New Roman" w:hAnsi="Times New Roman" w:cs="Times New Roman"/>
          <w:i/>
          <w:iCs/>
          <w:color w:val="000000" w:themeColor="text1"/>
          <w:sz w:val="24"/>
          <w:szCs w:val="24"/>
        </w:rPr>
        <w:t>hclust</w:t>
      </w:r>
      <w:r w:rsidRPr="00216F3E">
        <w:rPr>
          <w:rFonts w:ascii="Times New Roman" w:hAnsi="Times New Roman" w:cs="Times New Roman"/>
          <w:color w:val="000000" w:themeColor="text1"/>
          <w:sz w:val="24"/>
          <w:szCs w:val="24"/>
        </w:rPr>
        <w:t xml:space="preserve"> functions from the stats v4 R package. Hierarchical clustering was used to construct a similarity tree, which was then visualized to represent the patterns of environmental variation on a map.</w:t>
      </w:r>
    </w:p>
    <w:p w14:paraId="004CD523" w14:textId="77777777" w:rsidR="00931688" w:rsidRPr="00216F3E" w:rsidRDefault="00931688" w:rsidP="00931688">
      <w:pPr>
        <w:jc w:val="both"/>
        <w:rPr>
          <w:rFonts w:ascii="Times New Roman" w:hAnsi="Times New Roman" w:cs="Times New Roman"/>
          <w:color w:val="000000" w:themeColor="text1"/>
          <w:sz w:val="24"/>
          <w:szCs w:val="24"/>
        </w:rPr>
      </w:pPr>
      <w:r w:rsidRPr="00216F3E">
        <w:rPr>
          <w:rFonts w:ascii="Times New Roman" w:hAnsi="Times New Roman" w:cs="Times New Roman"/>
          <w:b/>
          <w:bCs/>
          <w:color w:val="000000" w:themeColor="text1"/>
          <w:sz w:val="24"/>
          <w:szCs w:val="24"/>
        </w:rPr>
        <w:t>Spatial distribution.</w:t>
      </w:r>
      <w:r w:rsidRPr="00216F3E">
        <w:rPr>
          <w:rFonts w:ascii="Times New Roman" w:hAnsi="Times New Roman" w:cs="Times New Roman"/>
          <w:color w:val="000000" w:themeColor="text1"/>
          <w:sz w:val="24"/>
          <w:szCs w:val="24"/>
        </w:rPr>
        <w:t xml:space="preserve"> As environmental features can directly affect the dispersal capabilities or suitable habitat of the species, we evaluated the relative contribution of spatial distribution on patterns of genetic variation at multiple scales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{"citationItems":[{"id":"ITEM-1","itemData":{"DOI":"10.1111/mec.14589","ISSN":"1365294X","PMID":"29654703","abstract":"Marine populations are typically characterized by weak genetic differentiation due to the potential for long-distance dispersal favouring high levels of gene flow. However, strong directional advection of water masses or retentive hydrodynamic forces can influence the degree of genetic exchange among marine populations. To determine the oceanographic drivers of genetic structure in a highly dispersive marine invertebrate, the giant California sea cucumber (Parastichopus californicus), we first tested for the presence of genetic discontinuities along the coast of North America in the northeastern Pacific Ocean. Then, we tested two hypotheses regarding spatial processes influencing population structure: (i) isolation by distance (IBD: genetic structure is explained by geographic distance) and (ii) isolation by resistance (IBR: genetic structure is driven by ocean circulation). Using RADseq, we genotyped 717 individuals from 24 sampling locations across 2,719 neutral SNPs to assess the degree of population differentiation and integrated estimates of genetic variation with inferred connectivity probabilities from a biophysical model of larval dispersal mediated by ocean currents. We identified two clusters separating north and south regions, as well as significant, albeit weak, substructure within regions (FST = 0.002, p =.001). After modelling the asymmetric nature of ocean currents, we demonstrated that local oceanography (IBR) was a better predictor of genetic variation (R2 =.49) than geographic distance (IBD) (R2 =.18), and directional processes played an important role in shaping fine-scale structure. Our study contributes to the growing body of literature identifying significant population structure in marine systems and has important implications for the spatial management of P. californicus and other exploited marine species.","author":[{"dropping-particle":"","family":"Xuereb","given":"Amanda","non-dropping-particle":"","parse-names":false,"suffix":""},{"dropping-particle":"","family":"Benestan","given":"Laura","non-dropping-particle":"","parse-names":false,"suffix":""},{"dropping-particle":"","family":"Normandeau","given":"Éric","non-dropping-particle":"","parse-names":false,"suffix":""},{"dropping-particle":"","family":"Daigle","given":"Rémi M.","non-dropping-particle":"","parse-names":false,"suffix":""},{"dropping-particle":"","family":"Curtis","given":"Janelle M.R.","non-dropping-particle":"","parse-names":false,"suffix":""},{"dropping-particle":"","family":"Bernatchez","given":"Louis","non-dropping-particle":"","parse-names":false,"suffix":""},{"dropping-particle":"","family":"Fortin","given":"Marie Josée","non-dropping-particle":"","parse-names":false,"suffix":""}],"container-title":"Molecular Ecology","id":"ITEM-1","issue":"10","issued":{"date-parts":[["2018"]]},"page":"2347-2364","title":"Asymmetric oceanographic processes mediate connectivity and population genetic structure, as revealed by RADseq, in a highly dispersive marine invertebrate (Parastichopus californicus)","type":"article-journal","volume":"27"},"uris":["http://www.mendeley.com/documents/?uuid=9e611fbb-3d62-4ca1-8157-27855bf953ab"]}],"mendeley":{"formattedCitation":"(94)","plainTextFormattedCitation":"(94)","previouslyFormattedCitation":"(93)"},"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(94)</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To this end, we calculated distance-based Moran’s eigenvector maps (dbMEMs) to model symmetric processes (</w:t>
      </w:r>
      <w:r w:rsidRPr="00216F3E">
        <w:rPr>
          <w:rFonts w:ascii="Times New Roman" w:hAnsi="Times New Roman" w:cs="Times New Roman"/>
          <w:i/>
          <w:iCs/>
          <w:color w:val="000000" w:themeColor="text1"/>
          <w:sz w:val="24"/>
          <w:szCs w:val="24"/>
        </w:rPr>
        <w:t>e.g.</w:t>
      </w:r>
      <w:r w:rsidRPr="00216F3E">
        <w:rPr>
          <w:rFonts w:ascii="Times New Roman" w:hAnsi="Times New Roman" w:cs="Times New Roman"/>
          <w:color w:val="000000" w:themeColor="text1"/>
          <w:sz w:val="24"/>
          <w:szCs w:val="24"/>
        </w:rPr>
        <w:t xml:space="preserve">, spatial distance)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{"citationItems":[{"id":"ITEM-1","itemData":{"ISBN":"00129615","ISSN":"00129615","PMID":"322","abstract":"Robert H. Whittaker defined beta diversity as the variation in species com-position among sites in a geographic area. Beta diversity is a key concept for understanding the functioning of ecosystems, for the conservation of biodiversity, and for ecosystem management. This paper explains how hypotheses about the origin of beta diversity can be tested by partitioning the spatial variation of community composition data (presence– absence or abundance data) with respect to environmental variables and spatial base func-tions. We compare two statistical methods to accomplish that. The sum-of-squares of a community composition data table, which is one possible measure of beta diversity, is correctly partitioned by canonical ordination; hence, canonical partitioning produces correct estimates of the different portions of community composition variation. In recent years, several authors interested in the variation in community composition among sites (beta diversity) have used another method, variation partitioning on distance matrices (Mantel approach). Their results led us to compare the two partitioning approaches, using simulated data generated under hypotheses about the variation of community composition among sites. The theoretical developments and simulation results led to the following observations: (1) the variance of a community composition table is a measure of beta diversity. (2) The variance of a dissimilarity matrix among sites is not the variance of the community com-position table nor a measure of beta diversity; hence, partitioning on distance matrices should not be used to study the variation in community composition among sites. (3) In all of our simulations, partitioning on distance matrices underestimated the amount of variation in community composition explained by the raw-data approach, and (4) the tests of significance had less power than the tests of canonical ordination. Hence, the proper statistical procedure for partitioning the spatial variation of community composition data among environmental and spatial components, and for testing hypotheses about the origin and maintenance of variation in community composition among sites, is canonical parti-tioning. The Mantel approach is appropriate for testing other hypotheses, such as the var-iation in beta diversity among groups of sites. Regression on distance matrices is also appropriate for fitting models to similarity decay plots.","author":[{"dropping-particle":"","family":"Legendre","given":"Pierre","non-dropping-particle":"","parse-names":false,"suffix":""},{"dropping-particle":"","family":"Borcard","given":"Daniel","non-dropping-particle":"","parse-names":false,"suffix":""},{"dropping-particle":"","family":"Peres-Neto","given":"Pedro R","non-dropping-particle":"","parse-names":false,"suffix":""}],"container-title":"Ecological Monographs","id":"ITEM-1","issue":"4","issued":{"date-parts":[["2005"]]},"page":"435-450","title":"Analyzing Beta Diversity: Partitioning the Spatial Variation of Community Composition Data","type":"article-journal","volume":"75"},"uris":["http://www.mendeley.com/documents/?uuid=aa30180b-e0ac-4f93-88d5-55d9aefe8f20"]}],"mendeley":{"formattedCitation":"(95)","plainTextFormattedCitation":"(95)","previouslyFormattedCitation":"(94)"},"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(95)</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dbMEMs use a matrix of pairwise distances of spatial locations to measure the autocorrelation of a variable. By computing eigenvectors extracted from the spatial weight matrix, creates eigenvector maps that capture the main patterns of the spatial autocorrelation in the data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{"citationItems":[{"id":"ITEM-1","itemData":{"DOI":"10.1016/j.ecolmodel.2006.02.015","ISSN":"03043800","abstract":"Spatial structures of ecological communities may originate either from the dependence of community structure on environmental variables or/and from community-based processes. In order to assess the importance of these two sources, spatial relationships must be explicitly introduced into statistical models. Recently, a new approach called principal coordinates of neighbour matrices (PCNM) has been proposed to create spatial predictors that can be easily incorporated into regression or canonical analysis models, providing a flexible tool especially when contrasted to the family of autoregressive models and trend surface analysis, which are of common use in ecological and geographical analysis. In this paper, we explore the theory of the PCNM approach and demonstrate how it is linked to spatial autocorrelation structure functions. The method basically consists of diagonalizing a spatial weighting matrix, then extracting the eigenvectors that maximize the Moran's index of autocorrelation. These eigenvectors can then be used directly as explanatory variables in regression or canonical models. We propose improvements and extensions of the original method, and illustrate them with examples that will help ecologists choose the variant that will better suit their needs. © 2006 Elsevier B.V. All rights reserved.","author":[{"dropping-particle":"","family":"Dray","given":"Stéphane","non-dropping-particle":"","parse-names":false,"suffix":""},{"dropping-particle":"","family":"Legendre","given":"Pierre","non-dropping-particle":"","parse-names":false,"suffix":""},{"dropping-particle":"","family":"Peres-Neto","given":"Pedro R.","non-dropping-particle":"","parse-names":false,"suffix":""}],"container-title":"Ecological Modelling","id":"ITEM-1","issue":"3-4","issued":{"date-parts":[["2006"]]},"page":"483-493","title":"Spatial modelling: a comprehensive framework for principal coordinate analysis of neighbour matrices (PCNM)","type":"article-journal","volume":"196"},"uris":["http://www.mendeley.com/documents/?uuid=3cba097e-2f37-4209-900c-da7375d25ed9"]}],"mendeley":{"formattedCitation":"(96)","plainTextFormattedCitation":"(96)","previouslyFormattedCitation":"(95)"},"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(96)</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This technique can detect multiscale spatial patterns while controlling for spatial correlation in tests of y-x relationships and it is suitable to identify complex spatial patterns of autocorrelation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{"citationItems":[{"id":"ITEM-1","itemData":{"DOI":"10.1111/j.1466-8238.2009.00506.x","ISSN":"1466822X","abstract":"Aim: Variation partitioning based on canonical analysis is the most commonly used analysis to investigate community patterns according to environmental and spatial predictors. Ecologists use this method in order to understand the pure contribution of the environment independent of space, and vice versa, as well as to control for inflated type I error in assessing the environmental component under spatial autocorrelation. Our goal is to use numerical simulations to compare how different spatial predictors and model selection procedures perform in assessing the importance of the spatial component and in controlling for type I error while testing environmental predictors. Innovation: We determine for the first time how the ability of commonly used (polynomial regressors) and novel methods based on eigenvector maps compare in the realm of spatial variation partitioning. We introduce a novel forward selection procedure to select spatial regressors for community analysis. Finally, we point out a number of issues that have not been previously considered about the joint explained variation between environment and space, which should be taken into account when reporting and testing the unique contributions of environment and space in patterning ecological communities. Main conclusions: In tests of species-environment relationships, spatial autocorrelation is known to inflate the level of type I error and make the tests of significance invalid. First, one must determine if the spatial component is significant using all spatial predictors (Moran's eigenvector maps). If it is, consider a model selection for the set of spatial predictors (an individual-species forward selection procedure is to be preferred) and use the environmental and selected spatial predictors in a partial regression or partial canonical analysis scheme. This is an effective way of controlling for type I error in such tests. Polynomial regressors do not provide tests with a correct level of type I error. © 2009 Blackwell Publishing Ltd.","author":[{"dropping-particle":"","family":"Peres-Neto","given":"Pedro R.","non-dropping-particle":"","parse-names":false,"suffix":""},{"dropping-particle":"","family":"Legendre","given":"Pierre","non-dropping-particle":"","parse-names":false,"suffix":""}],"container-title":"Global Ecology and Biogeography","id":"ITEM-1","issue":"2","issued":{"date-parts":[["2010"]]},"page":"174-184","title":"Estimating and controlling for spatial structure in the study of ecological communities","type":"article-journal","volume":"19"},"uris":["http://www.mendeley.com/documents/?uuid=582a1d8b-31a5-4462-b1a6-40caa31429eb"]}],"mendeley":{"formattedCitation":"(97)","plainTextFormattedCitation":"(97)","previouslyFormattedCitation":"(96)"},"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(97)</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To create a spatial pairwise matrix, we first calculated geographical distances using the least cost path (LCP) distance over seawater with the R package </w:t>
      </w:r>
      <w:r w:rsidRPr="00216F3E">
        <w:rPr>
          <w:rFonts w:ascii="Times New Roman" w:hAnsi="Times New Roman" w:cs="Times New Roman"/>
          <w:i/>
          <w:iCs/>
          <w:color w:val="000000" w:themeColor="text1"/>
          <w:sz w:val="24"/>
          <w:szCs w:val="24"/>
        </w:rPr>
        <w:t>marmap</w:t>
      </w:r>
      <w:r w:rsidRPr="00216F3E">
        <w:rPr>
          <w:rFonts w:ascii="Times New Roman" w:hAnsi="Times New Roman" w:cs="Times New Roman"/>
          <w:color w:val="000000" w:themeColor="text1"/>
          <w:sz w:val="24"/>
          <w:szCs w:val="24"/>
        </w:rPr>
        <w:t xml:space="preserve">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{"citationItems":[{"id":"ITEM-1","itemData":{"DOI":"10.1371/journal.pone.0073051","ISBN":"1932-6203","ISSN":"19326203","PMID":"24019892","abstract":"In this communication we introduce marmap, a package designed for downloading, plotting and manipulating bathymetric and topographic data in R. marmap can query the ETOPO1 bathymetry and topography database hosted by the NOAA, use simple latitude-longitude-depth data in ascii format, and take advantage of the advanced plotting tools available in R to build publication-quality bathymetric maps. Functions to query data (bathymetry, sampling information…) are available interactively by clicking on marmap maps. Bathymetric and topographic data can also be used to calculate projected surface areas within specified depth/altitude intervals, and constrain the calculation of realistic shortest path distances. Such information can be used in molecular ecology, for example, to evaluate genetic isolation by distance in a spatially-explicit framework.","author":[{"dropping-particle":"","family":"Pante","given":"Eric","non-dropping-particle":"","parse-names":false,"suffix":""},{"dropping-particle":"","family":"Simon-Bouhet","given":"Benoit","non-dropping-particle":"","parse-names":false,"suffix":""}],"container-title":"PLoS ONE","id":"ITEM-1","issue":"9","issued":{"date-parts":[["2013"]]},"page":"6-9","title":"marmap: A Package for Importing, Plotting and Analyzing Bathymetric and Topographic Data in R","type":"article-journal","volume":"8"},"uris":["http://www.mendeley.com/documents/?uuid=077450ee-6e14-447c-a284-c44499fa0874"]}],"mendeley":{"formattedCitation":"(30)","plainTextFormattedCitation":"(30)","previouslyFormattedCitation":"(30)"},"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(30)</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hereafter referred to as ‘in-water distances.’ Then, we used the </w:t>
      </w:r>
      <w:r w:rsidRPr="00216F3E">
        <w:rPr>
          <w:rFonts w:ascii="Times New Roman" w:hAnsi="Times New Roman" w:cs="Times New Roman"/>
          <w:i/>
          <w:iCs/>
          <w:color w:val="000000" w:themeColor="text1"/>
          <w:sz w:val="24"/>
          <w:szCs w:val="24"/>
        </w:rPr>
        <w:t>dbmem</w:t>
      </w:r>
      <w:r w:rsidRPr="00216F3E">
        <w:rPr>
          <w:rFonts w:ascii="Times New Roman" w:hAnsi="Times New Roman" w:cs="Times New Roman"/>
          <w:color w:val="000000" w:themeColor="text1"/>
          <w:sz w:val="24"/>
          <w:szCs w:val="24"/>
        </w:rPr>
        <w:t xml:space="preserve"> function in the R package adespatial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author":[{"dropping-particle":"","family":"Dray","given":"Stéphane","non-dropping-particle":"","parse-names":false,"suffix":""},{"dropping-particle":"","family":"Bauman","given":"David","non-dropping-particle":"","parse-names":false,"suffix":""},{"dropping-particle":"","family":"Blanchet","given":"Guillaume","non-dropping-particle":"","parse-names":false,"suffix":""},{"dropping-particle":"","family":"Borcard","given":"Daniel","non-dropping-particle":"","parse-names":false,"suffix":""},{"dropping-particle":"","family":"Clappe","given":"Sylvie","non-dropping-particle":"","parse-names":false,"suffix":""},{"dropping-particle":"","family":"Guénard","given":"Guillaume","non-dropping-particle":"","parse-names":false,"suffix":""},{"dropping-particle":"","family":"Jombart","given":"Thibaut","non-dropping-particle":"","parse-names":false,"suffix":""},{"dropping-particle":"","family":"Larocque","given":"Guillaume","non-dropping-particle":"","parse-names":false,"suffix":""},{"dropping-particle":"","family":"Legendre","given":"Pierre","non-dropping-particle":"","parse-names":false,"suffix":""},{"dropping-particle":"","family":"Madi","given":"Naima","non-dropping-particle":"","parse-names":false,"suffix":""},{"dropping-particle":"","family":"Wagner","given":"Helene H","non-dropping-particle":"","parse-names":false,"suffix":""}],"id":"ITEM-1","issued":{"date-parts":[["2023"]]},"note":"R package version 0.3-21","title":"adespatial: Multivariate Multiscale Spatial Analysis","type":"article"},"uris":["http://www.mendeley.com/documents/?uuid=7d153853-9a35-4477-816a-e63823ee199f"]}],"mendeley":{"formattedCitation":"(31)","plainTextFormattedCitation":"(31)","previouslyFormattedCitation":"(31)"},"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(31)</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to calculate MEM values. Additionally, we calculated Euclidean geographic distances using the </w:t>
      </w:r>
      <w:proofErr w:type="spellStart"/>
      <w:r w:rsidRPr="00216F3E">
        <w:rPr>
          <w:rFonts w:ascii="Times New Roman" w:hAnsi="Times New Roman" w:cs="Times New Roman"/>
          <w:i/>
          <w:iCs/>
          <w:color w:val="000000" w:themeColor="text1"/>
          <w:sz w:val="24"/>
          <w:szCs w:val="24"/>
        </w:rPr>
        <w:t>dist</w:t>
      </w:r>
      <w:proofErr w:type="spellEnd"/>
      <w:r w:rsidRPr="00216F3E">
        <w:rPr>
          <w:rFonts w:ascii="Times New Roman" w:hAnsi="Times New Roman" w:cs="Times New Roman"/>
          <w:color w:val="000000" w:themeColor="text1"/>
          <w:sz w:val="24"/>
          <w:szCs w:val="24"/>
        </w:rPr>
        <w:t xml:space="preserve"> function from the R package </w:t>
      </w:r>
      <w:r w:rsidRPr="00216F3E">
        <w:rPr>
          <w:rFonts w:ascii="Times New Roman" w:hAnsi="Times New Roman" w:cs="Times New Roman"/>
          <w:i/>
          <w:iCs/>
          <w:color w:val="000000" w:themeColor="text1"/>
          <w:sz w:val="24"/>
          <w:szCs w:val="24"/>
        </w:rPr>
        <w:t>adegenet</w:t>
      </w:r>
      <w:r w:rsidRPr="00216F3E">
        <w:rPr>
          <w:rFonts w:ascii="Times New Roman" w:hAnsi="Times New Roman" w:cs="Times New Roman"/>
          <w:color w:val="000000" w:themeColor="text1"/>
          <w:sz w:val="24"/>
          <w:szCs w:val="24"/>
        </w:rPr>
        <w:t xml:space="preserve">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{"citationItems":[{"id":"ITEM-1","itemData":{"DOI":"10.1093/bioinformatics/btn129","ISBN":"1367-4803","ISSN":"13674803","PMID":"18397895","abstract":"UNLABELLED: The package adegenet for the R software is dedicated to the multivariate analysis of genetic markers. It extends the ade4 package of multivariate methods by implementing formal classes and functions to manipulate and analyse genetic markers. Data can be imported from common population genetics software and exported to other software and R packages. adegenet also implements standard population genetics tools along with more original approaches for spatial genetics and hybridization. AVAILABILITY: Stable version is available from CRAN: http://cran.r-project.org/mirrors.html. Development version is available from adegenet website: http://adegenet.r-forge.r-project.org/. Both versions can be installed directly from R. adegenet is distributed under the GNU General Public Licence (v.2).","author":[{"dropping-particle":"","family":"Jombart","given":"Thibaut","non-dropping-particle":"","parse-names":false,"suffix":""}],"container-title":"Bioinformatics","id":"ITEM-1","issue":"11","issued":{"date-parts":[["2008"]]},"page":"1403-1405","title":"Adegenet: A R package for the multivariate analysis of genetic markers","type":"article-journal","volume":"24"},"uris":["http://www.mendeley.com/documents/?uuid=714f2077-30b7-47bd-ac5c-89490ac70b5f"]}],"mendeley":{"formattedCitation":"(21)","plainTextFormattedCitation":"(21)","previouslyFormattedCitation":"(21)"},"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(21)</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and calculated MEM variables using Euclidean distances between sites. We selected variables contributing to the explained variation in both directions (forward and backward) by using </w:t>
      </w:r>
      <w:proofErr w:type="spellStart"/>
      <w:r w:rsidRPr="00216F3E">
        <w:rPr>
          <w:rFonts w:ascii="Times New Roman" w:hAnsi="Times New Roman" w:cs="Times New Roman"/>
          <w:i/>
          <w:iCs/>
          <w:color w:val="000000" w:themeColor="text1"/>
          <w:sz w:val="24"/>
          <w:szCs w:val="24"/>
        </w:rPr>
        <w:t>ordistep</w:t>
      </w:r>
      <w:proofErr w:type="spellEnd"/>
      <w:r w:rsidRPr="00216F3E">
        <w:rPr>
          <w:rFonts w:ascii="Times New Roman" w:hAnsi="Times New Roman" w:cs="Times New Roman"/>
          <w:color w:val="000000" w:themeColor="text1"/>
          <w:sz w:val="24"/>
          <w:szCs w:val="24"/>
        </w:rPr>
        <w:t xml:space="preserve"> function from the vegan R package, and the model choice is assessed using a permutation method. A total of two significant MEMs were kept for each species. We calculated the adjusted coefficient of determination (adjusted </w:t>
      </w:r>
      <w:r w:rsidRPr="00216F3E">
        <w:rPr>
          <w:rFonts w:ascii="Times New Roman" w:hAnsi="Times New Roman" w:cs="Times New Roman"/>
          <w:i/>
          <w:iCs/>
          <w:color w:val="000000" w:themeColor="text1"/>
          <w:sz w:val="24"/>
          <w:szCs w:val="24"/>
        </w:rPr>
        <w:t>R</w:t>
      </w:r>
      <w:r w:rsidRPr="00216F3E">
        <w:rPr>
          <w:rFonts w:ascii="Times New Roman" w:hAnsi="Times New Roman" w:cs="Times New Roman"/>
          <w:i/>
          <w:iCs/>
          <w:color w:val="000000" w:themeColor="text1"/>
          <w:sz w:val="24"/>
          <w:szCs w:val="24"/>
          <w:vertAlign w:val="superscript"/>
        </w:rPr>
        <w:t>2</w:t>
      </w:r>
      <w:r w:rsidRPr="00216F3E">
        <w:rPr>
          <w:rFonts w:ascii="Times New Roman" w:hAnsi="Times New Roman" w:cs="Times New Roman"/>
          <w:color w:val="000000" w:themeColor="text1"/>
          <w:sz w:val="24"/>
          <w:szCs w:val="24"/>
        </w:rPr>
        <w:t xml:space="preserve">) using the </w:t>
      </w:r>
      <w:r w:rsidRPr="00216F3E">
        <w:rPr>
          <w:rFonts w:ascii="Times New Roman" w:hAnsi="Times New Roman" w:cs="Times New Roman"/>
          <w:i/>
          <w:iCs/>
          <w:color w:val="000000" w:themeColor="text1"/>
          <w:sz w:val="24"/>
          <w:szCs w:val="24"/>
        </w:rPr>
        <w:t>RsquareAdj</w:t>
      </w:r>
      <w:r w:rsidRPr="00216F3E">
        <w:rPr>
          <w:rFonts w:ascii="Times New Roman" w:hAnsi="Times New Roman" w:cs="Times New Roman"/>
          <w:color w:val="000000" w:themeColor="text1"/>
          <w:sz w:val="24"/>
          <w:szCs w:val="24"/>
        </w:rPr>
        <w:t xml:space="preserve"> function in vegan to account for the number of observations and degrees of freedom in the model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{"citationItems":[{"id":"ITEM-1","itemData":{"DOI":"10.1111/j.2041-210X.2010.00078.x","ISSN":"2041210X","abstract":"1. Tests of significance of the individual canonical axes in redundancy analysis allow researchers to determine which of the axes represent variation that can be distinguished from random. Variation along the significant axes can be mapped, used to draw biplots or interpreted through subsequent analyses, whilst the nonsignificant axes may be dropped from further consideration. 2. Three methods have been implemented in computer programs to test the significance of the canonical axes; they are compared in this paper. The simultaneous test of all individual canonical axes, which is appealing because of its simplicity, produced incorrect (highly inflated) levels of type I error for the axes following those corresponding to true relationships in the data, so it is invalid. The 'marginal' testing method implemented in the 'vegan' R package and the 'forward' testing method implemented in the program CANOCO were found to have correct levels of type I error and comparable power. Permutation of the residuals achieved greater power than permutation of the raw data. 3. R functions found in a Supplement to this paper provide the first formal description of the 'marginal' and 'forward' testing methods. © 2010 The Authors. Methods in Ecology and Evolution © 2010 British Ecological Society.","author":[{"dropping-particle":"","family":"Legendre","given":"Pierre","non-dropping-particle":"","parse-names":false,"suffix":""},{"dropping-particle":"","family":"Oksanen","given":"Jari","non-dropping-particle":"","parse-names":false,"suffix":""},{"dropping-particle":"","family":"Braak","given":"Cajo J.F.","non-dropping-particle":"ter","parse-names":false,"suffix":""}],"container-title":"Methods in Ecology and Evolution","id":"ITEM-1","issue":"3","issued":{"date-parts":[["2011"]]},"page":"269-277","title":"Testing the significance of canonical axes in redundancy analysis","type":"article-journal","volume":"2"},"uris":["http://www.mendeley.com/documents/?uuid=f0a1acc0-60dd-4abd-85e8-d84efe40c4ac"]},{"id":"ITEM-2","itemData":{"DOI":"10.1890/0012-9658(2006)87[2614:VPOSDM]2.0.CO;2","ISSN":"00129658","PMID":"17089669","abstract":"Establishing relationships between species distributions and environmental characteristics is a major goal in the search for forces driving species distributions. Canonical ordinations such as redundancy analysis and canonical correspondence analysis are invaluable tools for modeling communities through environmental predictors. They provide the means for conducting direct explanatory analysis in which the association among species can be studied according to their common and unique relationships with the environmental variables and other sets of predictors of interest, such as spatial variables. Variation partitioning can then be used to test and determine the likelihood of these sets of predictors in explaining patterns in community structure. Although variation partitioning in canonical analysis is routinely used in ecological analysis, no effort has been reported in the literature to consider appropriate estimators so that comparisons between fractions or, eventually, between different canonical models are meaningful. In this paper, we show that variation partitioning as currently applied in canonical analysis is biased. We present appropriate unbiased estimators. In addition, we outline a statistical test to compare fractions in canonical analysis. The question addressed by the test is whether two fractions of variation are significantly different from each other. Such assessment provides an important step toward attaining an understanding of the factors patterning community structure. The test is shown to have correct Type I error rates and good power for both redundancy analysis and canonical correspondence analysis. © 2006 by the Ecological Society of America.","author":[{"dropping-particle":"","family":"Peres-Neto","given":"Pedro R.","non-dropping-particle":"","parse-names":false,"suffix":""},{"dropping-particle":"","family":"Legendre","given":"Pierre","non-dropping-particle":"","parse-names":false,"suffix":""},{"dropping-particle":"","family":"Dray","given":"Stéphane","non-dropping-particle":"","parse-names":false,"suffix":""},{"dropping-particle":"","family":"Borcard","given":"Daniel","non-dropping-particle":"","parse-names":false,"suffix":""}],"container-title":"Ecology","id":"ITEM-2","issue":"10","issued":{"date-parts":[["2006"]]},"page":"2614-2625","title":"Variation partitioning of species data matrices: Estimation and comparison of fractions","type":"article-journal","volume":"87"},"uris":["http://www.mendeley.com/documents/?uuid=c1729c68-e5cf-4a17-8ff8-974a883e6aa8"]}],"mendeley":{"formattedCitation":"(8, 98)","plainTextFormattedCitation":"(8, 98)","previouslyFormattedCitation":"(8, 97)"},"properties":{"noteIndex":0},"schema":"https://github.com/citation-style-language/schema/raw/master/csl-citation.json"}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(8, 98)</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w:t>
      </w:r>
      <w:r w:rsidRPr="00216F3E">
        <w:rPr>
          <w:rFonts w:ascii="Times New Roman" w:hAnsi="Times New Roman" w:cs="Times New Roman"/>
          <w:color w:val="000000" w:themeColor="text1"/>
          <w:sz w:val="24"/>
          <w:szCs w:val="24"/>
        </w:rPr>
        <w:lastRenderedPageBreak/>
        <w:t xml:space="preserve">Finally, maps of the MEMs associated with patterns of genomic variation were plotted to visualize the spatial patterns using </w:t>
      </w:r>
      <w:proofErr w:type="spellStart"/>
      <w:r w:rsidRPr="00216F3E">
        <w:rPr>
          <w:rFonts w:ascii="Times New Roman" w:hAnsi="Times New Roman" w:cs="Times New Roman"/>
          <w:color w:val="000000" w:themeColor="text1"/>
          <w:sz w:val="24"/>
          <w:szCs w:val="24"/>
        </w:rPr>
        <w:t>ggmaps</w:t>
      </w:r>
      <w:proofErr w:type="spellEnd"/>
      <w:r w:rsidRPr="00216F3E">
        <w:rPr>
          <w:rFonts w:ascii="Times New Roman" w:hAnsi="Times New Roman" w:cs="Times New Roman"/>
          <w:color w:val="000000" w:themeColor="text1"/>
          <w:sz w:val="24"/>
          <w:szCs w:val="24"/>
        </w:rPr>
        <w:t xml:space="preserve"> R package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author":[{"dropping-particle":"","family":"Kahle","given":"David","non-dropping-particle":"","parse-names":false,"suffix":""},{"dropping-particle":"","family":"Wickham","given":"Hadley","non-dropping-particle":"","parse-names":false,"suffix":""}],"container-title":"The R Journal","id":"ITEM-1","issue":"1","issued":{"date-parts":[["2013"]]},"page":"144-161","title":"ggmap: Spatial Visualization with ggplot2","type":"article-journal","volume":"5"},"uris":["http://www.mendeley.com/documents/?uuid=403a6bbf-32c8-451e-b8e7-3c1e2ccaebde"]}],"mendeley":{"formattedCitation":"(99)","plainTextFormattedCitation":"(99)","previouslyFormattedCitation":"(98)"},"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(99)</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w:t>
      </w:r>
    </w:p>
    <w:p w14:paraId="1E995058" w14:textId="77777777" w:rsidR="00931688" w:rsidRDefault="00931688" w:rsidP="00931688">
      <w:pPr>
        <w:jc w:val="both"/>
        <w:rPr>
          <w:rFonts w:ascii="Times New Roman" w:hAnsi="Times New Roman" w:cs="Times New Roman"/>
          <w:b/>
          <w:bCs/>
          <w:color w:val="000000" w:themeColor="text1"/>
        </w:rPr>
      </w:pPr>
    </w:p>
    <w:p w14:paraId="7AAC1563" w14:textId="77777777" w:rsidR="00931688" w:rsidRPr="00216F3E" w:rsidRDefault="00931688" w:rsidP="00931688">
      <w:pPr>
        <w:jc w:val="both"/>
        <w:rPr>
          <w:rFonts w:ascii="Times New Roman" w:hAnsi="Times New Roman" w:cs="Times New Roman"/>
          <w:color w:val="000000" w:themeColor="text1"/>
          <w:sz w:val="24"/>
          <w:szCs w:val="24"/>
        </w:rPr>
      </w:pPr>
      <w:r w:rsidRPr="00216F3E">
        <w:rPr>
          <w:rFonts w:ascii="Times New Roman" w:hAnsi="Times New Roman" w:cs="Times New Roman"/>
          <w:b/>
          <w:bCs/>
          <w:color w:val="000000" w:themeColor="text1"/>
          <w:sz w:val="24"/>
          <w:szCs w:val="24"/>
        </w:rPr>
        <w:t xml:space="preserve">Multivariate analyses. </w:t>
      </w:r>
      <w:r w:rsidRPr="00216F3E">
        <w:rPr>
          <w:rFonts w:ascii="Times New Roman" w:hAnsi="Times New Roman" w:cs="Times New Roman"/>
          <w:color w:val="000000" w:themeColor="text1"/>
          <w:sz w:val="24"/>
          <w:szCs w:val="24"/>
        </w:rPr>
        <w:t xml:space="preserve">We used distance-based redundancy analyses (db-RDA;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{"citationItems":[{"id":"ITEM-1","itemData":{"DOI":"10.2307/2657228","ISSN":"00129615","author":[{"dropping-particle":"","family":"Legendre","given":"P.","non-dropping-particle":"","parse-names":false,"suffix":""},{"dropping-particle":"","family":"Anderson","given":"M. J.","non-dropping-particle":"","parse-names":false,"suffix":""}],"container-title":"Ecological Monographs","id":"ITEM-1","issue":"1","issued":{"date-parts":[["1999"]]},"page":"1-24","title":"Distance-based redundancy analysis: Testing multispecies responses in multifactorial ecological experiments","type":"article-journal","volume":"69"},"uris":["http://www.mendeley.com/documents/?uuid=9fa7a125-59f7-4e9f-a6c1-e86aba51aa9e"]}],"mendeley":{"formattedCitation":"(28)","plainTextFormattedCitation":"(28)","previouslyFormattedCitation":"(28)"},"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(28)</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to evaluate the influence of the spatial distribution, oceanic currents, and environmental variables on the population structure of </w:t>
      </w:r>
      <w:r w:rsidRPr="00216F3E">
        <w:rPr>
          <w:rFonts w:ascii="Times New Roman" w:hAnsi="Times New Roman" w:cs="Times New Roman"/>
          <w:i/>
          <w:iCs/>
          <w:color w:val="000000" w:themeColor="text1"/>
          <w:sz w:val="24"/>
          <w:szCs w:val="24"/>
        </w:rPr>
        <w:t>M. tetranemus</w:t>
      </w:r>
      <w:r w:rsidRPr="00216F3E">
        <w:rPr>
          <w:rFonts w:ascii="Times New Roman" w:hAnsi="Times New Roman" w:cs="Times New Roman"/>
          <w:color w:val="000000" w:themeColor="text1"/>
          <w:sz w:val="24"/>
          <w:szCs w:val="24"/>
        </w:rPr>
        <w:t xml:space="preserve"> and </w:t>
      </w:r>
      <w:r w:rsidRPr="00216F3E">
        <w:rPr>
          <w:rFonts w:ascii="Times New Roman" w:hAnsi="Times New Roman" w:cs="Times New Roman"/>
          <w:i/>
          <w:iCs/>
          <w:color w:val="000000" w:themeColor="text1"/>
          <w:sz w:val="24"/>
          <w:szCs w:val="24"/>
        </w:rPr>
        <w:t>M. triangulatus</w:t>
      </w:r>
      <w:r w:rsidRPr="00216F3E">
        <w:rPr>
          <w:rFonts w:ascii="Times New Roman" w:hAnsi="Times New Roman" w:cs="Times New Roman"/>
          <w:color w:val="000000" w:themeColor="text1"/>
          <w:sz w:val="24"/>
          <w:szCs w:val="24"/>
        </w:rPr>
        <w:t xml:space="preserve"> at the intraspecific level, as well as on the 23 species analyzed by biogeographic region at the interspecific level. We followed the script by Benestan </w:t>
      </w:r>
      <w:r w:rsidRPr="00216F3E">
        <w:rPr>
          <w:rFonts w:ascii="Times New Roman" w:hAnsi="Times New Roman" w:cs="Times New Roman"/>
          <w:i/>
          <w:iCs/>
          <w:color w:val="000000" w:themeColor="text1"/>
          <w:sz w:val="24"/>
          <w:szCs w:val="24"/>
        </w:rPr>
        <w:t>et al</w:t>
      </w:r>
      <w:r w:rsidRPr="00216F3E">
        <w:rPr>
          <w:rFonts w:ascii="Times New Roman" w:hAnsi="Times New Roman" w:cs="Times New Roman"/>
          <w:color w:val="000000" w:themeColor="text1"/>
          <w:sz w:val="24"/>
          <w:szCs w:val="24"/>
        </w:rPr>
        <w:t xml:space="preserve">.,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{"citationItems":[{"id":"ITEM-1","itemData":{"DOI":"10.1111/eva.13143","ISSN":"17524571","abstract":"Understanding the processes shaping population structure and reproductive isolation of marine organisms can improve their management and conservation. Using genomic markers combined with estimation of individual ancestries, assignment tests, spatial ecology, and demographic modeling, we (i) characterized the contemporary population structure, (ii) assessed the influence of space, fishing depth, and sampling years on contemporary distribution, and (iii) reconstructed the speciation history of two cryptic redfish species, Sebastes mentella and S. fasciatus. We genotyped 860 individuals in the Northwest Atlantic Ocean using 24,603 filtered single nucleotide polymorphisms (SNPs). Our results confirmed the clear genetic distinctiveness of the two species and identified three ecotypes within S. mentella and five populations in S. fasciatus. Multivariate analyses highlighted the influence of spatial distribution and depth on the overall genomic variation, while demographic modeling revealed that secondary contact models best explained inter- and intragenomic divergence. These species, ecotypes, and populations can be considered as a rare and wide continuum of genomic divergence in the marine environment. This acquired knowledge pertaining to the evolutionary processes driving population divergence and reproductive isolation will help optimizing the assessment of demographic units and possibly to refine fishery management units.","author":[{"dropping-particle":"","family":"Benestan","given":"Laura M.","non-dropping-particle":"","parse-names":false,"suffix":""},{"dropping-particle":"","family":"Rougemont","given":"Quentin","non-dropping-particle":"","parse-names":false,"suffix":""},{"dropping-particle":"","family":"Senay","given":"Caroline","non-dropping-particle":"","parse-names":false,"suffix":""},{"dropping-particle":"","family":"Normandeau","given":"Eric","non-dropping-particle":"","parse-names":false,"suffix":""},{"dropping-particle":"","family":"Parent","given":"Eric","non-dropping-particle":"","parse-names":false,"suffix":""},{"dropping-particle":"","family":"Rideout","given":"Rick","non-dropping-particle":"","parse-names":false,"suffix":""},{"dropping-particle":"","family":"Bernatchez","given":"Louis","non-dropping-particle":"","parse-names":false,"suffix":""},{"dropping-particle":"","family":"Lambert","given":"Yvan","non-dropping-particle":"","parse-names":false,"suffix":""},{"dropping-particle":"","family":"Audet","given":"Céline","non-dropping-particle":"","parse-names":false,"suffix":""},{"dropping-particle":"","family":"Parent","given":"Geneviève J.","non-dropping-particle":"","parse-names":false,"suffix":""}],"container-title":"Evolutionary Applications","id":"ITEM-1","issue":"2","issued":{"date-parts":[["2021"]]},"page":"588-606","title":"Population genomics and history of speciation reveal fishery management gaps in two related redfish species (Sebastes mentella and Sebastes fasciatus)","type":"article-journal","volume":"14"},"uris":["http://www.mendeley.com/documents/?uuid=d93ae757-fbbb-4755-be69-547d06e951d9"]}],"mendeley":{"formattedCitation":"(100)","plainTextFormattedCitation":"(100)","previouslyFormattedCitation":"(99)"},"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(100)</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In brief, we calculated Euclidean genomic distances among individuals using the </w:t>
      </w:r>
      <w:proofErr w:type="spellStart"/>
      <w:r w:rsidRPr="00216F3E">
        <w:rPr>
          <w:rFonts w:ascii="Times New Roman" w:hAnsi="Times New Roman" w:cs="Times New Roman"/>
          <w:i/>
          <w:iCs/>
          <w:color w:val="000000" w:themeColor="text1"/>
          <w:sz w:val="24"/>
          <w:szCs w:val="24"/>
        </w:rPr>
        <w:t>dist</w:t>
      </w:r>
      <w:proofErr w:type="spellEnd"/>
      <w:r w:rsidRPr="00216F3E">
        <w:rPr>
          <w:rFonts w:ascii="Times New Roman" w:hAnsi="Times New Roman" w:cs="Times New Roman"/>
          <w:color w:val="000000" w:themeColor="text1"/>
          <w:sz w:val="24"/>
          <w:szCs w:val="24"/>
        </w:rPr>
        <w:t xml:space="preserve"> function from the R package adegenet. The resulting genomic distance matrix was considered the response variable, while the explanatory variables included spatial patterns estimated using Moran’s eigenvector maps (MEMs,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{"citationItems":[{"id":"ITEM-1","itemData":{"DOI":"https://doi.org/10.1016/S0304-3800(01)00501-4","ISSN":"0304-3800","abstract":"Spatial heterogeneity of ecological structures originates either from the physical forcing of environmental variables or from community processes. In both cases, spatial structuring plays a functional role in ecosystems. Ecological models should explicitly take into account the spatial structure of ecosystems. In previous work, we used a polynomial function of the geographic coordinates of the sampling sites to model broad-scale spatial variation in a canonical (regression-type) modelling context. In this paper, we propose a method for detecting and quantifying spatial patterns over a wide range of scales. This is obtained by eigenvalue decomposition of a truncated matrix of geographic distances among the sampling sites. The eigenvectors corresponding to positive eigenvalues are used as spatial descriptors in regression or canonical analysis. This method can be applied to any set of sites providing a good coverage of the geographic sampling area. This paper investigates the behaviour of the method using numerical simulations and an artificial pseudo-ecological data set of known properties.","author":[{"dropping-particle":"","family":"Borcard","given":"Daniel","non-dropping-particle":"","parse-names":false,"suffix":""},{"dropping-particle":"","family":"Legendre","given":"Pierre","non-dropping-particle":"","parse-names":false,"suffix":""}],"container-title":"Ecological Modelling","id":"ITEM-1","issue":"1","issued":{"date-parts":[["2002"]]},"page":"51-68","title":"All-scale spatial analysis of ecological data by means of principal coordinates of neighbour matrices","type":"article-journal","volume":"153"},"uris":["http://www.mendeley.com/documents/?uuid=de3459fa-3d63-4e9d-9eff-b113bab436a8"]}],"mendeley":{"formattedCitation":"(101)","plainTextFormattedCitation":"(101)","previouslyFormattedCitation":"(100)"},"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(101)</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and 18 environmental variables. We conducted a principal coordinate analysis (PCoA) on the Euclidean distances and retained the number of PC axes based on the Broken stick model and Kaiser Guttman criterion (eigenvalue of axis should be higher than the average of eigenvalue). To account for the earth curvature we used the </w:t>
      </w:r>
      <w:proofErr w:type="spellStart"/>
      <w:r w:rsidRPr="00216F3E">
        <w:rPr>
          <w:rFonts w:ascii="Times New Roman" w:hAnsi="Times New Roman" w:cs="Times New Roman"/>
          <w:i/>
          <w:iCs/>
          <w:color w:val="000000" w:themeColor="text1"/>
          <w:sz w:val="24"/>
          <w:szCs w:val="24"/>
        </w:rPr>
        <w:t>gcd.hf</w:t>
      </w:r>
      <w:proofErr w:type="spellEnd"/>
      <w:r w:rsidRPr="00216F3E">
        <w:rPr>
          <w:rFonts w:ascii="Times New Roman" w:hAnsi="Times New Roman" w:cs="Times New Roman"/>
          <w:color w:val="000000" w:themeColor="text1"/>
          <w:sz w:val="24"/>
          <w:szCs w:val="24"/>
        </w:rPr>
        <w:t xml:space="preserve"> function available in the </w:t>
      </w:r>
      <w:proofErr w:type="spellStart"/>
      <w:r w:rsidRPr="00216F3E">
        <w:rPr>
          <w:rFonts w:ascii="Times New Roman" w:hAnsi="Times New Roman" w:cs="Times New Roman"/>
          <w:color w:val="000000" w:themeColor="text1"/>
          <w:sz w:val="24"/>
          <w:szCs w:val="24"/>
        </w:rPr>
        <w:t>codep</w:t>
      </w:r>
      <w:proofErr w:type="spellEnd"/>
      <w:r w:rsidRPr="00216F3E">
        <w:rPr>
          <w:rFonts w:ascii="Times New Roman" w:hAnsi="Times New Roman" w:cs="Times New Roman"/>
          <w:color w:val="000000" w:themeColor="text1"/>
          <w:sz w:val="24"/>
          <w:szCs w:val="24"/>
        </w:rPr>
        <w:t xml:space="preserve">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author":[{"dropping-particle":"","family":"Guénard","given":"G","non-dropping-particle":"","parse-names":false,"suffix":""},{"dropping-particle":"","family":"Legendre","given":"P","non-dropping-particle":"","parse-names":false,"suffix":""},{"dropping-particle":"","family":"Pages","given":"B","non-dropping-particle":"","parse-names":false,"suffix":""}],"id":"ITEM-1","issued":{"date-parts":[["2015"]]},"title":"codep: Multiscale Codependence Analysis. R package version 0.5-1","type":"article"},"uris":["http://www.mendeley.com/documents/?uuid=4976cb1c-7e36-4213-886c-68c73c5f949d"]}],"mendeley":{"formattedCitation":"(102)","plainTextFormattedCitation":"(102)","previouslyFormattedCitation":"(101)"},"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(102)</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R package. To eliminate multicollinearity among variables, we used the variance inflation factor with a threshold of 5. When a strong correlation was evidenced, we retained only one of the two variables. We calculated the global db-RDA model using the </w:t>
      </w:r>
      <w:r w:rsidRPr="00216F3E">
        <w:rPr>
          <w:rFonts w:ascii="Times New Roman" w:hAnsi="Times New Roman" w:cs="Times New Roman"/>
          <w:i/>
          <w:iCs/>
          <w:color w:val="000000" w:themeColor="text1"/>
          <w:sz w:val="24"/>
          <w:szCs w:val="24"/>
        </w:rPr>
        <w:t>dbrda</w:t>
      </w:r>
      <w:r w:rsidRPr="00216F3E">
        <w:rPr>
          <w:rFonts w:ascii="Times New Roman" w:hAnsi="Times New Roman" w:cs="Times New Roman"/>
          <w:color w:val="000000" w:themeColor="text1"/>
          <w:sz w:val="24"/>
          <w:szCs w:val="24"/>
        </w:rPr>
        <w:t> function available in the ‘vegan' package on the binary genotype variation  on all explanatory variables, and calculated the model probability and adjusted coefficient of determination (adjusted r</w:t>
      </w:r>
      <w:r w:rsidRPr="00216F3E">
        <w:rPr>
          <w:rFonts w:ascii="Times New Roman" w:hAnsi="Times New Roman" w:cs="Times New Roman"/>
          <w:color w:val="000000" w:themeColor="text1"/>
          <w:sz w:val="24"/>
          <w:szCs w:val="24"/>
          <w:vertAlign w:val="superscript"/>
        </w:rPr>
        <w:t>2</w:t>
      </w:r>
      <w:r w:rsidRPr="00216F3E">
        <w:rPr>
          <w:rFonts w:ascii="Times New Roman" w:hAnsi="Times New Roman" w:cs="Times New Roman"/>
          <w:color w:val="000000" w:themeColor="text1"/>
          <w:sz w:val="24"/>
          <w:szCs w:val="24"/>
        </w:rPr>
        <w:t xml:space="preserve">) using the </w:t>
      </w:r>
      <w:r w:rsidRPr="00216F3E">
        <w:rPr>
          <w:rFonts w:ascii="Times New Roman" w:hAnsi="Times New Roman" w:cs="Times New Roman"/>
          <w:i/>
          <w:iCs/>
          <w:color w:val="000000" w:themeColor="text1"/>
          <w:sz w:val="24"/>
          <w:szCs w:val="24"/>
        </w:rPr>
        <w:t>RsquareAdj</w:t>
      </w:r>
      <w:r w:rsidRPr="00216F3E">
        <w:rPr>
          <w:rFonts w:ascii="Times New Roman" w:hAnsi="Times New Roman" w:cs="Times New Roman"/>
          <w:color w:val="000000" w:themeColor="text1"/>
          <w:sz w:val="24"/>
          <w:szCs w:val="24"/>
        </w:rPr>
        <w:t xml:space="preserve"> function in the R package vegan, accounting for the number of observations and degrees of freedom in the best-fit model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{"citationItems":[{"id":"ITEM-1","itemData":{"DOI":"10.1111/j.2041-210X.2010.00078.x","ISSN":"2041210X","abstract":"1. Tests of significance of the individual canonical axes in redundancy analysis allow researchers to determine which of the axes represent variation that can be distinguished from random. Variation along the significant axes can be mapped, used to draw biplots or interpreted through subsequent analyses, whilst the nonsignificant axes may be dropped from further consideration. 2. Three methods have been implemented in computer programs to test the significance of the canonical axes; they are compared in this paper. The simultaneous test of all individual canonical axes, which is appealing because of its simplicity, produced incorrect (highly inflated) levels of type I error for the axes following those corresponding to true relationships in the data, so it is invalid. The 'marginal' testing method implemented in the 'vegan' R package and the 'forward' testing method implemented in the program CANOCO were found to have correct levels of type I error and comparable power. Permutation of the residuals achieved greater power than permutation of the raw data. 3. R functions found in a Supplement to this paper provide the first formal description of the 'marginal' and 'forward' testing methods. © 2010 The Authors. Methods in Ecology and Evolution © 2010 British Ecological Society.","author":[{"dropping-particle":"","family":"Legendre","given":"Pierre","non-dropping-particle":"","parse-names":false,"suffix":""},{"dropping-particle":"","family":"Oksanen","given":"Jari","non-dropping-particle":"","parse-names":false,"suffix":""},{"dropping-particle":"","family":"Braak","given":"Cajo J.F.","non-dropping-particle":"ter","parse-names":false,"suffix":""}],"container-title":"Methods in Ecology and Evolution","id":"ITEM-1","issue":"3","issued":{"date-parts":[["2011"]]},"page":"269-277","title":"Testing the significance of canonical axes in redundancy analysis","type":"article-journal","volume":"2"},"uris":["http://www.mendeley.com/documents/?uuid=f0a1acc0-60dd-4abd-85e8-d84efe40c4ac"]},{"id":"ITEM-2","itemData":{"DOI":"10.1890/0012-9658(2006)87[2614:VPOSDM]2.0.CO;2","ISSN":"00129658","PMID":"17089669","abstract":"Establishing relationships between species distributions and environmental characteristics is a major goal in the search for forces driving species distributions. Canonical ordinations such as redundancy analysis and canonical correspondence analysis are invaluable tools for modeling communities through environmental predictors. They provide the means for conducting direct explanatory analysis in which the association among species can be studied according to their common and unique relationships with the environmental variables and other sets of predictors of interest, such as spatial variables. Variation partitioning can then be used to test and determine the likelihood of these sets of predictors in explaining patterns in community structure. Although variation partitioning in canonical analysis is routinely used in ecological analysis, no effort has been reported in the literature to consider appropriate estimators so that comparisons between fractions or, eventually, between different canonical models are meaningful. In this paper, we show that variation partitioning as currently applied in canonical analysis is biased. We present appropriate unbiased estimators. In addition, we outline a statistical test to compare fractions in canonical analysis. The question addressed by the test is whether two fractions of variation are significantly different from each other. Such assessment provides an important step toward attaining an understanding of the factors patterning community structure. The test is shown to have correct Type I error rates and good power for both redundancy analysis and canonical correspondence analysis. © 2006 by the Ecological Society of America.","author":[{"dropping-particle":"","family":"Peres-Neto","given":"Pedro R.","non-dropping-particle":"","parse-names":false,"suffix":""},{"dropping-particle":"","family":"Legendre","given":"Pierre","non-dropping-particle":"","parse-names":false,"suffix":""},{"dropping-particle":"","family":"Dray","given":"Stéphane","non-dropping-particle":"","parse-names":false,"suffix":""},{"dropping-particle":"","family":"Borcard","given":"Daniel","non-dropping-particle":"","parse-names":false,"suffix":""}],"container-title":"Ecology","id":"ITEM-2","issue":"10","issued":{"date-parts":[["2006"]]},"page":"2614-2625","title":"Variation partitioning of species data matrices: Estimation and comparison of fractions","type":"article-journal","volume":"87"},"uris":["http://www.mendeley.com/documents/?uuid=c1729c68-e5cf-4a17-8ff8-974a883e6aa8"]}],"mendeley":{"formattedCitation":"(8, 98)","plainTextFormattedCitation":"(8, 98)","previouslyFormattedCitation":"(8, 97)"},"properties":{"noteIndex":0},"schema":"https://github.com/citation-style-language/schema/raw/master/csl-citation.json"}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(8, 98)</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We selected the variables contributing to the explained variation by applying a stopping criterion with the </w:t>
      </w:r>
      <w:r w:rsidRPr="00216F3E">
        <w:rPr>
          <w:rFonts w:ascii="Times New Roman" w:hAnsi="Times New Roman" w:cs="Times New Roman"/>
          <w:i/>
          <w:iCs/>
          <w:color w:val="000000" w:themeColor="text1"/>
          <w:sz w:val="24"/>
          <w:szCs w:val="24"/>
        </w:rPr>
        <w:t>ordiR2step</w:t>
      </w:r>
      <w:r w:rsidRPr="00216F3E">
        <w:rPr>
          <w:rFonts w:ascii="Times New Roman" w:hAnsi="Times New Roman" w:cs="Times New Roman"/>
          <w:color w:val="000000" w:themeColor="text1"/>
          <w:sz w:val="24"/>
          <w:szCs w:val="24"/>
        </w:rPr>
        <w:t xml:space="preserve"> function in the vegan R package. Biplots were generated using </w:t>
      </w:r>
      <w:r w:rsidRPr="00216F3E">
        <w:rPr>
          <w:rFonts w:ascii="Times New Roman" w:hAnsi="Times New Roman" w:cs="Times New Roman"/>
          <w:i/>
          <w:iCs/>
          <w:color w:val="000000" w:themeColor="text1"/>
          <w:sz w:val="24"/>
          <w:szCs w:val="24"/>
        </w:rPr>
        <w:t>varpart</w:t>
      </w:r>
      <w:r w:rsidRPr="00216F3E">
        <w:rPr>
          <w:rFonts w:ascii="Times New Roman" w:hAnsi="Times New Roman" w:cs="Times New Roman"/>
          <w:color w:val="000000" w:themeColor="text1"/>
          <w:sz w:val="24"/>
          <w:szCs w:val="24"/>
        </w:rPr>
        <w:t xml:space="preserve"> function available in the vegan package to represent the association between genetic clusters and selected explanatory variables.</w:t>
      </w:r>
    </w:p>
    <w:p w14:paraId="36BD61E3" w14:textId="77777777" w:rsidR="00931688" w:rsidRPr="00216F3E" w:rsidRDefault="00931688" w:rsidP="00931688">
      <w:pPr>
        <w:jc w:val="both"/>
        <w:rPr>
          <w:rFonts w:ascii="Times New Roman" w:hAnsi="Times New Roman" w:cs="Times New Roman"/>
          <w:color w:val="000000" w:themeColor="text1"/>
          <w:sz w:val="24"/>
          <w:szCs w:val="24"/>
        </w:rPr>
      </w:pPr>
    </w:p>
    <w:p w14:paraId="1B8C438F" w14:textId="345F94B0" w:rsidR="00931688" w:rsidRPr="00216F3E" w:rsidRDefault="00931688" w:rsidP="00931688">
      <w:pPr>
        <w:jc w:val="both"/>
        <w:rPr>
          <w:rFonts w:ascii="Times New Roman" w:hAnsi="Times New Roman" w:cs="Times New Roman"/>
          <w:color w:val="000000" w:themeColor="text1"/>
          <w:sz w:val="24"/>
          <w:szCs w:val="24"/>
        </w:rPr>
      </w:pPr>
      <w:r w:rsidRPr="00216F3E">
        <w:rPr>
          <w:rFonts w:ascii="Times New Roman" w:hAnsi="Times New Roman" w:cs="Times New Roman"/>
          <w:b/>
          <w:bCs/>
          <w:color w:val="000000" w:themeColor="text1"/>
          <w:sz w:val="24"/>
          <w:szCs w:val="24"/>
        </w:rPr>
        <w:t>MACROEVOLUTIONARY ANALYSES, PHYLOGENOMIC INFERENCE AND BIOGEOGRAPHIC HISTORY</w:t>
      </w:r>
    </w:p>
    <w:p w14:paraId="37B24936" w14:textId="51D7F622" w:rsidR="00931688" w:rsidRPr="00216F3E" w:rsidRDefault="00931688" w:rsidP="00216F3E">
      <w:pPr>
        <w:jc w:val="both"/>
        <w:rPr>
          <w:rFonts w:ascii="Times New Roman" w:hAnsi="Times New Roman" w:cs="Times New Roman"/>
          <w:color w:val="000000" w:themeColor="text1"/>
          <w:sz w:val="24"/>
          <w:szCs w:val="24"/>
        </w:rPr>
      </w:pPr>
      <w:r w:rsidRPr="00216F3E">
        <w:rPr>
          <w:rFonts w:ascii="Times New Roman" w:hAnsi="Times New Roman" w:cs="Times New Roman"/>
          <w:b/>
          <w:bCs/>
          <w:color w:val="000000" w:themeColor="text1"/>
          <w:sz w:val="24"/>
          <w:szCs w:val="24"/>
        </w:rPr>
        <w:t xml:space="preserve">Mitochondrial tree. </w:t>
      </w:r>
      <w:r w:rsidRPr="00216F3E">
        <w:rPr>
          <w:rFonts w:ascii="Times New Roman" w:hAnsi="Times New Roman" w:cs="Times New Roman"/>
          <w:color w:val="000000" w:themeColor="text1"/>
          <w:sz w:val="24"/>
          <w:szCs w:val="24"/>
        </w:rPr>
        <w:t xml:space="preserve">To estimate a mitochondrial tree, we used the COI sequences previously retrieved from the NCBI archive and the BOLD system during the quality control steps. We aligned sequences from 68 individuals representing 17 species using Geneious v10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author":[{"dropping-particle":"","family":"Kearse","given":"Matthew","non-dropping-particle":"","parse-names":false,"suffix":""},{"dropping-particle":"","family":"Moir","given":"Richard","non-dropping-particle":"","parse-names":false,"suffix":""},{"dropping-particle":"","family":"Wilson","given":"Amy","non-dropping-particle":"","parse-names":false,"suffix":""},{"dropping-particle":"","family":"Stones-Havas","given":"Steven","non-dropping-particle":"","parse-names":false,"suffix":""},{"dropping-particle":"","family":"Cheung","given":"Matthew","non-dropping-particle":"","parse-names":false,"suffix":""},{"dropping-particle":"","family":"Sturrock","given":"Shane","non-dropping-particle":"","parse-names":false,"suffix":""},{"dropping-particle":"","family":"Buxton","given":"Simon","non-dropping-particle":"","parse-names":false,"suffix":""},{"dropping-particle":"","family":"Cooper","given":"Alex","non-dropping-particle":"","parse-names":false,"suffix":""},{"dropping-particle":"","family":"Markowitz","given":"Sidney","non-dropping-particle":"","parse-names":false,"suffix":""},{"dropping-particle":"","family":"Duran","given":"Chris","non-dropping-particle":"","parse-names":false,"suffix":""},{"dropping-particle":"","family":"Others","given":"","non-dropping-particle":"","parse-names":false,"suffix":""}],"container-title":"Bioinformatics","id":"ITEM-1","issue":"12","issued":{"date-parts":[["2012"]]},"page":"1647-1649","publisher":"Oxford Univ Press","title":"Geneious Basic: an integrated and extendable desktop software platform for the organization and analysis of sequence data","type":"article-journal","volume":"28"},"uris":["http://www.mendeley.com/documents/?uuid=80652885-c81c-4f49-a1e6-49394fedbf2e"]}],"mendeley":{"formattedCitation":"(103)","plainTextFormattedCitation":"(103)","previouslyFormattedCitation":"(102)"},"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(103)</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for a final alignment of 645 bp. We did not incorporate the COI sequences mined from the raw data from the 169 hits recovered from our dataset, as they were short fragments (140 bp) with insufficient variation for tree estimation. We inferred this tree using IQtree v2 with Model finder using by-codon partitions.</w:t>
      </w:r>
    </w:p>
    <w:p w14:paraId="5FDEB27C" w14:textId="19B1730D" w:rsidR="00931688" w:rsidRPr="00216F3E" w:rsidRDefault="00931688" w:rsidP="00931688">
      <w:pPr>
        <w:autoSpaceDE w:val="0"/>
        <w:autoSpaceDN w:val="0"/>
        <w:adjustRightInd w:val="0"/>
        <w:jc w:val="both"/>
        <w:rPr>
          <w:rFonts w:ascii="Times New Roman" w:hAnsi="Times New Roman" w:cs="Times New Roman"/>
          <w:color w:val="000000" w:themeColor="text1"/>
          <w:sz w:val="24"/>
          <w:szCs w:val="24"/>
        </w:rPr>
      </w:pPr>
      <w:r w:rsidRPr="00216F3E">
        <w:rPr>
          <w:rFonts w:ascii="Times New Roman" w:hAnsi="Times New Roman" w:cs="Times New Roman"/>
          <w:b/>
          <w:bCs/>
          <w:color w:val="000000" w:themeColor="text1"/>
          <w:sz w:val="24"/>
          <w:szCs w:val="24"/>
        </w:rPr>
        <w:t xml:space="preserve">Phylogenomic inference. </w:t>
      </w:r>
      <w:r w:rsidRPr="00216F3E">
        <w:rPr>
          <w:rFonts w:ascii="Times New Roman" w:hAnsi="Times New Roman" w:cs="Times New Roman"/>
          <w:color w:val="000000" w:themeColor="text1"/>
          <w:sz w:val="24"/>
          <w:szCs w:val="24"/>
        </w:rPr>
        <w:t xml:space="preserve">We estimated phylogenetic trees based on genomic data using five concatenated SNP-loci matrices, each with varying levels of missing data. These matrices encompassed 1,891 to 28,144 SNPs obtained from 40 individuals representing the 23 species of </w:t>
      </w:r>
      <w:r w:rsidRPr="00216F3E">
        <w:rPr>
          <w:rFonts w:ascii="Times New Roman" w:hAnsi="Times New Roman" w:cs="Times New Roman"/>
          <w:i/>
          <w:iCs/>
          <w:color w:val="000000" w:themeColor="text1"/>
          <w:sz w:val="24"/>
          <w:szCs w:val="24"/>
        </w:rPr>
        <w:t>Malacoctenus</w:t>
      </w:r>
      <w:r w:rsidRPr="00216F3E">
        <w:rPr>
          <w:rFonts w:ascii="Times New Roman" w:hAnsi="Times New Roman" w:cs="Times New Roman"/>
          <w:color w:val="000000" w:themeColor="text1"/>
          <w:sz w:val="24"/>
          <w:szCs w:val="24"/>
        </w:rPr>
        <w:t xml:space="preserve">, along with the </w:t>
      </w:r>
      <w:r w:rsidR="00C70005">
        <w:rPr>
          <w:rFonts w:ascii="Times New Roman" w:hAnsi="Times New Roman" w:cs="Times New Roman"/>
          <w:i/>
          <w:iCs/>
          <w:color w:val="000000" w:themeColor="text1"/>
          <w:sz w:val="24"/>
          <w:szCs w:val="24"/>
        </w:rPr>
        <w:t>B</w:t>
      </w:r>
      <w:r w:rsidRPr="00216F3E">
        <w:rPr>
          <w:rFonts w:ascii="Times New Roman" w:hAnsi="Times New Roman" w:cs="Times New Roman"/>
          <w:i/>
          <w:iCs/>
          <w:color w:val="000000" w:themeColor="text1"/>
          <w:sz w:val="24"/>
          <w:szCs w:val="24"/>
        </w:rPr>
        <w:t>. striatus</w:t>
      </w:r>
      <w:r w:rsidRPr="00216F3E">
        <w:rPr>
          <w:rFonts w:ascii="Times New Roman" w:hAnsi="Times New Roman" w:cs="Times New Roman"/>
          <w:color w:val="000000" w:themeColor="text1"/>
          <w:sz w:val="24"/>
          <w:szCs w:val="24"/>
        </w:rPr>
        <w:t xml:space="preserve"> outgroup. We used these matrices to estimate phylogenetic trees under a ML framework in IQtree v2, employing the GTR+ASC model. Because </w:t>
      </w:r>
      <w:r w:rsidRPr="00216F3E">
        <w:rPr>
          <w:rFonts w:ascii="Times New Roman" w:hAnsi="Times New Roman" w:cs="Times New Roman"/>
          <w:color w:val="000000" w:themeColor="text1"/>
          <w:sz w:val="24"/>
          <w:szCs w:val="24"/>
        </w:rPr>
        <w:lastRenderedPageBreak/>
        <w:t xml:space="preserve">genes can exhibit unique evolutionary histories attributed to biological phenomena like incomplete lineage sorting (ILS), recent criticisms of concatenation methods have emerged. These criticisms stem from the concern that concatenation methods might not truly capture the evolutionary history of the species under investigation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{"citationItems":[{"id":"ITEM-1","itemData":{"DOI":"10.1016/j.ympev.2015.10.027","ISSN":"10959513","PMID":"26518740","abstract":"In recent articles published in Molecular Phylogenetics and Evolution, Mark Springer and John Gatesy (S&amp;G) present numerous criticisms of recent implementations and testing of the multispecies coalescent (MSC) model in phylogenomics, popularly known as \"species tree\" methods. After pointing out errors in alignments and gene tree rooting in recent phylogenomic data sets, particularly in Song et al. (2012) on mammals and Xi et al. (2014) on plants, they suggest that these errors seriously compromise the conclusions of these studies. Additionally, S&amp;G enumerate numerous perceived violated assumptions and deficiencies in the application of the MSC model in phylogenomics, such as its assumption of neutrality and in particular the use of transcriptomes, which are deemed inappropriate for the MSC because the constituent exons often subtend large regions of chromosomes within which recombination is substantial. We acknowledge these previously reported errors in recent phylogenomic data sets, but disapprove of S&amp;G's excessively combative and taunting tone. We show that these errors, as well as two nucleotide sorting methods used in the analysis of Amborella, have little impact on the conclusions of those papers. Moreover, several concepts introduced by S&amp;G and an appeal to \"first principles\" of phylogenetics in an attempt to discredit MSC models are invalid and reveal numerous misunderstandings of the MSC. Contrary to the claims of S&amp;G we show that recent computer simulations used to test the robustness of MSC models are not circular and do not unfairly favor MSC models over concatenation. In fact, although both concatenation and MSC models clearly perform well in regions of tree space with long branches and little incomplete lineage sorting (ILS), simulations reveal the erratic behavior of concatenation when subjected to data subsampling and its tendency to produce spuriously confident yet conflicting results in regions of parameter space where MSC models still perform well. S&amp;G's claims that MSC models explain little or none (0-15%) of the observed gene tree heterogeneity observed in a mammal data set and that MSC models assume ILS as the only source of gene tree variation are flawed. Overall many of their criticisms of MSC models are invalidated when concatenation is appropriately viewed as a special case of the MSC, which in turn is a special case of emerging network models in phylogenomics. We reiterate that there is enormous promise and value in recent imp…","author":[{"dropping-particle":"V.","family":"Edwards","given":"Scott","non-dropping-particle":"","parse-names":false,"suffix":""},{"dropping-particle":"","family":"Xi","given":"Zhenxiang","non-dropping-particle":"","parse-names":false,"suffix":""},{"dropping-particle":"","family":"Janke","given":"Axel","non-dropping-particle":"","parse-names":false,"suffix":""},{"dropping-particle":"","family":"Faircloth","given":"Brant C.","non-dropping-particle":"","parse-names":false,"suffix":""},{"dropping-particle":"","family":"McCormack","given":"John E.","non-dropping-particle":"","parse-names":false,"suffix":""},{"dropping-particle":"","family":"Glenn","given":"Travis C.","non-dropping-particle":"","parse-names":false,"suffix":""},{"dropping-particle":"","family":"Zhong","given":"Bojian","non-dropping-particle":"","parse-names":false,"suffix":""},{"dropping-particle":"","family":"Wu","given":"Shaoyuan","non-dropping-particle":"","parse-names":false,"suffix":""},{"dropping-particle":"","family":"Lemmon","given":"Emily Moriarty","non-dropping-particle":"","parse-names":false,"suffix":""},{"dropping-particle":"","family":"Lemmon","given":"Alan R.","non-dropping-particle":"","parse-names":false,"suffix":""},{"dropping-particle":"","family":"Leaché","given":"Adam D.","non-dropping-particle":"","parse-names":false,"suffix":""},{"dropping-particle":"","family":"Liu","given":"Liang","non-dropping-particle":"","parse-names":false,"suffix":""},{"dropping-particle":"","family":"Davis","given":"Charles C.","non-dropping-particle":"","parse-names":false,"suffix":""}],"container-title":"Molecular Phylogenetics and Evolution","id":"ITEM-1","issued":{"date-parts":[["2016"]]},"page":"447-462","publisher":"Elsevier Inc.","title":"Implementing and testing the multispecies coalescent model: A valuable paradigm for phylogenomics","type":"article-journal","volume":"94"},"uris":["http://www.mendeley.com/documents/?uuid=3572e82a-c141-4691-91fd-6c86abb5d801"]},{"id":"ITEM-2","itemData":{"DOI":"10.1186/1471-2148-10-302","ISSN":"14712148","PMID":"20937096","abstract":"Background: Several phylogenetic approaches have been developed to estimate species trees from collections of gene trees. However, maximum likelihood approaches for estimating species trees under the coalescent model are limited. Although the likelihood of a species tree under the multispecies coalescent model has already been derived by Rannala and Yang, it can be shown that the maximum likelihood estimate (MLE) of the species tree (topology, branch lengths, and population sizes) from gene trees under this formula does not exist. In this paper, we develop a pseudo-likelihood function of the species tree to obtain maximum pseudo-likelihood estimates (MPE) of species trees, with branch lengths of the species tree in coalescent units. Results: We show that the MPE of the species tree is statistically consistent as the number M of genes goes to infinity. In addition, the probability that the MPE of the species tree matches the true species tree converges to 1 at rate O(M-1). The simulation results confirm that the maximum pseudo-likelihood approach is statistically consistent even when the species tree is in the anomaly zone. We applied our method, Maximum Pseudo-likelihood for Estimating Species Trees (MP-EST) to a mammal dataset. The four major clades found in the MP-EST tree are consistent with those in the Bayesian concatenation tree. The bootstrap supports for the species tree estimated by the MP-EST method are more reasonable than the posterior probability supports given by the Bayesian concatenation method in reflecting the level of uncertainty in gene trees and controversies over the relationship of four major groups of placental mammals. Conclusions: MP-EST can consistently estimate the topology and branch lengths (in coalescent units) of the species tree. Although the pseudo-likelihood is derived from coalescent theory, and assumes no gene flow or horizontal gene transfer (HGT), the MP-EST method is robust to a small amount of HGT in the dataset. In addition, increasing the number of genes does not increase the computational time substantially. The MP-EST method is fast for analyzing datasets that involve a large number of genes but a moderate number of species. © 2010 Liu et al; licensee BioMed Central Ltd.","author":[{"dropping-particle":"","family":"Liu","given":"Liang","non-dropping-particle":"","parse-names":false,"suffix":""},{"dropping-particle":"","family":"Yu","given":"Lili","non-dropping-particle":"","parse-names":false,"suffix":""},{"dropping-particle":"V.","family":"Edwards","given":"Scott","non-dropping-particle":"","parse-names":false,"suffix":""}],"container-title":"BMC Evolutionary Biology","id":"ITEM-2","issue":"1","issued":{"date-parts":[["2010"]]},"page":"25-27","title":"A maximum pseudo-likelihood approach for estimating species trees under the coalescent model","type":"article-journal","volume":"10"},"uris":["http://www.mendeley.com/documents/?uuid=e17facee-8a71-45a8-8ca8-f3b475d6d76e"]}],"mendeley":{"formattedCitation":"(104, 105)","plainTextFormattedCitation":"(104, 105)","previouslyFormattedCitation":"(103, 104)"},"properties":{"noteIndex":0},"schema":"https://github.com/citation-style-language/schema/raw/master/csl-citation.json"}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(104, 105)</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To account for this, we also used the multispecies coalescent model (MSC), which conceives the species tree as a collection of gene trees, and has been suggested to outperform concatenation methods, while being able to account for biological processes such as ILS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{"citationItems":[{"id":"ITEM-1","itemData":{"DOI":"10.1093/sysbio/syaa008","ISSN":"1076836X","PMID":"32011711","abstract":"A statistical framework of model comparison and model validation is essential to resolving the debates over concatenation and coalescent models in phylogenomic data analysis. A set of statistical tests are here applied and developed to evaluate and compare the adequacy of substitution, concatenation, and multispecies coalescent (MSC) models across 47 phylogenomic data sets collected across tree of life. Tests for substitution models and the concatenation assumption of topologically congruent gene trees suggest that a poor fit of substitution models, rejected by 44% of loci, and concatenation models, rejected by 38% of loci, is widespread. Logistic regression shows that the proportions of GC content and informative sites are both negatively correlated with the fit of substitution models across loci. Moreover, a substantial violation of the concatenation assumption of congruent gene trees is consistently observed across six major groups (birds, mammals, fish, insects, reptiles, and others, including other invertebrates). In contrast, among those loci adequately described by a given substitution model, the proportion of loci rejecting the MSC model is 11%, significantly lower than those rejecting the substitution and concatenation models. Although conducted on reduced data sets due to computational constraints, Bayesian model validation and comparison both strongly favor the MSC over concatenation across all data sets; the concatenation assumption of congruent gene trees rarely holds for phylogenomic data sets with more than 10 loci. Thus, for large phylogenomic data sets, model comparisons are expected to consistently and more strongly favor the coalescent model over the concatenation model. We also found that loci rejecting the MSC have little effect on species tree estimation. Our study reveals the value of model validation and comparison in phylogenomic data analysis, as well as the need for further improvements of multilocus models and computational tools for phylogenetic inference. [Bayes factor; Bayesian model validation; coalescent prior; congruent gene trees; independent prior; Metazoa; posterior predictive simulation.].","author":[{"dropping-particle":"","family":"Jiang","given":"Xiaodong","non-dropping-particle":"","parse-names":false,"suffix":""},{"dropping-particle":"V.","family":"Edwards","given":"Scott","non-dropping-particle":"","parse-names":false,"suffix":""},{"dropping-particle":"","family":"Liu","given":"Liang","non-dropping-particle":"","parse-names":false,"suffix":""},{"dropping-particle":"","family":"Faircloth","given":"Brant","non-dropping-particle":"","parse-names":false,"suffix":""}],"container-title":"Systematic Biology","id":"ITEM-1","issue":"4","issued":{"date-parts":[["2020"]]},"page":"795-812","title":"The Multispecies Coalescent Model Outperforms Concatenation across Diverse Phylogenomic Data Sets","type":"article-journal","volume":"69"},"uris":["http://www.mendeley.com/documents/?uuid=e2e080f4-8ea9-4f79-8d5b-9033bf8dad9f"]},{"id":"ITEM-2","itemData":{"DOI":"10.4172/2329-9002.1000114","abstract":"McVay JD, Carstens BC (2013) Phylogenetic Model Choice: Justifying a Species Tree or Concatenation Analysis. J Phylogen Evolution Biol 1: 114. doi:10.4172/jpgeb.1000114","author":[{"dropping-particle":"","family":"Bryan C. Carstens","given":"John David McVay","non-dropping-particle":"","parse-names":false,"suffix":""}],"container-title":"Journal of Phylogenetics &amp; Evolutionary Biology","id":"ITEM-2","issue":"03","issued":{"date-parts":[["2013"]]},"page":"1-8","title":"Phylogenetic Model Choice: Justifying a Species Tree or Concatenation Analysis","type":"article-journal","volume":"01"},"uris":["http://www.mendeley.com/documents/?uuid=7abe4719-60b4-42a8-924b-690fcf986141"]}],"mendeley":{"formattedCitation":"(106, 107)","plainTextFormattedCitation":"(106, 107)","previouslyFormattedCitation":"(105, 106)"},"properties":{"noteIndex":0},"schema":"https://github.com/citation-style-language/schema/raw/master/csl-citation.json"}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(106, 107)</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We applied the SVDquartets plug-in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{"citationItems":[{"id":"ITEM-1","itemData":{"DOI":"10.1093/bioinformatics/btu530","ISSN":"14602059","PMID":"25104814","abstract":"Motivation: Increasing attention has been devoted to estimation of species-level phylogenetic relationships under the coalescent model. However, existing methods either use summary statistics (gene trees) to carry out estimation, ignoring an important source of variability in the estimates, or involve computationally intensive Bayesian Markov chain Monte Carlo algorithms that do not scale well to whole-genome datasets. Results: We develop a method to infer relationships among quartets of taxa under the coalescent model using techniques from algebraic statistics. Uncertainty in the estimated relationships is quantified using the nonparametric bootstrap. The performance of our method is assessed with simulated data. We then describe how our method could be used for species tree inference in larger taxon samples, and demonstrate its utility using datasets for Sistrurus rattlesnakes and for soybeans.","author":[{"dropping-particle":"","family":"Chifman","given":"Julia","non-dropping-particle":"","parse-names":false,"suffix":""},{"dropping-particle":"","family":"Kubatko","given":"Laura","non-dropping-particle":"","parse-names":false,"suffix":""}],"container-title":"Bioinformatics","id":"ITEM-1","issue":"23","issued":{"date-parts":[["2014"]]},"page":"3317-3324","title":"Quartet inference from SNP data under the coalescent model","type":"article-journal","volume":"30"},"uris":["http://www.mendeley.com/documents/?uuid=025d23f9-238e-4029-81e3-31e32db5a777"]}],"mendeley":{"formattedCitation":"(108)","plainTextFormattedCitation":"(108)","previouslyFormattedCitation":"(107)"},"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(108)</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implemented in PAUP* v4.0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{"citationItems":[{"id":"ITEM-1","itemData":{"author":[{"dropping-particle":"","family":"Swofford","given":"D L","non-dropping-particle":"","parse-names":false,"suffix":""},{"dropping-particle":"","family":"Swofford","given":"D L","non-dropping-particle":"","parse-names":false,"suffix":""},{"dropping-particle":"","family":"Swofford","given":"D L","non-dropping-particle":"","parse-names":false,"suffix":""}],"id":"ITEM-1","issued":{"date-parts":[["2002"]]},"title":"PAUP*: Phylogenetic analysis using parsimony (*and other methods), Version 4.0b10","type":"paper-conference"},"uris":["http://www.mendeley.com/documents/?uuid=1ccdf23c-2c4a-4370-b0db-74e84363d440"]}],"mendeley":{"formattedCitation":"(32)","plainTextFormattedCitation":"(32)","previouslyFormattedCitation":"(32)"},"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(32)</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to estimate species-level phylogenies under the MSC model. SVDquartets uses a quartet-based approach, in which the coalescent histories of all possible quartets of species are compared in the dataset, selecting the species tree that is consistent with the majority of quartet trees. We evaluated 100,000 random quartets, applying a non-parametric bootstrapping of 10,000 replicates which were used to account for uncertainty in the inferred splits. We estimated a majority-rule consensus tree in PAUP* using the reference-based assembled matrix of 28,144 SNP-loci to maximize the amount of genetic information. Trees were visualized in Figtree v4 (tree.bio.ed.ac.uk/software/figtree/).</w:t>
      </w:r>
    </w:p>
    <w:p w14:paraId="7D7222EC" w14:textId="096F2F8D" w:rsidR="00931688" w:rsidRPr="00216F3E" w:rsidRDefault="00931688" w:rsidP="00931688">
      <w:pPr>
        <w:jc w:val="both"/>
        <w:rPr>
          <w:rFonts w:ascii="Times New Roman" w:hAnsi="Times New Roman" w:cs="Times New Roman"/>
          <w:color w:val="000000" w:themeColor="text1"/>
          <w:sz w:val="24"/>
          <w:szCs w:val="24"/>
        </w:rPr>
      </w:pPr>
      <w:r w:rsidRPr="00216F3E">
        <w:rPr>
          <w:rFonts w:ascii="Times New Roman" w:hAnsi="Times New Roman" w:cs="Times New Roman"/>
          <w:b/>
          <w:bCs/>
          <w:color w:val="000000" w:themeColor="text1"/>
          <w:sz w:val="24"/>
          <w:szCs w:val="24"/>
        </w:rPr>
        <w:t xml:space="preserve">Time calibration. </w:t>
      </w:r>
      <w:r w:rsidRPr="00216F3E">
        <w:rPr>
          <w:rFonts w:ascii="Times New Roman" w:hAnsi="Times New Roman" w:cs="Times New Roman"/>
          <w:color w:val="000000" w:themeColor="text1"/>
          <w:sz w:val="24"/>
          <w:szCs w:val="24"/>
        </w:rPr>
        <w:t>We time-calibrated the species tree</w:t>
      </w:r>
      <w:r w:rsidRPr="00216F3E">
        <w:rPr>
          <w:rFonts w:ascii="Times New Roman" w:eastAsia="Times New Roman" w:hAnsi="Times New Roman" w:cs="Times New Roman"/>
          <w:color w:val="000000" w:themeColor="text1"/>
          <w:sz w:val="24"/>
          <w:szCs w:val="24"/>
        </w:rPr>
        <w:t xml:space="preserve"> using the multi-species coalescent (MSC) model with the SNAPP plug-in implemented in BEAST2 v2.6.7 </w:t>
      </w:r>
      <w:r w:rsidRPr="00216F3E">
        <w:rPr>
          <w:rFonts w:ascii="Times New Roman" w:eastAsia="Times New Roman" w:hAnsi="Times New Roman" w:cs="Times New Roman"/>
          <w:color w:val="000000" w:themeColor="text1"/>
          <w:sz w:val="24"/>
          <w:szCs w:val="24"/>
        </w:rPr>
        <w:fldChar w:fldCharType="begin" w:fldLock="1"/>
      </w:r>
      <w:r w:rsidRPr="00216F3E">
        <w:rPr>
          <w:rFonts w:ascii="Times New Roman" w:eastAsia="Times New Roman" w:hAnsi="Times New Roman" w:cs="Times New Roman"/>
          <w:color w:val="000000" w:themeColor="text1"/>
          <w:sz w:val="24"/>
          <w:szCs w:val="24"/>
        </w:rPr>
        <w:instrText>ADDIN CSL_CITATION {"citationItems":[{"id":"ITEM-1","itemData":{"DOI":"10.1371/journal.pcbi.1003537","ISBN":"1553-734X","ISSN":"15537358","PMID":"24722319","abstract":"We present a new open source, extensible and flexible software platform for Bayesian evolutionary analysis called BEAST 2. This software platform is a re-design of the popular BEAST 1 platform to correct structural deficiencies that became evident as the BEAST 1 software evolved. Key among those deficiencies was the lack of post-deployment extensibility. BEAST 2 now has a fully developed package management system that allows third party developers to write additional functionality that can be directly installed to the BEAST 2 analysis platform via a package manager without requiring a new software release of the platform. This package architecture is showcased with a number of recently published new models encompassing birth-death-sampling tree priors, phylodynamics and model averaging for substitution models and site partitioning. A second major improvement is the ability to read/write the entire state of the MCMC chain to/from disk allowing it to be easily shared between multiple instances of the BEAST software. This facilitates checkpointing and better support for multi-processor and high-end computing extensions. Finally, the functionality in new packages can be easily added to the user interface (BEAUti 2) by a simple XML template-based mechanism because BEAST 2 has been re-designed to provide greater integration between the analysis engine and the user interface so that, for example BEAST and BEAUti use exactly the same XML file format.","author":[{"dropping-particle":"","family":"Bouckaert","given":"Remco","non-dropping-particle":"","parse-names":false,"suffix":""},{"dropping-particle":"","family":"Heled","given":"Joseph","non-dropping-particle":"","parse-names":false,"suffix":""},{"dropping-particle":"","family":"Kühnert","given":"Denise","non-dropping-particle":"","parse-names":false,"suffix":""},{"dropping-particle":"","family":"Vaughan","given":"Tim","non-dropping-particle":"","parse-names":false,"suffix":""},{"dropping-particle":"","family":"Wu","given":"Chieh Hsi","non-dropping-particle":"","parse-names":false,"suffix":""},{"dropping-particle":"","family":"Xie","given":"Dong","non-dropping-particle":"","parse-names":false,"suffix":""},{"dropping-particle":"","family":"Suchard","given":"Marc A.","non-dropping-particle":"","parse-names":false,"suffix":""},{"dropping-particle":"","family":"Rambaut","given":"Andrew","non-dropping-particle":"","parse-names":false,"suffix":""},{"dropping-particle":"","family":"Drummond","given":"Alexei J.","non-dropping-particle":"","parse-names":false,"suffix":""}],"container-title":"PLoS Computational Biology","id":"ITEM-1","issue":"4","issued":{"date-parts":[["2014"]]},"page":"1-6","title":"BEAST 2: A Software Platform for Bayesian Evolutionary Analysis","type":"article-journal","volume":"10"},"uris":["http://www.mendeley.com/documents/?uuid=6680191a-23fe-482f-9104-ee8a93d2b984"]}],"mendeley":{"formattedCitation":"(34)","plainTextFormattedCitation":"(34)","previouslyFormattedCitation":"(34)"},"properties":{"noteIndex":0},"schema":"https://github.com/citation-style-language/schema/raw/master/csl-citation.json"}</w:instrText>
      </w:r>
      <w:r w:rsidRPr="00216F3E">
        <w:rPr>
          <w:rFonts w:ascii="Times New Roman" w:eastAsia="Times New Roman" w:hAnsi="Times New Roman" w:cs="Times New Roman"/>
          <w:color w:val="000000" w:themeColor="text1"/>
          <w:sz w:val="24"/>
          <w:szCs w:val="24"/>
        </w:rPr>
        <w:fldChar w:fldCharType="separate"/>
      </w:r>
      <w:r w:rsidRPr="00216F3E">
        <w:rPr>
          <w:rFonts w:ascii="Times New Roman" w:eastAsia="Times New Roman" w:hAnsi="Times New Roman" w:cs="Times New Roman"/>
          <w:noProof/>
          <w:color w:val="000000" w:themeColor="text1"/>
          <w:sz w:val="24"/>
          <w:szCs w:val="24"/>
        </w:rPr>
        <w:t>(34)</w:t>
      </w:r>
      <w:r w:rsidRPr="00216F3E">
        <w:rPr>
          <w:rFonts w:ascii="Times New Roman" w:eastAsia="Times New Roman" w:hAnsi="Times New Roman" w:cs="Times New Roman"/>
          <w:color w:val="000000" w:themeColor="text1"/>
          <w:sz w:val="24"/>
          <w:szCs w:val="24"/>
        </w:rPr>
        <w:fldChar w:fldCharType="end"/>
      </w:r>
      <w:r w:rsidRPr="00216F3E">
        <w:rPr>
          <w:rFonts w:ascii="Times New Roman" w:eastAsia="Times New Roman" w:hAnsi="Times New Roman" w:cs="Times New Roman"/>
          <w:color w:val="000000" w:themeColor="text1"/>
          <w:sz w:val="24"/>
          <w:szCs w:val="24"/>
        </w:rPr>
        <w:t xml:space="preserve">. We prepared the input files in XML format generating settings that model the MSC using the script </w:t>
      </w:r>
      <w:r w:rsidRPr="00216F3E">
        <w:rPr>
          <w:rFonts w:ascii="Times New Roman" w:eastAsia="Times New Roman" w:hAnsi="Times New Roman" w:cs="Times New Roman"/>
          <w:i/>
          <w:iCs/>
          <w:color w:val="000000" w:themeColor="text1"/>
          <w:sz w:val="24"/>
          <w:szCs w:val="24"/>
        </w:rPr>
        <w:t>snapp_prep.rb</w:t>
      </w:r>
      <w:r w:rsidRPr="00216F3E">
        <w:rPr>
          <w:rFonts w:ascii="Times New Roman" w:eastAsia="Times New Roman" w:hAnsi="Times New Roman" w:cs="Times New Roman"/>
          <w:color w:val="000000" w:themeColor="text1"/>
          <w:sz w:val="24"/>
          <w:szCs w:val="24"/>
        </w:rPr>
        <w:t xml:space="preserve"> </w:t>
      </w:r>
      <w:r w:rsidRPr="00216F3E">
        <w:rPr>
          <w:rFonts w:ascii="Times New Roman" w:eastAsia="Times New Roman" w:hAnsi="Times New Roman" w:cs="Times New Roman"/>
          <w:color w:val="000000" w:themeColor="text1"/>
          <w:sz w:val="24"/>
          <w:szCs w:val="24"/>
        </w:rPr>
        <w:fldChar w:fldCharType="begin" w:fldLock="1"/>
      </w:r>
      <w:r w:rsidRPr="00216F3E">
        <w:rPr>
          <w:rFonts w:ascii="Times New Roman" w:eastAsia="Times New Roman" w:hAnsi="Times New Roman" w:cs="Times New Roman"/>
          <w:color w:val="000000" w:themeColor="text1"/>
          <w:sz w:val="24"/>
          <w:szCs w:val="24"/>
        </w:rPr>
        <w:instrText>ADDIN CSL_CITATION {"citationItems":[{"id":"ITEM-1","itemData":{"DOI":"10.1093/sysbio/syy006","ISSN":"1076836X","PMID":"29385552","abstract":"The closure of the Isthmus of Panama has long been considered to be one of the best defined biogeographic calibration points for molecular divergence-time estimation. However, geological and biological evidence has recently cast doubt on the presumed timing of the initial isthmusclosure around 3Ma but has instead suggested the existence of temporary land bridges as early as the Middle or Late Miocene. The biological evidence supporting these earlier land bridges was based either on only few molecular markers or on concatenation of genome-wide sequence data, an approach that is known to result in potentially misleading branch lengths and divergence times, which could compromise the reliability of this evidence. To allow divergence-time estimation with genomic data using the more appropriate multispecies coalescent (MSC) model, we here develop a new method combining the single-nucleotide polymorphism-based Bayesian species-tree inference of the software SNAPP with a molecular clock model that can be calibrated with fossil or biogeographic constraints. We validate our approach with simulations and use our method to reanalyze genomic data of Neotropical army ants (Dorylinae) that previously supported divergence times of Central and South American populations before the isthmus closure around 3 Ma. Our reanalysis with the MSC model shifts all of these divergence times to ages younger than 3 Ma, suggesting that the older estimates supporting the earlier existence of temporary land bridges were artifacts resulting at least partially from the use of concatenation. We then apply our method to a new restriction-site associated DNA-sequencing data set of Neotropical sea catfishes (Ariidae) and calibrate their species tree with extensive information from the fossil record. We identify a series of divergences between groups of Caribbean and Pacific sea catfishes around 10 Ma, indicating that processes related to the emergence of the isthmus led to vicariant speciation already in the Late Miocene, millions of years before the final isthmus closure.","author":[{"dropping-particle":"","family":"Stange","given":"Madlen","non-dropping-particle":"","parse-names":false,"suffix":""},{"dropping-particle":"","family":"Sánchez-Villagra","given":"Marcelo R.","non-dropping-particle":"","parse-names":false,"suffix":""},{"dropping-particle":"","family":"Salzburger","given":"Walter","non-dropping-particle":"","parse-names":false,"suffix":""},{"dropping-particle":"","family":"Matschiner","given":"Michael","non-dropping-particle":"","parse-names":false,"suffix":""}],"container-title":"Systematic Biology","id":"ITEM-1","issue":"4","issued":{"date-parts":[["2018"]]},"page":"681-699","title":"Bayesian divergence-time estimation with genome-wide single-nucleotide polymorphism data of sea catfishes (Ariidae) supports miocene closure of the Panamanian Isthmus","type":"article-journal","volume":"67"},"uris":["http://www.mendeley.com/documents/?uuid=3a8ac3ee-68d1-4a53-b9ee-438b2a378101"]}],"mendeley":{"formattedCitation":"(109)","plainTextFormattedCitation":"(109)","previouslyFormattedCitation":"(108)"},"properties":{"noteIndex":0},"schema":"https://github.com/citation-style-language/schema/raw/master/csl-citation.json"}</w:instrText>
      </w:r>
      <w:r w:rsidRPr="00216F3E">
        <w:rPr>
          <w:rFonts w:ascii="Times New Roman" w:eastAsia="Times New Roman" w:hAnsi="Times New Roman" w:cs="Times New Roman"/>
          <w:color w:val="000000" w:themeColor="text1"/>
          <w:sz w:val="24"/>
          <w:szCs w:val="24"/>
        </w:rPr>
        <w:fldChar w:fldCharType="separate"/>
      </w:r>
      <w:r w:rsidRPr="00216F3E">
        <w:rPr>
          <w:rFonts w:ascii="Times New Roman" w:eastAsia="Times New Roman" w:hAnsi="Times New Roman" w:cs="Times New Roman"/>
          <w:noProof/>
          <w:color w:val="000000" w:themeColor="text1"/>
          <w:sz w:val="24"/>
          <w:szCs w:val="24"/>
        </w:rPr>
        <w:t>(109)</w:t>
      </w:r>
      <w:r w:rsidRPr="00216F3E">
        <w:rPr>
          <w:rFonts w:ascii="Times New Roman" w:eastAsia="Times New Roman" w:hAnsi="Times New Roman" w:cs="Times New Roman"/>
          <w:color w:val="000000" w:themeColor="text1"/>
          <w:sz w:val="24"/>
          <w:szCs w:val="24"/>
        </w:rPr>
        <w:fldChar w:fldCharType="end"/>
      </w:r>
      <w:r w:rsidRPr="00216F3E">
        <w:rPr>
          <w:rFonts w:ascii="Times New Roman" w:eastAsia="Times New Roman" w:hAnsi="Times New Roman" w:cs="Times New Roman"/>
          <w:color w:val="000000" w:themeColor="text1"/>
          <w:sz w:val="24"/>
          <w:szCs w:val="24"/>
        </w:rPr>
        <w:t xml:space="preserve">. To reduce time and computational burden, we enforced the monophyly of the phylogenetic groups recovered in our </w:t>
      </w:r>
      <w:r w:rsidRPr="00216F3E">
        <w:rPr>
          <w:rFonts w:ascii="Times New Roman" w:hAnsi="Times New Roman" w:cs="Times New Roman"/>
          <w:color w:val="000000" w:themeColor="text1"/>
          <w:sz w:val="24"/>
          <w:szCs w:val="24"/>
        </w:rPr>
        <w:t>SVDquartets</w:t>
      </w:r>
      <w:r w:rsidRPr="00216F3E">
        <w:rPr>
          <w:rFonts w:ascii="Times New Roman" w:eastAsia="Times New Roman" w:hAnsi="Times New Roman" w:cs="Times New Roman"/>
          <w:color w:val="000000" w:themeColor="text1"/>
          <w:sz w:val="24"/>
          <w:szCs w:val="24"/>
        </w:rPr>
        <w:t xml:space="preserve"> species tree. As this method does not allow for missing data per species, and </w:t>
      </w:r>
      <w:r w:rsidRPr="00216F3E">
        <w:rPr>
          <w:rFonts w:ascii="Times New Roman" w:hAnsi="Times New Roman" w:cs="Times New Roman"/>
          <w:color w:val="000000" w:themeColor="text1"/>
          <w:sz w:val="24"/>
          <w:szCs w:val="24"/>
        </w:rPr>
        <w:t xml:space="preserve">given the high amount of missing data in our macro-evolutionary dataset, we used the consensus sequences of each species from our matrix, which included 41 individuals across all 23 </w:t>
      </w:r>
      <w:r w:rsidRPr="00216F3E">
        <w:rPr>
          <w:rFonts w:ascii="Times New Roman" w:hAnsi="Times New Roman" w:cs="Times New Roman"/>
          <w:i/>
          <w:iCs/>
          <w:color w:val="000000" w:themeColor="text1"/>
          <w:sz w:val="24"/>
          <w:szCs w:val="24"/>
        </w:rPr>
        <w:t>Malacoctenus</w:t>
      </w:r>
      <w:r w:rsidRPr="00216F3E">
        <w:rPr>
          <w:rFonts w:ascii="Times New Roman" w:hAnsi="Times New Roman" w:cs="Times New Roman"/>
          <w:color w:val="000000" w:themeColor="text1"/>
          <w:sz w:val="24"/>
          <w:szCs w:val="24"/>
        </w:rPr>
        <w:t xml:space="preserve"> species and one </w:t>
      </w:r>
      <w:r w:rsidR="00A25303">
        <w:rPr>
          <w:rFonts w:ascii="Times New Roman" w:hAnsi="Times New Roman" w:cs="Times New Roman"/>
          <w:i/>
          <w:iCs/>
          <w:color w:val="000000" w:themeColor="text1"/>
          <w:sz w:val="24"/>
          <w:szCs w:val="24"/>
        </w:rPr>
        <w:t>B</w:t>
      </w:r>
      <w:r w:rsidRPr="00216F3E">
        <w:rPr>
          <w:rFonts w:ascii="Times New Roman" w:hAnsi="Times New Roman" w:cs="Times New Roman"/>
          <w:i/>
          <w:iCs/>
          <w:color w:val="000000" w:themeColor="text1"/>
          <w:sz w:val="24"/>
          <w:szCs w:val="24"/>
        </w:rPr>
        <w:t>. striatus</w:t>
      </w:r>
      <w:r w:rsidRPr="00216F3E">
        <w:rPr>
          <w:rFonts w:ascii="Times New Roman" w:hAnsi="Times New Roman" w:cs="Times New Roman"/>
          <w:color w:val="000000" w:themeColor="text1"/>
          <w:sz w:val="24"/>
          <w:szCs w:val="24"/>
        </w:rPr>
        <w:t xml:space="preserve">, and was generated using the </w:t>
      </w:r>
      <w:r w:rsidRPr="00216F3E">
        <w:rPr>
          <w:rFonts w:ascii="Times New Roman" w:hAnsi="Times New Roman" w:cs="Times New Roman"/>
          <w:i/>
          <w:iCs/>
          <w:color w:val="000000" w:themeColor="text1"/>
          <w:sz w:val="24"/>
          <w:szCs w:val="24"/>
        </w:rPr>
        <w:t>populations</w:t>
      </w:r>
      <w:r w:rsidRPr="00216F3E">
        <w:rPr>
          <w:rFonts w:ascii="Times New Roman" w:hAnsi="Times New Roman" w:cs="Times New Roman"/>
          <w:color w:val="000000" w:themeColor="text1"/>
          <w:sz w:val="24"/>
          <w:szCs w:val="24"/>
        </w:rPr>
        <w:t xml:space="preserve"> wrap from Stacks. We used the custom script </w:t>
      </w:r>
      <w:r w:rsidRPr="00216F3E">
        <w:rPr>
          <w:rFonts w:ascii="Times New Roman" w:hAnsi="Times New Roman" w:cs="Times New Roman"/>
          <w:i/>
          <w:iCs/>
          <w:color w:val="000000" w:themeColor="text1"/>
          <w:sz w:val="24"/>
          <w:szCs w:val="24"/>
        </w:rPr>
        <w:t>select_no_miss_snps.py</w:t>
      </w:r>
      <w:r w:rsidRPr="00216F3E">
        <w:rPr>
          <w:rFonts w:ascii="Times New Roman" w:hAnsi="Times New Roman" w:cs="Times New Roman"/>
          <w:color w:val="000000" w:themeColor="text1"/>
          <w:sz w:val="24"/>
          <w:szCs w:val="24"/>
        </w:rPr>
        <w:t xml:space="preserve"> to select the first SNP of each locus that did not have missing data, resulting in a dataset composed by 279 bi-allelic SNP loci. </w:t>
      </w:r>
    </w:p>
    <w:p w14:paraId="1EB2BCCF" w14:textId="79882214" w:rsidR="00931688" w:rsidRPr="00216F3E" w:rsidRDefault="00931688" w:rsidP="00931688">
      <w:pPr>
        <w:jc w:val="both"/>
        <w:rPr>
          <w:rFonts w:ascii="Times New Roman" w:hAnsi="Times New Roman" w:cs="Times New Roman"/>
          <w:b/>
          <w:bCs/>
          <w:color w:val="0432FF"/>
          <w:sz w:val="24"/>
          <w:szCs w:val="24"/>
        </w:rPr>
      </w:pPr>
      <w:r w:rsidRPr="00216F3E">
        <w:rPr>
          <w:rFonts w:ascii="Times New Roman" w:eastAsia="Times New Roman" w:hAnsi="Times New Roman" w:cs="Times New Roman"/>
          <w:color w:val="000000" w:themeColor="text1"/>
          <w:sz w:val="24"/>
          <w:szCs w:val="24"/>
        </w:rPr>
        <w:tab/>
        <w:t xml:space="preserve">To time-calibrate our species tree, we implemented a secondary calibration prior at the root (crown Labrisomini), using the minimum and maximum ages estimated by previous fossil-calibrated teleost phylogenies for the most recent common ancestor (MRCA) of </w:t>
      </w:r>
      <w:r w:rsidRPr="00216F3E">
        <w:rPr>
          <w:rFonts w:ascii="Times New Roman" w:eastAsia="Times New Roman" w:hAnsi="Times New Roman" w:cs="Times New Roman"/>
          <w:i/>
          <w:iCs/>
          <w:color w:val="000000" w:themeColor="text1"/>
          <w:sz w:val="24"/>
          <w:szCs w:val="24"/>
        </w:rPr>
        <w:t>Malacoctenus</w:t>
      </w:r>
      <w:r w:rsidRPr="00216F3E">
        <w:rPr>
          <w:rFonts w:ascii="Times New Roman" w:eastAsia="Times New Roman" w:hAnsi="Times New Roman" w:cs="Times New Roman"/>
          <w:color w:val="000000" w:themeColor="text1"/>
          <w:sz w:val="24"/>
          <w:szCs w:val="24"/>
        </w:rPr>
        <w:t xml:space="preserve"> species and </w:t>
      </w:r>
      <w:r w:rsidR="00A032F1">
        <w:rPr>
          <w:rFonts w:ascii="Times New Roman" w:eastAsia="Times New Roman" w:hAnsi="Times New Roman" w:cs="Times New Roman"/>
          <w:i/>
          <w:iCs/>
          <w:color w:val="000000" w:themeColor="text1"/>
          <w:sz w:val="24"/>
          <w:szCs w:val="24"/>
        </w:rPr>
        <w:t>Brockius</w:t>
      </w:r>
      <w:r w:rsidRPr="00216F3E">
        <w:rPr>
          <w:rFonts w:ascii="Times New Roman" w:eastAsia="Times New Roman" w:hAnsi="Times New Roman" w:cs="Times New Roman"/>
          <w:i/>
          <w:iCs/>
          <w:color w:val="000000" w:themeColor="text1"/>
          <w:sz w:val="24"/>
          <w:szCs w:val="24"/>
        </w:rPr>
        <w:t xml:space="preserve"> striatus</w:t>
      </w:r>
      <w:r w:rsidRPr="00216F3E">
        <w:rPr>
          <w:rFonts w:ascii="Times New Roman" w:eastAsia="Times New Roman" w:hAnsi="Times New Roman" w:cs="Times New Roman"/>
          <w:color w:val="000000" w:themeColor="text1"/>
          <w:sz w:val="24"/>
          <w:szCs w:val="24"/>
        </w:rPr>
        <w:t xml:space="preserve"> (Table S7). We specified this age constraint as an uniform-distributed calibration, with the upper and lower bounds set to 35 and 32 Ma, respectively. We did not include the age estimate for the closure of the Panama Isthmus (3.1</w:t>
      </w:r>
      <w:r w:rsidRPr="00216F3E">
        <w:rPr>
          <w:rFonts w:ascii="Times New Roman" w:hAnsi="Times New Roman" w:cs="Times New Roman"/>
          <w:color w:val="000000" w:themeColor="text1"/>
          <w:sz w:val="24"/>
          <w:szCs w:val="24"/>
        </w:rPr>
        <w:t xml:space="preserve">–2.8 Ma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{"citationItems":[{"id":"ITEM-1","itemData":{"DOI":"10.1130/b35595.1","ISSN":"0016-7606","abstract":"A major topic of debate in earth science and climate science surrounds the timing of closure of the Central American Seaway. While it is clear that the gateway was closed by ca. 2.8 Ma, recent studies based on geological and marine molecular evidence have suggested an earlier closing time of early to mid-Miocene. In this study, we examined the influences of subduction and slab window formation on the time-varying paleoenvironments of the Isthmus of Panama region. We developed detailed reconstructions of the seafloor spreading history in the Panama Basin and incorporated previously published arc block rotations into a revised global plate model. Our reconstructions indicate that the Central American Seaway region has undergone multiple phases of slab window formation and migration, slab detachment, and flat slab subduction since the Oligocene, while kinematically mapped slab windows agree well with slab gaps imaged in seismic tomography. In particular, we found that from the early Miocene, when there is clear evidence for Isthmus of Panama emergence, the region was underlain by a slab window. During the late Miocene, when there is evidence for intermittent arc deepening, and decreased transcontinental migration, we found an increase in subducted slab volumes beneath the Panama arc. Numerical and analogue models and field observations argue that slab windows can induce &amp;gt;1 km of vertical uplift on the overriding plate. We therefore propose that this previously unexplored geodynamic mechanism can explain the variations in Isthmus of Panama emergence, and intermittent shallow-water connections, reconciling alternative lines of evidence for Central American Seaway closure.","author":[{"dropping-particle":"","family":"McGirr","given":"Rebecca","non-dropping-particle":"","parse-names":false,"suffix":""},{"dropping-particle":"","family":"Seton","given":"Maria","non-dropping-particle":"","parse-names":false,"suffix":""},{"dropping-particle":"","family":"Williams","given":"Simon","non-dropping-particle":"","parse-names":false,"suffix":""}],"container-title":"GSA Bulletin","id":"ITEM-1","issued":{"date-parts":[["2020"]]},"page":"1-18","title":"Kinematic and geodynamic evolution of the Isthmus of Panamaregion: Implications for Central American Seaway closure","type":"article-journal"},"uris":["http://www.mendeley.com/documents/?uuid=e5648889-1a61-41de-94f3-14d9358791ea"]}],"mendeley":{"formattedCitation":"(110)","plainTextFormattedCitation":"(110)","previouslyFormattedCitation":"(109)"},"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(110)</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w:t>
      </w:r>
      <w:r w:rsidRPr="00216F3E">
        <w:rPr>
          <w:rFonts w:ascii="Times New Roman" w:eastAsia="Times New Roman" w:hAnsi="Times New Roman" w:cs="Times New Roman"/>
          <w:color w:val="000000" w:themeColor="text1"/>
          <w:sz w:val="24"/>
          <w:szCs w:val="24"/>
        </w:rPr>
        <w:t xml:space="preserve">as biogeographic node-age constraint on the transisthmian clade or the geminate species pair to avoid circular inference, since our goal was to infer the timeline for the evolution of </w:t>
      </w:r>
      <w:r w:rsidRPr="00216F3E">
        <w:rPr>
          <w:rFonts w:ascii="Times New Roman" w:eastAsia="Times New Roman" w:hAnsi="Times New Roman" w:cs="Times New Roman"/>
          <w:i/>
          <w:iCs/>
          <w:color w:val="000000" w:themeColor="text1"/>
          <w:sz w:val="24"/>
          <w:szCs w:val="24"/>
        </w:rPr>
        <w:t>Malacoctenus</w:t>
      </w:r>
      <w:r w:rsidRPr="00216F3E">
        <w:rPr>
          <w:rFonts w:ascii="Times New Roman" w:eastAsia="Times New Roman" w:hAnsi="Times New Roman" w:cs="Times New Roman"/>
          <w:color w:val="000000" w:themeColor="text1"/>
          <w:sz w:val="24"/>
          <w:szCs w:val="24"/>
        </w:rPr>
        <w:t xml:space="preserve">, evaluating if the final closure of the Isthmus triggered synchronous divergent events. Also, we did not incorporate any fossil calibration points in our analyses, as there are is fossil record for </w:t>
      </w:r>
      <w:r w:rsidRPr="00216F3E">
        <w:rPr>
          <w:rFonts w:ascii="Times New Roman" w:eastAsia="Times New Roman" w:hAnsi="Times New Roman" w:cs="Times New Roman"/>
          <w:i/>
          <w:iCs/>
          <w:color w:val="000000" w:themeColor="text1"/>
          <w:sz w:val="24"/>
          <w:szCs w:val="24"/>
        </w:rPr>
        <w:t>Malacoctenus</w:t>
      </w:r>
      <w:r w:rsidRPr="00216F3E">
        <w:rPr>
          <w:rFonts w:ascii="Times New Roman" w:eastAsia="Times New Roman" w:hAnsi="Times New Roman" w:cs="Times New Roman"/>
          <w:color w:val="000000" w:themeColor="text1"/>
          <w:sz w:val="24"/>
          <w:szCs w:val="24"/>
        </w:rPr>
        <w:t xml:space="preserve">. Also, the only fossil of </w:t>
      </w:r>
      <w:r w:rsidR="00A032F1">
        <w:rPr>
          <w:rFonts w:ascii="Times New Roman" w:eastAsia="Times New Roman" w:hAnsi="Times New Roman" w:cs="Times New Roman"/>
          <w:color w:val="000000" w:themeColor="text1"/>
          <w:sz w:val="24"/>
          <w:szCs w:val="24"/>
        </w:rPr>
        <w:t>Labrisomini</w:t>
      </w:r>
      <w:r w:rsidRPr="00216F3E">
        <w:rPr>
          <w:rFonts w:ascii="Times New Roman" w:eastAsia="Times New Roman" w:hAnsi="Times New Roman" w:cs="Times New Roman"/>
          <w:color w:val="000000" w:themeColor="text1"/>
          <w:sz w:val="24"/>
          <w:szCs w:val="24"/>
        </w:rPr>
        <w:t xml:space="preserve">, </w:t>
      </w:r>
      <w:r w:rsidRPr="00216F3E">
        <w:rPr>
          <w:rFonts w:ascii="Times New Roman" w:hAnsi="Times New Roman" w:cs="Times New Roman"/>
          <w:color w:val="000000" w:themeColor="text1"/>
          <w:sz w:val="24"/>
          <w:szCs w:val="24"/>
        </w:rPr>
        <w:t>†</w:t>
      </w:r>
      <w:r w:rsidRPr="00216F3E">
        <w:rPr>
          <w:rFonts w:ascii="Times New Roman" w:eastAsia="Times New Roman" w:hAnsi="Times New Roman" w:cs="Times New Roman"/>
          <w:i/>
          <w:iCs/>
          <w:color w:val="000000" w:themeColor="text1"/>
          <w:sz w:val="24"/>
          <w:szCs w:val="24"/>
        </w:rPr>
        <w:t>Labrisomus pronuchipinnis</w:t>
      </w:r>
      <w:r w:rsidRPr="00216F3E">
        <w:rPr>
          <w:rFonts w:ascii="Times New Roman" w:eastAsia="Times New Roman" w:hAnsi="Times New Roman" w:cs="Times New Roman"/>
          <w:color w:val="000000" w:themeColor="text1"/>
          <w:sz w:val="24"/>
          <w:szCs w:val="24"/>
        </w:rPr>
        <w:t xml:space="preserve">, from the Messian deposits of the Oran region </w:t>
      </w:r>
      <w:r w:rsidRPr="00216F3E">
        <w:rPr>
          <w:rFonts w:ascii="Times New Roman" w:eastAsia="Times New Roman" w:hAnsi="Times New Roman" w:cs="Times New Roman"/>
          <w:color w:val="000000" w:themeColor="text1"/>
          <w:sz w:val="24"/>
          <w:szCs w:val="24"/>
        </w:rPr>
        <w:fldChar w:fldCharType="begin" w:fldLock="1"/>
      </w:r>
      <w:r w:rsidRPr="00216F3E">
        <w:rPr>
          <w:rFonts w:ascii="Times New Roman" w:eastAsia="Times New Roman" w:hAnsi="Times New Roman" w:cs="Times New Roman"/>
          <w:color w:val="000000" w:themeColor="text1"/>
          <w:sz w:val="24"/>
          <w:szCs w:val="24"/>
        </w:rPr>
        <w:instrText>ADDIN CSL_CITATION {"citationItems":[{"id":"ITEM-1","itemData":{"DOI":"10.1017/S0016756804009598","ISSN":"00167568","abstract":"The first fossil ribbonfish, Trachipterus mauritanicus sp. nov., based on a single specimen, is described from Sidi-Brahim, an Upper Miocene (Messinian) locality situated in the central sector of the Chelif Basin, northwestern Algeria. Trachipterus mauritanicus sp. nov. is characterized by a flattened neurocranium and an advanced insertion of the dorsal fin. Based on skeletal morphology, T. mauritanicus sp. nov. appears to be related to T. arawatae and T. trachypterus. Trachipterus mauritanicus sp. nov. represents the eighth taxon described up to now from Sidi-Brahim. The occurrence of the first fossil member of the family Trachipteridae from the Upper Miocene sediments of northwestern Algeria emphasizes the crucial importance of the Messinian ichthyofaunas from Algeria to our knowledge of the fossil record of the Teleostei. © 2004 Cambridge University Press.","author":[{"dropping-particle":"","family":"Carnevale","given":"Giorgio","non-dropping-particle":"","parse-names":false,"suffix":""}],"container-title":"Geological Magazine","id":"ITEM-1","issue":"5","issued":{"date-parts":[["2004"]]},"page":"573-582","title":"The first fossil ribbonfish (Teleostei, Lampridiformes, Trachipteridae)","type":"article-journal","volume":"141"},"uris":["http://www.mendeley.com/documents/?uuid=99d7ff93-3887-4bb4-8d0c-915f3bff4e3d"]}],"mendeley":{"formattedCitation":"(111)","plainTextFormattedCitation":"(111)","previouslyFormattedCitation":"(110)"},"properties":{"noteIndex":0},"schema":"https://github.com/citation-style-language/schema/raw/master/csl-citation.json"}</w:instrText>
      </w:r>
      <w:r w:rsidRPr="00216F3E">
        <w:rPr>
          <w:rFonts w:ascii="Times New Roman" w:eastAsia="Times New Roman" w:hAnsi="Times New Roman" w:cs="Times New Roman"/>
          <w:color w:val="000000" w:themeColor="text1"/>
          <w:sz w:val="24"/>
          <w:szCs w:val="24"/>
        </w:rPr>
        <w:fldChar w:fldCharType="separate"/>
      </w:r>
      <w:r w:rsidRPr="00216F3E">
        <w:rPr>
          <w:rFonts w:ascii="Times New Roman" w:eastAsia="Times New Roman" w:hAnsi="Times New Roman" w:cs="Times New Roman"/>
          <w:noProof/>
          <w:color w:val="000000" w:themeColor="text1"/>
          <w:sz w:val="24"/>
          <w:szCs w:val="24"/>
        </w:rPr>
        <w:t>(111)</w:t>
      </w:r>
      <w:r w:rsidRPr="00216F3E">
        <w:rPr>
          <w:rFonts w:ascii="Times New Roman" w:eastAsia="Times New Roman" w:hAnsi="Times New Roman" w:cs="Times New Roman"/>
          <w:color w:val="000000" w:themeColor="text1"/>
          <w:sz w:val="24"/>
          <w:szCs w:val="24"/>
        </w:rPr>
        <w:fldChar w:fldCharType="end"/>
      </w:r>
      <w:r w:rsidRPr="00216F3E">
        <w:rPr>
          <w:rFonts w:ascii="Times New Roman" w:eastAsia="Times New Roman" w:hAnsi="Times New Roman" w:cs="Times New Roman"/>
          <w:color w:val="000000" w:themeColor="text1"/>
          <w:sz w:val="24"/>
          <w:szCs w:val="24"/>
        </w:rPr>
        <w:t xml:space="preserve">, is relatively young and thus uninformative, and its phylogenetic placement is unclear. We conducted two replicate analyses, each consisting of 5,000,000 MCMC iterations. We assessed chain convergence and stationarity using Tracer v1.5 </w:t>
      </w:r>
      <w:r w:rsidRPr="00216F3E">
        <w:rPr>
          <w:rFonts w:ascii="Times New Roman" w:eastAsia="Times New Roman" w:hAnsi="Times New Roman" w:cs="Times New Roman"/>
          <w:color w:val="000000" w:themeColor="text1"/>
          <w:sz w:val="24"/>
          <w:szCs w:val="24"/>
        </w:rPr>
        <w:fldChar w:fldCharType="begin" w:fldLock="1"/>
      </w:r>
      <w:r w:rsidRPr="00216F3E">
        <w:rPr>
          <w:rFonts w:ascii="Times New Roman" w:eastAsia="Times New Roman" w:hAnsi="Times New Roman" w:cs="Times New Roman"/>
          <w:color w:val="000000" w:themeColor="text1"/>
          <w:sz w:val="24"/>
          <w:szCs w:val="24"/>
        </w:rPr>
        <w:instrText>ADDIN CSL_CITATION {"citationItems":[{"id":"ITEM-1","itemData":{"URL":"http://beast.bio.ed.ac.uk/Tracer","author":[{"dropping-particle":"","family":"Rambaut","given":"A.","non-dropping-particle":"","parse-names":false,"suffix":""},{"dropping-particle":"","family":"Suchard","given":"M A","non-dropping-particle":"","parse-names":false,"suffix":""},{"dropping-particle":"","family":"Xie","given":"D","non-dropping-particle":"","parse-names":false,"suffix":""},{"dropping-particle":"","family":"Drummond","given":"A J","non-dropping-particle":"","parse-names":false,"suffix":""}],"id":"ITEM-1","issued":{"date-parts":[["2014"]]},"title":"Tracer v1.6.","type":"webpage"},"uris":["http://www.mendeley.com/documents/?uuid=6f34873e-3cfc-495e-95fa-db3e255368c7"]}],"mendeley":{"formattedCitation":"(112)","plainTextFormattedCitation":"(112)","previouslyFormattedCitation":"(111)"},"properties":{"noteIndex":0},"schema":"https://github.com/citation-style-language/schema/raw/master/csl-citation.json"}</w:instrText>
      </w:r>
      <w:r w:rsidRPr="00216F3E">
        <w:rPr>
          <w:rFonts w:ascii="Times New Roman" w:eastAsia="Times New Roman" w:hAnsi="Times New Roman" w:cs="Times New Roman"/>
          <w:color w:val="000000" w:themeColor="text1"/>
          <w:sz w:val="24"/>
          <w:szCs w:val="24"/>
        </w:rPr>
        <w:fldChar w:fldCharType="separate"/>
      </w:r>
      <w:r w:rsidRPr="00216F3E">
        <w:rPr>
          <w:rFonts w:ascii="Times New Roman" w:eastAsia="Times New Roman" w:hAnsi="Times New Roman" w:cs="Times New Roman"/>
          <w:noProof/>
          <w:color w:val="000000" w:themeColor="text1"/>
          <w:sz w:val="24"/>
          <w:szCs w:val="24"/>
        </w:rPr>
        <w:t>(112)</w:t>
      </w:r>
      <w:r w:rsidRPr="00216F3E">
        <w:rPr>
          <w:rFonts w:ascii="Times New Roman" w:eastAsia="Times New Roman" w:hAnsi="Times New Roman" w:cs="Times New Roman"/>
          <w:color w:val="000000" w:themeColor="text1"/>
          <w:sz w:val="24"/>
          <w:szCs w:val="24"/>
        </w:rPr>
        <w:fldChar w:fldCharType="end"/>
      </w:r>
      <w:r w:rsidRPr="00216F3E">
        <w:rPr>
          <w:rFonts w:ascii="Times New Roman" w:eastAsia="Times New Roman" w:hAnsi="Times New Roman" w:cs="Times New Roman"/>
          <w:color w:val="000000" w:themeColor="text1"/>
          <w:sz w:val="24"/>
          <w:szCs w:val="24"/>
        </w:rPr>
        <w:t>, checking that ESS values were above 200 for all parameters. After discarding the 10% of each chain as a burn-in, we combined the resulting MCMC chains and selected the maximum clade credibility tree using TreeAnnotator software from the BEAST2 package.</w:t>
      </w:r>
    </w:p>
    <w:p w14:paraId="4A021B74" w14:textId="77777777" w:rsidR="00931688" w:rsidRDefault="00931688" w:rsidP="00931688">
      <w:pPr>
        <w:autoSpaceDE w:val="0"/>
        <w:autoSpaceDN w:val="0"/>
        <w:adjustRightInd w:val="0"/>
        <w:jc w:val="both"/>
        <w:rPr>
          <w:rFonts w:ascii="Times New Roman" w:hAnsi="Times New Roman" w:cs="Times New Roman"/>
          <w:color w:val="000000" w:themeColor="text1"/>
        </w:rPr>
      </w:pPr>
    </w:p>
    <w:p w14:paraId="5C45B3CE" w14:textId="77777777" w:rsidR="00216F3E" w:rsidRDefault="00216F3E" w:rsidP="00931688">
      <w:pPr>
        <w:autoSpaceDE w:val="0"/>
        <w:autoSpaceDN w:val="0"/>
        <w:adjustRightInd w:val="0"/>
        <w:jc w:val="both"/>
        <w:rPr>
          <w:rFonts w:ascii="Times New Roman" w:hAnsi="Times New Roman" w:cs="Times New Roman"/>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931688" w:rsidRPr="004C2E65" w14:paraId="408EB078" w14:textId="77777777" w:rsidTr="00031031">
        <w:tc>
          <w:tcPr>
            <w:tcW w:w="9016" w:type="dxa"/>
            <w:gridSpan w:val="4"/>
            <w:tcBorders>
              <w:bottom w:val="single" w:sz="18" w:space="0" w:color="auto"/>
            </w:tcBorders>
          </w:tcPr>
          <w:p w14:paraId="4DE40B34" w14:textId="4085AE3A" w:rsidR="00931688" w:rsidRPr="004C2E65" w:rsidRDefault="00931688" w:rsidP="00031031">
            <w:pPr>
              <w:jc w:val="both"/>
              <w:rPr>
                <w:rFonts w:ascii="Times New Roman" w:eastAsia="Times New Roman" w:hAnsi="Times New Roman" w:cs="Times New Roman"/>
                <w:color w:val="000000" w:themeColor="text1"/>
                <w:sz w:val="20"/>
                <w:szCs w:val="20"/>
              </w:rPr>
            </w:pPr>
            <w:bookmarkStart w:id="20" w:name="TableS7"/>
            <w:r w:rsidRPr="004C2E65">
              <w:rPr>
                <w:rFonts w:ascii="Times New Roman" w:eastAsia="Times New Roman" w:hAnsi="Times New Roman" w:cs="Times New Roman"/>
                <w:b/>
                <w:bCs/>
                <w:color w:val="000000" w:themeColor="text1"/>
                <w:sz w:val="20"/>
                <w:szCs w:val="20"/>
              </w:rPr>
              <w:t>Table S</w:t>
            </w:r>
            <w:r>
              <w:rPr>
                <w:rFonts w:ascii="Times New Roman" w:eastAsia="Times New Roman" w:hAnsi="Times New Roman" w:cs="Times New Roman"/>
                <w:b/>
                <w:bCs/>
                <w:color w:val="000000" w:themeColor="text1"/>
                <w:sz w:val="20"/>
                <w:szCs w:val="20"/>
              </w:rPr>
              <w:t>7</w:t>
            </w:r>
            <w:bookmarkEnd w:id="20"/>
            <w:r w:rsidRPr="004C2E65">
              <w:rPr>
                <w:rFonts w:ascii="Times New Roman" w:eastAsia="Times New Roman" w:hAnsi="Times New Roman" w:cs="Times New Roman"/>
                <w:b/>
                <w:bCs/>
                <w:color w:val="000000" w:themeColor="text1"/>
                <w:sz w:val="20"/>
                <w:szCs w:val="20"/>
              </w:rPr>
              <w:t xml:space="preserve">. </w:t>
            </w:r>
            <w:r w:rsidRPr="004C2E65">
              <w:rPr>
                <w:rFonts w:ascii="Times New Roman" w:eastAsia="Times New Roman" w:hAnsi="Times New Roman" w:cs="Times New Roman"/>
                <w:color w:val="000000" w:themeColor="text1"/>
                <w:sz w:val="20"/>
                <w:szCs w:val="20"/>
              </w:rPr>
              <w:t xml:space="preserve">Ages estimated by previous fossil-calibrated teleost phylogenies for the most recent common ancestor (MRCA) of </w:t>
            </w:r>
            <w:r w:rsidRPr="004C2E65">
              <w:rPr>
                <w:rFonts w:ascii="Times New Roman" w:eastAsia="Times New Roman" w:hAnsi="Times New Roman" w:cs="Times New Roman"/>
                <w:i/>
                <w:iCs/>
                <w:color w:val="000000" w:themeColor="text1"/>
                <w:sz w:val="20"/>
                <w:szCs w:val="20"/>
              </w:rPr>
              <w:t>Malacoctenus</w:t>
            </w:r>
            <w:r w:rsidRPr="004C2E65">
              <w:rPr>
                <w:rFonts w:ascii="Times New Roman" w:eastAsia="Times New Roman" w:hAnsi="Times New Roman" w:cs="Times New Roman"/>
                <w:color w:val="000000" w:themeColor="text1"/>
                <w:sz w:val="20"/>
                <w:szCs w:val="20"/>
              </w:rPr>
              <w:t xml:space="preserve"> species and </w:t>
            </w:r>
            <w:r w:rsidR="002F6B81">
              <w:rPr>
                <w:rFonts w:ascii="Times New Roman" w:eastAsia="Times New Roman" w:hAnsi="Times New Roman" w:cs="Times New Roman"/>
                <w:i/>
                <w:iCs/>
                <w:color w:val="000000" w:themeColor="text1"/>
                <w:sz w:val="20"/>
                <w:szCs w:val="20"/>
              </w:rPr>
              <w:t>Brockius</w:t>
            </w:r>
            <w:r w:rsidRPr="004C2E65">
              <w:rPr>
                <w:rFonts w:ascii="Times New Roman" w:eastAsia="Times New Roman" w:hAnsi="Times New Roman" w:cs="Times New Roman"/>
                <w:i/>
                <w:iCs/>
                <w:color w:val="000000" w:themeColor="text1"/>
                <w:sz w:val="20"/>
                <w:szCs w:val="20"/>
              </w:rPr>
              <w:t xml:space="preserve"> striatus.</w:t>
            </w:r>
          </w:p>
        </w:tc>
      </w:tr>
      <w:tr w:rsidR="00931688" w:rsidRPr="004C2E65" w14:paraId="39A94B4C" w14:textId="77777777" w:rsidTr="00031031">
        <w:trPr>
          <w:trHeight w:val="279"/>
        </w:trPr>
        <w:tc>
          <w:tcPr>
            <w:tcW w:w="2254" w:type="dxa"/>
            <w:tcBorders>
              <w:bottom w:val="single" w:sz="18" w:space="0" w:color="auto"/>
              <w:right w:val="single" w:sz="18" w:space="0" w:color="D9D9D9" w:themeColor="background1" w:themeShade="D9"/>
            </w:tcBorders>
            <w:vAlign w:val="center"/>
          </w:tcPr>
          <w:p w14:paraId="3D14B89F"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Reference</w:t>
            </w:r>
          </w:p>
        </w:tc>
        <w:tc>
          <w:tcPr>
            <w:tcW w:w="2254" w:type="dxa"/>
            <w:tcBorders>
              <w:left w:val="single" w:sz="18" w:space="0" w:color="D9D9D9" w:themeColor="background1" w:themeShade="D9"/>
              <w:bottom w:val="single" w:sz="18" w:space="0" w:color="auto"/>
              <w:right w:val="single" w:sz="18" w:space="0" w:color="D9D9D9" w:themeColor="background1" w:themeShade="D9"/>
            </w:tcBorders>
            <w:vAlign w:val="center"/>
          </w:tcPr>
          <w:p w14:paraId="5EFB7B1C"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 xml:space="preserve">MRCA of </w:t>
            </w:r>
            <w:r w:rsidRPr="004C2E65">
              <w:rPr>
                <w:rFonts w:ascii="Times New Roman" w:eastAsia="Times New Roman" w:hAnsi="Times New Roman" w:cs="Times New Roman"/>
                <w:i/>
                <w:iCs/>
                <w:color w:val="000000" w:themeColor="text1"/>
                <w:sz w:val="20"/>
                <w:szCs w:val="20"/>
              </w:rPr>
              <w:t>Malacoctenus</w:t>
            </w:r>
            <w:r w:rsidRPr="004C2E65">
              <w:rPr>
                <w:rFonts w:ascii="Times New Roman" w:eastAsia="Times New Roman" w:hAnsi="Times New Roman" w:cs="Times New Roman"/>
                <w:color w:val="000000" w:themeColor="text1"/>
                <w:sz w:val="20"/>
                <w:szCs w:val="20"/>
              </w:rPr>
              <w:t xml:space="preserve"> and </w:t>
            </w:r>
            <w:r w:rsidRPr="004C2E65">
              <w:rPr>
                <w:rFonts w:ascii="Times New Roman" w:eastAsia="Times New Roman" w:hAnsi="Times New Roman" w:cs="Times New Roman"/>
                <w:i/>
                <w:iCs/>
                <w:color w:val="000000" w:themeColor="text1"/>
                <w:sz w:val="20"/>
                <w:szCs w:val="20"/>
              </w:rPr>
              <w:t>L. striatus</w:t>
            </w:r>
            <w:r w:rsidRPr="004C2E65">
              <w:rPr>
                <w:rFonts w:ascii="Times New Roman" w:eastAsia="Times New Roman" w:hAnsi="Times New Roman" w:cs="Times New Roman"/>
                <w:color w:val="000000" w:themeColor="text1"/>
                <w:sz w:val="20"/>
                <w:szCs w:val="20"/>
              </w:rPr>
              <w:t xml:space="preserve"> (Ma)</w:t>
            </w:r>
          </w:p>
        </w:tc>
        <w:tc>
          <w:tcPr>
            <w:tcW w:w="2254" w:type="dxa"/>
            <w:tcBorders>
              <w:left w:val="single" w:sz="18" w:space="0" w:color="D9D9D9" w:themeColor="background1" w:themeShade="D9"/>
              <w:bottom w:val="single" w:sz="18" w:space="0" w:color="auto"/>
            </w:tcBorders>
            <w:vAlign w:val="center"/>
          </w:tcPr>
          <w:p w14:paraId="70AEC8B8"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Total group age (Ma)</w:t>
            </w:r>
          </w:p>
        </w:tc>
        <w:tc>
          <w:tcPr>
            <w:tcW w:w="2254" w:type="dxa"/>
            <w:tcBorders>
              <w:bottom w:val="single" w:sz="18" w:space="0" w:color="auto"/>
            </w:tcBorders>
            <w:vAlign w:val="center"/>
          </w:tcPr>
          <w:p w14:paraId="7C573C17"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Mean crown age (Ma)</w:t>
            </w:r>
          </w:p>
        </w:tc>
      </w:tr>
      <w:tr w:rsidR="00931688" w:rsidRPr="004C2E65" w14:paraId="77B728DA" w14:textId="77777777" w:rsidTr="00031031">
        <w:tc>
          <w:tcPr>
            <w:tcW w:w="2254" w:type="dxa"/>
            <w:tcBorders>
              <w:right w:val="single" w:sz="18" w:space="0" w:color="D9D9D9" w:themeColor="background1" w:themeShade="D9"/>
            </w:tcBorders>
          </w:tcPr>
          <w:p w14:paraId="2EBA6FB6"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fldChar w:fldCharType="begin" w:fldLock="1"/>
            </w:r>
            <w:r>
              <w:rPr>
                <w:rFonts w:ascii="Times New Roman" w:eastAsia="Times New Roman" w:hAnsi="Times New Roman" w:cs="Times New Roman"/>
                <w:color w:val="000000" w:themeColor="text1"/>
                <w:sz w:val="20"/>
                <w:szCs w:val="20"/>
              </w:rPr>
              <w:instrText>ADDIN CSL_CITATION {"citationItems":[{"id":"ITEM-1","itemData":{"DOI":"10.1186/1471-2148-13-210","ISBN":"1471-2148","ISSN":"1471-2148","PMID":"24067147","abstract":"BACKGROUND: The Blenniiformes comprises six families, 151 genera and nearly 900 species of small teleost fishes closely associated with coastal benthic habitats. They provide an unparalleled opportunity for studying marine biogeography because they include the globally distributed families Tripterygiidae (triplefin blennies) and Blenniidae (combtooth blennies), the temperate Clinidae (kelp blennies), and three largely Neotropical families (Labrisomidae, Chaenopsidae, and Dactyloscopidae). However, interpretation of these distributional patterns has been hindered by largely unresolved inter-familial relationships and the lack of evidence of monophyly of the Labrisomidae. RESULTS: We explored the phylogenetic relationships of the Blenniiformes based on one mitochondrial (COI) and four nuclear (TMO-4C4, RAG1, Rhodopsin, and Histone H3) loci for 150 blenniiform species, and representative outgroups (Gobiesocidae, Opistognathidae and Grammatidae). According to the consensus of Bayesian Inference, Maximum Likelihood, and Maximum Parsimony analyses, the monophyly of the Blenniiformes and the Tripterygiidae, Blenniidae, Clinidae, and Dactyloscopidae is supported. The Tripterygiidae is the sister group of all other blennies, and the Blenniidae is the sister group of the remaining blennies. The monophyly of the Labrisomidae is supported with the exclusion of the Cryptotremini and inclusion of Stathmonotus, and we elevate two subgenera of Labrisomus to establish a monophyletic classification within the family. The monophyly of the Chaenopsidae is supported with the exclusion of Stathmonotus (placed in the Stathmonotini) and Neoclinus and Mccoskerichthys (placed in the Neoclinini). The origin of the Blenniiformes was estimated in the present-day IndoPacific region, corresponding to the Tethys Sea approximately 60.3 mya. A largely Neotropical lineage including the Labrisomidae, Chaenopsidae and Dactyloscopidae (node IV) evolved around 37.6 mya when the Neotropics were increasingly separated from the IndoPacific, but well before the closure of the Tethys Sea. CONCLUSIONS: Relationships recovered in this study are similar to those of earlier analyses within the Clinidae and Chaenopsidae, and partially similar within the Blenniidae, but tripterygiid relationships remain poorly resolved. We present the first comprehensive phylogenetic hypothesis for a monophyletic Labrisomidae with five tribes (Labrisomini, Mnierpini, Paraclinini, Stathmonotini and Starksiini). Global d…","author":[{"dropping-particle":"","family":"Lin","given":"Hsiu-Chin","non-dropping-particle":"","parse-names":false,"suffix":""},{"dropping-particle":"","family":"Hastings","given":"Philip A","non-dropping-particle":"","parse-names":false,"suffix":""}],"container-title":"BMC evolutionary biology","id":"ITEM-1","issue":"1","issued":{"date-parts":[["2013"]]},"page":"210","publisher":"BMC Evolutionary Biology","title":"Phylogeny and biogeography of a shallow water fish clade (Teleostei: Blenniiformes).","type":"article-journal","volume":"13"},"uris":["http://www.mendeley.com/documents/?uuid=56dee1c4-875d-418a-8b93-6f5352c2800c"]}],"mendeley":{"formattedCitation":"(78)","plainTextFormattedCitation":"(78)","previouslyFormattedCitation":"(77)"},"properties":{"noteIndex":0},"schema":"https://github.com/citation-style-language/schema/raw/master/csl-citation.json"}</w:instrText>
            </w:r>
            <w:r w:rsidRPr="004C2E65">
              <w:rPr>
                <w:rFonts w:ascii="Times New Roman" w:eastAsia="Times New Roman" w:hAnsi="Times New Roman" w:cs="Times New Roman"/>
                <w:color w:val="000000" w:themeColor="text1"/>
                <w:sz w:val="20"/>
                <w:szCs w:val="20"/>
              </w:rPr>
              <w:fldChar w:fldCharType="separate"/>
            </w:r>
            <w:r w:rsidRPr="00AA42E0">
              <w:rPr>
                <w:rFonts w:ascii="Times New Roman" w:eastAsia="Times New Roman" w:hAnsi="Times New Roman" w:cs="Times New Roman"/>
                <w:noProof/>
                <w:color w:val="000000" w:themeColor="text1"/>
                <w:sz w:val="20"/>
                <w:szCs w:val="20"/>
              </w:rPr>
              <w:t>(78)</w:t>
            </w:r>
            <w:r w:rsidRPr="004C2E65">
              <w:rPr>
                <w:rFonts w:ascii="Times New Roman" w:eastAsia="Times New Roman" w:hAnsi="Times New Roman" w:cs="Times New Roman"/>
                <w:color w:val="000000" w:themeColor="text1"/>
                <w:sz w:val="20"/>
                <w:szCs w:val="20"/>
              </w:rPr>
              <w:fldChar w:fldCharType="end"/>
            </w:r>
          </w:p>
        </w:tc>
        <w:tc>
          <w:tcPr>
            <w:tcW w:w="2254" w:type="dxa"/>
            <w:tcBorders>
              <w:left w:val="single" w:sz="18" w:space="0" w:color="D9D9D9" w:themeColor="background1" w:themeShade="D9"/>
              <w:right w:val="single" w:sz="18" w:space="0" w:color="D9D9D9" w:themeColor="background1" w:themeShade="D9"/>
            </w:tcBorders>
          </w:tcPr>
          <w:p w14:paraId="415C6F6F"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32.0</w:t>
            </w:r>
          </w:p>
        </w:tc>
        <w:tc>
          <w:tcPr>
            <w:tcW w:w="2254" w:type="dxa"/>
            <w:tcBorders>
              <w:left w:val="single" w:sz="18" w:space="0" w:color="D9D9D9" w:themeColor="background1" w:themeShade="D9"/>
              <w:right w:val="single" w:sz="18" w:space="0" w:color="D9D9D9" w:themeColor="background1" w:themeShade="D9"/>
            </w:tcBorders>
          </w:tcPr>
          <w:p w14:paraId="122BD8C2"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24.8</w:t>
            </w:r>
          </w:p>
        </w:tc>
        <w:tc>
          <w:tcPr>
            <w:tcW w:w="2254" w:type="dxa"/>
            <w:tcBorders>
              <w:left w:val="single" w:sz="18" w:space="0" w:color="D9D9D9" w:themeColor="background1" w:themeShade="D9"/>
            </w:tcBorders>
          </w:tcPr>
          <w:p w14:paraId="37273F60"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16.3</w:t>
            </w:r>
          </w:p>
        </w:tc>
      </w:tr>
      <w:tr w:rsidR="00931688" w:rsidRPr="004C2E65" w14:paraId="334C9802" w14:textId="77777777" w:rsidTr="00031031">
        <w:tc>
          <w:tcPr>
            <w:tcW w:w="2254" w:type="dxa"/>
            <w:tcBorders>
              <w:right w:val="single" w:sz="18" w:space="0" w:color="D9D9D9" w:themeColor="background1" w:themeShade="D9"/>
            </w:tcBorders>
          </w:tcPr>
          <w:p w14:paraId="48A73160"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fldChar w:fldCharType="begin" w:fldLock="1"/>
            </w:r>
            <w:r>
              <w:rPr>
                <w:rFonts w:ascii="Times New Roman" w:eastAsia="Times New Roman" w:hAnsi="Times New Roman" w:cs="Times New Roman"/>
                <w:color w:val="000000" w:themeColor="text1"/>
                <w:sz w:val="20"/>
                <w:szCs w:val="20"/>
              </w:rPr>
              <w:instrText>ADDIN CSL_CITATION {"citationItems":[{"id":"ITEM-1","itemData":{"DOI":"10.1186/s12862-017-0958-3","ISSN":"14712148","PMID":"28683774","abstract":"Background: 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 Results: The updated classification presented here is based on phylogenies inferred using molecular and genomic data for nearly 2000 fishes. A total of 72 orders (and 79 suborders) are recognized in this version, compared with 66 orders in version 1. The phylogeny resolves placement of 410 families, or ~80% of the total of 514 families of bony fishes currently recognized. The ordinal status of 30 percomorph families included in this study, however, remains uncertain (incertae sedis in the series Carangaria, Ovalentaria, or Eupercaria). Comments to support taxonomic decisions and comparisons with conflicting taxonomic groups proposed by others are presented. We also highlight cases were morphological support exist for the groups being classified. Conclusions: This version of the phylogenetic classification of bony fishes is substantially improved, providing resolution for more taxa than previous versions, based on more densely sampled phylogenetic trees. The classification presented in this study represents, unlike any other, the most up-to-date hypothesis of the Tree of Life of fishes.","author":[{"dropping-particle":"","family":"Betancur","given":"Ricardo R.","non-dropping-particle":"","parse-names":false,"suffix":""},{"dropping-particle":"","family":"Wiley","given":"Edward O.","non-dropping-particle":"","parse-names":false,"suffix":""},{"dropping-particle":"","family":"Arratia","given":"Gloria","non-dropping-particle":"","parse-names":false,"suffix":""},{"dropping-particle":"","family":"Acero","given":"Arturo","non-dropping-particle":"","parse-names":false,"suffix":""},{"dropping-particle":"","family":"Bailly","given":"Nicolas","non-dropping-particle":"","parse-names":false,"suffix":""},{"dropping-particle":"","family":"Miya","given":"Masaki","non-dropping-particle":"","parse-names":false,"suffix":""},{"dropping-particle":"","family":"Lecointre","given":"Guillaume","non-dropping-particle":"","parse-names":false,"suffix":""},{"dropping-particle":"","family":"Ortí","given":"Guillermo","non-dropping-particle":"","parse-names":false,"suffix":""}],"container-title":"BMC Evolutionary Biology","id":"ITEM-1","issue":"1","issued":{"date-parts":[["2017"]]},"page":"1-40","publisher":"BMC Evolutionary Biology","title":"Phylogenetic classification of bony fishes","type":"article-journal","volume":"17"},"uris":["http://www.mendeley.com/documents/?uuid=d9eda40b-6019-44f7-b9b8-48f142fa82fa"]}],"mendeley":{"formattedCitation":"(77)","plainTextFormattedCitation":"(77)","previouslyFormattedCitation":"(76)"},"properties":{"noteIndex":0},"schema":"https://github.com/citation-style-language/schema/raw/master/csl-citation.json"}</w:instrText>
            </w:r>
            <w:r w:rsidRPr="004C2E65">
              <w:rPr>
                <w:rFonts w:ascii="Times New Roman" w:eastAsia="Times New Roman" w:hAnsi="Times New Roman" w:cs="Times New Roman"/>
                <w:color w:val="000000" w:themeColor="text1"/>
                <w:sz w:val="20"/>
                <w:szCs w:val="20"/>
              </w:rPr>
              <w:fldChar w:fldCharType="separate"/>
            </w:r>
            <w:r w:rsidRPr="00AA42E0">
              <w:rPr>
                <w:rFonts w:ascii="Times New Roman" w:eastAsia="Times New Roman" w:hAnsi="Times New Roman" w:cs="Times New Roman"/>
                <w:noProof/>
                <w:color w:val="000000" w:themeColor="text1"/>
                <w:sz w:val="20"/>
                <w:szCs w:val="20"/>
              </w:rPr>
              <w:t>(77)</w:t>
            </w:r>
            <w:r w:rsidRPr="004C2E65">
              <w:rPr>
                <w:rFonts w:ascii="Times New Roman" w:eastAsia="Times New Roman" w:hAnsi="Times New Roman" w:cs="Times New Roman"/>
                <w:color w:val="000000" w:themeColor="text1"/>
                <w:sz w:val="20"/>
                <w:szCs w:val="20"/>
              </w:rPr>
              <w:fldChar w:fldCharType="end"/>
            </w:r>
          </w:p>
        </w:tc>
        <w:tc>
          <w:tcPr>
            <w:tcW w:w="2254" w:type="dxa"/>
            <w:tcBorders>
              <w:left w:val="single" w:sz="18" w:space="0" w:color="D9D9D9" w:themeColor="background1" w:themeShade="D9"/>
              <w:right w:val="single" w:sz="18" w:space="0" w:color="D9D9D9" w:themeColor="background1" w:themeShade="D9"/>
            </w:tcBorders>
          </w:tcPr>
          <w:p w14:paraId="511E0538"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35.3</w:t>
            </w:r>
          </w:p>
        </w:tc>
        <w:tc>
          <w:tcPr>
            <w:tcW w:w="2254" w:type="dxa"/>
            <w:tcBorders>
              <w:left w:val="single" w:sz="18" w:space="0" w:color="D9D9D9" w:themeColor="background1" w:themeShade="D9"/>
              <w:right w:val="single" w:sz="18" w:space="0" w:color="D9D9D9" w:themeColor="background1" w:themeShade="D9"/>
            </w:tcBorders>
          </w:tcPr>
          <w:p w14:paraId="07BB0AEA"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31.0</w:t>
            </w:r>
          </w:p>
        </w:tc>
        <w:tc>
          <w:tcPr>
            <w:tcW w:w="2254" w:type="dxa"/>
            <w:tcBorders>
              <w:left w:val="single" w:sz="18" w:space="0" w:color="D9D9D9" w:themeColor="background1" w:themeShade="D9"/>
            </w:tcBorders>
          </w:tcPr>
          <w:p w14:paraId="2D9E771E"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19.1</w:t>
            </w:r>
          </w:p>
        </w:tc>
      </w:tr>
      <w:tr w:rsidR="00931688" w:rsidRPr="004C2E65" w14:paraId="1DFA6CA6" w14:textId="77777777" w:rsidTr="00031031">
        <w:tc>
          <w:tcPr>
            <w:tcW w:w="2254" w:type="dxa"/>
            <w:tcBorders>
              <w:right w:val="single" w:sz="18" w:space="0" w:color="D9D9D9" w:themeColor="background1" w:themeShade="D9"/>
            </w:tcBorders>
          </w:tcPr>
          <w:p w14:paraId="1C7063F7"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fldChar w:fldCharType="begin" w:fldLock="1"/>
            </w:r>
            <w:r>
              <w:rPr>
                <w:rFonts w:ascii="Times New Roman" w:eastAsia="Times New Roman" w:hAnsi="Times New Roman" w:cs="Times New Roman"/>
                <w:color w:val="000000" w:themeColor="text1"/>
                <w:sz w:val="20"/>
                <w:szCs w:val="20"/>
              </w:rPr>
              <w:instrText>ADDIN CSL_CITATION {"citationItems":[{"id":"ITEM-1","itemData":{"DOI":"10.1038/s41586-018-0273-1","ISBN":"4158601802731","ISSN":"14764687","PMID":"29973726","abstract":"Far more species of organisms are found in the tropics than in temperate and polar regions, but the evolutionary and ecological causes of this pattern remain controversial 1,2 . Tropical marine fish communities are much more diverse than cold-water fish communities found at higher latitudes 3,4, and several explanations for this latitudinal diversity gradient propose that warm reef environments serve as evolutionary 'hotspots' for species formation 5-8 . Here we test the relationship between latitude, species richness and speciation rate across marine fishes. We assembled a time-calibrated phylogeny of all ray-finned fishes (31,526 tips, of which 11,638 had genetic data) and used this framework to describe the spatial dynamics of speciation in the marine realm. We show that the fastest rates of speciation occur in species-poor regions outside the tropics, and that high-latitude fish lineages form new species at much faster rates than their tropical counterparts. High rates of speciation occur in geographical regions that are characterized by low surface temperatures and high endemism. Our results reject a broad class of mechanisms under which the tropics serve as an evolutionary cradle for marine fish diversity and raise new questions about why the coldest oceans on Earth are present-day hotspots of species formation.","author":[{"dropping-particle":"","family":"Rabosky","given":"Daniel L.","non-dropping-particle":"","parse-names":false,"suffix":""},{"dropping-particle":"","family":"Chang","given":"Jonathan","non-dropping-particle":"","parse-names":false,"suffix":""},{"dropping-particle":"","family":"Title","given":"Pascal O.","non-dropping-particle":"","parse-names":false,"suffix":""},{"dropping-particle":"","family":"Cowman","given":"Peter F.","non-dropping-particle":"","parse-names":false,"suffix":""},{"dropping-particle":"","family":"Sallan","given":"Lauren","non-dropping-particle":"","parse-names":false,"suffix":""},{"dropping-particle":"","family":"Friedman","given":"Matt","non-dropping-particle":"","parse-names":false,"suffix":""},{"dropping-particle":"","family":"Kaschner","given":"Kristin","non-dropping-particle":"","parse-names":false,"suffix":""},{"dropping-particle":"","family":"Garilao","given":"Cristina","non-dropping-particle":"","parse-names":false,"suffix":""},{"dropping-particle":"","family":"Near","given":"Thomas J.","non-dropping-particle":"","parse-names":false,"suffix":""},{"dropping-particle":"","family":"Coll","given":"Marta","non-dropping-particle":"","parse-names":false,"suffix":""},{"dropping-particle":"","family":"Alfaro","given":"Michael E.","non-dropping-particle":"","parse-names":false,"suffix":""}],"container-title":"Nature","id":"ITEM-1","issue":"7714","issued":{"date-parts":[["2018"]]},"page":"392-395","publisher":"Springer US","title":"An inverse latitudinal gradient in speciation rate for marine fishes","type":"article-journal","volume":"559"},"uris":["http://www.mendeley.com/documents/?uuid=a4e92924-d3d7-4a9a-9923-4474f46696f0"]}],"mendeley":{"formattedCitation":"(113)","plainTextFormattedCitation":"(113)","previouslyFormattedCitation":"(112)"},"properties":{"noteIndex":0},"schema":"https://github.com/citation-style-language/schema/raw/master/csl-citation.json"}</w:instrText>
            </w:r>
            <w:r w:rsidRPr="004C2E65">
              <w:rPr>
                <w:rFonts w:ascii="Times New Roman" w:eastAsia="Times New Roman" w:hAnsi="Times New Roman" w:cs="Times New Roman"/>
                <w:color w:val="000000" w:themeColor="text1"/>
                <w:sz w:val="20"/>
                <w:szCs w:val="20"/>
              </w:rPr>
              <w:fldChar w:fldCharType="separate"/>
            </w:r>
            <w:r w:rsidRPr="00AA42E0">
              <w:rPr>
                <w:rFonts w:ascii="Times New Roman" w:eastAsia="Times New Roman" w:hAnsi="Times New Roman" w:cs="Times New Roman"/>
                <w:noProof/>
                <w:color w:val="000000" w:themeColor="text1"/>
                <w:sz w:val="20"/>
                <w:szCs w:val="20"/>
              </w:rPr>
              <w:t>(113)</w:t>
            </w:r>
            <w:r w:rsidRPr="004C2E65">
              <w:rPr>
                <w:rFonts w:ascii="Times New Roman" w:eastAsia="Times New Roman" w:hAnsi="Times New Roman" w:cs="Times New Roman"/>
                <w:color w:val="000000" w:themeColor="text1"/>
                <w:sz w:val="20"/>
                <w:szCs w:val="20"/>
              </w:rPr>
              <w:fldChar w:fldCharType="end"/>
            </w:r>
          </w:p>
        </w:tc>
        <w:tc>
          <w:tcPr>
            <w:tcW w:w="2254" w:type="dxa"/>
            <w:tcBorders>
              <w:left w:val="single" w:sz="18" w:space="0" w:color="D9D9D9" w:themeColor="background1" w:themeShade="D9"/>
              <w:right w:val="single" w:sz="18" w:space="0" w:color="D9D9D9" w:themeColor="background1" w:themeShade="D9"/>
            </w:tcBorders>
          </w:tcPr>
          <w:p w14:paraId="1EB7A90A"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35.0</w:t>
            </w:r>
          </w:p>
        </w:tc>
        <w:tc>
          <w:tcPr>
            <w:tcW w:w="2254" w:type="dxa"/>
            <w:tcBorders>
              <w:left w:val="single" w:sz="18" w:space="0" w:color="D9D9D9" w:themeColor="background1" w:themeShade="D9"/>
              <w:right w:val="single" w:sz="18" w:space="0" w:color="D9D9D9" w:themeColor="background1" w:themeShade="D9"/>
            </w:tcBorders>
          </w:tcPr>
          <w:p w14:paraId="06DCA1DA"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28.7</w:t>
            </w:r>
          </w:p>
        </w:tc>
        <w:tc>
          <w:tcPr>
            <w:tcW w:w="2254" w:type="dxa"/>
            <w:tcBorders>
              <w:left w:val="single" w:sz="18" w:space="0" w:color="D9D9D9" w:themeColor="background1" w:themeShade="D9"/>
            </w:tcBorders>
          </w:tcPr>
          <w:p w14:paraId="5939EB08"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20.6</w:t>
            </w:r>
          </w:p>
        </w:tc>
      </w:tr>
      <w:tr w:rsidR="00931688" w:rsidRPr="004C2E65" w14:paraId="24EF1BC8" w14:textId="77777777" w:rsidTr="00031031">
        <w:tc>
          <w:tcPr>
            <w:tcW w:w="2254" w:type="dxa"/>
            <w:tcBorders>
              <w:top w:val="single" w:sz="18" w:space="0" w:color="auto"/>
              <w:bottom w:val="single" w:sz="18" w:space="0" w:color="auto"/>
            </w:tcBorders>
          </w:tcPr>
          <w:p w14:paraId="2B26CE82"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min-max values</w:t>
            </w:r>
          </w:p>
        </w:tc>
        <w:tc>
          <w:tcPr>
            <w:tcW w:w="2254" w:type="dxa"/>
            <w:tcBorders>
              <w:top w:val="single" w:sz="18" w:space="0" w:color="auto"/>
              <w:bottom w:val="single" w:sz="18" w:space="0" w:color="auto"/>
            </w:tcBorders>
          </w:tcPr>
          <w:p w14:paraId="0ACD1F88"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32.0</w:t>
            </w:r>
            <w:r w:rsidRPr="004C2E65">
              <w:rPr>
                <w:rFonts w:ascii="Times New Roman" w:hAnsi="Times New Roman" w:cs="Times New Roman"/>
                <w:color w:val="000000" w:themeColor="text1"/>
                <w:sz w:val="20"/>
                <w:szCs w:val="20"/>
              </w:rPr>
              <w:t>–35.0</w:t>
            </w:r>
          </w:p>
        </w:tc>
        <w:tc>
          <w:tcPr>
            <w:tcW w:w="2254" w:type="dxa"/>
            <w:tcBorders>
              <w:top w:val="single" w:sz="18" w:space="0" w:color="auto"/>
              <w:bottom w:val="single" w:sz="18" w:space="0" w:color="auto"/>
            </w:tcBorders>
          </w:tcPr>
          <w:p w14:paraId="7A3F50C3"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eastAsia="Times New Roman" w:hAnsi="Times New Roman" w:cs="Times New Roman"/>
                <w:color w:val="000000" w:themeColor="text1"/>
                <w:sz w:val="20"/>
                <w:szCs w:val="20"/>
              </w:rPr>
              <w:t>24.8</w:t>
            </w:r>
            <w:r w:rsidRPr="004C2E65">
              <w:rPr>
                <w:rFonts w:ascii="Times New Roman" w:hAnsi="Times New Roman" w:cs="Times New Roman"/>
                <w:color w:val="000000" w:themeColor="text1"/>
                <w:sz w:val="20"/>
                <w:szCs w:val="20"/>
              </w:rPr>
              <w:t>–31.0</w:t>
            </w:r>
          </w:p>
        </w:tc>
        <w:tc>
          <w:tcPr>
            <w:tcW w:w="2254" w:type="dxa"/>
            <w:tcBorders>
              <w:top w:val="single" w:sz="18" w:space="0" w:color="auto"/>
              <w:bottom w:val="single" w:sz="18" w:space="0" w:color="auto"/>
            </w:tcBorders>
          </w:tcPr>
          <w:p w14:paraId="6A0A370F" w14:textId="77777777" w:rsidR="00931688" w:rsidRPr="004C2E65" w:rsidRDefault="00931688" w:rsidP="00031031">
            <w:pPr>
              <w:jc w:val="both"/>
              <w:rPr>
                <w:rFonts w:ascii="Times New Roman" w:eastAsia="Times New Roman" w:hAnsi="Times New Roman" w:cs="Times New Roman"/>
                <w:color w:val="000000" w:themeColor="text1"/>
                <w:sz w:val="20"/>
                <w:szCs w:val="20"/>
              </w:rPr>
            </w:pPr>
            <w:r w:rsidRPr="004C2E65">
              <w:rPr>
                <w:rFonts w:ascii="Times New Roman" w:hAnsi="Times New Roman" w:cs="Times New Roman"/>
                <w:color w:val="000000" w:themeColor="text1"/>
                <w:sz w:val="20"/>
                <w:szCs w:val="20"/>
              </w:rPr>
              <w:t>16.3–20.6</w:t>
            </w:r>
          </w:p>
        </w:tc>
      </w:tr>
    </w:tbl>
    <w:p w14:paraId="04099FA0" w14:textId="77777777" w:rsidR="00931688" w:rsidRDefault="00931688" w:rsidP="00931688">
      <w:pPr>
        <w:jc w:val="both"/>
        <w:rPr>
          <w:rFonts w:ascii="Times New Roman" w:hAnsi="Times New Roman" w:cs="Times New Roman"/>
          <w:b/>
          <w:bCs/>
          <w:color w:val="000000" w:themeColor="text1"/>
        </w:rPr>
      </w:pPr>
    </w:p>
    <w:p w14:paraId="517FC552" w14:textId="671E9371" w:rsidR="00931688" w:rsidRPr="00216F3E" w:rsidRDefault="00931688" w:rsidP="00931688">
      <w:pPr>
        <w:jc w:val="both"/>
        <w:rPr>
          <w:rFonts w:ascii="Times New Roman" w:hAnsi="Times New Roman" w:cs="Times New Roman"/>
          <w:color w:val="000000" w:themeColor="text1"/>
          <w:sz w:val="24"/>
          <w:szCs w:val="24"/>
        </w:rPr>
      </w:pPr>
      <w:r w:rsidRPr="00216F3E">
        <w:rPr>
          <w:rFonts w:ascii="Times New Roman" w:hAnsi="Times New Roman" w:cs="Times New Roman"/>
          <w:b/>
          <w:bCs/>
          <w:color w:val="000000" w:themeColor="text1"/>
          <w:sz w:val="24"/>
          <w:szCs w:val="24"/>
        </w:rPr>
        <w:t xml:space="preserve">Phylogenetic time-calibrated tree with all individuals. </w:t>
      </w:r>
      <w:r w:rsidRPr="00216F3E">
        <w:rPr>
          <w:rFonts w:ascii="Times New Roman" w:hAnsi="Times New Roman" w:cs="Times New Roman"/>
          <w:color w:val="000000" w:themeColor="text1"/>
          <w:sz w:val="24"/>
          <w:szCs w:val="24"/>
        </w:rPr>
        <w:t xml:space="preserve">To estimate a time-calibrated tree that includes all individuals passing our quality filters at the population level (total 447), we followed several steps. First, we extracted estimated divergence times from common nodes between the previously time-calibrated species tree (which included 23 individuals representing all 23 </w:t>
      </w:r>
      <w:r w:rsidRPr="00216F3E">
        <w:rPr>
          <w:rFonts w:ascii="Times New Roman" w:hAnsi="Times New Roman" w:cs="Times New Roman"/>
          <w:i/>
          <w:iCs/>
          <w:color w:val="000000" w:themeColor="text1"/>
          <w:sz w:val="24"/>
          <w:szCs w:val="24"/>
        </w:rPr>
        <w:t>Malacoctenus</w:t>
      </w:r>
      <w:r w:rsidRPr="00216F3E">
        <w:rPr>
          <w:rFonts w:ascii="Times New Roman" w:hAnsi="Times New Roman" w:cs="Times New Roman"/>
          <w:color w:val="000000" w:themeColor="text1"/>
          <w:sz w:val="24"/>
          <w:szCs w:val="24"/>
        </w:rPr>
        <w:t xml:space="preserve"> species) and the ML phylogenetic tree (comprising 49 individuals and the 23 </w:t>
      </w:r>
      <w:r w:rsidRPr="00216F3E">
        <w:rPr>
          <w:rFonts w:ascii="Times New Roman" w:hAnsi="Times New Roman" w:cs="Times New Roman"/>
          <w:i/>
          <w:iCs/>
          <w:color w:val="000000" w:themeColor="text1"/>
          <w:sz w:val="24"/>
          <w:szCs w:val="24"/>
        </w:rPr>
        <w:t>Malacoctenus</w:t>
      </w:r>
      <w:r w:rsidRPr="00216F3E">
        <w:rPr>
          <w:rFonts w:ascii="Times New Roman" w:hAnsi="Times New Roman" w:cs="Times New Roman"/>
          <w:color w:val="000000" w:themeColor="text1"/>
          <w:sz w:val="24"/>
          <w:szCs w:val="24"/>
        </w:rPr>
        <w:t xml:space="preserve"> species). We used these divergence times as secondary calibration points to time calibrate our  the ML phylogenetic tree with the software RelTime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{"citationItems":[{"id":"ITEM-1","itemData":{"DOI":"10.1073/pnas.1213199109","ISSN":"00278424","PMID":"23129628","abstract":"Molecular dating of species divergences has become an important means to add a temporal dimension to the Tree of Life. Increasingly larger datasets encompassing greater taxonomic diversity are becoming available to generate molecular timetrees by using sophisticated methods that model rate variation among lineages. However, the practical application of these methods is challenging because of the exorbitant calculation times required by current methods for contemporary data sizes, the difficulty in correctly modeling the rate heterogeneity in highly diverse taxonomic groups, and the lack of reliable clock calibrations and their uncertainty distributions for most groups of species. Here, we present a method that estimates relative times of divergences for all branching points (nodes) in very large phylogenetic trees without assuming a specific model for lineage rate variation or specifying any clock calibrations. The method (RelTime) performed better than existing methods when applied to very large computer simulated datasets where evolutionary rates were varied extensively among lineages by following autocorrelated and uncorrelated models. On average, RelTime completed calculations 1,000 times faster than the fastest Bayesian method, with even greater speed difference for larger number of sequences. This speed and accuracy will enable molecular dating analysis of very large datasets. Relative time estimates will be useful for determining the relative ordering and spacing of speciation events, identifying lineages with significantly slower or faster evolutionary rates, diagnosing the effect of selected calibrations on absolute divergence times, and estimating absolute times of divergence when highly reliable calibration points are available.","author":[{"dropping-particle":"","family":"Tamura","given":"Koichiro","non-dropping-particle":"","parse-names":false,"suffix":""},{"dropping-particle":"","family":"Battistuzzi","given":"Fabia Ursula","non-dropping-particle":"","parse-names":false,"suffix":""},{"dropping-particle":"","family":"Billing-Ross","given":"Paul","non-dropping-particle":"","parse-names":false,"suffix":""},{"dropping-particle":"","family":"Murillo","given":"Oscar","non-dropping-particle":"","parse-names":false,"suffix":""},{"dropping-particle":"","family":"Filipski","given":"Alan","non-dropping-particle":"","parse-names":false,"suffix":""},{"dropping-particle":"","family":"Kumar","given":"Sudhir","non-dropping-particle":"","parse-names":false,"suffix":""}],"container-title":"Proceedings of the National Academy of Sciences of the United States of America","id":"ITEM-1","issue":"47","issued":{"date-parts":[["2012"]]},"page":"19333-19338","title":"Estimating divergence times in large molecular phylogenies","type":"article-journal","volume":"109"},"uris":["http://www.mendeley.com/documents/?uuid=609020cd-1695-42d3-802a-8849cc70b677"]}],"mendeley":{"formattedCitation":"(114)","plainTextFormattedCitation":"(114)","previouslyFormattedCitation":"(113)"},"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(114)</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in MEGA X v10.1.8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{"citationItems":[{"id":"ITEM-1","itemData":{"DOI":"10.1093/molbev/msy096","ISSN":"15371719","PMID":"29722887","abstract":"The Molecular Evolutionary Genetics Analysis (MEGA) software implements many analytical methods and tools for phylogenomics and phylomedicine. Here, we report a transformation of MEGA to enable cross-platform use on Microsoft Windows and Linux operating systems. MEGA X does not require virtualization or emulation software and provides a uniform user experience across platforms. MEGA X has additionally been upgraded to use multiple computing cores for many molecular evolutionary analyses. MEGA X is available in two interfaces (graphical and command line) and can be downloaded from www.megasoftware.net free of charge.","author":[{"dropping-particle":"","family":"Kumar","given":"Sudhir","non-dropping-particle":"","parse-names":false,"suffix":""},{"dropping-particle":"","family":"Stecher","given":"Glen","non-dropping-particle":"","parse-names":false,"suffix":""},{"dropping-particle":"","family":"Li","given":"Michael","non-dropping-particle":"","parse-names":false,"suffix":""},{"dropping-particle":"","family":"Knyaz","given":"Christina","non-dropping-particle":"","parse-names":false,"suffix":""},{"dropping-particle":"","family":"Tamura","given":"Koichiro","non-dropping-particle":"","parse-names":false,"suffix":""}],"container-title":"Molecular Biology and Evolution","id":"ITEM-1","issue":"6","issued":{"date-parts":[["2018"]]},"page":"1547-1549","title":"MEGA X: Molecular evolutionary genetics analysis across computing platforms","type":"article-journal","volume":"35"},"uris":["http://www.mendeley.com/documents/?uuid=d24b40be-f95e-41e5-8913-53ade534587e"]}],"mendeley":{"formattedCitation":"(36)","plainTextFormattedCitation":"(36)","previouslyFormattedCitation":"(36)"},"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(36)</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i/>
          <w:iCs/>
          <w:color w:val="000000" w:themeColor="text1"/>
          <w:sz w:val="24"/>
          <w:szCs w:val="24"/>
        </w:rPr>
        <w:t xml:space="preserve">. </w:t>
      </w:r>
      <w:r w:rsidRPr="00216F3E">
        <w:rPr>
          <w:rFonts w:ascii="Times New Roman" w:hAnsi="Times New Roman" w:cs="Times New Roman"/>
          <w:color w:val="000000" w:themeColor="text1"/>
          <w:sz w:val="24"/>
          <w:szCs w:val="24"/>
        </w:rPr>
        <w:t xml:space="preserve">The resulting time-calibrated tree contained two individuals per species (when possible) and was designated as the backbone tree. We then time-calibrated each species subclade using the resulting divergence time estimates from our time-calibrated backbone tree as secondary calibration points, with all secondary calibration points set to a uniform distribution. Finally, we grafted all intra-species subclades into the time-calibrated backbone tree using the R package ape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{"citationItems":[{"id":"ITEM-1","itemData":{"DOI":"10.1093/bioinformatics/bty633","ISSN":"14602059","PMID":"30016406","abstract":"Summary After more than fifteen years of existence, the R package ape has continuously grown its contents, and has been used by a growing community of users. The release of version 5.0 has marked a leap towards a modern software for evolutionary analyses. Efforts have been put to improve efficiency, flexibility, support for 'big data' (R's long vectors), ease of use and quality check before a new release. These changes will hopefully make ape a useful software for the study of biodiversity and evolution in a context of increasing data quantity. Availability and implementation ape is distributed through the Comprehensive R Archive Network: http://cran.r-project.org/package=ape. Further information may be found at http://ape-package.ird.fr/.","author":[{"dropping-particle":"","family":"Paradis","given":"Emmanuel","non-dropping-particle":"","parse-names":false,"suffix":""},{"dropping-particle":"","family":"Schliep","given":"Klaus","non-dropping-particle":"","parse-names":false,"suffix":""}],"container-title":"Bioinformatics","id":"ITEM-1","issue":"3","issued":{"date-parts":[["2019"]]},"page":"526-528","title":"Ape 5.0: An environment for modern phylogenetics and evolutionary analyses in R","type":"article-journal","volume":"35"},"uris":["http://www.mendeley.com/documents/?uuid=a90da672-5582-4fb3-b4cb-20c7769f0d69"]}],"mendeley":{"formattedCitation":"(37)","plainTextFormattedCitation":"(37)","previouslyFormattedCitation":"(37)"},"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(37)</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The final tree portraits the population genetic structure at the micro-evolutionary scale and the macro-evolutionary relationships across the 23 </w:t>
      </w:r>
      <w:r w:rsidRPr="00216F3E">
        <w:rPr>
          <w:rFonts w:ascii="Times New Roman" w:hAnsi="Times New Roman" w:cs="Times New Roman"/>
          <w:i/>
          <w:iCs/>
          <w:color w:val="000000" w:themeColor="text1"/>
          <w:sz w:val="24"/>
          <w:szCs w:val="24"/>
        </w:rPr>
        <w:t>Malacoctenus</w:t>
      </w:r>
      <w:r w:rsidRPr="00216F3E">
        <w:rPr>
          <w:rFonts w:ascii="Times New Roman" w:hAnsi="Times New Roman" w:cs="Times New Roman"/>
          <w:color w:val="000000" w:themeColor="text1"/>
          <w:sz w:val="24"/>
          <w:szCs w:val="24"/>
        </w:rPr>
        <w:t xml:space="preserve"> species, including 447 individuals.</w:t>
      </w:r>
    </w:p>
    <w:p w14:paraId="2DC1C604" w14:textId="77777777" w:rsidR="00931688" w:rsidRPr="00216F3E" w:rsidRDefault="00931688" w:rsidP="00931688">
      <w:pPr>
        <w:autoSpaceDE w:val="0"/>
        <w:autoSpaceDN w:val="0"/>
        <w:adjustRightInd w:val="0"/>
        <w:jc w:val="both"/>
        <w:rPr>
          <w:rFonts w:ascii="Times New Roman" w:hAnsi="Times New Roman" w:cs="Times New Roman"/>
          <w:color w:val="000000" w:themeColor="text1"/>
          <w:sz w:val="24"/>
          <w:szCs w:val="24"/>
        </w:rPr>
      </w:pPr>
      <w:r w:rsidRPr="00216F3E">
        <w:rPr>
          <w:rFonts w:ascii="Times New Roman" w:hAnsi="Times New Roman" w:cs="Times New Roman"/>
          <w:b/>
          <w:bCs/>
          <w:color w:val="000000" w:themeColor="text1"/>
          <w:sz w:val="24"/>
          <w:szCs w:val="24"/>
        </w:rPr>
        <w:t xml:space="preserve">Test for synchronous divergent events. </w:t>
      </w:r>
      <w:r w:rsidRPr="00216F3E">
        <w:rPr>
          <w:rFonts w:ascii="Times New Roman" w:hAnsi="Times New Roman" w:cs="Times New Roman"/>
          <w:color w:val="000000" w:themeColor="text1"/>
          <w:sz w:val="24"/>
          <w:szCs w:val="24"/>
        </w:rPr>
        <w:t xml:space="preserve">We used the software ecoevolity v0.3.2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{"citationItems":[{"id":"ITEM-1","itemData":{"DOI":"10.1093/sysbio/syy063","ISSN":"1076836X","PMID":"30239868","abstract":"A challenge to understanding biological diversification is accounting for community-scale processes that cause multiple, co-distributed lineages to co-speciate. Such processes predict non-independent, temporally clustered divergences across taxa. Approximate-likelihood Bayesian computation (ABC) approaches to inferring such patterns from comparative genetic data are very sensitive to prior assumptions and often biased toward estimating shared divergences. We introduce a full-likelihood Bayesian approach, ecoevolity, which takes full advantage of information in genomic data. By analytically integrating over gene trees, we are able to directly calculate the likelihood of the population history from genomic data, and efficiently sample the model-averaged posterior via Markov chain Monte Carlo algorithms. Using simulations, we find that the new method is much more accurate and precise at estimating the number and timing of divergence events across pairs of populations than existing approximate-likelihood methods. Our full Bayesian approach also requires several orders of magnitude less computational time than existing ABC approaches. We find that despite assuming unlinked characters (e.g., unlinked single-nucleotide polymorphisms), the new method performs better if this assumption is violated in order to retain the constant characters of whole linked loci. In fact, retaining constant characters allows the new method to robustly estimate the correct number of divergence events with high posterior probability in the face of character-acquisition biases, which commonly plague loci assembled from reduced-representation genomic libraries. We apply our method to genomic data from four pairs ofinsular populations of Gekko lizards from the Philippines that are notexpectedtohave co-diverged. Despite all four pairs diverging very recently, our method strongly supports that they diverged independently, and these results are robust to very disparate prior assumptions.","author":[{"dropping-particle":"","family":"Oaks","given":"Jamie R.","non-dropping-particle":"","parse-names":false,"suffix":""}],"container-title":"Systematic Biology","id":"ITEM-1","issue":"3","issued":{"date-parts":[["2019"]]},"page":"371-395","title":"Full Bayesian comparative phylogeography from genomic data","type":"article-journal","volume":"68"},"uris":["http://www.mendeley.com/documents/?uuid=068acf77-6390-49ca-bd31-8f19303d4f06"]}],"mendeley":{"formattedCitation":"(12)","plainTextFormattedCitation":"(12)","previouslyFormattedCitation":"(12)"},"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(12)</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to test whether the cladogenetic events between the geminate species and the transisthmic clade were synchronous or independently originated by the rise of the Panama Isthmus. Ecoevolity is </w:t>
      </w:r>
      <w:r w:rsidRPr="00216F3E">
        <w:rPr>
          <w:rFonts w:ascii="Times New Roman" w:hAnsi="Times New Roman" w:cs="Times New Roman"/>
          <w:sz w:val="24"/>
          <w:szCs w:val="24"/>
        </w:rPr>
        <w:t xml:space="preserve">a full-likelihood Bayesian approach that integrates gene trees with the population histories of each species pair from genomic data to test models of co-divergence </w:t>
      </w:r>
      <w:r w:rsidRPr="00216F3E">
        <w:rPr>
          <w:rFonts w:ascii="Times New Roman" w:hAnsi="Times New Roman" w:cs="Times New Roman"/>
          <w:sz w:val="24"/>
          <w:szCs w:val="24"/>
        </w:rPr>
        <w:fldChar w:fldCharType="begin" w:fldLock="1"/>
      </w:r>
      <w:r w:rsidRPr="00216F3E">
        <w:rPr>
          <w:rFonts w:ascii="Times New Roman" w:hAnsi="Times New Roman" w:cs="Times New Roman"/>
          <w:sz w:val="24"/>
          <w:szCs w:val="24"/>
        </w:rPr>
        <w:instrText>ADDIN CSL_CITATION {"citationItems":[{"id":"ITEM-1","itemData":{"DOI":"10.1093/sysbio/syy063","ISSN":"1076836X","PMID":"30239868","abstract":"A challenge to understanding biological diversification is accounting for community-scale processes that cause multiple, co-distributed lineages to co-speciate. Such processes predict non-independent, temporally clustered divergences across taxa. Approximate-likelihood Bayesian computation (ABC) approaches to inferring such patterns from comparative genetic data are very sensitive to prior assumptions and often biased toward estimating shared divergences. We introduce a full-likelihood Bayesian approach, ecoevolity, which takes full advantage of information in genomic data. By analytically integrating over gene trees, we are able to directly calculate the likelihood of the population history from genomic data, and efficiently sample the model-averaged posterior via Markov chain Monte Carlo algorithms. Using simulations, we find that the new method is much more accurate and precise at estimating the number and timing of divergence events across pairs of populations than existing approximate-likelihood methods. Our full Bayesian approach also requires several orders of magnitude less computational time than existing ABC approaches. We find that despite assuming unlinked characters (e.g., unlinked single-nucleotide polymorphisms), the new method performs better if this assumption is violated in order to retain the constant characters of whole linked loci. In fact, retaining constant characters allows the new method to robustly estimate the correct number of divergence events with high posterior probability in the face of character-acquisition biases, which commonly plague loci assembled from reduced-representation genomic libraries. We apply our method to genomic data from four pairs ofinsular populations of Gekko lizards from the Philippines that are notexpectedtohave co-diverged. Despite all four pairs diverging very recently, our method strongly supports that they diverged independently, and these results are robust to very disparate prior assumptions.","author":[{"dropping-particle":"","family":"Oaks","given":"Jamie R.","non-dropping-particle":"","parse-names":false,"suffix":""}],"container-title":"Systematic Biology","id":"ITEM-1","issue":"3","issued":{"date-parts":[["2019"]]},"page":"371-395","title":"Full Bayesian comparative phylogeography from genomic data","type":"article-journal","volume":"68"},"uris":["http://www.mendeley.com/documents/?uuid=068acf77-6390-49ca-bd31-8f19303d4f06"]}],"mendeley":{"formattedCitation":"(12)","plainTextFormattedCitation":"(12)","previouslyFormattedCitation":"(12)"},"properties":{"noteIndex":0},"schema":"https://github.com/citation-style-language/schema/raw/master/csl-citation.json"}</w:instrText>
      </w:r>
      <w:r w:rsidRPr="00216F3E">
        <w:rPr>
          <w:rFonts w:ascii="Times New Roman" w:hAnsi="Times New Roman" w:cs="Times New Roman"/>
          <w:sz w:val="24"/>
          <w:szCs w:val="24"/>
        </w:rPr>
        <w:fldChar w:fldCharType="separate"/>
      </w:r>
      <w:r w:rsidRPr="00216F3E">
        <w:rPr>
          <w:rFonts w:ascii="Times New Roman" w:hAnsi="Times New Roman" w:cs="Times New Roman"/>
          <w:noProof/>
          <w:sz w:val="24"/>
          <w:szCs w:val="24"/>
        </w:rPr>
        <w:t>(12)</w:t>
      </w:r>
      <w:r w:rsidRPr="00216F3E">
        <w:rPr>
          <w:rFonts w:ascii="Times New Roman" w:hAnsi="Times New Roman" w:cs="Times New Roman"/>
          <w:sz w:val="24"/>
          <w:szCs w:val="24"/>
        </w:rPr>
        <w:fldChar w:fldCharType="end"/>
      </w:r>
      <w:r w:rsidRPr="00216F3E">
        <w:rPr>
          <w:rFonts w:ascii="Times New Roman" w:hAnsi="Times New Roman" w:cs="Times New Roman"/>
          <w:sz w:val="24"/>
          <w:szCs w:val="24"/>
        </w:rPr>
        <w:t xml:space="preserve">. This method uses a Dirichlet process prior to assign an unknown number of divergence times to the studied pairs by specifying a concentration parameter </w:t>
      </w:r>
      <w:r w:rsidRPr="00216F3E">
        <w:rPr>
          <w:rFonts w:ascii="Times New Roman" w:hAnsi="Times New Roman" w:cs="Times New Roman"/>
          <w:color w:val="231F20"/>
          <w:sz w:val="24"/>
          <w:szCs w:val="24"/>
        </w:rPr>
        <w:t>(</w:t>
      </w:r>
      <w:r w:rsidRPr="00216F3E">
        <w:rPr>
          <w:rFonts w:ascii="Times New Roman" w:hAnsi="Times New Roman" w:cs="Times New Roman"/>
          <w:color w:val="000000" w:themeColor="text1"/>
          <w:sz w:val="24"/>
          <w:szCs w:val="24"/>
        </w:rPr>
        <w:sym w:font="Symbol" w:char="F061"/>
      </w:r>
      <w:r w:rsidRPr="00216F3E">
        <w:rPr>
          <w:rFonts w:ascii="Times New Roman" w:hAnsi="Times New Roman" w:cs="Times New Roman"/>
          <w:color w:val="000000" w:themeColor="text1"/>
          <w:sz w:val="24"/>
          <w:szCs w:val="24"/>
        </w:rPr>
        <w:t xml:space="preserve">), which determines the probability of the events to be synchronous, and base distribution, which acts as a prior on idiosyncratic divergence times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{"citationItems":[{"id":"ITEM-1","itemData":{"DOI":"10.1111/evo.13754","ISSN":"15585646","PMID":"31017301","abstract":"A primary goal of biogeography is to understand how large-scale environmental processes, like climate change, affect diversification. One often-invoked but seldom tested process is the “species-pump” model, in which repeated bouts of cospeciation are driven by oscillating climate-induced habitat connectivity cycles. For example, over the past three million years, the landscape of the Philippine Islands has repeatedly coalesced and fragmented due to sea-level changes associated with glacial cycles. This repeated climate-driven vicariance has been proposed as a model of speciation across evolutionary lineages codistributed throughout the islands. This model predicts speciation times that are temporally clustered around the times when interglacial rises in sea level fragmented the islands. To test this prediction, we collected comparative genomic data from 16 pairs of insular gecko populations. We analyze these data in a full-likelihood, Bayesian model-choice framework to test for shared divergence times among the pairs. Our results provide support against the species-pump model prediction in favor of an alternative interpretation, namely that each pair of gecko populations diverged independently. These results suggest the repeated bouts of climate-driven landscape fragmentation have not been an important mechanism of speciation for gekkonid lizards across the Philippine Archipelago.","author":[{"dropping-particle":"","family":"Oaks","given":"Jamie R.","non-dropping-particle":"","parse-names":false,"suffix":""},{"dropping-particle":"","family":"Siler","given":"Cameron D.","non-dropping-particle":"","parse-names":false,"suffix":""},{"dropping-particle":"","family":"Brown","given":"Rafe M.","non-dropping-particle":"","parse-names":false,"suffix":""}],"container-title":"Evolution","id":"ITEM-1","issue":"6","issued":{"date-parts":[["2019"]]},"page":"1151-1167","title":"The comparative biogeography of Philippine geckos challenges predictions from a paradigm of climate-driven vicariant diversification across an island archipelago","type":"article-journal","volume":"73"},"uris":["http://www.mendeley.com/documents/?uuid=4ea6eb88-138f-4377-a997-72f9167c884b"]}],"mendeley":{"formattedCitation":"(115)","plainTextFormattedCitation":"(115)","previouslyFormattedCitation":"(114)"},"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(115)</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We assumed that all pairs share the same mutation rate, which we set to 1.0 to scale the effective population sizes and time with the mutation rate, therefore representing time in expected substitutions per site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{"citationItems":[{"id":"ITEM-1","itemData":{"DOI":"10.1111/evo.13754","ISSN":"15585646","PMID":"31017301","abstract":"A primary goal of biogeography is to understand how large-scale environmental processes, like climate change, affect diversification. One often-invoked but seldom tested process is the “species-pump” model, in which repeated bouts of cospeciation are driven by oscillating climate-induced habitat connectivity cycles. For example, over the past three million years, the landscape of the Philippine Islands has repeatedly coalesced and fragmented due to sea-level changes associated with glacial cycles. This repeated climate-driven vicariance has been proposed as a model of speciation across evolutionary lineages codistributed throughout the islands. This model predicts speciation times that are temporally clustered around the times when interglacial rises in sea level fragmented the islands. To test this prediction, we collected comparative genomic data from 16 pairs of insular gecko populations. We analyze these data in a full-likelihood, Bayesian model-choice framework to test for shared divergence times among the pairs. Our results provide support against the species-pump model prediction in favor of an alternative interpretation, namely that each pair of gecko populations diverged independently. These results suggest the repeated bouts of climate-driven landscape fragmentation have not been an important mechanism of speciation for gekkonid lizards across the Philippine Archipelago.","author":[{"dropping-particle":"","family":"Oaks","given":"Jamie R.","non-dropping-particle":"","parse-names":false,"suffix":""},{"dropping-particle":"","family":"Siler","given":"Cameron D.","non-dropping-particle":"","parse-names":false,"suffix":""},{"dropping-particle":"","family":"Brown","given":"Rafe M.","non-dropping-particle":"","parse-names":false,"suffix":""}],"container-title":"Evolution","id":"ITEM-1","issue":"6","issued":{"date-parts":[["2019"]]},"page":"1151-1167","title":"The comparative biogeography of Philippine geckos challenges predictions from a paradigm of climate-driven vicariant diversification across an island archipelago","type":"article-journal","volume":"73"},"uris":["http://www.mendeley.com/documents/?uuid=4ea6eb88-138f-4377-a997-72f9167c884b"]}],"mendeley":{"formattedCitation":"(115)","plainTextFormattedCitation":"(115)","previouslyFormattedCitation":"(114)"},"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(115)</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w:t>
      </w:r>
    </w:p>
    <w:p w14:paraId="205D1A17" w14:textId="028A8E2C" w:rsidR="00931688" w:rsidRPr="00633647" w:rsidRDefault="00931688" w:rsidP="00931688">
      <w:pPr>
        <w:autoSpaceDE w:val="0"/>
        <w:autoSpaceDN w:val="0"/>
        <w:adjustRightInd w:val="0"/>
        <w:jc w:val="both"/>
        <w:rPr>
          <w:rFonts w:ascii="Times New Roman" w:hAnsi="Times New Roman" w:cs="Times New Roman"/>
          <w:sz w:val="24"/>
          <w:szCs w:val="24"/>
        </w:rPr>
      </w:pPr>
      <w:r w:rsidRPr="00216F3E">
        <w:rPr>
          <w:rFonts w:ascii="Times New Roman" w:hAnsi="Times New Roman" w:cs="Times New Roman"/>
          <w:color w:val="000000" w:themeColor="text1"/>
          <w:sz w:val="24"/>
          <w:szCs w:val="24"/>
        </w:rPr>
        <w:tab/>
        <w:t xml:space="preserve">Although the model implemented in ecoevolity assumes that all genetic characters are orthologous, bi-allelic, and un-linked SNPs, simulations that included linked and constant characters suggest that this method performs better with their inclusion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{"citationItems":[{"id":"ITEM-1","itemData":{"DOI":"10.1093/sysbio/syy063","ISSN":"1076836X","PMID":"30239868","abstract":"A challenge to understanding biological diversification is accounting for community-scale processes that cause multiple, co-distributed lineages to co-speciate. Such processes predict non-independent, temporally clustered divergences across taxa. Approximate-likelihood Bayesian computation (ABC) approaches to inferring such patterns from comparative genetic data are very sensitive to prior assumptions and often biased toward estimating shared divergences. We introduce a full-likelihood Bayesian approach, ecoevolity, which takes full advantage of information in genomic data. By analytically integrating over gene trees, we are able to directly calculate the likelihood of the population history from genomic data, and efficiently sample the model-averaged posterior via Markov chain Monte Carlo algorithms. Using simulations, we find that the new method is much more accurate and precise at estimating the number and timing of divergence events across pairs of populations than existing approximate-likelihood methods. Our full Bayesian approach also requires several orders of magnitude less computational time than existing ABC approaches. We find that despite assuming unlinked characters (e.g., unlinked single-nucleotide polymorphisms), the new method performs better if this assumption is violated in order to retain the constant characters of whole linked loci. In fact, retaining constant characters allows the new method to robustly estimate the correct number of divergence events with high posterior probability in the face of character-acquisition biases, which commonly plague loci assembled from reduced-representation genomic libraries. We apply our method to genomic data from four pairs ofinsular populations of Gekko lizards from the Philippines that are notexpectedtohave co-diverged. Despite all four pairs diverging very recently, our method strongly supports that they diverged independently, and these results are robust to very disparate prior assumptions.","author":[{"dropping-particle":"","family":"Oaks","given":"Jamie R.","non-dropping-particle":"","parse-names":false,"suffix":""}],"container-title":"Systematic Biology","id":"ITEM-1","issue":"3","issued":{"date-parts":[["2019"]]},"page":"371-395","title":"Full Bayesian comparative phylogeography from genomic data","type":"article-journal","volume":"68"},"uris":["http://www.mendeley.com/documents/?uuid=068acf77-6390-49ca-bd31-8f19303d4f06"]}],"mendeley":{"formattedCitation":"(12)","plainTextFormattedCitation":"(12)","previouslyFormattedCitation":"(12)"},"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(12)</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w:t>
      </w:r>
      <w:r w:rsidRPr="00216F3E">
        <w:rPr>
          <w:rFonts w:ascii="Times New Roman" w:hAnsi="Times New Roman" w:cs="Times New Roman"/>
          <w:sz w:val="24"/>
          <w:szCs w:val="24"/>
        </w:rPr>
        <w:t xml:space="preserve">We conducted the analyses using fasta files generated during the </w:t>
      </w:r>
      <w:r w:rsidRPr="00216F3E">
        <w:rPr>
          <w:rFonts w:ascii="Times New Roman" w:hAnsi="Times New Roman" w:cs="Times New Roman"/>
          <w:color w:val="000000" w:themeColor="text1"/>
          <w:sz w:val="24"/>
          <w:szCs w:val="24"/>
        </w:rPr>
        <w:t>genome referenced assembly, including only one to four individuals per species pair. Concatenated alignments used for these analyses comprised 260,297</w:t>
      </w:r>
      <w:r w:rsidRPr="00216F3E">
        <w:rPr>
          <w:rFonts w:ascii="Times New Roman" w:hAnsi="Times New Roman" w:cs="Times New Roman"/>
          <w:color w:val="231F20"/>
          <w:sz w:val="24"/>
          <w:szCs w:val="24"/>
        </w:rPr>
        <w:t xml:space="preserve"> and 218,442 sites for the species pairs </w:t>
      </w:r>
      <w:r w:rsidRPr="00216F3E">
        <w:rPr>
          <w:rFonts w:ascii="Times New Roman" w:hAnsi="Times New Roman" w:cs="Times New Roman"/>
          <w:i/>
          <w:iCs/>
          <w:color w:val="231F20"/>
          <w:sz w:val="24"/>
          <w:szCs w:val="24"/>
        </w:rPr>
        <w:t>M. tetranemus</w:t>
      </w:r>
      <w:r w:rsidRPr="00216F3E">
        <w:rPr>
          <w:rFonts w:ascii="Times New Roman" w:hAnsi="Times New Roman" w:cs="Times New Roman"/>
          <w:color w:val="231F20"/>
          <w:sz w:val="24"/>
          <w:szCs w:val="24"/>
        </w:rPr>
        <w:t>–</w:t>
      </w:r>
      <w:r w:rsidRPr="00216F3E">
        <w:rPr>
          <w:rFonts w:ascii="Times New Roman" w:hAnsi="Times New Roman" w:cs="Times New Roman"/>
          <w:i/>
          <w:iCs/>
          <w:color w:val="231F20"/>
          <w:sz w:val="24"/>
          <w:szCs w:val="24"/>
        </w:rPr>
        <w:t>M. delalandii</w:t>
      </w:r>
      <w:r w:rsidRPr="00216F3E">
        <w:rPr>
          <w:rFonts w:ascii="Times New Roman" w:hAnsi="Times New Roman" w:cs="Times New Roman"/>
          <w:color w:val="231F20"/>
          <w:sz w:val="24"/>
          <w:szCs w:val="24"/>
        </w:rPr>
        <w:t xml:space="preserve"> and </w:t>
      </w:r>
      <w:r w:rsidRPr="00216F3E">
        <w:rPr>
          <w:rFonts w:ascii="Times New Roman" w:hAnsi="Times New Roman" w:cs="Times New Roman"/>
          <w:i/>
          <w:iCs/>
          <w:color w:val="231F20"/>
          <w:sz w:val="24"/>
          <w:szCs w:val="24"/>
        </w:rPr>
        <w:t>M. mexicanus</w:t>
      </w:r>
      <w:r w:rsidRPr="00216F3E">
        <w:rPr>
          <w:rFonts w:ascii="Times New Roman" w:hAnsi="Times New Roman" w:cs="Times New Roman"/>
          <w:color w:val="231F20"/>
          <w:sz w:val="24"/>
          <w:szCs w:val="24"/>
        </w:rPr>
        <w:t>–</w:t>
      </w:r>
      <w:r w:rsidRPr="00216F3E">
        <w:rPr>
          <w:rFonts w:ascii="Times New Roman" w:hAnsi="Times New Roman" w:cs="Times New Roman"/>
          <w:i/>
          <w:iCs/>
          <w:color w:val="231F20"/>
          <w:sz w:val="24"/>
          <w:szCs w:val="24"/>
        </w:rPr>
        <w:lastRenderedPageBreak/>
        <w:t>M. triangulatus</w:t>
      </w:r>
      <w:r w:rsidRPr="00216F3E">
        <w:rPr>
          <w:rFonts w:ascii="Times New Roman" w:hAnsi="Times New Roman" w:cs="Times New Roman"/>
          <w:color w:val="231F20"/>
          <w:sz w:val="24"/>
          <w:szCs w:val="24"/>
        </w:rPr>
        <w:t xml:space="preserve">, respectively. Additionally, to maximize the amount of genetic information, we assembled the loci </w:t>
      </w:r>
      <w:r w:rsidRPr="00216F3E">
        <w:rPr>
          <w:rFonts w:ascii="Times New Roman" w:hAnsi="Times New Roman" w:cs="Times New Roman"/>
          <w:i/>
          <w:iCs/>
          <w:color w:val="231F20"/>
          <w:sz w:val="24"/>
          <w:szCs w:val="24"/>
        </w:rPr>
        <w:t>de novo</w:t>
      </w:r>
      <w:r w:rsidRPr="00216F3E">
        <w:rPr>
          <w:rFonts w:ascii="Times New Roman" w:hAnsi="Times New Roman" w:cs="Times New Roman"/>
          <w:color w:val="231F20"/>
          <w:sz w:val="24"/>
          <w:szCs w:val="24"/>
        </w:rPr>
        <w:t xml:space="preserve"> for each trans-isthmic pair. These data sets </w:t>
      </w:r>
      <w:r w:rsidRPr="00216F3E">
        <w:rPr>
          <w:rFonts w:ascii="Times New Roman" w:hAnsi="Times New Roman" w:cs="Times New Roman"/>
          <w:color w:val="000000" w:themeColor="text1"/>
          <w:sz w:val="24"/>
          <w:szCs w:val="24"/>
        </w:rPr>
        <w:t>comprised</w:t>
      </w:r>
      <w:r w:rsidRPr="00216F3E">
        <w:rPr>
          <w:rFonts w:ascii="Times New Roman" w:hAnsi="Times New Roman" w:cs="Times New Roman"/>
          <w:color w:val="231F20"/>
          <w:sz w:val="24"/>
          <w:szCs w:val="24"/>
        </w:rPr>
        <w:t xml:space="preserve"> </w:t>
      </w:r>
      <w:r w:rsidRPr="00216F3E">
        <w:rPr>
          <w:rFonts w:ascii="Times New Roman" w:hAnsi="Times New Roman" w:cs="Times New Roman"/>
          <w:color w:val="000000" w:themeColor="text1"/>
          <w:sz w:val="24"/>
          <w:szCs w:val="24"/>
        </w:rPr>
        <w:t>1,022,314</w:t>
      </w:r>
      <w:r w:rsidRPr="00216F3E">
        <w:rPr>
          <w:rFonts w:ascii="Times New Roman" w:hAnsi="Times New Roman" w:cs="Times New Roman"/>
          <w:color w:val="231F20"/>
          <w:sz w:val="24"/>
          <w:szCs w:val="24"/>
        </w:rPr>
        <w:t xml:space="preserve"> and 1,042,562 bp for the species pairs </w:t>
      </w:r>
      <w:r w:rsidRPr="00216F3E">
        <w:rPr>
          <w:rFonts w:ascii="Times New Roman" w:hAnsi="Times New Roman" w:cs="Times New Roman"/>
          <w:i/>
          <w:iCs/>
          <w:color w:val="231F20"/>
          <w:sz w:val="24"/>
          <w:szCs w:val="24"/>
        </w:rPr>
        <w:t>M. tetranemus</w:t>
      </w:r>
      <w:r w:rsidRPr="00216F3E">
        <w:rPr>
          <w:rFonts w:ascii="Times New Roman" w:hAnsi="Times New Roman" w:cs="Times New Roman"/>
          <w:color w:val="231F20"/>
          <w:sz w:val="24"/>
          <w:szCs w:val="24"/>
        </w:rPr>
        <w:t>–</w:t>
      </w:r>
      <w:r w:rsidRPr="00216F3E">
        <w:rPr>
          <w:rFonts w:ascii="Times New Roman" w:hAnsi="Times New Roman" w:cs="Times New Roman"/>
          <w:i/>
          <w:iCs/>
          <w:color w:val="231F20"/>
          <w:sz w:val="24"/>
          <w:szCs w:val="24"/>
        </w:rPr>
        <w:t>M. delalandii</w:t>
      </w:r>
      <w:r w:rsidRPr="00216F3E">
        <w:rPr>
          <w:rFonts w:ascii="Times New Roman" w:hAnsi="Times New Roman" w:cs="Times New Roman"/>
          <w:color w:val="231F20"/>
          <w:sz w:val="24"/>
          <w:szCs w:val="24"/>
        </w:rPr>
        <w:t xml:space="preserve"> and </w:t>
      </w:r>
      <w:r w:rsidRPr="00216F3E">
        <w:rPr>
          <w:rFonts w:ascii="Times New Roman" w:hAnsi="Times New Roman" w:cs="Times New Roman"/>
          <w:i/>
          <w:iCs/>
          <w:color w:val="231F20"/>
          <w:sz w:val="24"/>
          <w:szCs w:val="24"/>
        </w:rPr>
        <w:t>M. mexicanus</w:t>
      </w:r>
      <w:r w:rsidRPr="00216F3E">
        <w:rPr>
          <w:rFonts w:ascii="Times New Roman" w:hAnsi="Times New Roman" w:cs="Times New Roman"/>
          <w:color w:val="231F20"/>
          <w:sz w:val="24"/>
          <w:szCs w:val="24"/>
        </w:rPr>
        <w:t>–</w:t>
      </w:r>
      <w:r w:rsidRPr="00216F3E">
        <w:rPr>
          <w:rFonts w:ascii="Times New Roman" w:hAnsi="Times New Roman" w:cs="Times New Roman"/>
          <w:i/>
          <w:iCs/>
          <w:color w:val="231F20"/>
          <w:sz w:val="24"/>
          <w:szCs w:val="24"/>
        </w:rPr>
        <w:t>M. triangulatus</w:t>
      </w:r>
      <w:r w:rsidRPr="00216F3E">
        <w:rPr>
          <w:rFonts w:ascii="Times New Roman" w:hAnsi="Times New Roman" w:cs="Times New Roman"/>
          <w:color w:val="231F20"/>
          <w:sz w:val="24"/>
          <w:szCs w:val="24"/>
        </w:rPr>
        <w:t>, respectively. We set the concentration parameter of the Dirichlet process (</w:t>
      </w:r>
      <w:r w:rsidRPr="00216F3E">
        <w:rPr>
          <w:rFonts w:ascii="Times New Roman" w:hAnsi="Times New Roman" w:cs="Times New Roman"/>
          <w:color w:val="000000" w:themeColor="text1"/>
          <w:sz w:val="24"/>
          <w:szCs w:val="24"/>
        </w:rPr>
        <w:sym w:font="Symbol" w:char="F061"/>
      </w:r>
      <w:r w:rsidRPr="00216F3E">
        <w:rPr>
          <w:rFonts w:ascii="Times New Roman" w:hAnsi="Times New Roman" w:cs="Times New Roman"/>
          <w:color w:val="000000" w:themeColor="text1"/>
          <w:sz w:val="24"/>
          <w:szCs w:val="24"/>
        </w:rPr>
        <w:t xml:space="preserve"> = 1), while considering the null hypothesis as the pairs diverged independently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{"citationItems":[{"id":"ITEM-1","itemData":{"DOI":"10.1073/pnas.1601069113","ISSN":"1091-6490","PMID":"27432974","abstract":"For three decades, comparative phylogeography has conceptually and methodologically relied on the concordance criterion for providing insights into the historical/biogeographic processes driving population genetic structure and divergence. Here we discuss how this emphasis, and the corresponding lack of methods for extracting information about biotic/intrinsic contributions to patterns of genetic variation, may bias our general understanding of the factors driving genetic structure. Specifically, this emphasis has promoted a tendency to attribute discordant phylogeographic patterns to the idiosyncracies of history, as well as an adherence to generic null expectations of concordance with reduced predictive power. We advocate that it is time for a paradigm shift in comparative phylogeography, especially given the limited utility of the concordance criterion as genomic data provide ever-increasing levels of resolution. Instead of adhering to the concordance-discordance dichotomy, comparative phylogeography needs to emphasize the contribution of taxon-specific traits that will determine whether concordance is a meaningful criterion for evaluating hypotheses or may predict discordant phylogeographic structure. Through reference to some case studies we illustrate how refined hypotheses based on taxon-specific traits can provide improved predictive frameworks to forecast species responses to climatic change or biogeographic barriers while gaining unique insights about the taxa themselves and their interactions with their environment. We outline a potential avenue toward a synthetic comparative phylogeographic paradigm that includes addressing some important conceptual and methodological challenges related to study design and application of model-based approaches for evaluating support of trait-based hypotheses under the proposed paradigm.","author":[{"dropping-particle":"","family":"Papadopoulou","given":"Anna","non-dropping-particle":"","parse-names":false,"suffix":""},{"dropping-particle":"","family":"Knowles","given":"L Lacey","non-dropping-particle":"","parse-names":false,"suffix":""}],"container-title":"Proceedings of the National Academy of Sciences of the United States of America","id":"ITEM-1","issue":"29","issued":{"date-parts":[["2016"]]},"page":"8018-24","title":"Toward a paradigm shift in comparative phylogeography driven by trait-based hypotheses.","type":"article-journal","volume":"113"},"uris":["http://www.mendeley.com/documents/?uuid=ea46f491-9649-47e2-83c3-6649f01bef28"]}],"mendeley":{"formattedCitation":"(116)","plainTextFormattedCitation":"(116)","previouslyFormattedCitation":"(115)"},"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(116)</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 xml:space="preserve">. We set the prior on divergences times </w:t>
      </w:r>
      <w:r w:rsidRPr="00216F3E">
        <w:rPr>
          <w:rFonts w:ascii="Times New Roman" w:hAnsi="Times New Roman" w:cs="Times New Roman"/>
          <w:color w:val="000000" w:themeColor="text1"/>
          <w:sz w:val="24"/>
          <w:szCs w:val="24"/>
        </w:rPr>
        <w:sym w:font="Symbol" w:char="F074"/>
      </w:r>
      <w:r w:rsidRPr="00216F3E">
        <w:rPr>
          <w:rFonts w:ascii="Times New Roman" w:hAnsi="Times New Roman" w:cs="Times New Roman"/>
          <w:color w:val="000000" w:themeColor="text1"/>
          <w:sz w:val="24"/>
          <w:szCs w:val="24"/>
        </w:rPr>
        <w:t xml:space="preserve"> </w:t>
      </w:r>
      <w:r w:rsidRPr="00216F3E">
        <w:rPr>
          <w:rFonts w:ascii="Times New Roman" w:hAnsi="Times New Roman" w:cs="Times New Roman"/>
          <w:color w:val="000000" w:themeColor="text1"/>
          <w:sz w:val="24"/>
          <w:szCs w:val="24"/>
        </w:rPr>
        <w:sym w:font="Symbol" w:char="F07E"/>
      </w:r>
      <w:r w:rsidRPr="00216F3E">
        <w:rPr>
          <w:rFonts w:ascii="Times New Roman" w:hAnsi="Times New Roman" w:cs="Times New Roman"/>
          <w:color w:val="000000" w:themeColor="text1"/>
          <w:sz w:val="24"/>
          <w:szCs w:val="24"/>
        </w:rPr>
        <w:t xml:space="preserve"> Gamma to 10 in order to simulate a slow divergence scenario. We ran five MCMCs for 2,000,000 generations, sampling every 2,500 generations. We assessed the convergence of the analyses using the </w:t>
      </w:r>
      <w:r w:rsidRPr="00216F3E">
        <w:rPr>
          <w:rFonts w:ascii="Times New Roman" w:hAnsi="Times New Roman" w:cs="Times New Roman"/>
          <w:i/>
          <w:iCs/>
          <w:color w:val="000000" w:themeColor="text1"/>
          <w:sz w:val="24"/>
          <w:szCs w:val="24"/>
        </w:rPr>
        <w:t>pyco-sumchains</w:t>
      </w:r>
      <w:r w:rsidRPr="00216F3E">
        <w:rPr>
          <w:rFonts w:ascii="Times New Roman" w:hAnsi="Times New Roman" w:cs="Times New Roman"/>
          <w:color w:val="000000" w:themeColor="text1"/>
          <w:sz w:val="24"/>
          <w:szCs w:val="24"/>
        </w:rPr>
        <w:t xml:space="preserve"> tool in pycoevolity </w:t>
      </w:r>
      <w:r w:rsidRPr="00216F3E">
        <w:rPr>
          <w:rFonts w:ascii="Times New Roman" w:hAnsi="Times New Roman" w:cs="Times New Roman"/>
          <w:color w:val="000000" w:themeColor="text1"/>
          <w:sz w:val="24"/>
          <w:szCs w:val="24"/>
        </w:rPr>
        <w:fldChar w:fldCharType="begin" w:fldLock="1"/>
      </w:r>
      <w:r w:rsidRPr="00216F3E">
        <w:rPr>
          <w:rFonts w:ascii="Times New Roman" w:hAnsi="Times New Roman" w:cs="Times New Roman"/>
          <w:color w:val="000000" w:themeColor="text1"/>
          <w:sz w:val="24"/>
          <w:szCs w:val="24"/>
        </w:rPr>
        <w:instrText>ADDIN CSL_CITATION {"citationItems":[{"id":"ITEM-1","itemData":{"DOI":"10.1111/evo.13754","ISSN":"15585646","PMID":"31017301","abstract":"A primary goal of biogeography is to understand how large-scale environmental processes, like climate change, affect diversification. One often-invoked but seldom tested process is the “species-pump” model, in which repeated bouts of cospeciation are driven by oscillating climate-induced habitat connectivity cycles. For example, over the past three million years, the landscape of the Philippine Islands has repeatedly coalesced and fragmented due to sea-level changes associated with glacial cycles. This repeated climate-driven vicariance has been proposed as a model of speciation across evolutionary lineages codistributed throughout the islands. This model predicts speciation times that are temporally clustered around the times when interglacial rises in sea level fragmented the islands. To test this prediction, we collected comparative genomic data from 16 pairs of insular gecko populations. We analyze these data in a full-likelihood, Bayesian model-choice framework to test for shared divergence times among the pairs. Our results provide support against the species-pump model prediction in favor of an alternative interpretation, namely that each pair of gecko populations diverged independently. These results suggest the repeated bouts of climate-driven landscape fragmentation have not been an important mechanism of speciation for gekkonid lizards across the Philippine Archipelago.","author":[{"dropping-particle":"","family":"Oaks","given":"Jamie R.","non-dropping-particle":"","parse-names":false,"suffix":""},{"dropping-particle":"","family":"Siler","given":"Cameron D.","non-dropping-particle":"","parse-names":false,"suffix":""},{"dropping-particle":"","family":"Brown","given":"Rafe M.","non-dropping-particle":"","parse-names":false,"suffix":""}],"container-title":"Evolution","id":"ITEM-1","issue":"6","issued":{"date-parts":[["2019"]]},"page":"1151-1167","title":"The comparative biogeography of Philippine geckos challenges predictions from a paradigm of climate-driven vicariant diversification across an island archipelago","type":"article-journal","volume":"73"},"uris":["http://www.mendeley.com/documents/?uuid=4ea6eb88-138f-4377-a997-72f9167c884b"]}],"mendeley":{"formattedCitation":"(115)","plainTextFormattedCitation":"(115)","previouslyFormattedCitation":"(114)"},"properties":{"noteIndex":0},"schema":"https://github.com/citation-style-language/schema/raw/master/csl-citation.json"}</w:instrText>
      </w:r>
      <w:r w:rsidRPr="00216F3E">
        <w:rPr>
          <w:rFonts w:ascii="Times New Roman" w:hAnsi="Times New Roman" w:cs="Times New Roman"/>
          <w:color w:val="000000" w:themeColor="text1"/>
          <w:sz w:val="24"/>
          <w:szCs w:val="24"/>
        </w:rPr>
        <w:fldChar w:fldCharType="separate"/>
      </w:r>
      <w:r w:rsidRPr="00216F3E">
        <w:rPr>
          <w:rFonts w:ascii="Times New Roman" w:hAnsi="Times New Roman" w:cs="Times New Roman"/>
          <w:noProof/>
          <w:color w:val="000000" w:themeColor="text1"/>
          <w:sz w:val="24"/>
          <w:szCs w:val="24"/>
        </w:rPr>
        <w:t>(115)</w:t>
      </w:r>
      <w:r w:rsidRPr="00216F3E">
        <w:rPr>
          <w:rFonts w:ascii="Times New Roman" w:hAnsi="Times New Roman" w:cs="Times New Roman"/>
          <w:color w:val="000000" w:themeColor="text1"/>
          <w:sz w:val="24"/>
          <w:szCs w:val="24"/>
        </w:rPr>
        <w:fldChar w:fldCharType="end"/>
      </w:r>
      <w:r w:rsidRPr="00216F3E">
        <w:rPr>
          <w:rFonts w:ascii="Times New Roman" w:hAnsi="Times New Roman" w:cs="Times New Roman"/>
          <w:color w:val="000000" w:themeColor="text1"/>
          <w:sz w:val="24"/>
          <w:szCs w:val="24"/>
        </w:rPr>
        <w:t>.</w:t>
      </w:r>
    </w:p>
    <w:p w14:paraId="2EBEA4DF" w14:textId="77777777" w:rsidR="00931688" w:rsidRPr="00633647" w:rsidRDefault="00931688" w:rsidP="00931688">
      <w:pPr>
        <w:jc w:val="both"/>
        <w:rPr>
          <w:rFonts w:ascii="Times New Roman" w:hAnsi="Times New Roman" w:cs="Times New Roman"/>
          <w:color w:val="000000" w:themeColor="text1"/>
          <w:sz w:val="24"/>
          <w:szCs w:val="24"/>
        </w:rPr>
      </w:pPr>
      <w:r w:rsidRPr="00633647">
        <w:rPr>
          <w:rFonts w:ascii="Times New Roman" w:hAnsi="Times New Roman" w:cs="Times New Roman"/>
          <w:b/>
          <w:bCs/>
          <w:color w:val="000000" w:themeColor="text1"/>
          <w:sz w:val="24"/>
          <w:szCs w:val="24"/>
        </w:rPr>
        <w:t xml:space="preserve">Biogeographic analyses. </w:t>
      </w:r>
      <w:r w:rsidRPr="00633647">
        <w:rPr>
          <w:rFonts w:ascii="Times New Roman" w:hAnsi="Times New Roman" w:cs="Times New Roman"/>
          <w:color w:val="000000" w:themeColor="text1"/>
          <w:sz w:val="24"/>
          <w:szCs w:val="24"/>
        </w:rPr>
        <w:t xml:space="preserve">We </w:t>
      </w:r>
      <w:r w:rsidRPr="00633647">
        <w:rPr>
          <w:rFonts w:ascii="Times New Roman" w:hAnsi="Times New Roman" w:cs="Times New Roman"/>
          <w:sz w:val="24"/>
          <w:szCs w:val="24"/>
        </w:rPr>
        <w:t xml:space="preserve">inferred ancestral geographic ranges for the genus with BioGeoBEARS </w:t>
      </w:r>
      <w:r w:rsidRPr="00633647">
        <w:rPr>
          <w:rFonts w:ascii="Times New Roman" w:hAnsi="Times New Roman" w:cs="Times New Roman"/>
          <w:sz w:val="24"/>
          <w:szCs w:val="24"/>
        </w:rPr>
        <w:fldChar w:fldCharType="begin" w:fldLock="1"/>
      </w:r>
      <w:r w:rsidRPr="00633647">
        <w:rPr>
          <w:rFonts w:ascii="Times New Roman" w:hAnsi="Times New Roman" w:cs="Times New Roman"/>
          <w:sz w:val="24"/>
          <w:szCs w:val="24"/>
        </w:rPr>
        <w:instrText>ADDIN CSL_CITATION {"citationItems":[{"id":"ITEM-1","itemData":{"DOI":"10.5281/zenodo.1463216","author":[{"dropping-particle":"","family":"Matzke","given":"Nicholas J","non-dropping-particle":"","parse-names":false,"suffix":""}],"id":"ITEM-1","issued":{"date-parts":[["2018","10"]]},"publisher":"Zenodo","title":"nmatzke/BioGeoBEARS: BioGeoBEARS: BioGeography with Bayesian (and likelihood) Evolutionary Analysis with R Scripts","type":"article"},"uris":["http://www.mendeley.com/documents/?uuid=7818ed6b-1152-4370-b443-1f183b709b69"]}],"mendeley":{"formattedCitation":"(9)","plainTextFormattedCitation":"(9)","previouslyFormattedCitation":"(9)"},"properties":{"noteIndex":0},"schema":"https://github.com/citation-style-language/schema/raw/master/csl-citation.json"}</w:instrText>
      </w:r>
      <w:r w:rsidRPr="00633647">
        <w:rPr>
          <w:rFonts w:ascii="Times New Roman" w:hAnsi="Times New Roman" w:cs="Times New Roman"/>
          <w:sz w:val="24"/>
          <w:szCs w:val="24"/>
        </w:rPr>
        <w:fldChar w:fldCharType="separate"/>
      </w:r>
      <w:r w:rsidRPr="00633647">
        <w:rPr>
          <w:rFonts w:ascii="Times New Roman" w:hAnsi="Times New Roman" w:cs="Times New Roman"/>
          <w:noProof/>
          <w:sz w:val="24"/>
          <w:szCs w:val="24"/>
        </w:rPr>
        <w:t>(9)</w:t>
      </w:r>
      <w:r w:rsidRPr="00633647">
        <w:rPr>
          <w:rFonts w:ascii="Times New Roman" w:hAnsi="Times New Roman" w:cs="Times New Roman"/>
          <w:sz w:val="24"/>
          <w:szCs w:val="24"/>
        </w:rPr>
        <w:fldChar w:fldCharType="end"/>
      </w:r>
      <w:r w:rsidRPr="00633647">
        <w:rPr>
          <w:rFonts w:ascii="Times New Roman" w:hAnsi="Times New Roman" w:cs="Times New Roman"/>
          <w:sz w:val="24"/>
          <w:szCs w:val="24"/>
        </w:rPr>
        <w:t xml:space="preserve">, with our </w:t>
      </w:r>
      <w:r w:rsidRPr="00633647">
        <w:rPr>
          <w:rFonts w:ascii="Times New Roman" w:hAnsi="Times New Roman" w:cs="Times New Roman"/>
          <w:color w:val="000000" w:themeColor="text1"/>
          <w:sz w:val="24"/>
          <w:szCs w:val="24"/>
        </w:rPr>
        <w:t>time-calibrated species tree as the input phylogeny. We built a presence/absence matrix by coding each species based on the location records retrieved from scientific and museum collections available in GBIF data archive.</w:t>
      </w:r>
      <w:r w:rsidRPr="00633647">
        <w:rPr>
          <w:rFonts w:ascii="Times New Roman" w:hAnsi="Times New Roman" w:cs="Times New Roman"/>
          <w:b/>
          <w:bCs/>
          <w:color w:val="000000" w:themeColor="text1"/>
          <w:sz w:val="24"/>
          <w:szCs w:val="24"/>
        </w:rPr>
        <w:t xml:space="preserve"> </w:t>
      </w:r>
      <w:r w:rsidRPr="00633647">
        <w:rPr>
          <w:rFonts w:ascii="Times New Roman" w:hAnsi="Times New Roman" w:cs="Times New Roman"/>
          <w:color w:val="000000" w:themeColor="text1"/>
          <w:sz w:val="24"/>
          <w:szCs w:val="24"/>
        </w:rPr>
        <w:t>We</w:t>
      </w:r>
      <w:r w:rsidRPr="00633647">
        <w:rPr>
          <w:rFonts w:ascii="Times New Roman" w:hAnsi="Times New Roman" w:cs="Times New Roman"/>
          <w:b/>
          <w:bCs/>
          <w:color w:val="000000" w:themeColor="text1"/>
          <w:sz w:val="24"/>
          <w:szCs w:val="24"/>
        </w:rPr>
        <w:t xml:space="preserve"> </w:t>
      </w:r>
      <w:r w:rsidRPr="00633647">
        <w:rPr>
          <w:rFonts w:ascii="Times New Roman" w:hAnsi="Times New Roman" w:cs="Times New Roman"/>
          <w:color w:val="000000" w:themeColor="text1"/>
          <w:sz w:val="24"/>
          <w:szCs w:val="24"/>
        </w:rPr>
        <w:t xml:space="preserve">implemented a biogeographic scheme based on seven biogeographic provinces that covered the distribution range of the 23 </w:t>
      </w:r>
      <w:r w:rsidRPr="00633647">
        <w:rPr>
          <w:rFonts w:ascii="Times New Roman" w:hAnsi="Times New Roman" w:cs="Times New Roman"/>
          <w:i/>
          <w:iCs/>
          <w:color w:val="000000" w:themeColor="text1"/>
          <w:sz w:val="24"/>
          <w:szCs w:val="24"/>
        </w:rPr>
        <w:t>Malacoctenus</w:t>
      </w:r>
      <w:r w:rsidRPr="00633647">
        <w:rPr>
          <w:rFonts w:ascii="Times New Roman" w:hAnsi="Times New Roman" w:cs="Times New Roman"/>
          <w:color w:val="000000" w:themeColor="text1"/>
          <w:sz w:val="24"/>
          <w:szCs w:val="24"/>
        </w:rPr>
        <w:t xml:space="preserve"> species. Our biogeographic scheme was based on the provinces proposed by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{"citationItems":[{"id":"ITEM-1","itemData":{"author":[{"dropping-particle":"","family":"Hastings","given":"Philip A","non-dropping-particle":"","parse-names":false,"suffix":""}],"container-title":"Zoological Journal of the Linnean Society","id":"ITEM-1","issued":{"date-parts":[["2000"]]},"page":"319-335","title":"Biogeography of the Tropical Eastern Pacific : distribution and phylogeny of chaenopsid fishes","type":"article-journal","volume":"128"},"uris":["http://www.mendeley.com/documents/?uuid=adfe0f8f-5f0b-4a86-8324-8cc7d41aa829"]},{"id":"ITEM-2","itemData":{"author":[{"dropping-particle":"","family":"Spalding","given":"Mark D","non-dropping-particle":"","parse-names":false,"suffix":""},{"dropping-particle":"","family":"Fox","given":"Helen E","non-dropping-particle":"","parse-names":false,"suffix":""},{"dropping-particle":"","family":"Allen","given":"Gerald R","non-dropping-particle":"","parse-names":false,"suffix":""},{"dropping-particle":"","family":"Davidson","given":"Nick","non-dropping-particle":"","parse-names":false,"suffix":""},{"dropping-particle":"","family":"Ferdaña","given":"Zach A","non-dropping-particle":"","parse-names":false,"suffix":""},{"dropping-particle":"","family":"Finlayson","given":"M A X","non-dropping-particle":"","parse-names":false,"suffix":""},{"dropping-particle":"","family":"Halpern","given":"Benjamin S","non-dropping-particle":"","parse-names":false,"suffix":""},{"dropping-particle":"","family":"Jorge","given":"Miguel A","non-dropping-particle":"","parse-names":false,"suffix":""},{"dropping-particle":"","family":"Lombana","given":"A L","non-dropping-particle":"","parse-names":false,"suffix":""},{"dropping-particle":"","family":"Lourie","given":"Sara A","non-dropping-particle":"","parse-names":false,"suffix":""},{"dropping-particle":"","family":"Martin","given":"Kirsten D","non-dropping-particle":"","parse-names":false,"suffix":""},{"dropping-particle":"","family":"Manus","given":"M C","non-dropping-particle":"","parse-names":false,"suffix":""},{"dropping-particle":"","family":"Molnar","given":"Jennifer","non-dropping-particle":"","parse-names":false,"suffix":""},{"dropping-particle":"","family":"Recchia","given":"Cheri A","non-dropping-particle":"","parse-names":false,"suffix":""},{"dropping-particle":"","family":"Robertson","given":"James","non-dropping-particle":"","parse-names":false,"suffix":""}],"id":"ITEM-2","issue":"7","issued":{"date-parts":[["2007"]]},"page":"573-583","title":"Marine Ecoregions of the World : A Bioregionalization of Coastal and Shelf Areas","type":"article-journal","volume":"57"},"uris":["http://www.mendeley.com/documents/?uuid=75a3a620-dfd5-4c2d-ad6f-09ce8a83f173"]},{"id":"ITEM-3","itemData":{"DOI":"10.1371/journal.pone.0102918","ISBN":"1932-6203 (Electronic)\\r1932-6203 (Linking)","ISSN":"19326203","PMID":"25054225","abstract":"The Greater Caribbean biogeographic region is the high-diversity heart of the Tropical West Atlantic, one of four global centers of tropical marine biodiversity. The traditional view of the Greater Caribbean is that it is limited to the Caribbean, West Indies, southwest Gulf of Mexico and tip of Florida, and that, due to its faunal homogeneity, lacks major provincial subdivisions. In this scenario the northern 2/3 of the Gulf of Mexico and southeastern USA represent a separate temperate, \"Carolinian\" biogeographic region. We completed a comprehensive re-assessment of the biogeography of the Greater Caribbean by comparing the distributions of 1,559 shorefish species within 45 sections of shelf waters of the Greater Caribbean and adjacent areas. This analysis shows that that the Greater Caribbean occupies a much larger area than usually thought, extending south to at least Guyana, and north to encompass the entire Carolinian area. Rather than being homogenous, the Greater Caribbean is divided into three major provinces, each with a distinctive, primarily tropical fauna: (1) a central, tropical province comprising the West Indies, Bermuda and Central America; (2) a southern, upwelling-affected province spanning the entire continental shelf of northern South America; and (iii) a northern, subtropical province that includes all of the Gulf of Mexico, Florida and southeastern USA. This three-province pattern holds for both reef- and soft bottom fishes, indicating a general response by demersal fishes to major variation in provincial shelf environments. Such environmental differences include latitudinal variation in sea temperature, availability of major habitats (coral reefs, soft bottom shorelines, and mangroves), and nutrient additions from upwelling areas and large rivers. The three-province arrangement of the Greater Caribbean broadly resembles and has a similar environmental basis to the provincial arrangement of its sister biogeographic region, the Tropical Eastern Pacific.","author":[{"dropping-particle":"","family":"Robertson","given":"D. Ross","non-dropping-particle":"","parse-names":false,"suffix":""},{"dropping-particle":"","family":"Cramer","given":"Katie L.","non-dropping-particle":"","parse-names":false,"suffix":""}],"container-title":"PLoS ONE","id":"ITEM-3","issue":"7","issued":{"date-parts":[["2014"]]},"title":"Defining and dividing the Greater Caribbean: Insights from the biogeography of shorefishes","type":"article-journal","volume":"9"},"uris":["http://www.mendeley.com/documents/?uuid=6ec7fa7d-ff3b-492d-babb-2749c8ab77b3"]}],"mendeley":{"formattedCitation":"(4, 10, 11)","plainTextFormattedCitation":"(4, 10, 11)","previouslyFormattedCitation":"(4, 10, 11)"},"properties":{"noteIndex":0},"schema":"https://github.com/citation-style-language/schema/raw/master/csl-citation.json"}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(4, 10, 11)</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xml:space="preserve"> to reflect some of the major biogeographical breaks evaluated in this study. Although there is controversy around the extent and number of the biogeographic provinces in the TEP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DOI":"10.3354/meps07925","author":[{"dropping-particle":"","family":"April","given":"Published","non-dropping-particle":"","parse-names":false,"suffix":""},{"dropping-particle":"","family":"Pen","given":"O","non-dropping-particle":"","parse-names":false,"suffix":""},{"dropping-particle":"","family":"Robertson","given":"D Ross","non-dropping-particle":"","parse-names":false,"suffix":""},{"dropping-particle":"","family":"Cramer","given":"Katie L","non-dropping-particle":"","parse-names":false,"suffix":""}],"id":"ITEM-1","issue":"Ekman 1953","issued":{"date-parts":[["2009"]]},"page":"1-17","title":"Shore fishes and biogeographic subdivisions of the Tropical Eastern Pacific","type":"article-journal","volume":"380"},"uris":["http://www.mendeley.com/documents/?uuid=4d7cd0b3-01a3-41c3-9ff2-6baa1bd29794"]}],"mendeley":{"formattedCitation":"(117)","plainTextFormattedCitation":"(117)","previouslyFormattedCitation":"(116)"},"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(117)</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xml:space="preserve">, here we considered the four provinces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{"citationItems":[{"id":"ITEM-1","itemData":{"author":[{"dropping-particle":"","family":"Hastings","given":"Philip A","non-dropping-particle":"","parse-names":false,"suffix":""}],"container-title":"Zoological Journal of the Linnean Society","id":"ITEM-1","issued":{"date-parts":[["2000"]]},"page":"319-335","title":"Biogeography of the Tropical Eastern Pacific : distribution and phylogeny of chaenopsid fishes","type":"article-journal","volume":"128"},"uris":["http://www.mendeley.com/documents/?uuid=adfe0f8f-5f0b-4a86-8324-8cc7d41aa829"]}],"mendeley":{"formattedCitation":"(4)","plainTextFormattedCitation":"(4)","previouslyFormattedCitation":"(4)"},"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(4)</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xml:space="preserve"> that represent endemism, distribution, and genetic structure of several rocky shore fishes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{"citationItems":[{"id":"ITEM-1","itemData":{"author":[{"dropping-particle":"","family":"Springer","given":"Victor G.","non-dropping-particle":"","parse-names":false,"suffix":""}],"id":"ITEM-1","issued":{"date-parts":[["1959"]]},"number-of-pages":"5: 417-492","publisher":"University of Texas","title":"Systematics and Zoogeography of the Clinid Fishes of the Subtribe Labrisomini Hubbs","type":"thesis"},"uris":["http://www.mendeley.com/documents/?uuid=2bbfe69c-07bb-49dc-a59b-8bc4e67312a5"]}],"mendeley":{"formattedCitation":"(3)","plainTextFormattedCitation":"(3)","previouslyFormattedCitation":"(3)"},"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(3)</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xml:space="preserve">. The biogeographic scheme of the TEP was represented by four provinces: Cortez (C), Mexican (M), Panamian (P), and Galapagos (G). The province of Cortez corresponds to the Gulf of California, the Mexican province includes the coast of Mexico from Mazatlán, Sinaloa, to the Isthmus of Tehuantepec in the south, the Panamic province extends from the Gulf of Fonseca in Nicaragua to the south of the Gulf of Guayaquil, Peru, and the Galapagos Archipelago. For the TA, we used the delimitation suggested by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{"citationItems":[{"id":"ITEM-1","itemData":{"DOI":"10.1371/journal.pone.0102918","ISBN":"1932-6203 (Electronic)\\r1932-6203 (Linking)","ISSN":"19326203","PMID":"25054225","abstract":"The Greater Caribbean biogeographic region is the high-diversity heart of the Tropical West Atlantic, one of four global centers of tropical marine biodiversity. The traditional view of the Greater Caribbean is that it is limited to the Caribbean, West Indies, southwest Gulf of Mexico and tip of Florida, and that, due to its faunal homogeneity, lacks major provincial subdivisions. In this scenario the northern 2/3 of the Gulf of Mexico and southeastern USA represent a separate temperate, \"Carolinian\" biogeographic region. We completed a comprehensive re-assessment of the biogeography of the Greater Caribbean by comparing the distributions of 1,559 shorefish species within 45 sections of shelf waters of the Greater Caribbean and adjacent areas. This analysis shows that that the Greater Caribbean occupies a much larger area than usually thought, extending south to at least Guyana, and north to encompass the entire Carolinian area. Rather than being homogenous, the Greater Caribbean is divided into three major provinces, each with a distinctive, primarily tropical fauna: (1) a central, tropical province comprising the West Indies, Bermuda and Central America; (2) a southern, upwelling-affected province spanning the entire continental shelf of northern South America; and (iii) a northern, subtropical province that includes all of the Gulf of Mexico, Florida and southeastern USA. This three-province pattern holds for both reef- and soft bottom fishes, indicating a general response by demersal fishes to major variation in provincial shelf environments. Such environmental differences include latitudinal variation in sea temperature, availability of major habitats (coral reefs, soft bottom shorelines, and mangroves), and nutrient additions from upwelling areas and large rivers. The three-province arrangement of the Greater Caribbean broadly resembles and has a similar environmental basis to the provincial arrangement of its sister biogeographic region, the Tropical Eastern Pacific.","author":[{"dropping-particle":"","family":"Robertson","given":"D. Ross","non-dropping-particle":"","parse-names":false,"suffix":""},{"dropping-particle":"","family":"Cramer","given":"Katie L.","non-dropping-particle":"","parse-names":false,"suffix":""}],"container-title":"PLoS ONE","id":"ITEM-1","issue":"7","issued":{"date-parts":[["2014"]]},"title":"Defining and dividing the Greater Caribbean: Insights from the biogeography of shorefishes","type":"article-journal","volume":"9"},"uris":["http://www.mendeley.com/documents/?uuid=6ec7fa7d-ff3b-492d-babb-2749c8ab77b3"]}],"mendeley":{"formattedCitation":"(10)","plainTextFormattedCitation":"(10)","previouslyFormattedCitation":"(10)"},"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(10)</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xml:space="preserve">, which represents the GC and other biogeographic provinces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{"citationItems":[{"id":"ITEM-1","itemData":{"author":[{"dropping-particle":"","family":"Spalding","given":"Mark D","non-dropping-particle":"","parse-names":false,"suffix":""},{"dropping-particle":"","family":"Fox","given":"Helen E","non-dropping-particle":"","parse-names":false,"suffix":""},{"dropping-particle":"","family":"Allen","given":"Gerald R","non-dropping-particle":"","parse-names":false,"suffix":""},{"dropping-particle":"","family":"Davidson","given":"Nick","non-dropping-particle":"","parse-names":false,"suffix":""},{"dropping-particle":"","family":"Ferdaña","given":"Zach A","non-dropping-particle":"","parse-names":false,"suffix":""},{"dropping-particle":"","family":"Finlayson","given":"M A X","non-dropping-particle":"","parse-names":false,"suffix":""},{"dropping-particle":"","family":"Halpern","given":"Benjamin S","non-dropping-particle":"","parse-names":false,"suffix":""},{"dropping-particle":"","family":"Jorge","given":"Miguel A","non-dropping-particle":"","parse-names":false,"suffix":""},{"dropping-particle":"","family":"Lombana","given":"A L","non-dropping-particle":"","parse-names":false,"suffix":""},{"dropping-particle":"","family":"Lourie","given":"Sara A","non-dropping-particle":"","parse-names":false,"suffix":""},{"dropping-particle":"","family":"Martin","given":"Kirsten D","non-dropping-particle":"","parse-names":false,"suffix":""},{"dropping-particle":"","family":"Manus","given":"M C","non-dropping-particle":"","parse-names":false,"suffix":""},{"dropping-particle":"","family":"Molnar","given":"Jennifer","non-dropping-particle":"","parse-names":false,"suffix":""},{"dropping-particle":"","family":"Recchia","given":"Cheri A","non-dropping-particle":"","parse-names":false,"suffix":""},{"dropping-particle":"","family":"Robertson","given":"James","non-dropping-particle":"","parse-names":false,"suffix":""}],"id":"ITEM-1","issue":"7","issued":{"date-parts":[["2007"]]},"page":"573-583","title":"Marine Ecoregions of the World : A Bioregionalization of Coastal and Shelf Areas","type":"article-journal","volume":"57"},"uris":["http://www.mendeley.com/documents/?uuid=75a3a620-dfd5-4c2d-ad6f-09ce8a83f173"]}],"mendeley":{"formattedCitation":"(11)","plainTextFormattedCitation":"(11)","previouslyFormattedCitation":"(11)"},"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(11)</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xml:space="preserve"> for selected localities outside the GC.  The provinces within the GC were suggested based on endemism and diversity patterns of shore reef fishes. This scheme considers three major provincial subdivisions that present a distinctive, primarily tropical fauna: Northern (N), Central (C), and Southern (S) provinces. The Northern province includes the Gulf of Mexico, Florida and southeastern USA; the Central province comprises the West Indies, Bermuda, and Central America; and the Southern province includes the continental shelf of northern South America. For the localities collected outside the GC, the Fernando de Noronha and Atoll das Rocas ecoregion was considered within the Southwestern Atlantic, while the only African species (</w:t>
      </w:r>
      <w:r w:rsidRPr="00633647">
        <w:rPr>
          <w:rFonts w:ascii="Times New Roman" w:hAnsi="Times New Roman" w:cs="Times New Roman"/>
          <w:i/>
          <w:iCs/>
          <w:color w:val="000000" w:themeColor="text1"/>
          <w:sz w:val="24"/>
          <w:szCs w:val="24"/>
        </w:rPr>
        <w:t>M. carrowi</w:t>
      </w:r>
      <w:r w:rsidRPr="00633647">
        <w:rPr>
          <w:rFonts w:ascii="Times New Roman" w:hAnsi="Times New Roman" w:cs="Times New Roman"/>
          <w:color w:val="000000" w:themeColor="text1"/>
          <w:sz w:val="24"/>
          <w:szCs w:val="24"/>
        </w:rPr>
        <w:t xml:space="preserve">) was sampled from Cape Verde Islands and was classified within the West African Transition province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{"citationItems":[{"id":"ITEM-1","itemData":{"author":[{"dropping-particle":"","family":"Spalding","given":"Mark D","non-dropping-particle":"","parse-names":false,"suffix":""},{"dropping-particle":"","family":"Fox","given":"Helen E","non-dropping-particle":"","parse-names":false,"suffix":""},{"dropping-particle":"","family":"Allen","given":"Gerald R","non-dropping-particle":"","parse-names":false,"suffix":""},{"dropping-particle":"","family":"Davidson","given":"Nick","non-dropping-particle":"","parse-names":false,"suffix":""},{"dropping-particle":"","family":"Ferdaña","given":"Zach A","non-dropping-particle":"","parse-names":false,"suffix":""},{"dropping-particle":"","family":"Finlayson","given":"M A X","non-dropping-particle":"","parse-names":false,"suffix":""},{"dropping-particle":"","family":"Halpern","given":"Benjamin S","non-dropping-particle":"","parse-names":false,"suffix":""},{"dropping-particle":"","family":"Jorge","given":"Miguel A","non-dropping-particle":"","parse-names":false,"suffix":""},{"dropping-particle":"","family":"Lombana","given":"A L","non-dropping-particle":"","parse-names":false,"suffix":""},{"dropping-particle":"","family":"Lourie","given":"Sara A","non-dropping-particle":"","parse-names":false,"suffix":""},{"dropping-particle":"","family":"Martin","given":"Kirsten D","non-dropping-particle":"","parse-names":false,"suffix":""},{"dropping-particle":"","family":"Manus","given":"M C","non-dropping-particle":"","parse-names":false,"suffix":""},{"dropping-particle":"","family":"Molnar","given":"Jennifer","non-dropping-particle":"","parse-names":false,"suffix":""},{"dropping-particle":"","family":"Recchia","given":"Cheri A","non-dropping-particle":"","parse-names":false,"suffix":""},{"dropping-particle":"","family":"Robertson","given":"James","non-dropping-particle":"","parse-names":false,"suffix":""}],"id":"ITEM-1","issue":"7","issued":{"date-parts":[["2007"]]},"page":"573-583","title":"Marine Ecoregions of the World : A Bioregionalization of Coastal and Shelf Areas","type":"article-journal","volume":"57"},"uris":["http://www.mendeley.com/documents/?uuid=75a3a620-dfd5-4c2d-ad6f-09ce8a83f173"]}],"mendeley":{"formattedCitation":"(11)","plainTextFormattedCitation":"(11)","previouslyFormattedCitation":"(11)"},"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(11)</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w:t>
      </w:r>
    </w:p>
    <w:p w14:paraId="62C7C18C" w14:textId="77777777" w:rsidR="00931688" w:rsidRPr="00633647" w:rsidRDefault="00931688" w:rsidP="00931688">
      <w:pPr>
        <w:ind w:firstLine="720"/>
        <w:jc w:val="both"/>
        <w:rPr>
          <w:rFonts w:ascii="Times New Roman" w:hAnsi="Times New Roman" w:cs="Times New Roman"/>
          <w:color w:val="000000" w:themeColor="text1"/>
          <w:sz w:val="24"/>
          <w:szCs w:val="24"/>
        </w:rPr>
      </w:pPr>
      <w:r w:rsidRPr="00633647">
        <w:rPr>
          <w:rFonts w:ascii="Times New Roman" w:hAnsi="Times New Roman" w:cs="Times New Roman"/>
          <w:color w:val="000000" w:themeColor="text1"/>
          <w:sz w:val="24"/>
          <w:szCs w:val="24"/>
        </w:rPr>
        <w:t xml:space="preserve">We evaluated 12 biogeographic models under a maximum likelihood framework that have been used in marine fishes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{"citationItems":[{"id":"ITEM-1","itemData":{"DOI":"10.1111/jbi.13631","ISSN":"13652699","abstract":"Aim: To describe the global biogeography of key herbivorous coral reef fish groups since their presumed origins, using data from both fossil and extant species. Location: Global Cenozoic reefs. Taxon: Acanthuridae (surgeonfishes), Siganidae (rabbitfishes) and Scarini (parrotfishes). Methods: We applied the fossilized birth–death model to build chronograms including a comprehensive sampling of extant species and all the fossil occurrences described for each group. With the resulting chronograms, we built biogeographical models considering the geological changes in reef habitat availability since the ancient Tethys Sea. Finally, we used biogeographical stochastic mappings to trace the routes of colonization of the Atlantic Ocean by lineages in our focal taxa. Results: We found that the Palaeocene–Eocene was a period of significant lineage origination for surgeonfishes and rabbitfishes in the central Tethys Sea with the appearance of ancient genera. Most of these genera were probably extinct by the Eocene–Oligocene boundary as they do not correspond with modern taxa. Parrotfishes, however, originated in the early Oligocene, an epoch that corresponds with the geographical transition of the marine biodiversity hotspot. In all groups, extant genera had similar origin times and all expanded in the Miocene, mainly in the Indo-Pacific. In the Atlantic, only one parrotfish lineage with Tethyan ancestry appears to have survived. It subsequently gave rise to extant endemic genera (Sparisoma and Cryptotomus). The other extant lineages in the Atlantic all have Indo-Pacific origins and colonized more recently using different dispersal pathways. Main conclusions: The Indo-Pacific herbivorous fish fauna is the result of ongoing lineage expansion that started in the central Tethys. The Atlantic is a composite fauna with just one endemic lineage and at least four colonization events from the Indo-Pacific.","author":[{"dropping-particle":"","family":"Siqueira","given":"Alexandre C.","non-dropping-particle":"","parse-names":false,"suffix":""},{"dropping-particle":"","family":"Bellwood","given":"David R.","non-dropping-particle":"","parse-names":false,"suffix":""},{"dropping-particle":"","family":"Cowman","given":"Peter F.","non-dropping-particle":"","parse-names":false,"suffix":""}],"container-title":"Journal of Biogeography","id":"ITEM-1","issue":"7","issued":{"date-parts":[["2019"]]},"page":"1611-1624","title":"Historical biogeography of herbivorous coral reef fishes: The formation of an Atlantic fauna","type":"article-journal","volume":"46"},"uris":["http://www.mendeley.com/documents/?uuid=382917f5-6968-4a46-bf68-15799ddee5c6"]},{"id":"ITEM-2","itemData":{"DOI":"10.1093/sysbio/syab028","ISSN":"1076836X","PMID":"33892493","abstract":"The charismatic trumpetfishes, goatfishes, dragonets, flying gurnards, seahorses, and pipefishes encompass a recently defined yet extraordinarily diverse clade of percomorph fishes-the series Syngnatharia. This group is widely distributed in tropical and warm-temperate regions, with a great proportion of its extant diversity occurring in the Indo-Pacific. Because most syngnatharians feature long-range dispersal capabilities, tracing their biogeographic origins is challenging. Here, we applied an integrative phylogenomic approach to elucidate the evolutionary biogeography of syngnatharians. We built upon a recently published phylogenomic study that examined ultraconserved elements by adding 62 species (total 169 species) and one family (Draconettidae), to cover ca. 25% of the species diversity and all 10 families in the group. We inferred a set of time-calibrated trees and conducted ancestral range estimations. We also examined the sensitivity of these analyses to phylogenetic uncertainty (estimated from multiple genomic subsets), area delimitation, and biogeographic models that include or exclude the jump-dispersal parameter ($j)$. Of the three factors examined, we found that the $j$ parameter has the strongest effect in ancestral range estimates, followed by number of areas defined, and tree topology and divergence times. After accounting for these uncertainties, our results reveal that syngnatharians originated in the ancient Tethys Sea ca. 87 Ma (84-94 Ma; Late Cretaceous) and subsequently occupied the Indo-Pacific. Throughout syngnatharian history, multiple independent lineages colonized the eastern Pacific (6-8 times) and the Atlantic (6-14 times) from their center of origin, with most events taking place following an east-to-west route prior to the closure of the Tethys Seaway ca. 12-18 Ma. Ultimately, our study highlights the importance of accounting for different factors generating uncertainty in macroevolutionary and biogeographic inferences.","author":[{"dropping-particle":"","family":"Santaquiteria","given":"Aintzane","non-dropping-particle":"","parse-names":false,"suffix":""},{"dropping-particle":"","family":"Siqueira","given":"Alexandre C.","non-dropping-particle":"","parse-names":false,"suffix":""},{"dropping-particle":"","family":"Duarte-Ribeiro","given":"Emanuell","non-dropping-particle":"","parse-names":false,"suffix":""},{"dropping-particle":"","family":"Carnevale","given":"Giorgio","non-dropping-particle":"","parse-names":false,"suffix":""},{"dropping-particle":"","family":"White","given":"William T.","non-dropping-particle":"","parse-names":false,"suffix":""},{"dropping-particle":"","family":"Pogonoski","given":"John J.","non-dropping-particle":"","parse-names":false,"suffix":""},{"dropping-particle":"","family":"Baldwin","given":"Carole C.","non-dropping-particle":"","parse-names":false,"suffix":""},{"dropping-particle":"","family":"Ortí","given":"Guillermo","non-dropping-particle":"","parse-names":false,"suffix":""},{"dropping-particle":"","family":"Arcila","given":"Dahiana","non-dropping-particle":"","parse-names":false,"suffix":""},{"dropping-particle":"","family":"Ricardo","given":"Betancur R.","non-dropping-particle":"","parse-names":false,"suffix":""}],"container-title":"Systematic Biology","id":"ITEM-2","issue":"6","issued":{"date-parts":[["2021"]]},"page":"1145-1162","title":"Phylogenomics and Historical Biogeography of Seahorses, Dragonets, Goatfishes, and Allies (Teleostei: Syngnatharia): Assessing Factors Driving Uncertainty in Biogeographic Inferences","type":"article-journal","volume":"70"},"uris":["http://www.mendeley.com/documents/?uuid=759ff12e-5dbf-413b-9653-5d17655333d7"]},{"id":"ITEM-3","itemData":{"DOI":"10.1073/PNAS.2006511117","ISSN":"10916490","PMID":"33328271","abstract":"Repeatable, convergent outcomes are prima facie evidence for determinism in evolutionary processes. Among fishes, well-known examples include microevolutionary habitat transitions into the water column, where freshwater populations (e.g., sticklebacks, cichlids, and whitefishes) recurrently diverge toward slender-bodied pelagic forms and deep-bodied benthic forms. However, the consequences of such processes at deeper macroevolutionary scales in the marine environment are less clear. We applied a phylogenomics-based integrative, comparative approach to test hypotheses about the scope and strength of convergence in a marine fish clade with a worldwide distribution (snappers and fusiliers, family Lutjanidae) featuring multiple water-column transitions over the past 45 million years. We collected genome-wide exon data for 110 (</w:instrText>
      </w:r>
      <w:r w:rsidRPr="00633647">
        <w:rPr>
          <w:rFonts w:ascii="Cambria Math" w:hAnsi="Cambria Math" w:cs="Cambria Math"/>
          <w:color w:val="000000" w:themeColor="text1"/>
          <w:sz w:val="24"/>
          <w:szCs w:val="24"/>
        </w:rPr>
        <w:instrText>∼</w:instrText>
      </w:r>
      <w:r w:rsidRPr="00633647">
        <w:rPr>
          <w:rFonts w:ascii="Times New Roman" w:hAnsi="Times New Roman" w:cs="Times New Roman"/>
          <w:color w:val="000000" w:themeColor="text1"/>
          <w:sz w:val="24"/>
          <w:szCs w:val="24"/>
        </w:rPr>
        <w:instrText>80%) species in the group and aggregated data layers for body shape, habitat occupancy, geographic distribution, and paleontological and geological information. We also implemented approaches using genomic subsets to account for phylogenetic uncertainty in comparative analyses. Our results show independent incursions into the water column by ancestral benthic lineages in all major oceanic basins. These evolutionary transitions are persistently associated with convergent phenotypes, where deep-bodied benthic forms with truncate caudal fins repeatedly evolve into slender midwater species with furcate caudal fins. Lineage diversification and transition dynamics vary asymmetrically between habitats, with benthic lineages diversifying faster and colonizing midwater habitats more often than the reverse. Convergent ecological and functional phenotypes along the benthic–pelagic axis are pervasive among different lineages and across vastly different evolutionary scales, achieving predictable high-fitness solutions for similar environmental challenges, ultimately demonstrating strong determinism in fish body-shape evolution.","author":[{"dropping-particle":"","family":"Rincon-Sandoval","given":"Melissa","non-dropping-particle":"","parse-names":false,"suffix":""},{"dropping-particle":"","family":"Duarte-Ribeiro","given":"Emanuell","non-dropping-particle":"","parse-names":false,"suffix":""},{"dropping-particle":"","family":"Davis","given":"Aaron M.","non-dropping-particle":"","parse-names":false,"suffix":""},{"dropping-particle":"","family":"Santaquiteria","given":"Aintzane","non-dropping-particle":"","parse-names":false,"suffix":""},{"dropping-particle":"","family":"Hughes","given":"Lily C.","non-dropping-particle":"","parse-names":false,"suffix":""},{"dropping-particle":"","family":"Baldwin","given":"Carole C.","non-dropping-particle":"","parse-names":false,"suffix":""},{"dropping-particle":"","family":"Soto-Torres","given":"Luisángely","non-dropping-particle":"","parse-names":false,"suffix":""},{"dropping-particle":"","family":"Acero","given":"Arturo P.","non-dropping-particle":"","parse-names":false,"suffix":""},{"dropping-particle":"","family":"Walker","given":"H. J.","non-dropping-particle":"","parse-names":false,"suffix":""},{"dropping-particle":"","family":"Carpenter","given":"Kent E.","non-dropping-particle":"","parse-names":false,"suffix":""},{"dropping-particle":"","family":"Sheaves","given":"Marcus","non-dropping-particle":"","parse-names":false,"suffix":""},{"dropping-particle":"","family":"Ortí","given":"Guillermo","non-dropping-particle":"","parse-names":false,"suffix":""},{"dropping-particle":"","family":"Arcila","given":"Dahiana","non-dropping-particle":"","parse-names":false,"suffix":""},{"dropping-particle":"","family":"Betancur","given":"Ricardo R.","non-dropping-particle":"","parse-names":false,"suffix":""}],"container-title":"Proceedings of the National Academy of Sciences of the United States of America","id":"ITEM-3","issue":"52","issued":{"date-parts":[["2021"]]},"page":"33396-33403","title":"Evolutionary determinism and convergence associated with water-column transitions in marine fishes","type":"article-journal","volume":"117"},"uris":["http://www.mendeley.com/documents/?uuid=e03cf1ef-c977-46a1-9810-64bf73a1728e"]}],"mendeley":{"formattedCitation":"(118–120)","plainTextFormattedCitation":"(118–120)","previouslyFormattedCitation":"(117–119)"},"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(118–120)</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Such models included dispersal-extinction-cladogenesis (DEC), dispersal-vicariance analysis (DIVA), and Bayesian estimation of the biogeographical history (BayAREA), each in with a combination two main parameters: the founder-speciation event (</w:t>
      </w:r>
      <w:r w:rsidRPr="00633647">
        <w:rPr>
          <w:rFonts w:ascii="Times New Roman" w:hAnsi="Times New Roman" w:cs="Times New Roman"/>
          <w:i/>
          <w:iCs/>
          <w:color w:val="000000" w:themeColor="text1"/>
          <w:sz w:val="24"/>
          <w:szCs w:val="24"/>
        </w:rPr>
        <w:t>j</w:t>
      </w:r>
      <w:r w:rsidRPr="00633647">
        <w:rPr>
          <w:rFonts w:ascii="Times New Roman" w:hAnsi="Times New Roman" w:cs="Times New Roman"/>
          <w:color w:val="000000" w:themeColor="text1"/>
          <w:sz w:val="24"/>
          <w:szCs w:val="24"/>
        </w:rPr>
        <w:t xml:space="preserve">), which allows the colonization of an area by a daughter lineage while the splitting-sister lineage stays at the ancestral area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{"citationItems":[{"id":"ITEM-1","itemData":{"DOI":"10.1093/sysbio/syu056","ISSN":"1076836X","PMID":"25123369","abstract":"Founder-event speciation, where a rare jump dispersal event founds a new genetically isolated lineage, has long been considered crucial by many historical biogeographers, but its importance is disputed within the vicariance school. Probabilistic modeling of geographic range evolution creates the potential to test different biogeographical models against data using standard statistical model choice procedures, as long as multiple models are available. I re-implement the Dispersal-Extinction-Cladogenesis (DEC) model of LAGRANGE in the R package BioGeoBEARS, and modify it to create a new model, DEC+J, which adds founder-event speciation, the importance of which is governed by a new free parameter, j. The identifiability of DEC and DEC+J is tested on data sets simulated under a wide range of macroevolutionary models where geography evolves jointly with lineage birth/death events. The results confirm that DEC and DEC+J are identifiable even though these models ignore the fact that molecular phylogenies are missing many cladogenesis and extinction events. The simulations also indicate that DEC will have substantially increased errors in ancestral range estimation and parameter inference when the true model includes +J. DEC and DEC+J are compared on 13 empirical data sets drawn from studies of island clades. Likelihood-ratio tests indicate that all clades reject DEC, and AICc modelweights show large to overwhelming support for DEC+J, for the first time verifying the importance of founder-event speciation in island clades via statistical model choice. Under DEC+J, ancestral nodes are usually estimated to have ranges occupying only one island, rather than the widespread ancestors often favored by DEC. These results indicate that the assumptions of historical biogeography models can have large impacts on inference and require testing and comparison with statistical methods. [BioGeoBEARS; cladogenesis; extinction; founder-event speciation; GeoSSE; historical biogeography; jump dispersal; LAGRANGE.]","author":[{"dropping-particle":"","family":"Matzke","given":"Nicholas J.","non-dropping-particle":"","parse-names":false,"suffix":""}],"container-title":"Systematic Biology","id":"ITEM-1","issue":"6","issued":{"date-parts":[["2014"]]},"page":"951-970","title":"Model selection in historical biogeography reveals that founder-event speciation is a crucial process in island clades","type":"article-journal","volume":"63"},"uris":["http://www.mendeley.com/documents/?uuid=cf67d1b0-be9b-41ab-993c-a31acdea6202"]}],"mendeley":{"formattedCitation":"(121)","plainTextFormattedCitation":"(121)","previouslyFormattedCitation":"(120)"},"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(121)</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and the dispersal matrix power exponential (</w:t>
      </w:r>
      <w:r w:rsidRPr="00633647">
        <w:rPr>
          <w:rFonts w:ascii="Times New Roman" w:hAnsi="Times New Roman" w:cs="Times New Roman"/>
          <w:i/>
          <w:iCs/>
          <w:color w:val="000000" w:themeColor="text1"/>
          <w:sz w:val="24"/>
          <w:szCs w:val="24"/>
        </w:rPr>
        <w:t>w</w:t>
      </w:r>
      <w:r w:rsidRPr="00633647">
        <w:rPr>
          <w:rFonts w:ascii="Times New Roman" w:hAnsi="Times New Roman" w:cs="Times New Roman"/>
          <w:color w:val="000000" w:themeColor="text1"/>
          <w:sz w:val="24"/>
          <w:szCs w:val="24"/>
        </w:rPr>
        <w:t xml:space="preserve">) parameter, which allows the model to adjust the matrices according to the data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{"citationItems":[{"id":"ITEM-1","itemData":{"DOI":"10.1111/jbi.12898","ISSN":"13652699","abstract":"Aim: The tomato family Solanaceae is distributed on all major continents except Antarctica and has its centre of diversity in South America. Its worldwide distribution suggests multiple long-distance dispersals within and between the New and Old Worlds. Here, we apply maximum likelihood (ML) methods and newly developed biogeographical stochastic mapping (BSM) to infer the ancestral range of the family and to estimate the frequency of dispersal and vicariance events resulting in its present-day distribution. Location: Worldwide. Methods: Building on a recently inferred megaphylogeny of Solanaceae, we conducted ML model fitting of a range of biogeographical models with the program ‘BioGeoBEARS’. We used the parameters from the best fitting model to estimate ancestral range probabilities and conduct stochastic mapping, from which we estimated the number and type of biogeographical events. Results: Our best model supported South America as the ancestral area for the Solanaceae and its major clades. The BSM analyses showed that dispersal events, particularly range expansions, are the principal mode by which members of the family have spread beyond South America. Main conclusions: For Solanaceae, South America is not only the family's current centre of diversity but also its ancestral range, and dispersal was the principal driver of range evolution. The most common dispersal patterns involved range expansions from South America into North and Central America, while dispersal in the reverse direction was less common. This directionality may be due to the early build-up of species richness in South America, resulting in large pool of potential migrants. These results demonstrate the utility of BSM not only for estimating ancestral ranges but also in inferring the frequency, direction and timing of biogeographical events in a statistically rigorous framework.","author":[{"dropping-particle":"","family":"Dupin","given":"Julia","non-dropping-particle":"","parse-names":false,"suffix":""},{"dropping-particle":"","family":"Matzke","given":"Nicholas J.","non-dropping-particle":"","parse-names":false,"suffix":""},{"dropping-particle":"","family":"Särkinen","given":"Tiina","non-dropping-particle":"","parse-names":false,"suffix":""},{"dropping-particle":"","family":"Knapp","given":"Sandra","non-dropping-particle":"","parse-names":false,"suffix":""},{"dropping-particle":"","family":"Olmstead","given":"Richard G.","non-dropping-particle":"","parse-names":false,"suffix":""},{"dropping-particle":"","family":"Bohs","given":"Lynn","non-dropping-particle":"","parse-names":false,"suffix":""},{"dropping-particle":"","family":"Smith","given":"Stacey D.","non-dropping-particle":"","parse-names":false,"suffix":""}],"container-title":"Journal of Biogeography","id":"ITEM-1","issue":"4","issued":{"date-parts":[["2017"]]},"page":"887-899","title":"Bayesian estimation of the global biogeographical history of the Solanaceae","type":"article-journal","volume":"44"},"uris":["http://www.mendeley.com/documents/?uuid=de45b42e-60d2-49a3-882d-c45a136f5c4f"]}],"mendeley":{"formattedCitation":"(122)","plainTextFormattedCitation":"(122)","previouslyFormattedCitation":"(121)"},"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(122)</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We used two time slices (30</w:t>
      </w:r>
      <w:r w:rsidRPr="00633647">
        <w:rPr>
          <w:rFonts w:ascii="Times New Roman" w:hAnsi="Times New Roman" w:cs="Times New Roman"/>
          <w:noProof/>
          <w:color w:val="000000" w:themeColor="text1"/>
          <w:sz w:val="24"/>
          <w:szCs w:val="24"/>
        </w:rPr>
        <w:t>–</w:t>
      </w:r>
      <w:r w:rsidRPr="00633647">
        <w:rPr>
          <w:rFonts w:ascii="Times New Roman" w:hAnsi="Times New Roman" w:cs="Times New Roman"/>
          <w:color w:val="000000" w:themeColor="text1"/>
          <w:sz w:val="24"/>
          <w:szCs w:val="24"/>
        </w:rPr>
        <w:t>2.8 Ma, and 2.8</w:t>
      </w:r>
      <w:r w:rsidRPr="00633647">
        <w:rPr>
          <w:rFonts w:ascii="Times New Roman" w:hAnsi="Times New Roman" w:cs="Times New Roman"/>
          <w:noProof/>
          <w:color w:val="000000" w:themeColor="text1"/>
          <w:sz w:val="24"/>
          <w:szCs w:val="24"/>
        </w:rPr>
        <w:t>–</w:t>
      </w:r>
      <w:r w:rsidRPr="00633647">
        <w:rPr>
          <w:rFonts w:ascii="Times New Roman" w:hAnsi="Times New Roman" w:cs="Times New Roman"/>
          <w:color w:val="000000" w:themeColor="text1"/>
          <w:sz w:val="24"/>
          <w:szCs w:val="24"/>
        </w:rPr>
        <w:t xml:space="preserve">0 Ma) to reflect the two main geological events that influenced the evolutionary history of the group: the closure of the Panama Isthmus </w:t>
      </w:r>
      <w:r w:rsidRPr="00633647">
        <w:rPr>
          <w:rFonts w:ascii="Times New Roman" w:hAnsi="Times New Roman" w:cs="Times New Roman"/>
          <w:i/>
          <w:iCs/>
          <w:color w:val="000000" w:themeColor="text1"/>
          <w:sz w:val="24"/>
          <w:szCs w:val="24"/>
        </w:rPr>
        <w:t>ca.</w:t>
      </w:r>
      <w:r w:rsidRPr="00633647">
        <w:rPr>
          <w:rFonts w:ascii="Times New Roman" w:hAnsi="Times New Roman" w:cs="Times New Roman"/>
          <w:color w:val="000000" w:themeColor="text1"/>
          <w:sz w:val="24"/>
          <w:szCs w:val="24"/>
        </w:rPr>
        <w:t xml:space="preserve"> 2.8 Ma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{"citationItems":[{"id":"ITEM-1","itemData":{"DOI":"10.1130/b35595.1","ISSN":"0016-7606","abstract":"A major topic of debate in earth science and climate science surrounds the timing of closure of the Central American Seaway. While it is clear that the gateway was closed by ca. 2.8 Ma, recent studies based on geological and marine molecular evidence have suggested an earlier closing time of early to mid-Miocene. In this study, we examined the influences of subduction and slab window formation on the time-varying paleoenvironments of the Isthmus of Panama region. We developed detailed reconstructions of the seafloor spreading history in the Panama Basin and incorporated previously published arc block rotations into a revised global plate model. Our reconstructions indicate that the Central American Seaway region has undergone multiple phases of slab window formation and migration, slab detachment, and flat slab subduction since the Oligocene, while kinematically mapped slab windows agree well with slab gaps imaged in seismic tomography. In particular, we found that from the early Miocene, when there is clear evidence for Isthmus of Panama emergence, the region was underlain by a slab window. During the late Miocene, when there is evidence for intermittent arc deepening, and decreased transcontinental migration, we found an increase in subducted slab volumes beneath the Panama arc. Numerical and analogue models and field observations argue that slab windows can induce &amp;gt;1 km of vertical uplift on the overriding plate. We therefore propose that this previously unexplored geodynamic mechanism can explain the variations in Isthmus of Panama emergence, and intermittent shallow-water connections, reconciling alternative lines of evidence for Central American Seaway closure.","author":[{"dropping-particle":"","family":"McGirr","given":"Rebecca","non-dropping-particle":"","parse-names":false,"suffix":""},{"dropping-particle":"","family":"Seton","given":"Maria","non-dropping-particle":"","parse-names":false,"suffix":""},{"dropping-particle":"","family":"Williams","given":"Simon","non-dropping-particle":"","parse-names":false,"suffix":""}],"container-title":"GSA Bulletin","id":"ITEM-1","issued":{"date-parts":[["2020"]]},"page":"1-18","title":"Kinematic and geodynamic evolution of the Isthmus of Panamaregion: Implications for Central American Seaway closure","type":"article-journal"},"uris":["http://www.mendeley.com/documents/?uuid=e5648889-1a61-41de-94f3-14d9358791ea"]}],"mendeley":{"formattedCitation":"(110)","plainTextFormattedCitation":"(110)","previouslyFormattedCitation":"(109)"},"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(110)</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xml:space="preserve"> and the rise </w:t>
      </w:r>
      <w:r w:rsidRPr="00633647">
        <w:rPr>
          <w:rFonts w:ascii="Times New Roman" w:hAnsi="Times New Roman" w:cs="Times New Roman"/>
          <w:color w:val="000000" w:themeColor="text1"/>
          <w:sz w:val="24"/>
          <w:szCs w:val="24"/>
        </w:rPr>
        <w:lastRenderedPageBreak/>
        <w:t xml:space="preserve">of the Galapagos Archipelago around 0.5-2.5 Ma </w:t>
      </w:r>
      <w:r w:rsidRPr="00633647">
        <w:rPr>
          <w:rFonts w:ascii="Times New Roman" w:hAnsi="Times New Roman" w:cs="Times New Roman"/>
          <w:color w:val="000000" w:themeColor="text1"/>
          <w:sz w:val="24"/>
          <w:szCs w:val="24"/>
        </w:rPr>
        <w:fldChar w:fldCharType="begin" w:fldLock="1"/>
      </w:r>
      <w:r w:rsidRPr="00633647">
        <w:rPr>
          <w:rFonts w:ascii="Times New Roman" w:hAnsi="Times New Roman" w:cs="Times New Roman"/>
          <w:color w:val="000000" w:themeColor="text1"/>
          <w:sz w:val="24"/>
          <w:szCs w:val="24"/>
        </w:rPr>
        <w:instrText>ADDIN CSL_CITATION {"citationItems":[{"id":"ITEM-1","itemData":{"author":[{"dropping-particle":"","family":"White","given":"William M","non-dropping-particle":"","parse-names":false,"suffix":""},{"dropping-particle":"","family":"Duncan","given":"Robert a","non-dropping-particle":"","parse-names":false,"suffix":""}],"container-title":"Journal of Geophysical Research,","id":"ITEM-1","issued":{"date-parts":[["1993"]]},"page":"533-563","title":"Petrology and Geochemistry of the Galapagos Islands: Portrait of a Pathological Mantle Plume","type":"article-journal","volume":"98"},"uris":["http://www.mendeley.com/documents/?uuid=053ec071-38f2-4380-8264-73a1874f575e"]}],"mendeley":{"formattedCitation":"(123)","plainTextFormattedCitation":"(123)","previouslyFormattedCitation":"(122)"},"properties":{"noteIndex":0},"schema":"https://github.com/citation-style-language/schema/raw/master/csl-citation.json"}</w:instrText>
      </w:r>
      <w:r w:rsidRPr="00633647">
        <w:rPr>
          <w:rFonts w:ascii="Times New Roman" w:hAnsi="Times New Roman" w:cs="Times New Roman"/>
          <w:color w:val="000000" w:themeColor="text1"/>
          <w:sz w:val="24"/>
          <w:szCs w:val="24"/>
        </w:rPr>
        <w:fldChar w:fldCharType="separate"/>
      </w:r>
      <w:r w:rsidRPr="00633647">
        <w:rPr>
          <w:rFonts w:ascii="Times New Roman" w:hAnsi="Times New Roman" w:cs="Times New Roman"/>
          <w:noProof/>
          <w:color w:val="000000" w:themeColor="text1"/>
          <w:sz w:val="24"/>
          <w:szCs w:val="24"/>
        </w:rPr>
        <w:t>(123)</w:t>
      </w:r>
      <w:r w:rsidRPr="00633647">
        <w:rPr>
          <w:rFonts w:ascii="Times New Roman" w:hAnsi="Times New Roman" w:cs="Times New Roman"/>
          <w:color w:val="000000" w:themeColor="text1"/>
          <w:sz w:val="24"/>
          <w:szCs w:val="24"/>
        </w:rPr>
        <w:fldChar w:fldCharType="end"/>
      </w:r>
      <w:r w:rsidRPr="00633647">
        <w:rPr>
          <w:rFonts w:ascii="Times New Roman" w:hAnsi="Times New Roman" w:cs="Times New Roman"/>
          <w:color w:val="000000" w:themeColor="text1"/>
          <w:sz w:val="24"/>
          <w:szCs w:val="24"/>
        </w:rPr>
        <w:t xml:space="preserve">. </w:t>
      </w:r>
      <w:r w:rsidRPr="00633647">
        <w:rPr>
          <w:rFonts w:ascii="Times New Roman" w:hAnsi="Times New Roman" w:cs="Times New Roman"/>
          <w:sz w:val="24"/>
          <w:szCs w:val="24"/>
        </w:rPr>
        <w:t xml:space="preserve">The connectivity between areas during these time slices was determined by coding three dispersal probability categories: 1.0 for well-connected areas, 0.05 for relatively separated areas, and 0.0001 for widely separated or disconnected areas following </w:t>
      </w:r>
      <w:r w:rsidRPr="00633647">
        <w:rPr>
          <w:rFonts w:ascii="Times New Roman" w:hAnsi="Times New Roman" w:cs="Times New Roman"/>
          <w:sz w:val="24"/>
          <w:szCs w:val="24"/>
        </w:rPr>
        <w:fldChar w:fldCharType="begin" w:fldLock="1"/>
      </w:r>
      <w:r w:rsidRPr="00633647">
        <w:rPr>
          <w:rFonts w:ascii="Times New Roman" w:hAnsi="Times New Roman" w:cs="Times New Roman"/>
          <w:sz w:val="24"/>
          <w:szCs w:val="24"/>
        </w:rPr>
        <w:instrText>ADDIN CSL_CITATION {"citationItems":[{"id":"ITEM-1","itemData":{"DOI":"10.1093/sysbio/syab028","ISSN":"1076836X","PMID":"33892493","abstract":"The charismatic trumpetfishes, goatfishes, dragonets, flying gurnards, seahorses, and pipefishes encompass a recently defined yet extraordinarily diverse clade of percomorph fishes-the series Syngnatharia. This group is widely distributed in tropical and warm-temperate regions, with a great proportion of its extant diversity occurring in the Indo-Pacific. Because most syngnatharians feature long-range dispersal capabilities, tracing their biogeographic origins is challenging. Here, we applied an integrative phylogenomic approach to elucidate the evolutionary biogeography of syngnatharians. We built upon a recently published phylogenomic study that examined ultraconserved elements by adding 62 species (total 169 species) and one family (Draconettidae), to cover ca. 25% of the species diversity and all 10 families in the group. We inferred a set of time-calibrated trees and conducted ancestral range estimations. We also examined the sensitivity of these analyses to phylogenetic uncertainty (estimated from multiple genomic subsets), area delimitation, and biogeographic models that include or exclude the jump-dispersal parameter ($j)$. Of the three factors examined, we found that the $j$ parameter has the strongest effect in ancestral range estimates, followed by number of areas defined, and tree topology and divergence times. After accounting for these uncertainties, our results reveal that syngnatharians originated in the ancient Tethys Sea ca. 87 Ma (84-94 Ma; Late Cretaceous) and subsequently occupied the Indo-Pacific. Throughout syngnatharian history, multiple independent lineages colonized the eastern Pacific (6-8 times) and the Atlantic (6-14 times) from their center of origin, with most events taking place following an east-to-west route prior to the closure of the Tethys Seaway ca. 12-18 Ma. Ultimately, our study highlights the importance of accounting for different factors generating uncertainty in macroevolutionary and biogeographic inferences.","author":[{"dropping-particle":"","family":"Santaquiteria","given":"Aintzane","non-dropping-particle":"","parse-names":false,"suffix":""},{"dropping-particle":"","family":"Siqueira","given":"Alexandre C.","non-dropping-particle":"","parse-names":false,"suffix":""},{"dropping-particle":"","family":"Duarte-Ribeiro","given":"Emanuell","non-dropping-particle":"","parse-names":false,"suffix":""},{"dropping-particle":"","family":"Carnevale","given":"Giorgio","non-dropping-particle":"","parse-names":false,"suffix":""},{"dropping-particle":"","family":"White","given":"William T.","non-dropping-particle":"","parse-names":false,"suffix":""},{"dropping-particle":"","family":"Pogonoski","given":"John J.","non-dropping-particle":"","parse-names":false,"suffix":""},{"dropping-particle":"","family":"Baldwin","given":"Carole C.","non-dropping-particle":"","parse-names":false,"suffix":""},{"dropping-particle":"","family":"Ortí","given":"Guillermo","non-dropping-particle":"","parse-names":false,"suffix":""},{"dropping-particle":"","family":"Arcila","given":"Dahiana","non-dropping-particle":"","parse-names":false,"suffix":""},{"dropping-particle":"","family":"Ricardo","given":"Betancur R.","non-dropping-particle":"","parse-names":false,"suffix":""}],"container-title":"Systematic Biology","id":"ITEM-1","issue":"6","issued":{"date-parts":[["2021"]]},"page":"1145-1162","title":"Phylogenomics and Historical Biogeography of Seahorses, Dragonets, Goatfishes, and Allies (Teleostei: Syngnatharia): Assessing Factors Driving Uncertainty in Biogeographic Inferences","type":"article-journal","volume":"70"},"uris":["http://www.mendeley.com/documents/?uuid=759ff12e-5dbf-413b-9653-5d17655333d7"]}],"mendeley":{"formattedCitation":"(119)","plainTextFormattedCitation":"(119)","previouslyFormattedCitation":"(118)"},"properties":{"noteIndex":0},"schema":"https://github.com/citation-style-language/schema/raw/master/csl-citation.json"}</w:instrText>
      </w:r>
      <w:r w:rsidRPr="00633647">
        <w:rPr>
          <w:rFonts w:ascii="Times New Roman" w:hAnsi="Times New Roman" w:cs="Times New Roman"/>
          <w:sz w:val="24"/>
          <w:szCs w:val="24"/>
        </w:rPr>
        <w:fldChar w:fldCharType="separate"/>
      </w:r>
      <w:r w:rsidRPr="00633647">
        <w:rPr>
          <w:rFonts w:ascii="Times New Roman" w:hAnsi="Times New Roman" w:cs="Times New Roman"/>
          <w:noProof/>
          <w:sz w:val="24"/>
          <w:szCs w:val="24"/>
        </w:rPr>
        <w:t>(119)</w:t>
      </w:r>
      <w:r w:rsidRPr="00633647">
        <w:rPr>
          <w:rFonts w:ascii="Times New Roman" w:hAnsi="Times New Roman" w:cs="Times New Roman"/>
          <w:sz w:val="24"/>
          <w:szCs w:val="24"/>
        </w:rPr>
        <w:fldChar w:fldCharType="end"/>
      </w:r>
      <w:r w:rsidRPr="00633647">
        <w:rPr>
          <w:rFonts w:ascii="Times New Roman" w:hAnsi="Times New Roman" w:cs="Times New Roman"/>
          <w:sz w:val="24"/>
          <w:szCs w:val="24"/>
        </w:rPr>
        <w:t>. The maximum range parameter was four areas. For example, the connectivity between the Mexican and Central provinces was coded as 1.0 in the first time slice (30</w:t>
      </w:r>
      <w:r w:rsidRPr="00633647">
        <w:rPr>
          <w:rFonts w:ascii="Times New Roman" w:hAnsi="Times New Roman" w:cs="Times New Roman"/>
          <w:noProof/>
          <w:color w:val="000000" w:themeColor="text1"/>
          <w:sz w:val="24"/>
          <w:szCs w:val="24"/>
        </w:rPr>
        <w:t>–</w:t>
      </w:r>
      <w:r w:rsidRPr="00633647">
        <w:rPr>
          <w:rFonts w:ascii="Times New Roman" w:hAnsi="Times New Roman" w:cs="Times New Roman"/>
          <w:sz w:val="24"/>
          <w:szCs w:val="24"/>
        </w:rPr>
        <w:t>2.8 Ma) before the rise of Isthmus of Panama, and as 0.0001 for the second slice (2.8</w:t>
      </w:r>
      <w:r w:rsidRPr="00633647">
        <w:rPr>
          <w:rFonts w:ascii="Times New Roman" w:hAnsi="Times New Roman" w:cs="Times New Roman"/>
          <w:noProof/>
          <w:color w:val="000000" w:themeColor="text1"/>
          <w:sz w:val="24"/>
          <w:szCs w:val="24"/>
        </w:rPr>
        <w:t>–</w:t>
      </w:r>
      <w:r w:rsidRPr="00633647">
        <w:rPr>
          <w:rFonts w:ascii="Times New Roman" w:hAnsi="Times New Roman" w:cs="Times New Roman"/>
          <w:sz w:val="24"/>
          <w:szCs w:val="24"/>
        </w:rPr>
        <w:t>0 Ma) after the final closure of the isthmus. Finally, the best-fitting model was selected using Akaike Information Criterion scores corrected for small sample size (AICc) values calculated for each biogeographic model.</w:t>
      </w:r>
    </w:p>
    <w:p w14:paraId="2458FD17" w14:textId="77777777" w:rsidR="00931688" w:rsidRDefault="00931688" w:rsidP="00931688">
      <w:pPr>
        <w:rPr>
          <w:rFonts w:ascii="Times New Roman" w:hAnsi="Times New Roman" w:cs="Times New Roman"/>
          <w:b/>
          <w:bCs/>
          <w:color w:val="000000" w:themeColor="text1"/>
          <w:sz w:val="32"/>
          <w:szCs w:val="32"/>
        </w:rPr>
      </w:pPr>
    </w:p>
    <w:p w14:paraId="577758CC" w14:textId="187CCCB5" w:rsidR="00931688" w:rsidRPr="00633647" w:rsidRDefault="00931688" w:rsidP="00931688">
      <w:pPr>
        <w:rPr>
          <w:rFonts w:ascii="Times New Roman" w:hAnsi="Times New Roman" w:cs="Times New Roman"/>
          <w:b/>
          <w:bCs/>
          <w:color w:val="000000" w:themeColor="text1"/>
          <w:sz w:val="32"/>
          <w:szCs w:val="32"/>
        </w:rPr>
      </w:pPr>
      <w:bookmarkStart w:id="21" w:name="ExtendedResults"/>
      <w:r w:rsidRPr="000B0018">
        <w:rPr>
          <w:rFonts w:ascii="Times New Roman" w:hAnsi="Times New Roman" w:cs="Times New Roman"/>
          <w:b/>
          <w:bCs/>
          <w:color w:val="000000" w:themeColor="text1"/>
          <w:sz w:val="32"/>
          <w:szCs w:val="32"/>
        </w:rPr>
        <w:t>EXTENDED RESULTS</w:t>
      </w:r>
      <w:bookmarkEnd w:id="21"/>
    </w:p>
    <w:p w14:paraId="18966AEB" w14:textId="77777777" w:rsidR="00931688" w:rsidRPr="00633647" w:rsidRDefault="00931688" w:rsidP="00931688">
      <w:pPr>
        <w:jc w:val="both"/>
        <w:rPr>
          <w:rFonts w:ascii="Times New Roman" w:hAnsi="Times New Roman" w:cs="Times New Roman"/>
          <w:color w:val="000000"/>
          <w:sz w:val="24"/>
          <w:szCs w:val="24"/>
        </w:rPr>
      </w:pPr>
      <w:r w:rsidRPr="00633647">
        <w:rPr>
          <w:rFonts w:ascii="Times New Roman" w:hAnsi="Times New Roman" w:cs="Times New Roman"/>
          <w:color w:val="000000" w:themeColor="text1"/>
          <w:sz w:val="24"/>
          <w:szCs w:val="24"/>
        </w:rPr>
        <w:t>We generated approximately 3.1 x 10</w:t>
      </w:r>
      <w:r w:rsidRPr="00633647">
        <w:rPr>
          <w:rFonts w:ascii="Times New Roman" w:hAnsi="Times New Roman" w:cs="Times New Roman"/>
          <w:color w:val="000000" w:themeColor="text1"/>
          <w:sz w:val="24"/>
          <w:szCs w:val="24"/>
          <w:vertAlign w:val="superscript"/>
        </w:rPr>
        <w:t>9</w:t>
      </w:r>
      <w:r w:rsidRPr="00633647">
        <w:rPr>
          <w:rFonts w:ascii="Times New Roman" w:hAnsi="Times New Roman" w:cs="Times New Roman"/>
          <w:color w:val="000000" w:themeColor="text1"/>
          <w:sz w:val="24"/>
          <w:szCs w:val="24"/>
        </w:rPr>
        <w:t xml:space="preserve"> sequence raw reads, of which </w:t>
      </w:r>
      <w:r w:rsidRPr="00633647">
        <w:rPr>
          <w:rFonts w:ascii="Times New Roman" w:hAnsi="Times New Roman" w:cs="Times New Roman"/>
          <w:color w:val="000000" w:themeColor="text1"/>
          <w:sz w:val="24"/>
          <w:szCs w:val="24"/>
        </w:rPr>
        <w:sym w:font="Symbol" w:char="F07E"/>
      </w:r>
      <w:r w:rsidRPr="00633647">
        <w:rPr>
          <w:rFonts w:ascii="Times New Roman" w:hAnsi="Times New Roman" w:cs="Times New Roman"/>
          <w:color w:val="000000" w:themeColor="text1"/>
          <w:sz w:val="24"/>
          <w:szCs w:val="24"/>
        </w:rPr>
        <w:t>2.8 x 10</w:t>
      </w:r>
      <w:r w:rsidRPr="00633647">
        <w:rPr>
          <w:rFonts w:ascii="Times New Roman" w:hAnsi="Times New Roman" w:cs="Times New Roman"/>
          <w:color w:val="000000" w:themeColor="text1"/>
          <w:sz w:val="24"/>
          <w:szCs w:val="24"/>
          <w:vertAlign w:val="superscript"/>
        </w:rPr>
        <w:t>9</w:t>
      </w:r>
      <w:r w:rsidRPr="00633647">
        <w:rPr>
          <w:rFonts w:ascii="Times New Roman" w:hAnsi="Times New Roman" w:cs="Times New Roman"/>
          <w:color w:val="000000" w:themeColor="text1"/>
          <w:sz w:val="24"/>
          <w:szCs w:val="24"/>
        </w:rPr>
        <w:t xml:space="preserve"> (91.5%) passed quality filters, including</w:t>
      </w:r>
      <w:r w:rsidRPr="00633647">
        <w:rPr>
          <w:rFonts w:ascii="Times New Roman" w:hAnsi="Times New Roman" w:cs="Times New Roman"/>
          <w:i/>
          <w:iCs/>
          <w:color w:val="000000" w:themeColor="text1"/>
          <w:sz w:val="24"/>
          <w:szCs w:val="24"/>
        </w:rPr>
        <w:t xml:space="preserve"> ca.</w:t>
      </w:r>
      <w:r w:rsidRPr="00633647">
        <w:rPr>
          <w:rFonts w:ascii="Times New Roman" w:hAnsi="Times New Roman" w:cs="Times New Roman"/>
          <w:color w:val="000000" w:themeColor="text1"/>
          <w:sz w:val="24"/>
          <w:szCs w:val="24"/>
        </w:rPr>
        <w:t xml:space="preserve"> 6 million reads per sample.</w:t>
      </w:r>
      <w:r w:rsidRPr="00633647">
        <w:rPr>
          <w:rFonts w:ascii="Times New Roman" w:hAnsi="Times New Roman" w:cs="Times New Roman"/>
          <w:color w:val="000000"/>
          <w:sz w:val="24"/>
          <w:szCs w:val="24"/>
        </w:rPr>
        <w:t xml:space="preserve"> At the microevolutionary scale, we assembled samples </w:t>
      </w:r>
      <w:r w:rsidRPr="00633647">
        <w:rPr>
          <w:rFonts w:ascii="Times New Roman" w:hAnsi="Times New Roman" w:cs="Times New Roman"/>
          <w:i/>
          <w:iCs/>
          <w:color w:val="000000"/>
          <w:sz w:val="24"/>
          <w:szCs w:val="24"/>
        </w:rPr>
        <w:t>de novo</w:t>
      </w:r>
      <w:r w:rsidRPr="00633647">
        <w:rPr>
          <w:rFonts w:ascii="Times New Roman" w:hAnsi="Times New Roman" w:cs="Times New Roman"/>
          <w:color w:val="000000"/>
          <w:sz w:val="24"/>
          <w:szCs w:val="24"/>
        </w:rPr>
        <w:t xml:space="preserve"> setting a minimum of three raw reads required to form a stack (</w:t>
      </w:r>
      <w:r w:rsidRPr="00633647">
        <w:rPr>
          <w:rFonts w:ascii="Times New Roman" w:hAnsi="Times New Roman" w:cs="Times New Roman"/>
          <w:i/>
          <w:iCs/>
          <w:color w:val="000000"/>
          <w:sz w:val="24"/>
          <w:szCs w:val="24"/>
        </w:rPr>
        <w:t>m</w:t>
      </w:r>
      <w:r w:rsidRPr="00633647">
        <w:rPr>
          <w:rFonts w:ascii="Times New Roman" w:hAnsi="Times New Roman" w:cs="Times New Roman"/>
          <w:color w:val="000000"/>
          <w:sz w:val="24"/>
          <w:szCs w:val="24"/>
        </w:rPr>
        <w:t>), allowing a maximum of six mismatches between loci (</w:t>
      </w:r>
      <w:r w:rsidRPr="00633647">
        <w:rPr>
          <w:rFonts w:ascii="Times New Roman" w:hAnsi="Times New Roman" w:cs="Times New Roman"/>
          <w:i/>
          <w:iCs/>
          <w:color w:val="000000"/>
          <w:sz w:val="24"/>
          <w:szCs w:val="24"/>
        </w:rPr>
        <w:t>M</w:t>
      </w:r>
      <w:r w:rsidRPr="00633647">
        <w:rPr>
          <w:rFonts w:ascii="Times New Roman" w:hAnsi="Times New Roman" w:cs="Times New Roman"/>
          <w:color w:val="000000"/>
          <w:sz w:val="24"/>
          <w:szCs w:val="24"/>
        </w:rPr>
        <w:t>), and six mismatches between loci of different individuals (</w:t>
      </w:r>
      <w:r w:rsidRPr="00633647">
        <w:rPr>
          <w:rFonts w:ascii="Times New Roman" w:hAnsi="Times New Roman" w:cs="Times New Roman"/>
          <w:i/>
          <w:iCs/>
          <w:color w:val="000000"/>
          <w:sz w:val="24"/>
          <w:szCs w:val="24"/>
        </w:rPr>
        <w:t>n</w:t>
      </w:r>
      <w:r w:rsidRPr="00633647">
        <w:rPr>
          <w:rFonts w:ascii="Times New Roman" w:hAnsi="Times New Roman" w:cs="Times New Roman"/>
          <w:color w:val="000000"/>
          <w:sz w:val="24"/>
          <w:szCs w:val="24"/>
        </w:rPr>
        <w:t xml:space="preserve">). We generated matrices with </w:t>
      </w:r>
      <w:r w:rsidRPr="00633647">
        <w:rPr>
          <w:rFonts w:ascii="Times New Roman" w:hAnsi="Times New Roman" w:cs="Times New Roman"/>
          <w:color w:val="000000" w:themeColor="text1"/>
          <w:sz w:val="24"/>
          <w:szCs w:val="24"/>
        </w:rPr>
        <w:t>4,000</w:t>
      </w:r>
      <w:r w:rsidRPr="00633647">
        <w:rPr>
          <w:rFonts w:ascii="Times New Roman" w:hAnsi="Times New Roman" w:cs="Times New Roman"/>
          <w:color w:val="000000"/>
          <w:sz w:val="24"/>
          <w:szCs w:val="24"/>
        </w:rPr>
        <w:t>-</w:t>
      </w:r>
      <w:r w:rsidRPr="00633647">
        <w:rPr>
          <w:rFonts w:ascii="Times New Roman" w:hAnsi="Times New Roman" w:cs="Times New Roman"/>
          <w:color w:val="000000" w:themeColor="text1"/>
          <w:sz w:val="24"/>
          <w:szCs w:val="24"/>
        </w:rPr>
        <w:t>9,000 biallelic orthologous unlinked SNPs (3.7%</w:t>
      </w:r>
      <w:r w:rsidRPr="00633647">
        <w:rPr>
          <w:rFonts w:ascii="Times New Roman" w:hAnsi="Times New Roman" w:cs="Times New Roman"/>
          <w:noProof/>
          <w:sz w:val="24"/>
          <w:szCs w:val="24"/>
        </w:rPr>
        <w:t>–11.7</w:t>
      </w:r>
      <w:r w:rsidRPr="00633647">
        <w:rPr>
          <w:rFonts w:ascii="Times New Roman" w:hAnsi="Times New Roman" w:cs="Times New Roman"/>
          <w:color w:val="000000" w:themeColor="text1"/>
          <w:sz w:val="24"/>
          <w:szCs w:val="24"/>
        </w:rPr>
        <w:t>% missing data)</w:t>
      </w:r>
      <w:r w:rsidRPr="00633647">
        <w:rPr>
          <w:rFonts w:ascii="Times New Roman" w:hAnsi="Times New Roman" w:cs="Times New Roman"/>
          <w:color w:val="000000"/>
          <w:sz w:val="24"/>
          <w:szCs w:val="24"/>
        </w:rPr>
        <w:t xml:space="preserve"> that were used to identify genetic patterns corresponding to major contemporary breaks.</w:t>
      </w:r>
    </w:p>
    <w:p w14:paraId="5D9086EC" w14:textId="77777777" w:rsidR="00931688" w:rsidRPr="00633647" w:rsidRDefault="00931688" w:rsidP="00931688">
      <w:pPr>
        <w:ind w:firstLine="720"/>
        <w:jc w:val="both"/>
        <w:rPr>
          <w:rFonts w:ascii="Times New Roman" w:hAnsi="Times New Roman" w:cs="Times New Roman"/>
          <w:color w:val="000000" w:themeColor="text1"/>
          <w:sz w:val="24"/>
          <w:szCs w:val="24"/>
        </w:rPr>
      </w:pPr>
      <w:r w:rsidRPr="00633647">
        <w:rPr>
          <w:rFonts w:ascii="Times New Roman" w:hAnsi="Times New Roman" w:cs="Times New Roman"/>
          <w:color w:val="000000" w:themeColor="text1"/>
          <w:sz w:val="24"/>
          <w:szCs w:val="24"/>
        </w:rPr>
        <w:t xml:space="preserve">At the macroevolutionary level, we assembled the raw data of  41 individuals spanning the 23 </w:t>
      </w:r>
      <w:r w:rsidRPr="00633647">
        <w:rPr>
          <w:rFonts w:ascii="Times New Roman" w:hAnsi="Times New Roman" w:cs="Times New Roman"/>
          <w:i/>
          <w:iCs/>
          <w:color w:val="000000" w:themeColor="text1"/>
          <w:sz w:val="24"/>
          <w:szCs w:val="24"/>
        </w:rPr>
        <w:t>Malacoctenus</w:t>
      </w:r>
      <w:r w:rsidRPr="00633647">
        <w:rPr>
          <w:rFonts w:ascii="Times New Roman" w:hAnsi="Times New Roman" w:cs="Times New Roman"/>
          <w:color w:val="000000" w:themeColor="text1"/>
          <w:sz w:val="24"/>
          <w:szCs w:val="24"/>
        </w:rPr>
        <w:t xml:space="preserve"> species sequenced along with the outgroup (</w:t>
      </w:r>
      <w:r w:rsidRPr="00633647">
        <w:rPr>
          <w:rFonts w:ascii="Times New Roman" w:hAnsi="Times New Roman" w:cs="Times New Roman"/>
          <w:i/>
          <w:iCs/>
          <w:color w:val="000000" w:themeColor="text1"/>
          <w:sz w:val="24"/>
          <w:szCs w:val="24"/>
        </w:rPr>
        <w:t>L. striatus</w:t>
      </w:r>
      <w:r w:rsidRPr="00633647">
        <w:rPr>
          <w:rFonts w:ascii="Times New Roman" w:hAnsi="Times New Roman" w:cs="Times New Roman"/>
          <w:color w:val="000000" w:themeColor="text1"/>
          <w:sz w:val="24"/>
          <w:szCs w:val="24"/>
        </w:rPr>
        <w:t>), using the closest reference genome available (</w:t>
      </w:r>
      <w:r w:rsidRPr="00633647">
        <w:rPr>
          <w:rFonts w:ascii="Times New Roman" w:hAnsi="Times New Roman" w:cs="Times New Roman"/>
          <w:i/>
          <w:iCs/>
          <w:color w:val="000000" w:themeColor="text1"/>
          <w:sz w:val="24"/>
          <w:szCs w:val="24"/>
        </w:rPr>
        <w:t>Salarias fasciatus</w:t>
      </w:r>
      <w:r w:rsidRPr="00633647">
        <w:rPr>
          <w:rFonts w:ascii="Times New Roman" w:hAnsi="Times New Roman" w:cs="Times New Roman"/>
          <w:color w:val="000000" w:themeColor="text1"/>
          <w:sz w:val="24"/>
          <w:szCs w:val="24"/>
        </w:rPr>
        <w:t>, Blenniidae). We generated five matrices consisting between 1,891 to 28,144 SNPs, which were selected based on varied levels of missing data (29.1</w:t>
      </w:r>
      <w:r w:rsidRPr="00633647">
        <w:rPr>
          <w:rFonts w:ascii="Times New Roman" w:hAnsi="Times New Roman" w:cs="Times New Roman"/>
          <w:noProof/>
          <w:sz w:val="24"/>
          <w:szCs w:val="24"/>
        </w:rPr>
        <w:t>–81.1</w:t>
      </w:r>
      <w:r w:rsidRPr="00633647">
        <w:rPr>
          <w:rFonts w:ascii="Times New Roman" w:hAnsi="Times New Roman" w:cs="Times New Roman"/>
          <w:color w:val="000000" w:themeColor="text1"/>
          <w:sz w:val="24"/>
          <w:szCs w:val="24"/>
        </w:rPr>
        <w:t>%) and were used to conduct phylogenomic analyses. The primary objective at this scale was to elucidate the evolutionary and biogeographic history of the genus with an emphasis on examining</w:t>
      </w:r>
      <w:r w:rsidRPr="00633647">
        <w:rPr>
          <w:rFonts w:ascii="Times New Roman" w:hAnsi="Times New Roman" w:cs="Times New Roman"/>
          <w:color w:val="000000"/>
          <w:sz w:val="24"/>
          <w:szCs w:val="24"/>
        </w:rPr>
        <w:t xml:space="preserve"> the synchronicity of speciation events triggered by historical barriers.</w:t>
      </w:r>
    </w:p>
    <w:p w14:paraId="0C94E580" w14:textId="77777777" w:rsidR="00931688" w:rsidRDefault="00931688" w:rsidP="00931688">
      <w:pPr>
        <w:rPr>
          <w:rFonts w:ascii="Times New Roman" w:hAnsi="Times New Roman" w:cs="Times New Roman"/>
        </w:rPr>
      </w:pPr>
    </w:p>
    <w:p w14:paraId="5DA0EA66" w14:textId="06C6015E" w:rsidR="00931688" w:rsidRPr="00633647" w:rsidRDefault="00931688" w:rsidP="00633647">
      <w:pPr>
        <w:jc w:val="both"/>
        <w:rPr>
          <w:rFonts w:ascii="Times New Roman" w:hAnsi="Times New Roman" w:cs="Times New Roman"/>
          <w:sz w:val="24"/>
          <w:szCs w:val="24"/>
        </w:rPr>
      </w:pPr>
      <w:r w:rsidRPr="00633647">
        <w:rPr>
          <w:rFonts w:ascii="Times New Roman" w:hAnsi="Times New Roman" w:cs="Times New Roman"/>
          <w:b/>
          <w:bCs/>
          <w:color w:val="000000" w:themeColor="text1"/>
          <w:sz w:val="24"/>
          <w:szCs w:val="24"/>
        </w:rPr>
        <w:t>MICROEVOLUTIONARY ANALYSES FOR INDIVIDUALLY SAMPLED SPECIES</w:t>
      </w:r>
    </w:p>
    <w:p w14:paraId="0B810958" w14:textId="752F33CF" w:rsidR="00931688" w:rsidRPr="00633647" w:rsidRDefault="00931688" w:rsidP="00931688">
      <w:pPr>
        <w:rPr>
          <w:rFonts w:ascii="Times New Roman" w:hAnsi="Times New Roman" w:cs="Times New Roman"/>
          <w:sz w:val="24"/>
          <w:szCs w:val="24"/>
        </w:rPr>
      </w:pPr>
      <w:r w:rsidRPr="00633647">
        <w:rPr>
          <w:rFonts w:ascii="Times New Roman" w:hAnsi="Times New Roman" w:cs="Times New Roman"/>
          <w:b/>
          <w:bCs/>
          <w:color w:val="000000" w:themeColor="text1"/>
          <w:sz w:val="24"/>
          <w:szCs w:val="24"/>
        </w:rPr>
        <w:t>Population differentiation analyses</w:t>
      </w:r>
    </w:p>
    <w:p w14:paraId="70502F30" w14:textId="77777777" w:rsidR="00931688" w:rsidRPr="00633647" w:rsidRDefault="00931688" w:rsidP="00931688">
      <w:pPr>
        <w:jc w:val="both"/>
        <w:rPr>
          <w:rFonts w:ascii="Times New Roman" w:hAnsi="Times New Roman" w:cs="Times New Roman"/>
          <w:color w:val="000000" w:themeColor="text1"/>
          <w:sz w:val="24"/>
          <w:szCs w:val="24"/>
        </w:rPr>
      </w:pPr>
      <w:r w:rsidRPr="00633647">
        <w:rPr>
          <w:rFonts w:ascii="Times New Roman" w:hAnsi="Times New Roman" w:cs="Times New Roman"/>
          <w:color w:val="000000" w:themeColor="text1"/>
          <w:sz w:val="24"/>
          <w:szCs w:val="24"/>
        </w:rPr>
        <w:t xml:space="preserve">The population clustering approaches yield varying levels of population structure, where PCA and DAPC analyses, and phylogenetic trees unveiled finer patterns of population differentiation. DAPC analyses without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 generally recovered the highest grouping scheme evaluated, such groups clustered mostly in agreement with PCA and DAPC, with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 analyses. ADMIXTURE and fastStructure analyses consistently detected similar genetic groupings, with few exceptions where ADMIXTURE identified genetic flow among populations (e.g., </w:t>
      </w:r>
      <w:r w:rsidRPr="00633647">
        <w:rPr>
          <w:rFonts w:ascii="Times New Roman" w:hAnsi="Times New Roman" w:cs="Times New Roman"/>
          <w:i/>
          <w:iCs/>
          <w:color w:val="000000" w:themeColor="text1"/>
          <w:sz w:val="24"/>
          <w:szCs w:val="24"/>
        </w:rPr>
        <w:t>M. versicolor</w:t>
      </w:r>
      <w:r w:rsidRPr="00633647">
        <w:rPr>
          <w:rFonts w:ascii="Times New Roman" w:hAnsi="Times New Roman" w:cs="Times New Roman"/>
          <w:color w:val="000000" w:themeColor="text1"/>
          <w:sz w:val="24"/>
          <w:szCs w:val="24"/>
        </w:rPr>
        <w:t xml:space="preserve">; Fig. S29) or a higher genetic clustering scheme (e.g., </w:t>
      </w:r>
      <w:r w:rsidRPr="00633647">
        <w:rPr>
          <w:rFonts w:ascii="Times New Roman" w:hAnsi="Times New Roman" w:cs="Times New Roman"/>
          <w:i/>
          <w:iCs/>
          <w:color w:val="000000" w:themeColor="text1"/>
          <w:sz w:val="24"/>
          <w:szCs w:val="24"/>
        </w:rPr>
        <w:t>M. aurolineatus</w:t>
      </w:r>
      <w:r w:rsidRPr="00633647">
        <w:rPr>
          <w:rFonts w:ascii="Times New Roman" w:hAnsi="Times New Roman" w:cs="Times New Roman"/>
          <w:color w:val="000000" w:themeColor="text1"/>
          <w:sz w:val="24"/>
          <w:szCs w:val="24"/>
        </w:rPr>
        <w:t xml:space="preserve">, </w:t>
      </w:r>
      <w:r w:rsidRPr="00633647">
        <w:rPr>
          <w:rFonts w:ascii="Times New Roman" w:hAnsi="Times New Roman" w:cs="Times New Roman"/>
          <w:i/>
          <w:iCs/>
          <w:color w:val="000000" w:themeColor="text1"/>
          <w:sz w:val="24"/>
          <w:szCs w:val="24"/>
        </w:rPr>
        <w:t>k</w:t>
      </w:r>
      <w:r w:rsidRPr="00633647">
        <w:rPr>
          <w:rFonts w:ascii="Times New Roman" w:hAnsi="Times New Roman" w:cs="Times New Roman"/>
          <w:color w:val="000000" w:themeColor="text1"/>
          <w:sz w:val="24"/>
          <w:szCs w:val="24"/>
        </w:rPr>
        <w:t xml:space="preserve"> = 9; Fig. S23). EEMS plots provided a visual description of the population structure highlighting areas of disrupted connectivity, mostly aligning with previously described marine breaks. Contrary, </w:t>
      </w:r>
      <w:r w:rsidRPr="00633647">
        <w:rPr>
          <w:rFonts w:ascii="Times New Roman" w:hAnsi="Times New Roman" w:cs="Times New Roman"/>
          <w:color w:val="000000" w:themeColor="text1"/>
          <w:sz w:val="24"/>
          <w:szCs w:val="24"/>
        </w:rPr>
        <w:lastRenderedPageBreak/>
        <w:t>sPCA plots disagreed with other population differentiation analyses. Detailed genomic patterns per species are described below and depicted on Figs. S15</w:t>
      </w:r>
      <w:r w:rsidRPr="00633647">
        <w:rPr>
          <w:rFonts w:ascii="Times New Roman" w:hAnsi="Times New Roman" w:cs="Times New Roman"/>
          <w:noProof/>
          <w:color w:val="000000" w:themeColor="text1"/>
          <w:sz w:val="24"/>
          <w:szCs w:val="24"/>
        </w:rPr>
        <w:t>–S29.</w:t>
      </w:r>
    </w:p>
    <w:p w14:paraId="4F3C350C" w14:textId="77777777" w:rsidR="00931688" w:rsidRPr="003705F4" w:rsidRDefault="00931688" w:rsidP="00931688">
      <w:pPr>
        <w:jc w:val="both"/>
        <w:rPr>
          <w:rFonts w:ascii="Times New Roman" w:hAnsi="Times New Roman" w:cs="Times New Roman"/>
          <w:color w:val="00B050"/>
        </w:rPr>
      </w:pPr>
    </w:p>
    <w:p w14:paraId="51AAB31A" w14:textId="2EE38309" w:rsidR="00931688" w:rsidRPr="00633647" w:rsidRDefault="00931688" w:rsidP="00931688">
      <w:pPr>
        <w:jc w:val="both"/>
        <w:rPr>
          <w:rFonts w:ascii="Times New Roman" w:hAnsi="Times New Roman" w:cs="Times New Roman"/>
          <w:b/>
          <w:bCs/>
          <w:color w:val="000000" w:themeColor="text1"/>
          <w:sz w:val="24"/>
          <w:szCs w:val="24"/>
        </w:rPr>
      </w:pPr>
      <w:r w:rsidRPr="00633647">
        <w:rPr>
          <w:rFonts w:ascii="Times New Roman" w:hAnsi="Times New Roman" w:cs="Times New Roman"/>
          <w:b/>
          <w:bCs/>
          <w:color w:val="000000" w:themeColor="text1"/>
          <w:sz w:val="24"/>
          <w:szCs w:val="24"/>
        </w:rPr>
        <w:t>Tropical Eastern Pacific</w:t>
      </w:r>
    </w:p>
    <w:p w14:paraId="2E2D478E" w14:textId="537E1C0C" w:rsidR="00931688" w:rsidRPr="00633647" w:rsidRDefault="00931688" w:rsidP="00931688">
      <w:pPr>
        <w:jc w:val="both"/>
        <w:rPr>
          <w:rFonts w:ascii="Times New Roman" w:hAnsi="Times New Roman" w:cs="Times New Roman"/>
          <w:color w:val="000000" w:themeColor="text1"/>
          <w:sz w:val="24"/>
          <w:szCs w:val="24"/>
        </w:rPr>
      </w:pPr>
      <w:r w:rsidRPr="00633647">
        <w:rPr>
          <w:rFonts w:ascii="Times New Roman" w:hAnsi="Times New Roman" w:cs="Times New Roman"/>
          <w:b/>
          <w:bCs/>
          <w:i/>
          <w:iCs/>
          <w:color w:val="000000" w:themeColor="text1"/>
          <w:sz w:val="24"/>
          <w:szCs w:val="24"/>
        </w:rPr>
        <w:t xml:space="preserve">M. ebisui. </w:t>
      </w:r>
      <w:r w:rsidRPr="00633647">
        <w:rPr>
          <w:rFonts w:ascii="Times New Roman" w:hAnsi="Times New Roman" w:cs="Times New Roman"/>
          <w:color w:val="000000" w:themeColor="text1"/>
          <w:sz w:val="24"/>
          <w:szCs w:val="24"/>
        </w:rPr>
        <w:t xml:space="preserve">The phylogenetic tree identifies three main lineages: clade A comprises individuals from Bahía Santiago (SAN), Agustinillo (AGU), and Zacatoso (ZAC); clade B clusters consists of individuals from Cabo Blanco (CBL); and clade C includes individuals from Continental Ecuador (ECC) and Nuquí (NUQ) (Fig. S13A). Both fastStructure and ADMIXTURE analyses depict similar patterns, suggesting the optimal </w:t>
      </w:r>
      <w:r w:rsidRPr="00633647">
        <w:rPr>
          <w:rFonts w:ascii="Times New Roman" w:hAnsi="Times New Roman" w:cs="Times New Roman"/>
          <w:i/>
          <w:iCs/>
          <w:color w:val="000000" w:themeColor="text1"/>
          <w:sz w:val="24"/>
          <w:szCs w:val="24"/>
        </w:rPr>
        <w:t>k</w:t>
      </w:r>
      <w:r w:rsidRPr="00633647">
        <w:rPr>
          <w:rFonts w:ascii="Times New Roman" w:hAnsi="Times New Roman" w:cs="Times New Roman"/>
          <w:color w:val="000000" w:themeColor="text1"/>
          <w:sz w:val="24"/>
          <w:szCs w:val="24"/>
        </w:rPr>
        <w:t xml:space="preserve"> scenario consists of three genetic clusters consistent with the phylogenetic clades. Both analyses indicate genetic flow from ECC and NUQ to CBL (Fig. S13B</w:t>
      </w:r>
      <w:r w:rsidRPr="00633647">
        <w:rPr>
          <w:rFonts w:ascii="Times New Roman" w:hAnsi="Times New Roman" w:cs="Times New Roman"/>
          <w:noProof/>
          <w:color w:val="000000" w:themeColor="text1"/>
          <w:sz w:val="24"/>
          <w:szCs w:val="24"/>
        </w:rPr>
        <w:t>–C</w:t>
      </w:r>
      <w:r w:rsidRPr="00633647">
        <w:rPr>
          <w:rFonts w:ascii="Times New Roman" w:hAnsi="Times New Roman" w:cs="Times New Roman"/>
          <w:color w:val="000000" w:themeColor="text1"/>
          <w:sz w:val="24"/>
          <w:szCs w:val="24"/>
        </w:rPr>
        <w:t xml:space="preserve">). PCA and DAPC analyses, conducted with and without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 yielded the same genetic clustering pattern. PC1 differentiates the populations of SAN, AGU, and ZAC from the rest, accounting for 61.8 to 82.6% of the variation, while PC2 (11.5–35.4%) identifies the CBL population as a distinct genetic cluster (Fig. S13D</w:t>
      </w:r>
      <w:r w:rsidRPr="00633647">
        <w:rPr>
          <w:rFonts w:ascii="Times New Roman" w:hAnsi="Times New Roman" w:cs="Times New Roman"/>
          <w:noProof/>
          <w:color w:val="000000" w:themeColor="text1"/>
          <w:sz w:val="24"/>
          <w:szCs w:val="24"/>
        </w:rPr>
        <w:t>–F</w:t>
      </w:r>
      <w:r w:rsidRPr="00633647">
        <w:rPr>
          <w:rFonts w:ascii="Times New Roman" w:hAnsi="Times New Roman" w:cs="Times New Roman"/>
          <w:color w:val="000000" w:themeColor="text1"/>
          <w:sz w:val="24"/>
          <w:szCs w:val="24"/>
        </w:rPr>
        <w:t>). These genetic clusters align with a north to south division originated by the Central American Break (CB) and the Panama Gyre Break (PGB).</w:t>
      </w:r>
      <w:r w:rsidR="00633647" w:rsidRPr="00633647">
        <w:rPr>
          <w:rFonts w:ascii="Times New Roman" w:hAnsi="Times New Roman" w:cs="Times New Roman"/>
          <w:color w:val="000000" w:themeColor="text1"/>
          <w:sz w:val="24"/>
          <w:szCs w:val="24"/>
        </w:rPr>
        <w:t xml:space="preserve"> </w:t>
      </w:r>
      <w:r w:rsidRPr="00633647">
        <w:rPr>
          <w:rFonts w:ascii="Times New Roman" w:hAnsi="Times New Roman" w:cs="Times New Roman"/>
          <w:color w:val="000000" w:themeColor="text1"/>
          <w:sz w:val="24"/>
          <w:szCs w:val="24"/>
        </w:rPr>
        <w:t>The EEMS plot emphasizes an area restricting genetic flow near CBL (Fig. S13G). sPCA analyses suggest a division into two main clusters: the first encompassing SAN, AGU, and ZAC; and the second comprising ECC, NUQ, and CBL (Fig. S13H).</w:t>
      </w:r>
    </w:p>
    <w:p w14:paraId="2FEADD10" w14:textId="2806D712" w:rsidR="00931688" w:rsidRPr="00633647" w:rsidRDefault="00931688" w:rsidP="00931688">
      <w:pPr>
        <w:jc w:val="both"/>
        <w:rPr>
          <w:rFonts w:ascii="Times New Roman" w:hAnsi="Times New Roman" w:cs="Times New Roman"/>
          <w:color w:val="000000" w:themeColor="text1"/>
          <w:sz w:val="24"/>
          <w:szCs w:val="24"/>
        </w:rPr>
      </w:pPr>
      <w:r w:rsidRPr="00633647">
        <w:rPr>
          <w:rFonts w:ascii="Times New Roman" w:hAnsi="Times New Roman" w:cs="Times New Roman"/>
          <w:b/>
          <w:bCs/>
          <w:i/>
          <w:iCs/>
          <w:color w:val="000000" w:themeColor="text1"/>
          <w:sz w:val="24"/>
          <w:szCs w:val="24"/>
        </w:rPr>
        <w:t>M. hubbsi</w:t>
      </w:r>
      <w:r w:rsidRPr="00633647">
        <w:rPr>
          <w:rFonts w:ascii="Times New Roman" w:hAnsi="Times New Roman" w:cs="Times New Roman"/>
          <w:b/>
          <w:bCs/>
          <w:color w:val="000000" w:themeColor="text1"/>
          <w:sz w:val="24"/>
          <w:szCs w:val="24"/>
        </w:rPr>
        <w:t>-</w:t>
      </w:r>
      <w:r w:rsidRPr="00633647">
        <w:rPr>
          <w:rFonts w:ascii="Times New Roman" w:hAnsi="Times New Roman" w:cs="Times New Roman"/>
          <w:b/>
          <w:bCs/>
          <w:i/>
          <w:iCs/>
          <w:color w:val="000000" w:themeColor="text1"/>
          <w:sz w:val="24"/>
          <w:szCs w:val="24"/>
        </w:rPr>
        <w:t>M. polyporosus</w:t>
      </w:r>
      <w:r w:rsidRPr="00633647">
        <w:rPr>
          <w:rFonts w:ascii="Times New Roman" w:hAnsi="Times New Roman" w:cs="Times New Roman"/>
          <w:b/>
          <w:bCs/>
          <w:color w:val="000000" w:themeColor="text1"/>
          <w:sz w:val="24"/>
          <w:szCs w:val="24"/>
        </w:rPr>
        <w:t xml:space="preserve"> species complex. </w:t>
      </w:r>
      <w:r w:rsidRPr="00633647">
        <w:rPr>
          <w:rFonts w:ascii="Times New Roman" w:hAnsi="Times New Roman" w:cs="Times New Roman"/>
          <w:color w:val="000000" w:themeColor="text1"/>
          <w:sz w:val="24"/>
          <w:szCs w:val="24"/>
        </w:rPr>
        <w:t>All population differentiation analyses display consistent genetic structure patterns, which distinctly separate the Vallarta (VAL) population from the others (Fig. S14A</w:t>
      </w:r>
      <w:r w:rsidRPr="00633647">
        <w:rPr>
          <w:rFonts w:ascii="Times New Roman" w:hAnsi="Times New Roman" w:cs="Times New Roman"/>
          <w:noProof/>
          <w:color w:val="000000" w:themeColor="text1"/>
          <w:sz w:val="24"/>
          <w:szCs w:val="24"/>
        </w:rPr>
        <w:t>–H</w:t>
      </w:r>
      <w:r w:rsidRPr="00633647">
        <w:rPr>
          <w:rFonts w:ascii="Times New Roman" w:hAnsi="Times New Roman" w:cs="Times New Roman"/>
          <w:color w:val="000000" w:themeColor="text1"/>
          <w:sz w:val="24"/>
          <w:szCs w:val="24"/>
        </w:rPr>
        <w:t xml:space="preserve">). The PC1 axis from both PCA and DAPC analyses, estimated with and without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 delineate these genetic clusters, accounting for 31.4 to 99.5% of the variation (Fig. S14D</w:t>
      </w:r>
      <w:r w:rsidRPr="00633647">
        <w:rPr>
          <w:rFonts w:ascii="Times New Roman" w:hAnsi="Times New Roman" w:cs="Times New Roman"/>
          <w:noProof/>
          <w:color w:val="000000" w:themeColor="text1"/>
          <w:sz w:val="24"/>
          <w:szCs w:val="24"/>
        </w:rPr>
        <w:t>–F</w:t>
      </w:r>
      <w:r w:rsidRPr="00633647">
        <w:rPr>
          <w:rFonts w:ascii="Times New Roman" w:hAnsi="Times New Roman" w:cs="Times New Roman"/>
          <w:color w:val="000000" w:themeColor="text1"/>
          <w:sz w:val="24"/>
          <w:szCs w:val="24"/>
        </w:rPr>
        <w:t>). Notably, the barrier highlighted on the EEMS plot aligns with the Sinaloan Break (SB; Fig. S14G).</w:t>
      </w:r>
    </w:p>
    <w:p w14:paraId="19A30B77" w14:textId="297597CB" w:rsidR="00931688" w:rsidRPr="00633647" w:rsidRDefault="00931688" w:rsidP="00931688">
      <w:pPr>
        <w:jc w:val="both"/>
        <w:rPr>
          <w:rFonts w:ascii="Times New Roman" w:hAnsi="Times New Roman" w:cs="Times New Roman"/>
          <w:b/>
          <w:bCs/>
          <w:color w:val="000000" w:themeColor="text1"/>
          <w:sz w:val="24"/>
          <w:szCs w:val="24"/>
        </w:rPr>
      </w:pPr>
      <w:r w:rsidRPr="00633647">
        <w:rPr>
          <w:rFonts w:ascii="Times New Roman" w:hAnsi="Times New Roman" w:cs="Times New Roman"/>
          <w:b/>
          <w:bCs/>
          <w:i/>
          <w:iCs/>
          <w:color w:val="000000" w:themeColor="text1"/>
          <w:sz w:val="24"/>
          <w:szCs w:val="24"/>
        </w:rPr>
        <w:t>M. mexicanus</w:t>
      </w:r>
      <w:r w:rsidRPr="00633647">
        <w:rPr>
          <w:rFonts w:ascii="Times New Roman" w:hAnsi="Times New Roman" w:cs="Times New Roman"/>
          <w:b/>
          <w:bCs/>
          <w:color w:val="000000" w:themeColor="text1"/>
          <w:sz w:val="24"/>
          <w:szCs w:val="24"/>
        </w:rPr>
        <w:t xml:space="preserve">. </w:t>
      </w:r>
      <w:r w:rsidRPr="00633647">
        <w:rPr>
          <w:rFonts w:ascii="Times New Roman" w:hAnsi="Times New Roman" w:cs="Times New Roman"/>
          <w:color w:val="000000" w:themeColor="text1"/>
          <w:sz w:val="24"/>
          <w:szCs w:val="24"/>
        </w:rPr>
        <w:t>The phylogenetic tree delineates two main clades. Clade A comprises the populations from Santa Inés (STI) and Tepetate (TPE). In contrast, Clade B encompasses the populations of Vallarta (VAL) and Zacatoso (ZAC) (Fig. S15A). The delineation of these clades suggest that the Sinaloan Break (SB) is hindering population connectivity among these lineages. Neither the fastStructure nor the ADMIXTURE analyses discern any population structure (</w:t>
      </w:r>
      <w:r w:rsidRPr="00633647">
        <w:rPr>
          <w:rFonts w:ascii="Times New Roman" w:hAnsi="Times New Roman" w:cs="Times New Roman"/>
          <w:i/>
          <w:iCs/>
          <w:color w:val="000000" w:themeColor="text1"/>
          <w:sz w:val="24"/>
          <w:szCs w:val="24"/>
        </w:rPr>
        <w:t>k</w:t>
      </w:r>
      <w:r w:rsidRPr="00633647">
        <w:rPr>
          <w:rFonts w:ascii="Times New Roman" w:hAnsi="Times New Roman" w:cs="Times New Roman"/>
          <w:color w:val="000000" w:themeColor="text1"/>
          <w:sz w:val="24"/>
          <w:szCs w:val="24"/>
        </w:rPr>
        <w:t>=1, Fig. S15B</w:t>
      </w:r>
      <w:r w:rsidRPr="00633647">
        <w:rPr>
          <w:rFonts w:ascii="Times New Roman" w:hAnsi="Times New Roman" w:cs="Times New Roman"/>
          <w:noProof/>
          <w:color w:val="000000" w:themeColor="text1"/>
          <w:sz w:val="24"/>
          <w:szCs w:val="24"/>
        </w:rPr>
        <w:t>–C</w:t>
      </w:r>
      <w:r w:rsidRPr="00633647">
        <w:rPr>
          <w:rFonts w:ascii="Times New Roman" w:hAnsi="Times New Roman" w:cs="Times New Roman"/>
          <w:color w:val="000000" w:themeColor="text1"/>
          <w:sz w:val="24"/>
          <w:szCs w:val="24"/>
        </w:rPr>
        <w:t xml:space="preserve">). The results of the PCA analyses are consistent with the genetic clusters highlighted by the phylogenetic tree. The PC1 axis differentiates STI and TPE from VAL and ZAC, representing 12.1% of the genetic variation (Fig. S15A). DAPC analyses, when conducted with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 display STI and TPE as a distinct cluster separated by PC1 axis (99.8%) from ZAC and VAL. In contrast, when DAPC analyses were ran without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 they fail to detect any genetic structure consistent with the previously observed clusters (Fig. S15E</w:t>
      </w:r>
      <w:r w:rsidRPr="00633647">
        <w:rPr>
          <w:rFonts w:ascii="Times New Roman" w:hAnsi="Times New Roman" w:cs="Times New Roman"/>
          <w:noProof/>
          <w:color w:val="000000" w:themeColor="text1"/>
          <w:sz w:val="24"/>
          <w:szCs w:val="24"/>
        </w:rPr>
        <w:t>–F</w:t>
      </w:r>
      <w:r w:rsidRPr="00633647">
        <w:rPr>
          <w:rFonts w:ascii="Times New Roman" w:hAnsi="Times New Roman" w:cs="Times New Roman"/>
          <w:color w:val="000000" w:themeColor="text1"/>
          <w:sz w:val="24"/>
          <w:szCs w:val="24"/>
        </w:rPr>
        <w:t>). The EEMS plot identified an area interrupting genetic flow, coinciding with the Sinaloan Break (Fig. S15G). Additionally, sPCA analyses further distinguish the STI and TPE populations from ZAC and VAL (Fig. S15H).</w:t>
      </w:r>
    </w:p>
    <w:p w14:paraId="33DF6D6D" w14:textId="1F4D20D0" w:rsidR="00931688" w:rsidRPr="00633647" w:rsidRDefault="00931688" w:rsidP="00931688">
      <w:pPr>
        <w:jc w:val="both"/>
        <w:rPr>
          <w:rFonts w:ascii="Times New Roman" w:hAnsi="Times New Roman" w:cs="Times New Roman"/>
          <w:b/>
          <w:bCs/>
          <w:color w:val="000000" w:themeColor="text1"/>
          <w:sz w:val="24"/>
          <w:szCs w:val="24"/>
        </w:rPr>
      </w:pPr>
      <w:r w:rsidRPr="00633647">
        <w:rPr>
          <w:rFonts w:ascii="Times New Roman" w:hAnsi="Times New Roman" w:cs="Times New Roman"/>
          <w:b/>
          <w:bCs/>
          <w:i/>
          <w:iCs/>
          <w:color w:val="000000" w:themeColor="text1"/>
          <w:sz w:val="24"/>
          <w:szCs w:val="24"/>
        </w:rPr>
        <w:t>M. sudensis</w:t>
      </w:r>
      <w:r w:rsidRPr="00633647">
        <w:rPr>
          <w:rFonts w:ascii="Times New Roman" w:hAnsi="Times New Roman" w:cs="Times New Roman"/>
          <w:b/>
          <w:bCs/>
          <w:color w:val="000000" w:themeColor="text1"/>
          <w:sz w:val="24"/>
          <w:szCs w:val="24"/>
        </w:rPr>
        <w:t xml:space="preserve">. </w:t>
      </w:r>
      <w:r w:rsidRPr="00633647">
        <w:rPr>
          <w:rFonts w:ascii="Times New Roman" w:hAnsi="Times New Roman" w:cs="Times New Roman"/>
          <w:color w:val="000000" w:themeColor="text1"/>
          <w:sz w:val="24"/>
          <w:szCs w:val="24"/>
        </w:rPr>
        <w:t xml:space="preserve">The phylogenetic tree delineates two major clades: clade A comprises individuals from Continental Ecuador (ECC), while clade B is formed by individuals sampled from Cabo </w:t>
      </w:r>
      <w:r w:rsidRPr="00633647">
        <w:rPr>
          <w:rFonts w:ascii="Times New Roman" w:hAnsi="Times New Roman" w:cs="Times New Roman"/>
          <w:color w:val="000000" w:themeColor="text1"/>
          <w:sz w:val="24"/>
          <w:szCs w:val="24"/>
        </w:rPr>
        <w:lastRenderedPageBreak/>
        <w:t>Blanco (CBL), Los Cóbanos (COB), Nuquí (NUQ), Pedasí (PED), and Las Perlas Archipelago (PER) (Fig. S16A). FastStructure analyses recovered two genetic groups as the primary hypothesis for population structure (</w:t>
      </w:r>
      <w:r w:rsidRPr="00633647">
        <w:rPr>
          <w:rFonts w:ascii="Times New Roman" w:hAnsi="Times New Roman" w:cs="Times New Roman"/>
          <w:i/>
          <w:iCs/>
          <w:color w:val="000000" w:themeColor="text1"/>
          <w:sz w:val="24"/>
          <w:szCs w:val="24"/>
        </w:rPr>
        <w:t>k</w:t>
      </w:r>
      <w:r w:rsidRPr="00633647">
        <w:rPr>
          <w:rFonts w:ascii="Times New Roman" w:hAnsi="Times New Roman" w:cs="Times New Roman"/>
          <w:color w:val="000000" w:themeColor="text1"/>
          <w:sz w:val="24"/>
          <w:szCs w:val="24"/>
        </w:rPr>
        <w:t>=2). The results from ADMIXTURE were marginal, as the best cross-validation scenario did not distinguish any population structure (</w:t>
      </w:r>
      <w:r w:rsidRPr="00633647">
        <w:rPr>
          <w:rFonts w:ascii="Times New Roman" w:hAnsi="Times New Roman" w:cs="Times New Roman"/>
          <w:i/>
          <w:iCs/>
          <w:color w:val="000000" w:themeColor="text1"/>
          <w:sz w:val="24"/>
          <w:szCs w:val="24"/>
        </w:rPr>
        <w:t>k</w:t>
      </w:r>
      <w:r w:rsidRPr="00633647">
        <w:rPr>
          <w:rFonts w:ascii="Times New Roman" w:hAnsi="Times New Roman" w:cs="Times New Roman"/>
          <w:color w:val="000000" w:themeColor="text1"/>
          <w:sz w:val="24"/>
          <w:szCs w:val="24"/>
        </w:rPr>
        <w:t>=1); the second-best scenario reflected the same population structure (</w:t>
      </w:r>
      <w:r w:rsidRPr="00633647">
        <w:rPr>
          <w:rFonts w:ascii="Times New Roman" w:hAnsi="Times New Roman" w:cs="Times New Roman"/>
          <w:i/>
          <w:iCs/>
          <w:color w:val="000000" w:themeColor="text1"/>
          <w:sz w:val="24"/>
          <w:szCs w:val="24"/>
        </w:rPr>
        <w:t>k</w:t>
      </w:r>
      <w:r w:rsidRPr="00633647">
        <w:rPr>
          <w:rFonts w:ascii="Times New Roman" w:hAnsi="Times New Roman" w:cs="Times New Roman"/>
          <w:color w:val="000000" w:themeColor="text1"/>
          <w:sz w:val="24"/>
          <w:szCs w:val="24"/>
        </w:rPr>
        <w:t>=2) as that revealed by fastStructure (Fig. S16B</w:t>
      </w:r>
      <w:r w:rsidRPr="00633647">
        <w:rPr>
          <w:rFonts w:ascii="Times New Roman" w:hAnsi="Times New Roman" w:cs="Times New Roman"/>
          <w:noProof/>
          <w:color w:val="000000" w:themeColor="text1"/>
          <w:sz w:val="24"/>
          <w:szCs w:val="24"/>
        </w:rPr>
        <w:t>–C</w:t>
      </w:r>
      <w:r w:rsidRPr="00633647">
        <w:rPr>
          <w:rFonts w:ascii="Times New Roman" w:hAnsi="Times New Roman" w:cs="Times New Roman"/>
          <w:color w:val="000000" w:themeColor="text1"/>
          <w:sz w:val="24"/>
          <w:szCs w:val="24"/>
        </w:rPr>
        <w:t xml:space="preserve">). The PC1 axis of the PCA and DAPC, with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 distinguished ECC from the other populations (11.8</w:t>
      </w:r>
      <w:r w:rsidRPr="00633647">
        <w:rPr>
          <w:rFonts w:ascii="Times New Roman" w:hAnsi="Times New Roman" w:cs="Times New Roman"/>
          <w:noProof/>
          <w:color w:val="000000" w:themeColor="text1"/>
          <w:sz w:val="24"/>
          <w:szCs w:val="24"/>
        </w:rPr>
        <w:t>–86.4%). The PC2 axis (</w:t>
      </w:r>
      <w:r w:rsidRPr="00633647">
        <w:rPr>
          <w:rFonts w:ascii="Times New Roman" w:hAnsi="Times New Roman" w:cs="Times New Roman"/>
          <w:color w:val="000000" w:themeColor="text1"/>
          <w:sz w:val="24"/>
          <w:szCs w:val="24"/>
        </w:rPr>
        <w:t>0.05</w:t>
      </w:r>
      <w:r w:rsidRPr="00633647">
        <w:rPr>
          <w:rFonts w:ascii="Times New Roman" w:hAnsi="Times New Roman" w:cs="Times New Roman"/>
          <w:noProof/>
          <w:color w:val="000000" w:themeColor="text1"/>
          <w:sz w:val="24"/>
          <w:szCs w:val="24"/>
        </w:rPr>
        <w:t xml:space="preserve">–13.5%) revealed further population structrure, presenting three genetic groups: CBL and COB, NUQ and PER, and PED </w:t>
      </w:r>
      <w:r w:rsidRPr="00633647">
        <w:rPr>
          <w:rFonts w:ascii="Times New Roman" w:hAnsi="Times New Roman" w:cs="Times New Roman"/>
          <w:color w:val="000000" w:themeColor="text1"/>
          <w:sz w:val="24"/>
          <w:szCs w:val="24"/>
        </w:rPr>
        <w:t>(Fig. S16D</w:t>
      </w:r>
      <w:r w:rsidRPr="00633647">
        <w:rPr>
          <w:rFonts w:ascii="Times New Roman" w:hAnsi="Times New Roman" w:cs="Times New Roman"/>
          <w:noProof/>
          <w:color w:val="000000" w:themeColor="text1"/>
          <w:sz w:val="24"/>
          <w:szCs w:val="24"/>
        </w:rPr>
        <w:t>–E</w:t>
      </w:r>
      <w:r w:rsidRPr="00633647">
        <w:rPr>
          <w:rFonts w:ascii="Times New Roman" w:hAnsi="Times New Roman" w:cs="Times New Roman"/>
          <w:color w:val="000000" w:themeColor="text1"/>
          <w:sz w:val="24"/>
          <w:szCs w:val="24"/>
        </w:rPr>
        <w:t xml:space="preserve">). This analysis suggests a potential new break (PNB3) hindering population connectivity south of CBL. In contrast, DAPC, calculated without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 did differentiate ECC on PC1 (89.7%), but did not show a population structure associated with geographical locations (Fig. S16F). EEMS plots underscore two primary barriers to genetic flow: the first between PED and PER aligning with the Panama Gyre Break (PGB), and the second near NUQ highlighting a potential new break (PNB4) (Fig. S16G). sPCA analyses also categorized ECC as a distinct genetic cluster (Fig. S16H). AMOVA analyses compared both hypotheses of two and four genetic groupings, finding that the majority of genetic differentiation occurred within individuals </w:t>
      </w:r>
      <w:r w:rsidRPr="00633647">
        <w:rPr>
          <w:rFonts w:ascii="Times New Roman" w:hAnsi="Times New Roman" w:cs="Times New Roman"/>
          <w:noProof/>
          <w:color w:val="000000" w:themeColor="text1"/>
          <w:sz w:val="24"/>
          <w:szCs w:val="24"/>
        </w:rPr>
        <w:t>(</w:t>
      </w:r>
      <w:r w:rsidRPr="00633647">
        <w:rPr>
          <w:rFonts w:ascii="Times New Roman" w:hAnsi="Times New Roman" w:cs="Times New Roman"/>
          <w:color w:val="000000" w:themeColor="text1"/>
          <w:sz w:val="24"/>
          <w:szCs w:val="24"/>
        </w:rPr>
        <w:t>75.18</w:t>
      </w:r>
      <w:r w:rsidRPr="00633647">
        <w:rPr>
          <w:rFonts w:ascii="Times New Roman" w:hAnsi="Times New Roman" w:cs="Times New Roman"/>
          <w:noProof/>
          <w:color w:val="000000" w:themeColor="text1"/>
          <w:sz w:val="24"/>
          <w:szCs w:val="24"/>
        </w:rPr>
        <w:t>–81.40%) (Table S8). We observed a moderate level of genetic differentiation between groups (</w:t>
      </w:r>
      <w:r w:rsidRPr="00633647">
        <w:rPr>
          <w:rFonts w:ascii="Times New Roman" w:hAnsi="Times New Roman" w:cs="Times New Roman"/>
          <w:color w:val="000000" w:themeColor="text1"/>
          <w:sz w:val="24"/>
          <w:szCs w:val="24"/>
        </w:rPr>
        <w:t>13.67</w:t>
      </w:r>
      <w:r w:rsidRPr="00633647">
        <w:rPr>
          <w:rFonts w:ascii="Times New Roman" w:hAnsi="Times New Roman" w:cs="Times New Roman"/>
          <w:noProof/>
          <w:color w:val="000000" w:themeColor="text1"/>
          <w:sz w:val="24"/>
          <w:szCs w:val="24"/>
        </w:rPr>
        <w:t>–17.02%), while a low percentage of variation was represented among individuals within groups (</w:t>
      </w:r>
      <w:r w:rsidRPr="00633647">
        <w:rPr>
          <w:rFonts w:ascii="Times New Roman" w:hAnsi="Times New Roman" w:cs="Times New Roman"/>
          <w:color w:val="000000" w:themeColor="text1"/>
          <w:sz w:val="24"/>
          <w:szCs w:val="24"/>
        </w:rPr>
        <w:t>4.93</w:t>
      </w:r>
      <w:r w:rsidRPr="00633647">
        <w:rPr>
          <w:rFonts w:ascii="Times New Roman" w:hAnsi="Times New Roman" w:cs="Times New Roman"/>
          <w:noProof/>
          <w:color w:val="000000" w:themeColor="text1"/>
          <w:sz w:val="24"/>
          <w:szCs w:val="24"/>
        </w:rPr>
        <w:t>–7.80%). The division into more groups led to a slight decrease in the percentage of variation between groups, suggesting higher support for a two-group scenario where the ECC population is significantly different from the rest.</w:t>
      </w:r>
    </w:p>
    <w:p w14:paraId="47DFA1A8" w14:textId="6CF08BC6" w:rsidR="00931688" w:rsidRPr="00633647" w:rsidRDefault="00931688" w:rsidP="00931688">
      <w:pPr>
        <w:jc w:val="both"/>
        <w:rPr>
          <w:rFonts w:ascii="Times New Roman" w:hAnsi="Times New Roman" w:cs="Times New Roman"/>
          <w:color w:val="000000" w:themeColor="text1"/>
          <w:sz w:val="24"/>
          <w:szCs w:val="24"/>
        </w:rPr>
      </w:pPr>
      <w:r w:rsidRPr="00633647">
        <w:rPr>
          <w:rFonts w:ascii="Times New Roman" w:hAnsi="Times New Roman" w:cs="Times New Roman"/>
          <w:b/>
          <w:bCs/>
          <w:i/>
          <w:iCs/>
          <w:color w:val="000000" w:themeColor="text1"/>
          <w:sz w:val="24"/>
          <w:szCs w:val="24"/>
        </w:rPr>
        <w:t>M. tetranemus</w:t>
      </w:r>
      <w:r w:rsidRPr="00633647">
        <w:rPr>
          <w:rFonts w:ascii="Times New Roman" w:hAnsi="Times New Roman" w:cs="Times New Roman"/>
          <w:b/>
          <w:bCs/>
          <w:color w:val="000000" w:themeColor="text1"/>
          <w:sz w:val="24"/>
          <w:szCs w:val="24"/>
        </w:rPr>
        <w:t xml:space="preserve">. </w:t>
      </w:r>
      <w:r w:rsidRPr="00633647">
        <w:rPr>
          <w:rFonts w:ascii="Times New Roman" w:hAnsi="Times New Roman" w:cs="Times New Roman"/>
          <w:color w:val="000000" w:themeColor="text1"/>
          <w:sz w:val="24"/>
          <w:szCs w:val="24"/>
        </w:rPr>
        <w:t xml:space="preserve">The phylogenetic tree identified two main clades: clade A, composed of individuals from Continental Ecuador (ECC), and clade B, comprising individuals from the other populations. Within clade B, further population structure is evident: subclade B1 includes individuals from Michoacán (MIC), Zacatoso (ZAC) and Agustinillo (AGU) populations; subclade B2 consists of Cedros (CED), Santa Inés (STI), and Tepetate (TPE) populations; and subclade B3 encompasses Cóbanos (COB), Cabo Blanco (CBL), Pedasí (PED), Las Perlas (PER), Nuquí (NUQ), and Galápagos Archipelago (GAL) populations, along with some individuals from ECC (Fig. S17A). Due to the substantial genetic distance between clade A and clade B, we hypothesize that clade B might represent a new species that is hereafter referred to as </w:t>
      </w:r>
      <w:r w:rsidRPr="00633647">
        <w:rPr>
          <w:rFonts w:ascii="Times New Roman" w:hAnsi="Times New Roman" w:cs="Times New Roman"/>
          <w:i/>
          <w:iCs/>
          <w:color w:val="000000" w:themeColor="text1"/>
          <w:sz w:val="24"/>
          <w:szCs w:val="24"/>
        </w:rPr>
        <w:t>M. aff. tetranemus</w:t>
      </w:r>
      <w:r w:rsidRPr="00633647">
        <w:rPr>
          <w:rFonts w:ascii="Times New Roman" w:hAnsi="Times New Roman" w:cs="Times New Roman"/>
          <w:color w:val="000000" w:themeColor="text1"/>
          <w:sz w:val="24"/>
          <w:szCs w:val="24"/>
        </w:rPr>
        <w:t xml:space="preserve">. Both fastStructure and ADMIXTURE analyses consistently indicated a best </w:t>
      </w:r>
      <w:r w:rsidRPr="00633647">
        <w:rPr>
          <w:rFonts w:ascii="Times New Roman" w:hAnsi="Times New Roman" w:cs="Times New Roman"/>
          <w:i/>
          <w:iCs/>
          <w:color w:val="000000" w:themeColor="text1"/>
          <w:sz w:val="24"/>
          <w:szCs w:val="24"/>
        </w:rPr>
        <w:t>k</w:t>
      </w:r>
      <w:r w:rsidRPr="00633647">
        <w:rPr>
          <w:rFonts w:ascii="Times New Roman" w:hAnsi="Times New Roman" w:cs="Times New Roman"/>
          <w:color w:val="000000" w:themeColor="text1"/>
          <w:sz w:val="24"/>
          <w:szCs w:val="24"/>
        </w:rPr>
        <w:t xml:space="preserve"> scenario of two genetic groupings, with some individuals from </w:t>
      </w:r>
      <w:r w:rsidRPr="00633647">
        <w:rPr>
          <w:rFonts w:ascii="Times New Roman" w:hAnsi="Times New Roman" w:cs="Times New Roman"/>
          <w:i/>
          <w:iCs/>
          <w:color w:val="000000" w:themeColor="text1"/>
          <w:sz w:val="24"/>
          <w:szCs w:val="24"/>
        </w:rPr>
        <w:t>M. aff. tetranemus</w:t>
      </w:r>
      <w:r w:rsidRPr="00633647">
        <w:rPr>
          <w:rFonts w:ascii="Times New Roman" w:hAnsi="Times New Roman" w:cs="Times New Roman"/>
          <w:color w:val="000000" w:themeColor="text1"/>
          <w:sz w:val="24"/>
          <w:szCs w:val="24"/>
        </w:rPr>
        <w:t xml:space="preserve"> forming group one. Further fastStructure and ADMIXTURE analyses using only </w:t>
      </w:r>
      <w:r w:rsidRPr="00633647">
        <w:rPr>
          <w:rFonts w:ascii="Times New Roman" w:hAnsi="Times New Roman" w:cs="Times New Roman"/>
          <w:i/>
          <w:iCs/>
          <w:color w:val="000000" w:themeColor="text1"/>
          <w:sz w:val="24"/>
          <w:szCs w:val="24"/>
        </w:rPr>
        <w:t>M. tetranemus</w:t>
      </w:r>
      <w:r w:rsidRPr="00633647">
        <w:rPr>
          <w:rFonts w:ascii="Times New Roman" w:hAnsi="Times New Roman" w:cs="Times New Roman"/>
          <w:color w:val="000000" w:themeColor="text1"/>
          <w:sz w:val="24"/>
          <w:szCs w:val="24"/>
        </w:rPr>
        <w:t xml:space="preserve"> revealed additional population substructure (</w:t>
      </w:r>
      <w:r w:rsidRPr="00633647">
        <w:rPr>
          <w:rFonts w:ascii="Times New Roman" w:hAnsi="Times New Roman" w:cs="Times New Roman"/>
          <w:i/>
          <w:iCs/>
          <w:color w:val="000000" w:themeColor="text1"/>
          <w:sz w:val="24"/>
          <w:szCs w:val="24"/>
        </w:rPr>
        <w:t>k</w:t>
      </w:r>
      <w:r w:rsidRPr="00633647">
        <w:rPr>
          <w:rFonts w:ascii="Times New Roman" w:hAnsi="Times New Roman" w:cs="Times New Roman"/>
          <w:color w:val="000000" w:themeColor="text1"/>
          <w:sz w:val="24"/>
          <w:szCs w:val="24"/>
        </w:rPr>
        <w:t>=2) that is congruent with the phylogenetic tree, where subclades B1 and B2 constituted a genetic grouping distinct from subclade B3 (Fig. S17B</w:t>
      </w:r>
      <w:r w:rsidRPr="00633647">
        <w:rPr>
          <w:rFonts w:ascii="Times New Roman" w:hAnsi="Times New Roman" w:cs="Times New Roman"/>
          <w:noProof/>
          <w:color w:val="000000" w:themeColor="text1"/>
          <w:sz w:val="24"/>
          <w:szCs w:val="24"/>
        </w:rPr>
        <w:t>–C</w:t>
      </w:r>
      <w:r w:rsidRPr="00633647">
        <w:rPr>
          <w:rFonts w:ascii="Times New Roman" w:hAnsi="Times New Roman" w:cs="Times New Roman"/>
          <w:color w:val="000000" w:themeColor="text1"/>
          <w:sz w:val="24"/>
          <w:szCs w:val="24"/>
        </w:rPr>
        <w:t xml:space="preserve">). PCA’s PC1 consistently recognized </w:t>
      </w:r>
      <w:r w:rsidRPr="00633647">
        <w:rPr>
          <w:rFonts w:ascii="Times New Roman" w:hAnsi="Times New Roman" w:cs="Times New Roman"/>
          <w:i/>
          <w:iCs/>
          <w:color w:val="000000" w:themeColor="text1"/>
          <w:sz w:val="24"/>
          <w:szCs w:val="24"/>
        </w:rPr>
        <w:t>M. aff. tetranemus</w:t>
      </w:r>
      <w:r w:rsidRPr="00633647">
        <w:rPr>
          <w:rFonts w:ascii="Times New Roman" w:hAnsi="Times New Roman" w:cs="Times New Roman"/>
          <w:color w:val="000000" w:themeColor="text1"/>
          <w:sz w:val="24"/>
          <w:szCs w:val="24"/>
        </w:rPr>
        <w:t xml:space="preserve"> as a unique group, accounting for 25% of the variation. PC2, accounting for 5%, identified two groups that correlate with the fastStructure and ADMIXTURE results for </w:t>
      </w:r>
      <w:r w:rsidRPr="00633647">
        <w:rPr>
          <w:rFonts w:ascii="Times New Roman" w:hAnsi="Times New Roman" w:cs="Times New Roman"/>
          <w:i/>
          <w:iCs/>
          <w:color w:val="000000" w:themeColor="text1"/>
          <w:sz w:val="24"/>
          <w:szCs w:val="24"/>
        </w:rPr>
        <w:t>M. tetranemus</w:t>
      </w:r>
      <w:r w:rsidRPr="00633647">
        <w:rPr>
          <w:rFonts w:ascii="Times New Roman" w:hAnsi="Times New Roman" w:cs="Times New Roman"/>
          <w:color w:val="000000" w:themeColor="text1"/>
          <w:sz w:val="24"/>
          <w:szCs w:val="24"/>
        </w:rPr>
        <w:t xml:space="preserve"> (Fig. S17D). DAPC analyses, both with and without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groupings for </w:t>
      </w:r>
      <w:r w:rsidRPr="00633647">
        <w:rPr>
          <w:rFonts w:ascii="Times New Roman" w:hAnsi="Times New Roman" w:cs="Times New Roman"/>
          <w:i/>
          <w:iCs/>
          <w:color w:val="000000" w:themeColor="text1"/>
          <w:sz w:val="24"/>
          <w:szCs w:val="24"/>
        </w:rPr>
        <w:t>M. tetranemus</w:t>
      </w:r>
      <w:r w:rsidRPr="00633647">
        <w:rPr>
          <w:rFonts w:ascii="Times New Roman" w:hAnsi="Times New Roman" w:cs="Times New Roman"/>
          <w:color w:val="000000" w:themeColor="text1"/>
          <w:sz w:val="24"/>
          <w:szCs w:val="24"/>
        </w:rPr>
        <w:t>, discerned four genetic groups: group 1 comprised of GAL; group 2 consisting of COB, CBL, PED, PER, NUQ, and ECC; group 3 encompassing MIC, ZAC, and AGU; and group 4 made up of CED, STI, and TPE. PC1 differentiated groups 1 and 2 from 3 and 4, explaining 76.1%</w:t>
      </w:r>
      <w:r w:rsidRPr="00633647">
        <w:rPr>
          <w:rFonts w:ascii="Times New Roman" w:hAnsi="Times New Roman" w:cs="Times New Roman"/>
          <w:noProof/>
          <w:color w:val="000000" w:themeColor="text1"/>
          <w:sz w:val="24"/>
          <w:szCs w:val="24"/>
        </w:rPr>
        <w:t xml:space="preserve"> to 78.0% of the genetic variation. In contrast, PC2 (12.0–13.3%) highlighted a more nuanced genetic structure, differentiating grop 1 from group 2 and group 3 </w:t>
      </w:r>
      <w:r w:rsidRPr="00633647">
        <w:rPr>
          <w:rFonts w:ascii="Times New Roman" w:hAnsi="Times New Roman" w:cs="Times New Roman"/>
          <w:noProof/>
          <w:color w:val="000000" w:themeColor="text1"/>
          <w:sz w:val="24"/>
          <w:szCs w:val="24"/>
        </w:rPr>
        <w:lastRenderedPageBreak/>
        <w:t xml:space="preserve">from 4 </w:t>
      </w:r>
      <w:r w:rsidRPr="00633647">
        <w:rPr>
          <w:rFonts w:ascii="Times New Roman" w:hAnsi="Times New Roman" w:cs="Times New Roman"/>
          <w:color w:val="000000" w:themeColor="text1"/>
          <w:sz w:val="24"/>
          <w:szCs w:val="24"/>
        </w:rPr>
        <w:t>(Fig. S17E</w:t>
      </w:r>
      <w:r w:rsidRPr="00633647">
        <w:rPr>
          <w:rFonts w:ascii="Times New Roman" w:hAnsi="Times New Roman" w:cs="Times New Roman"/>
          <w:noProof/>
          <w:color w:val="000000" w:themeColor="text1"/>
          <w:sz w:val="24"/>
          <w:szCs w:val="24"/>
        </w:rPr>
        <w:t>–F</w:t>
      </w:r>
      <w:r w:rsidRPr="00633647">
        <w:rPr>
          <w:rFonts w:ascii="Times New Roman" w:hAnsi="Times New Roman" w:cs="Times New Roman"/>
          <w:color w:val="000000" w:themeColor="text1"/>
          <w:sz w:val="24"/>
          <w:szCs w:val="24"/>
        </w:rPr>
        <w:t xml:space="preserve">). The results observed on the DAPC analyses provide support for the evaluated marine breaks including the Open Ocean Galapagos Break (OOGB). EEMS plots pinpointed three primary areas inhibiting genetic flow, coinciding with the Sinaloan Break (SB), the Central American Break (CB) and a region near ECC that represents a potential new break (PNB4) (Fig. S17G). The sPCA of </w:t>
      </w:r>
      <w:r w:rsidRPr="00633647">
        <w:rPr>
          <w:rFonts w:ascii="Times New Roman" w:hAnsi="Times New Roman" w:cs="Times New Roman"/>
          <w:i/>
          <w:iCs/>
          <w:color w:val="000000" w:themeColor="text1"/>
          <w:sz w:val="24"/>
          <w:szCs w:val="24"/>
        </w:rPr>
        <w:t>M. tetranemus</w:t>
      </w:r>
      <w:r w:rsidRPr="00633647">
        <w:rPr>
          <w:rFonts w:ascii="Times New Roman" w:hAnsi="Times New Roman" w:cs="Times New Roman"/>
          <w:color w:val="000000" w:themeColor="text1"/>
          <w:sz w:val="24"/>
          <w:szCs w:val="24"/>
        </w:rPr>
        <w:t xml:space="preserve"> detected two main genetic groups, one comprising DAPC’s groups one and two and another including groups 3 and 4 (Fig. S17H). AMOVA analyses, calculated comparing the different genetic clustering hypotheses (two, three, and four groups in </w:t>
      </w:r>
      <w:r w:rsidRPr="00633647">
        <w:rPr>
          <w:rFonts w:ascii="Times New Roman" w:hAnsi="Times New Roman" w:cs="Times New Roman"/>
          <w:i/>
          <w:iCs/>
          <w:color w:val="000000" w:themeColor="text1"/>
          <w:sz w:val="24"/>
          <w:szCs w:val="24"/>
        </w:rPr>
        <w:t>M. tetranemus</w:t>
      </w:r>
      <w:r w:rsidRPr="00633647">
        <w:rPr>
          <w:rFonts w:ascii="Times New Roman" w:hAnsi="Times New Roman" w:cs="Times New Roman"/>
          <w:color w:val="000000" w:themeColor="text1"/>
          <w:sz w:val="24"/>
          <w:szCs w:val="24"/>
        </w:rPr>
        <w:t>; Table S8), suggest a consistent pattern in which most of the genetic variation is found within individuals, representing a rich genetic diversity (85.55</w:t>
      </w:r>
      <w:r w:rsidRPr="00633647">
        <w:rPr>
          <w:rFonts w:ascii="Times New Roman" w:hAnsi="Times New Roman" w:cs="Times New Roman"/>
          <w:noProof/>
          <w:color w:val="000000" w:themeColor="text1"/>
          <w:sz w:val="24"/>
          <w:szCs w:val="24"/>
        </w:rPr>
        <w:t>–87.57%</w:t>
      </w:r>
      <w:r w:rsidRPr="00633647">
        <w:rPr>
          <w:rFonts w:ascii="Times New Roman" w:hAnsi="Times New Roman" w:cs="Times New Roman"/>
          <w:color w:val="000000" w:themeColor="text1"/>
          <w:sz w:val="24"/>
          <w:szCs w:val="24"/>
        </w:rPr>
        <w:t>). Geographic clusters have undergone some degree of significant genetic differentiation (11.27</w:t>
      </w:r>
      <w:r w:rsidRPr="00633647">
        <w:rPr>
          <w:rFonts w:ascii="Times New Roman" w:hAnsi="Times New Roman" w:cs="Times New Roman"/>
          <w:noProof/>
          <w:color w:val="000000" w:themeColor="text1"/>
          <w:sz w:val="24"/>
          <w:szCs w:val="24"/>
        </w:rPr>
        <w:t>–11.83%</w:t>
      </w:r>
      <w:r w:rsidRPr="00633647">
        <w:rPr>
          <w:rFonts w:ascii="Times New Roman" w:hAnsi="Times New Roman" w:cs="Times New Roman"/>
          <w:color w:val="000000" w:themeColor="text1"/>
          <w:sz w:val="24"/>
          <w:szCs w:val="24"/>
        </w:rPr>
        <w:t>), whereas the genetic differentiation within groups is low indicating that individuals within the same geographic group are relatively similar to one another (0.82</w:t>
      </w:r>
      <w:r w:rsidRPr="00633647">
        <w:rPr>
          <w:rFonts w:ascii="Times New Roman" w:hAnsi="Times New Roman" w:cs="Times New Roman"/>
          <w:noProof/>
          <w:color w:val="000000" w:themeColor="text1"/>
          <w:sz w:val="24"/>
          <w:szCs w:val="24"/>
        </w:rPr>
        <w:t>–3.17%</w:t>
      </w:r>
      <w:r w:rsidRPr="00633647">
        <w:rPr>
          <w:rFonts w:ascii="Times New Roman" w:hAnsi="Times New Roman" w:cs="Times New Roman"/>
          <w:color w:val="000000" w:themeColor="text1"/>
          <w:sz w:val="24"/>
          <w:szCs w:val="24"/>
        </w:rPr>
        <w:t>). In this scenario, although marginal, the genetic clustering pattern that represented the higher proportion of genetic differentiation was the identification of three groups: Gulf of California, Central Mexico, and South America-Galapagos.</w:t>
      </w:r>
    </w:p>
    <w:p w14:paraId="443DD4B8" w14:textId="632F1E51" w:rsidR="00931688" w:rsidRPr="00633647" w:rsidRDefault="00931688" w:rsidP="00931688">
      <w:pPr>
        <w:jc w:val="both"/>
        <w:rPr>
          <w:rFonts w:ascii="Times New Roman" w:hAnsi="Times New Roman" w:cs="Times New Roman"/>
          <w:color w:val="000000" w:themeColor="text1"/>
          <w:sz w:val="24"/>
          <w:szCs w:val="24"/>
        </w:rPr>
      </w:pPr>
      <w:r w:rsidRPr="00633647">
        <w:rPr>
          <w:rFonts w:ascii="Times New Roman" w:hAnsi="Times New Roman" w:cs="Times New Roman"/>
          <w:b/>
          <w:bCs/>
          <w:i/>
          <w:iCs/>
          <w:color w:val="000000" w:themeColor="text1"/>
          <w:sz w:val="24"/>
          <w:szCs w:val="24"/>
        </w:rPr>
        <w:t>M. zacae</w:t>
      </w:r>
      <w:r w:rsidRPr="00633647">
        <w:rPr>
          <w:rFonts w:ascii="Times New Roman" w:hAnsi="Times New Roman" w:cs="Times New Roman"/>
          <w:b/>
          <w:bCs/>
          <w:color w:val="000000" w:themeColor="text1"/>
          <w:sz w:val="24"/>
          <w:szCs w:val="24"/>
        </w:rPr>
        <w:t xml:space="preserve">. </w:t>
      </w:r>
      <w:r w:rsidRPr="00633647">
        <w:rPr>
          <w:rFonts w:ascii="Times New Roman" w:hAnsi="Times New Roman" w:cs="Times New Roman"/>
          <w:color w:val="000000" w:themeColor="text1"/>
          <w:sz w:val="24"/>
          <w:szCs w:val="24"/>
        </w:rPr>
        <w:t>The patterns of genetic structure consistently identify two main genetic groups, as depicted in Figure S18A</w:t>
      </w:r>
      <w:r w:rsidRPr="00633647">
        <w:rPr>
          <w:rFonts w:ascii="Times New Roman" w:hAnsi="Times New Roman" w:cs="Times New Roman"/>
          <w:noProof/>
          <w:color w:val="000000" w:themeColor="text1"/>
          <w:sz w:val="24"/>
          <w:szCs w:val="24"/>
        </w:rPr>
        <w:t>–</w:t>
      </w:r>
      <w:r w:rsidRPr="00633647">
        <w:rPr>
          <w:rFonts w:ascii="Times New Roman" w:hAnsi="Times New Roman" w:cs="Times New Roman"/>
          <w:color w:val="000000" w:themeColor="text1"/>
          <w:sz w:val="24"/>
          <w:szCs w:val="24"/>
        </w:rPr>
        <w:t>H. The first group consists of Cedros (CED), Los Frailes (FRA), and Tepetate (TPE), while the second group comprises Vallarta (VAL), Agustinillo (AGU), and Zacatoso (ZAC). The genetic structure represented by these groups aligns with a scenario where the Sinaloan Break hinders population connectivity among these populations. Additionally, both PCA and DAPC analyses—whether conducted with or without</w:t>
      </w:r>
      <w:r w:rsidRPr="00633647">
        <w:rPr>
          <w:rFonts w:ascii="Times New Roman" w:hAnsi="Times New Roman" w:cs="Times New Roman"/>
          <w:i/>
          <w:iCs/>
          <w:color w:val="000000" w:themeColor="text1"/>
          <w:sz w:val="24"/>
          <w:szCs w:val="24"/>
        </w:rPr>
        <w:t xml:space="preserve"> a priori</w:t>
      </w:r>
      <w:r w:rsidRPr="00633647">
        <w:rPr>
          <w:rFonts w:ascii="Times New Roman" w:hAnsi="Times New Roman" w:cs="Times New Roman"/>
          <w:color w:val="000000" w:themeColor="text1"/>
          <w:sz w:val="24"/>
          <w:szCs w:val="24"/>
        </w:rPr>
        <w:t xml:space="preserve"> groupings—identified these genetic groups on the PC1 axis, which accounts for 48.1 to 99.9% of the total variation. Interestingly, the PC2 did not reveal additional genetic patterns, contributing only 0.02</w:t>
      </w:r>
      <w:r w:rsidRPr="00633647">
        <w:rPr>
          <w:rFonts w:ascii="Times New Roman" w:hAnsi="Times New Roman" w:cs="Times New Roman"/>
          <w:noProof/>
          <w:color w:val="000000" w:themeColor="text1"/>
          <w:sz w:val="24"/>
          <w:szCs w:val="24"/>
        </w:rPr>
        <w:t>–</w:t>
      </w:r>
      <w:r w:rsidRPr="00633647">
        <w:rPr>
          <w:rFonts w:ascii="Times New Roman" w:hAnsi="Times New Roman" w:cs="Times New Roman"/>
          <w:color w:val="000000" w:themeColor="text1"/>
          <w:sz w:val="24"/>
          <w:szCs w:val="24"/>
        </w:rPr>
        <w:t>1.1% to the variation (Fig. S18D</w:t>
      </w:r>
      <w:r w:rsidRPr="00633647">
        <w:rPr>
          <w:rFonts w:ascii="Times New Roman" w:hAnsi="Times New Roman" w:cs="Times New Roman"/>
          <w:noProof/>
          <w:color w:val="000000" w:themeColor="text1"/>
          <w:sz w:val="24"/>
          <w:szCs w:val="24"/>
        </w:rPr>
        <w:t>–</w:t>
      </w:r>
      <w:r w:rsidRPr="00633647">
        <w:rPr>
          <w:rFonts w:ascii="Times New Roman" w:hAnsi="Times New Roman" w:cs="Times New Roman"/>
          <w:color w:val="000000" w:themeColor="text1"/>
          <w:sz w:val="24"/>
          <w:szCs w:val="24"/>
        </w:rPr>
        <w:t>F). Although PCA’s PC1 only represented 48.1% of the variance, the rest of the variation was contained in 26 PC axes, each of them with less than 0.025 %. Notably, the barrier emphasized in the EEMS plot also coincides with the Sinaloan Break (Fig. S18G). The results from sPCA analyses were also consistent, highlighting the two genetic clusters (Fig. S18H).</w:t>
      </w:r>
    </w:p>
    <w:p w14:paraId="13166AD7" w14:textId="77777777" w:rsidR="00931688" w:rsidRPr="00633647" w:rsidRDefault="00931688" w:rsidP="00931688">
      <w:pPr>
        <w:jc w:val="both"/>
        <w:rPr>
          <w:rFonts w:ascii="Times New Roman" w:hAnsi="Times New Roman" w:cs="Times New Roman"/>
          <w:color w:val="000000" w:themeColor="text1"/>
          <w:sz w:val="24"/>
          <w:szCs w:val="24"/>
        </w:rPr>
      </w:pPr>
      <w:r w:rsidRPr="00633647">
        <w:rPr>
          <w:rFonts w:ascii="Times New Roman" w:hAnsi="Times New Roman" w:cs="Times New Roman"/>
          <w:b/>
          <w:bCs/>
          <w:i/>
          <w:iCs/>
          <w:color w:val="000000" w:themeColor="text1"/>
          <w:sz w:val="24"/>
          <w:szCs w:val="24"/>
        </w:rPr>
        <w:t>M. zonifer</w:t>
      </w:r>
      <w:r w:rsidRPr="00633647">
        <w:rPr>
          <w:rFonts w:ascii="Times New Roman" w:hAnsi="Times New Roman" w:cs="Times New Roman"/>
          <w:b/>
          <w:bCs/>
          <w:color w:val="000000" w:themeColor="text1"/>
          <w:sz w:val="24"/>
          <w:szCs w:val="24"/>
        </w:rPr>
        <w:t xml:space="preserve">. </w:t>
      </w:r>
      <w:r w:rsidRPr="00633647">
        <w:rPr>
          <w:rFonts w:ascii="Times New Roman" w:hAnsi="Times New Roman" w:cs="Times New Roman"/>
          <w:color w:val="000000" w:themeColor="text1"/>
          <w:sz w:val="24"/>
          <w:szCs w:val="24"/>
        </w:rPr>
        <w:t>The phylogenetic tree revealed two main clades: Clade A comprises populations of Michoacán (MIC), Santiago (SAN), Vallarta (VAL), and Zacatoso (ZAC), while Clade B is represented by individuals from San Agustinillo (AGU) (Fig. S19A). The fastStructure analyses delineated two major groups (</w:t>
      </w:r>
      <w:r w:rsidRPr="00633647">
        <w:rPr>
          <w:rFonts w:ascii="Times New Roman" w:hAnsi="Times New Roman" w:cs="Times New Roman"/>
          <w:i/>
          <w:iCs/>
          <w:color w:val="000000" w:themeColor="text1"/>
          <w:sz w:val="24"/>
          <w:szCs w:val="24"/>
        </w:rPr>
        <w:t>k</w:t>
      </w:r>
      <w:r w:rsidRPr="00633647">
        <w:rPr>
          <w:rFonts w:ascii="Times New Roman" w:hAnsi="Times New Roman" w:cs="Times New Roman"/>
          <w:color w:val="000000" w:themeColor="text1"/>
          <w:sz w:val="24"/>
          <w:szCs w:val="24"/>
        </w:rPr>
        <w:t xml:space="preserve">=2) that align with clades A and B in the phylogenetic tree (Fig. S19B). These patterns of population structure suggest a putative new marine break (PNB2) separating the population of AGU. In contrast, ADMIXTURE analyses failed to detect any population structure (Fig. S19C). PCA and DAPC analyses, with and without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groupings, identified AGU as a distinct genetic cluster evidenced by PC1 axis (25.0</w:t>
      </w:r>
      <w:r w:rsidRPr="00633647">
        <w:rPr>
          <w:rFonts w:ascii="Times New Roman" w:hAnsi="Times New Roman" w:cs="Times New Roman"/>
          <w:noProof/>
          <w:color w:val="000000" w:themeColor="text1"/>
          <w:sz w:val="24"/>
          <w:szCs w:val="24"/>
        </w:rPr>
        <w:t>–93.7%)</w:t>
      </w:r>
      <w:r w:rsidRPr="00633647">
        <w:rPr>
          <w:rFonts w:ascii="Times New Roman" w:hAnsi="Times New Roman" w:cs="Times New Roman"/>
          <w:color w:val="000000" w:themeColor="text1"/>
          <w:sz w:val="24"/>
          <w:szCs w:val="24"/>
        </w:rPr>
        <w:t xml:space="preserve"> (Fig. S19D</w:t>
      </w:r>
      <w:r w:rsidRPr="00633647">
        <w:rPr>
          <w:rFonts w:ascii="Times New Roman" w:hAnsi="Times New Roman" w:cs="Times New Roman"/>
          <w:noProof/>
          <w:color w:val="000000" w:themeColor="text1"/>
          <w:sz w:val="24"/>
          <w:szCs w:val="24"/>
        </w:rPr>
        <w:t>–</w:t>
      </w:r>
      <w:r w:rsidRPr="00633647">
        <w:rPr>
          <w:rFonts w:ascii="Times New Roman" w:hAnsi="Times New Roman" w:cs="Times New Roman"/>
          <w:color w:val="000000" w:themeColor="text1"/>
          <w:sz w:val="24"/>
          <w:szCs w:val="24"/>
        </w:rPr>
        <w:t xml:space="preserve">F). The PC2 axis in DAPC analyses, conducted without </w:t>
      </w:r>
      <w:r w:rsidRPr="00633647">
        <w:rPr>
          <w:rFonts w:ascii="Times New Roman" w:hAnsi="Times New Roman" w:cs="Times New Roman"/>
          <w:i/>
          <w:iCs/>
          <w:color w:val="000000" w:themeColor="text1"/>
          <w:sz w:val="24"/>
          <w:szCs w:val="24"/>
        </w:rPr>
        <w:t>a priori</w:t>
      </w:r>
      <w:r w:rsidRPr="00633647">
        <w:rPr>
          <w:rFonts w:ascii="Times New Roman" w:hAnsi="Times New Roman" w:cs="Times New Roman"/>
          <w:color w:val="000000" w:themeColor="text1"/>
          <w:sz w:val="24"/>
          <w:szCs w:val="24"/>
        </w:rPr>
        <w:t xml:space="preserve"> grouping, further differentiates ZAC and MIC from SAN and VAL (Fig. S19E). EEMS plots identified two barriers to genetic flow: one positioned between SAN and MIC, and another near AGU (Fig. S19H). The sPCA analyses recover two main genetic groups: one composed by AGU and ZAC; and another encompassing MIC, SAN, and VAL (Fig. S19H).</w:t>
      </w:r>
    </w:p>
    <w:p w14:paraId="5E0D8555" w14:textId="77777777" w:rsidR="00931688" w:rsidRPr="00633647" w:rsidRDefault="00931688" w:rsidP="00931688">
      <w:pPr>
        <w:jc w:val="both"/>
        <w:rPr>
          <w:rFonts w:ascii="Times New Roman" w:hAnsi="Times New Roman" w:cs="Times New Roman"/>
          <w:b/>
          <w:bCs/>
          <w:color w:val="000000" w:themeColor="text1"/>
          <w:sz w:val="24"/>
          <w:szCs w:val="24"/>
        </w:rPr>
      </w:pPr>
    </w:p>
    <w:p w14:paraId="50A2B734" w14:textId="6AA5B358" w:rsidR="00931688" w:rsidRPr="00EA2E82" w:rsidRDefault="00931688" w:rsidP="00931688">
      <w:pPr>
        <w:jc w:val="both"/>
        <w:rPr>
          <w:rFonts w:ascii="Times New Roman" w:hAnsi="Times New Roman" w:cs="Times New Roman"/>
          <w:color w:val="000000" w:themeColor="text1"/>
          <w:sz w:val="24"/>
          <w:szCs w:val="24"/>
        </w:rPr>
      </w:pPr>
      <w:r w:rsidRPr="00EA2E82">
        <w:rPr>
          <w:rFonts w:ascii="Times New Roman" w:hAnsi="Times New Roman" w:cs="Times New Roman"/>
          <w:b/>
          <w:bCs/>
          <w:color w:val="000000" w:themeColor="text1"/>
          <w:sz w:val="24"/>
          <w:szCs w:val="24"/>
        </w:rPr>
        <w:lastRenderedPageBreak/>
        <w:t>Tropical Atlantic</w:t>
      </w:r>
    </w:p>
    <w:p w14:paraId="7AAC6850" w14:textId="507C276F" w:rsidR="00931688" w:rsidRPr="00EA2E82" w:rsidRDefault="00931688" w:rsidP="00931688">
      <w:pPr>
        <w:jc w:val="both"/>
        <w:rPr>
          <w:rFonts w:ascii="Times New Roman" w:hAnsi="Times New Roman" w:cs="Times New Roman"/>
          <w:color w:val="000000" w:themeColor="text1"/>
          <w:sz w:val="24"/>
          <w:szCs w:val="24"/>
        </w:rPr>
      </w:pPr>
      <w:r w:rsidRPr="00EA2E82">
        <w:rPr>
          <w:rFonts w:ascii="Times New Roman" w:hAnsi="Times New Roman" w:cs="Times New Roman"/>
          <w:b/>
          <w:bCs/>
          <w:i/>
          <w:iCs/>
          <w:color w:val="000000" w:themeColor="text1"/>
          <w:sz w:val="24"/>
          <w:szCs w:val="24"/>
        </w:rPr>
        <w:t>M. aurolineatus</w:t>
      </w:r>
      <w:r w:rsidRPr="00EA2E82">
        <w:rPr>
          <w:rFonts w:ascii="Times New Roman" w:hAnsi="Times New Roman" w:cs="Times New Roman"/>
          <w:b/>
          <w:bCs/>
          <w:color w:val="000000" w:themeColor="text1"/>
          <w:sz w:val="24"/>
          <w:szCs w:val="24"/>
        </w:rPr>
        <w:t xml:space="preserve">. </w:t>
      </w:r>
      <w:r w:rsidRPr="00EA2E82">
        <w:rPr>
          <w:rFonts w:ascii="Times New Roman" w:hAnsi="Times New Roman" w:cs="Times New Roman"/>
          <w:color w:val="000000" w:themeColor="text1"/>
          <w:sz w:val="24"/>
          <w:szCs w:val="24"/>
        </w:rPr>
        <w:t>We excluded the Puerto Rican population (PRI) due to an excess of missing data (&gt;95%). The phylogenetic tree identified three main clades: clade A comprises Virgin Islands (VIR) and Trinidad and Tobago (TRT); clade B includes Curaçao (CUR); and clade C encompasses the populations of San Andrés (AND), Belize (BLZ), Bahamas (BAH), Cayman Islands (CAY), Panama (PAN), and Yucatán (YUC) (Fig. S20A). The genetic differentiation observed in clade B suggests that there may be a putative new break east of CUR (PNB9), while  within clade C, the monophyletic group containing solely the population of AND also suggests the existence of a possible new break in that area (PNB7). FastStructure analysis suggested an optimal scenario (</w:t>
      </w:r>
      <w:r w:rsidRPr="00EA2E82">
        <w:rPr>
          <w:rFonts w:ascii="Times New Roman" w:hAnsi="Times New Roman" w:cs="Times New Roman"/>
          <w:i/>
          <w:iCs/>
          <w:color w:val="000000" w:themeColor="text1"/>
          <w:sz w:val="24"/>
          <w:szCs w:val="24"/>
        </w:rPr>
        <w:t>k</w:t>
      </w:r>
      <w:r w:rsidRPr="00EA2E82">
        <w:rPr>
          <w:rFonts w:ascii="Times New Roman" w:hAnsi="Times New Roman" w:cs="Times New Roman"/>
          <w:color w:val="000000" w:themeColor="text1"/>
          <w:sz w:val="24"/>
          <w:szCs w:val="24"/>
        </w:rPr>
        <w:t xml:space="preserve">) of three populations: one cluster comprising populations east of the Eastern Caribbean Break (ECB), a second cluster including the VIR and TRT, and a third distinct cluster representing CUR (Fig. S20B). In contrast, the ADMIXTURE analysis identified </w:t>
      </w:r>
      <w:r w:rsidRPr="00EA2E82">
        <w:rPr>
          <w:rFonts w:ascii="Times New Roman" w:hAnsi="Times New Roman" w:cs="Times New Roman"/>
          <w:i/>
          <w:iCs/>
          <w:color w:val="000000" w:themeColor="text1"/>
          <w:sz w:val="24"/>
          <w:szCs w:val="24"/>
        </w:rPr>
        <w:t>k</w:t>
      </w:r>
      <w:r w:rsidRPr="00EA2E82">
        <w:rPr>
          <w:rFonts w:ascii="Times New Roman" w:hAnsi="Times New Roman" w:cs="Times New Roman"/>
          <w:color w:val="000000" w:themeColor="text1"/>
          <w:sz w:val="24"/>
          <w:szCs w:val="24"/>
        </w:rPr>
        <w:t xml:space="preserve"> = 9 as the optimal scenario, indicating a higher degree of genetic partitioning than FastStructure within the first cluster. This analysis revealed genetic flow among the CAY and </w:t>
      </w:r>
      <w:proofErr w:type="spellStart"/>
      <w:r w:rsidRPr="00EA2E82">
        <w:rPr>
          <w:rFonts w:ascii="Times New Roman" w:hAnsi="Times New Roman" w:cs="Times New Roman"/>
          <w:color w:val="000000" w:themeColor="text1"/>
          <w:sz w:val="24"/>
          <w:szCs w:val="24"/>
        </w:rPr>
        <w:t>AND</w:t>
      </w:r>
      <w:proofErr w:type="spellEnd"/>
      <w:r w:rsidRPr="00EA2E82">
        <w:rPr>
          <w:rFonts w:ascii="Times New Roman" w:hAnsi="Times New Roman" w:cs="Times New Roman"/>
          <w:color w:val="000000" w:themeColor="text1"/>
          <w:sz w:val="24"/>
          <w:szCs w:val="24"/>
        </w:rPr>
        <w:t>, and the BAH, and YUC and BLZ. Notably, the ADMIXTURE analysis also suggested connectivity between VIR and TRT, with CUR remaining as an independent group (Fig. S20</w:t>
      </w:r>
      <w:r w:rsidRPr="00EA2E82">
        <w:rPr>
          <w:rFonts w:ascii="Times New Roman" w:hAnsi="Times New Roman" w:cs="Times New Roman"/>
          <w:noProof/>
          <w:color w:val="000000" w:themeColor="text1"/>
          <w:sz w:val="24"/>
          <w:szCs w:val="24"/>
        </w:rPr>
        <w:t>C</w:t>
      </w:r>
      <w:r w:rsidRPr="00EA2E82">
        <w:rPr>
          <w:rFonts w:ascii="Times New Roman" w:hAnsi="Times New Roman" w:cs="Times New Roman"/>
          <w:color w:val="000000" w:themeColor="text1"/>
          <w:sz w:val="24"/>
          <w:szCs w:val="24"/>
        </w:rPr>
        <w:t xml:space="preserve">). Rather than indicating population structure obstructed by the marine breaks under examination, the genetic partitions observed by the ADMIXTURE analysis suggest cross-population genetic flow in the TA, with the exception of CUR. Despite the DAPC analysis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 proposing 11 genetic clusters, the DAPC plot aligns with the FastStructure results in revealing population groupings. This genetic clustering hypothesis was also confirmed by DAPC with a priori grouping, PCA analysis, and the phylogenomic tree. In this scenario, PCA analysis revealed that PC1 segregates the populations of TRT, VIR, and CUR (23.6%), while PC2 isolates CUR (12.6%) (Fig. S20D). Both DAPC analyses, with and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groupings, emphasize CUR as a distinct cluster on PC1 (61.8–82.6%), with PC2 (17.6–34.5%) further distinguishing VIR and TRT from the rest (Fig. S20E</w:t>
      </w:r>
      <w:r w:rsidRPr="00EA2E82">
        <w:rPr>
          <w:rFonts w:ascii="Times New Roman" w:hAnsi="Times New Roman" w:cs="Times New Roman"/>
          <w:noProof/>
          <w:color w:val="000000" w:themeColor="text1"/>
          <w:sz w:val="24"/>
          <w:szCs w:val="24"/>
        </w:rPr>
        <w:t>–F</w:t>
      </w:r>
      <w:r w:rsidRPr="00EA2E82">
        <w:rPr>
          <w:rFonts w:ascii="Times New Roman" w:hAnsi="Times New Roman" w:cs="Times New Roman"/>
          <w:color w:val="000000" w:themeColor="text1"/>
          <w:sz w:val="24"/>
          <w:szCs w:val="24"/>
        </w:rPr>
        <w:t>). EEMS analysis identified two main areas impeding genetic flow, one corresponding to ECB, and the other to the Yucatán Current Break (YCB) (Fig. S20G). However, due to insufficient sample size, we could not conclusively confirm the influence of the YCB on the population structure of this species. Finally, the sPCA plot supports the delineation of two main clusters, in alignment with the ECB (Fig. S20H).</w:t>
      </w:r>
    </w:p>
    <w:p w14:paraId="5746BCD5" w14:textId="4601AAFC" w:rsidR="00931688" w:rsidRPr="00EA2E82" w:rsidRDefault="00931688" w:rsidP="00931688">
      <w:pPr>
        <w:jc w:val="both"/>
        <w:rPr>
          <w:rFonts w:ascii="Times New Roman" w:hAnsi="Times New Roman" w:cs="Times New Roman"/>
          <w:color w:val="000000" w:themeColor="text1"/>
          <w:sz w:val="24"/>
          <w:szCs w:val="24"/>
        </w:rPr>
      </w:pPr>
      <w:r w:rsidRPr="00EA2E82">
        <w:rPr>
          <w:rFonts w:ascii="Times New Roman" w:hAnsi="Times New Roman" w:cs="Times New Roman"/>
          <w:b/>
          <w:bCs/>
          <w:i/>
          <w:iCs/>
          <w:color w:val="000000" w:themeColor="text1"/>
          <w:sz w:val="24"/>
          <w:szCs w:val="24"/>
        </w:rPr>
        <w:t>M. boehlkei</w:t>
      </w:r>
      <w:r w:rsidRPr="00EA2E82">
        <w:rPr>
          <w:rFonts w:ascii="Times New Roman" w:hAnsi="Times New Roman" w:cs="Times New Roman"/>
          <w:b/>
          <w:bCs/>
          <w:color w:val="000000" w:themeColor="text1"/>
          <w:sz w:val="24"/>
          <w:szCs w:val="24"/>
        </w:rPr>
        <w:t xml:space="preserve">. </w:t>
      </w:r>
      <w:r w:rsidRPr="00EA2E82">
        <w:rPr>
          <w:rFonts w:ascii="Times New Roman" w:hAnsi="Times New Roman" w:cs="Times New Roman"/>
          <w:color w:val="000000" w:themeColor="text1"/>
          <w:sz w:val="24"/>
          <w:szCs w:val="24"/>
        </w:rPr>
        <w:t>We excluded the populations from Honduras and Puerto Rico due to high levels of missing data (&gt;95%). The phylogenomic tree identified the individuals from Virgin Islands (VIR) and an independent evolutionary lineage (Fig. S21A). FastStructure and ADMIXTURE analyses indicated the best number of populations (</w:t>
      </w:r>
      <w:r w:rsidRPr="00EA2E82">
        <w:rPr>
          <w:rFonts w:ascii="Times New Roman" w:hAnsi="Times New Roman" w:cs="Times New Roman"/>
          <w:i/>
          <w:iCs/>
          <w:color w:val="000000" w:themeColor="text1"/>
          <w:sz w:val="24"/>
          <w:szCs w:val="24"/>
        </w:rPr>
        <w:t>k</w:t>
      </w:r>
      <w:r w:rsidRPr="00EA2E82">
        <w:rPr>
          <w:rFonts w:ascii="Times New Roman" w:hAnsi="Times New Roman" w:cs="Times New Roman"/>
          <w:color w:val="000000" w:themeColor="text1"/>
          <w:sz w:val="24"/>
          <w:szCs w:val="24"/>
        </w:rPr>
        <w:t>) as three, with similar results pointing to San Andrés (AND), and VIR forming two independent clusters each, while Belize (BLZ) and Yucatán (YUC) formed the third cluster. These analyses reveal genetic flow from AND to BLZ, suggesting a minimal influence from the Western Caribbean Break (WCB) and a significant one from the Eastern Caribbean Break (ECB) (Fig. S21B</w:t>
      </w:r>
      <w:r w:rsidRPr="00EA2E82">
        <w:rPr>
          <w:rFonts w:ascii="Times New Roman" w:hAnsi="Times New Roman" w:cs="Times New Roman"/>
          <w:noProof/>
          <w:color w:val="000000" w:themeColor="text1"/>
          <w:sz w:val="24"/>
          <w:szCs w:val="24"/>
        </w:rPr>
        <w:t>–C</w:t>
      </w:r>
      <w:r w:rsidRPr="00EA2E82">
        <w:rPr>
          <w:rFonts w:ascii="Times New Roman" w:hAnsi="Times New Roman" w:cs="Times New Roman"/>
          <w:color w:val="000000" w:themeColor="text1"/>
          <w:sz w:val="24"/>
          <w:szCs w:val="24"/>
        </w:rPr>
        <w:t xml:space="preserve">). PCA and DAPC analyses corroborated the fastStructure and ADMIXTURE findings. PCA analyses show that PC1 distinguishes VIR from the other the populations (21.3%), and PC2 (15.2%) suggest a pattern of isolation by distance (IBD) among the YUC, BLZ, and </w:t>
      </w:r>
      <w:proofErr w:type="spellStart"/>
      <w:r w:rsidRPr="00EA2E82">
        <w:rPr>
          <w:rFonts w:ascii="Times New Roman" w:hAnsi="Times New Roman" w:cs="Times New Roman"/>
          <w:color w:val="000000" w:themeColor="text1"/>
          <w:sz w:val="24"/>
          <w:szCs w:val="24"/>
        </w:rPr>
        <w:t>AND</w:t>
      </w:r>
      <w:proofErr w:type="spellEnd"/>
      <w:r w:rsidRPr="00EA2E82">
        <w:rPr>
          <w:rFonts w:ascii="Times New Roman" w:hAnsi="Times New Roman" w:cs="Times New Roman"/>
          <w:color w:val="000000" w:themeColor="text1"/>
          <w:sz w:val="24"/>
          <w:szCs w:val="24"/>
        </w:rPr>
        <w:t xml:space="preserve"> populations (Fig. S21D). DAPC analyses with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 reflect these patterns, with PC1 (96.3%) separating VIR, and PC2 (3.7%) mirroring the </w:t>
      </w:r>
      <w:r w:rsidRPr="00EA2E82">
        <w:rPr>
          <w:rFonts w:ascii="Times New Roman" w:hAnsi="Times New Roman" w:cs="Times New Roman"/>
          <w:color w:val="000000" w:themeColor="text1"/>
          <w:sz w:val="24"/>
          <w:szCs w:val="24"/>
        </w:rPr>
        <w:lastRenderedPageBreak/>
        <w:t xml:space="preserve">PCA pattern (Fig. S21E).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 DAPC identified five genetic clusters, with their placement on the PCA plot aligning with other analyses (Fig. S21F). EEMS plots suggest a barrier that is consistent with the ECB, separating VIR from other populations. YUC, BLZ, and </w:t>
      </w:r>
      <w:proofErr w:type="spellStart"/>
      <w:r w:rsidRPr="00EA2E82">
        <w:rPr>
          <w:rFonts w:ascii="Times New Roman" w:hAnsi="Times New Roman" w:cs="Times New Roman"/>
          <w:color w:val="000000" w:themeColor="text1"/>
          <w:sz w:val="24"/>
          <w:szCs w:val="24"/>
        </w:rPr>
        <w:t>AND</w:t>
      </w:r>
      <w:proofErr w:type="spellEnd"/>
      <w:r w:rsidRPr="00EA2E82">
        <w:rPr>
          <w:rFonts w:ascii="Times New Roman" w:hAnsi="Times New Roman" w:cs="Times New Roman"/>
          <w:color w:val="000000" w:themeColor="text1"/>
          <w:sz w:val="24"/>
          <w:szCs w:val="24"/>
        </w:rPr>
        <w:t xml:space="preserve"> show a deviation from an IBD pattern (blue shading in Fig. S21G). However, sPCA analyses contrastingly group BLZ and YUC, as well as AND </w:t>
      </w:r>
      <w:proofErr w:type="spellStart"/>
      <w:r w:rsidRPr="00EA2E82">
        <w:rPr>
          <w:rFonts w:ascii="Times New Roman" w:hAnsi="Times New Roman" w:cs="Times New Roman"/>
          <w:color w:val="000000" w:themeColor="text1"/>
          <w:sz w:val="24"/>
          <w:szCs w:val="24"/>
        </w:rPr>
        <w:t>and</w:t>
      </w:r>
      <w:proofErr w:type="spellEnd"/>
      <w:r w:rsidRPr="00EA2E82">
        <w:rPr>
          <w:rFonts w:ascii="Times New Roman" w:hAnsi="Times New Roman" w:cs="Times New Roman"/>
          <w:color w:val="000000" w:themeColor="text1"/>
          <w:sz w:val="24"/>
          <w:szCs w:val="24"/>
        </w:rPr>
        <w:t xml:space="preserve"> VIR, as distinct genetic units, supporting an influence by the WCB but not the ECB (Fig. S21H).</w:t>
      </w:r>
    </w:p>
    <w:p w14:paraId="260E5EF0" w14:textId="49096155" w:rsidR="00931688" w:rsidRPr="00EA2E82" w:rsidRDefault="00931688" w:rsidP="00931688">
      <w:pPr>
        <w:jc w:val="both"/>
        <w:rPr>
          <w:rFonts w:ascii="Times New Roman" w:hAnsi="Times New Roman" w:cs="Times New Roman"/>
          <w:color w:val="000000" w:themeColor="text1"/>
          <w:sz w:val="24"/>
          <w:szCs w:val="24"/>
        </w:rPr>
      </w:pPr>
      <w:r w:rsidRPr="00EA2E82">
        <w:rPr>
          <w:rFonts w:ascii="Times New Roman" w:hAnsi="Times New Roman" w:cs="Times New Roman"/>
          <w:b/>
          <w:bCs/>
          <w:i/>
          <w:iCs/>
          <w:color w:val="000000" w:themeColor="text1"/>
          <w:sz w:val="24"/>
          <w:szCs w:val="24"/>
        </w:rPr>
        <w:t>M. erdmani</w:t>
      </w:r>
      <w:r w:rsidRPr="00EA2E82">
        <w:rPr>
          <w:rFonts w:ascii="Times New Roman" w:hAnsi="Times New Roman" w:cs="Times New Roman"/>
          <w:b/>
          <w:bCs/>
          <w:color w:val="000000" w:themeColor="text1"/>
          <w:sz w:val="24"/>
          <w:szCs w:val="24"/>
        </w:rPr>
        <w:t xml:space="preserve">. </w:t>
      </w:r>
      <w:r w:rsidRPr="00EA2E82">
        <w:rPr>
          <w:rFonts w:ascii="Times New Roman" w:hAnsi="Times New Roman" w:cs="Times New Roman"/>
          <w:color w:val="000000" w:themeColor="text1"/>
          <w:sz w:val="24"/>
          <w:szCs w:val="24"/>
        </w:rPr>
        <w:t xml:space="preserve">The phylogenomic tree recovered five clades, primarily clustered by geographically proximate populations. The first clade consists of individuals from Belize (BLZ), Yucatán (YUC), and Honduras (HON); the second includes San Andrés (SAN); the third groups individuals from the Bahamas (BAH) and Cayman Islands (CAY); the fourth contains BAH; and the fifth joins Puerto Rico (PRI) and Dominica (DOM). However, the genetic distance between these clades was low (&lt;0.02) (Fig. S22A). Both fastStructure and ADMIXTURE analyses suggest a single metapopulation with an optimal </w:t>
      </w:r>
      <w:r w:rsidRPr="00EA2E82">
        <w:rPr>
          <w:rFonts w:ascii="Times New Roman" w:hAnsi="Times New Roman" w:cs="Times New Roman"/>
          <w:i/>
          <w:iCs/>
          <w:color w:val="000000" w:themeColor="text1"/>
          <w:sz w:val="24"/>
          <w:szCs w:val="24"/>
        </w:rPr>
        <w:t xml:space="preserve">k </w:t>
      </w:r>
      <w:r w:rsidRPr="00EA2E82">
        <w:rPr>
          <w:rFonts w:ascii="Times New Roman" w:hAnsi="Times New Roman" w:cs="Times New Roman"/>
          <w:color w:val="000000" w:themeColor="text1"/>
          <w:sz w:val="24"/>
          <w:szCs w:val="24"/>
        </w:rPr>
        <w:t>scenario of 1, indicating no apparent population structure (Fig. S22B</w:t>
      </w:r>
      <w:r w:rsidRPr="00EA2E82">
        <w:rPr>
          <w:rFonts w:ascii="Times New Roman" w:hAnsi="Times New Roman" w:cs="Times New Roman"/>
          <w:noProof/>
          <w:color w:val="000000" w:themeColor="text1"/>
          <w:sz w:val="24"/>
          <w:szCs w:val="24"/>
        </w:rPr>
        <w:t>–C</w:t>
      </w:r>
      <w:r w:rsidRPr="00EA2E82">
        <w:rPr>
          <w:rFonts w:ascii="Times New Roman" w:hAnsi="Times New Roman" w:cs="Times New Roman"/>
          <w:color w:val="000000" w:themeColor="text1"/>
          <w:sz w:val="24"/>
          <w:szCs w:val="24"/>
        </w:rPr>
        <w:t xml:space="preserve">).  PCA and DAPC analyses, with and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 show similar results with the PC1 axis separating PRI and DOM populations from the rest (34.6–75.1%), and PC2 distinguishing a finer structure between the populations of BLZ, HON, and YUC from AND, BAH, and CAY (18.6–27%) (Fig. S22D</w:t>
      </w:r>
      <w:r w:rsidRPr="00EA2E82">
        <w:rPr>
          <w:rFonts w:ascii="Times New Roman" w:hAnsi="Times New Roman" w:cs="Times New Roman"/>
          <w:noProof/>
          <w:color w:val="000000" w:themeColor="text1"/>
          <w:sz w:val="24"/>
          <w:szCs w:val="24"/>
        </w:rPr>
        <w:t>–F</w:t>
      </w:r>
      <w:r w:rsidRPr="00EA2E82">
        <w:rPr>
          <w:rFonts w:ascii="Times New Roman" w:hAnsi="Times New Roman" w:cs="Times New Roman"/>
          <w:color w:val="000000" w:themeColor="text1"/>
          <w:sz w:val="24"/>
          <w:szCs w:val="24"/>
        </w:rPr>
        <w:t xml:space="preserve">). These patterns of population suggest that the Bahamas Break (BB), Gulf of Mexico Break (GMB), and Yucatán Current Break (YCB) influence the population connectivity among BAH, and CAY, and HON, BLZ, and YUC. Meanwhile, the Western Caribbean Break (WCB) divides these populations from AND, where a potential new break (PNB7), appears to isolate that population. On the other hand, the Eastern Caribbean Break (ECB) seems to hinder population connectivity between PRI and DOM versus the rest. EESM analyses revealed three barriers hindering genetic flow, the first corresponding to the ECB, YCB and another one representing a previously unidentified barrier (PNB11) (Fig. S22G). In contrast to previous results, sPCA analyses suggest two primary genetic clusters: PRI, DOM, BAH, and </w:t>
      </w:r>
      <w:proofErr w:type="spellStart"/>
      <w:r w:rsidRPr="00EA2E82">
        <w:rPr>
          <w:rFonts w:ascii="Times New Roman" w:hAnsi="Times New Roman" w:cs="Times New Roman"/>
          <w:color w:val="000000" w:themeColor="text1"/>
          <w:sz w:val="24"/>
          <w:szCs w:val="24"/>
        </w:rPr>
        <w:t>AND</w:t>
      </w:r>
      <w:proofErr w:type="spellEnd"/>
      <w:r w:rsidRPr="00EA2E82">
        <w:rPr>
          <w:rFonts w:ascii="Times New Roman" w:hAnsi="Times New Roman" w:cs="Times New Roman"/>
          <w:color w:val="000000" w:themeColor="text1"/>
          <w:sz w:val="24"/>
          <w:szCs w:val="24"/>
        </w:rPr>
        <w:t xml:space="preserve">; and CAY, YUC, BLZ, and HON (Fig. S22H). The results of the AMOVA analyses comparing two, three, and four grouping scenarios find the highest proportion of genetic variance within individuals (73.29–80.88%; Table S8). The variation between the three geographic groups (Eastern Caribbean, Puerto Rico, Dominica) was 17.69%, which was the higher compared to the two- and four-grouping scenarios. </w:t>
      </w:r>
    </w:p>
    <w:p w14:paraId="53D7BA44" w14:textId="07E7E747" w:rsidR="00931688" w:rsidRPr="00EA2E82" w:rsidRDefault="00931688" w:rsidP="00931688">
      <w:pPr>
        <w:jc w:val="both"/>
        <w:rPr>
          <w:rFonts w:ascii="Times New Roman" w:hAnsi="Times New Roman" w:cs="Times New Roman"/>
          <w:color w:val="000000" w:themeColor="text1"/>
          <w:sz w:val="24"/>
          <w:szCs w:val="24"/>
        </w:rPr>
      </w:pPr>
      <w:r w:rsidRPr="00EA2E82">
        <w:rPr>
          <w:rFonts w:ascii="Times New Roman" w:hAnsi="Times New Roman" w:cs="Times New Roman"/>
          <w:b/>
          <w:bCs/>
          <w:i/>
          <w:iCs/>
          <w:color w:val="000000" w:themeColor="text1"/>
          <w:sz w:val="24"/>
          <w:szCs w:val="24"/>
        </w:rPr>
        <w:t>M. gilli</w:t>
      </w:r>
      <w:r w:rsidRPr="00EA2E82">
        <w:rPr>
          <w:rFonts w:ascii="Times New Roman" w:hAnsi="Times New Roman" w:cs="Times New Roman"/>
          <w:b/>
          <w:bCs/>
          <w:color w:val="000000" w:themeColor="text1"/>
          <w:sz w:val="24"/>
          <w:szCs w:val="24"/>
        </w:rPr>
        <w:t xml:space="preserve">. </w:t>
      </w:r>
      <w:r w:rsidRPr="00EA2E82">
        <w:rPr>
          <w:rFonts w:ascii="Times New Roman" w:hAnsi="Times New Roman" w:cs="Times New Roman"/>
          <w:color w:val="000000" w:themeColor="text1"/>
          <w:sz w:val="24"/>
          <w:szCs w:val="24"/>
        </w:rPr>
        <w:t>We excluded the Virgin Islands population (VIR) due to an excess of missing data (&gt;95%). The phylogenomic tree identifies two primary clades: clade A, encompassing populations from San Andrés (AND), the Bahamas (BAH), Belize (BLZ), Yucatán (YUC), Cayman Islands (CAY), and Puerto Rico (PRI); and clade B, comprising Dominica (DOM) and Trinidad and Tobago (TRT). These patterns of genetic structure support the influence of a putative new break (PNB11) located between DOM and PRI, which hinders population connectivity between such clades. Additionally, subclades within clades A and B were clustered by geographic locality, following a model of isolation by distance (IBD) (Fig. S23A), where the genetic groups observed align with the Eastern Caribbean Break (ECB), the Bahamas Break (BB) and the Gulf of Mexico Break (GMB), all of which hinder population connectivity. FastStructure and ADMIXTURE analyses echo this finding, suggesting two optimal populations (</w:t>
      </w:r>
      <w:r w:rsidRPr="00EA2E82">
        <w:rPr>
          <w:rFonts w:ascii="Times New Roman" w:hAnsi="Times New Roman" w:cs="Times New Roman"/>
          <w:i/>
          <w:iCs/>
          <w:color w:val="000000" w:themeColor="text1"/>
          <w:sz w:val="24"/>
          <w:szCs w:val="24"/>
        </w:rPr>
        <w:t>k</w:t>
      </w:r>
      <w:r w:rsidRPr="00EA2E82">
        <w:rPr>
          <w:rFonts w:ascii="Times New Roman" w:hAnsi="Times New Roman" w:cs="Times New Roman"/>
          <w:color w:val="000000" w:themeColor="text1"/>
          <w:sz w:val="24"/>
          <w:szCs w:val="24"/>
        </w:rPr>
        <w:t>), one consisting of DOM and TRI, and the second containing the remaining populations, with minimal genetic flow from DOM-</w:t>
      </w:r>
      <w:r w:rsidRPr="00EA2E82">
        <w:rPr>
          <w:rFonts w:ascii="Times New Roman" w:hAnsi="Times New Roman" w:cs="Times New Roman"/>
          <w:color w:val="000000" w:themeColor="text1"/>
          <w:sz w:val="24"/>
          <w:szCs w:val="24"/>
        </w:rPr>
        <w:lastRenderedPageBreak/>
        <w:t>TRI to PRI (Fig. S23B</w:t>
      </w:r>
      <w:r w:rsidRPr="00EA2E82">
        <w:rPr>
          <w:rFonts w:ascii="Times New Roman" w:hAnsi="Times New Roman" w:cs="Times New Roman"/>
          <w:noProof/>
          <w:color w:val="000000" w:themeColor="text1"/>
          <w:sz w:val="24"/>
          <w:szCs w:val="24"/>
        </w:rPr>
        <w:t>–C</w:t>
      </w:r>
      <w:r w:rsidRPr="00EA2E82">
        <w:rPr>
          <w:rFonts w:ascii="Times New Roman" w:hAnsi="Times New Roman" w:cs="Times New Roman"/>
          <w:color w:val="000000" w:themeColor="text1"/>
          <w:sz w:val="24"/>
          <w:szCs w:val="24"/>
        </w:rPr>
        <w:t xml:space="preserve">). PCA and DAPC analyses, with and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groupings, corroborate this genetic clustering pattern. PC1 distinguishes the populations of DOM and TRI, explaining 59.8–78.0% of the variation, while PC2 isolates PRI as a distinct genetic group (0.07–27.3%) (Fig. S23D</w:t>
      </w:r>
      <w:r w:rsidRPr="00EA2E82">
        <w:rPr>
          <w:rFonts w:ascii="Times New Roman" w:hAnsi="Times New Roman" w:cs="Times New Roman"/>
          <w:noProof/>
          <w:color w:val="000000" w:themeColor="text1"/>
          <w:sz w:val="24"/>
          <w:szCs w:val="24"/>
        </w:rPr>
        <w:t>–F</w:t>
      </w:r>
      <w:r w:rsidRPr="00EA2E82">
        <w:rPr>
          <w:rFonts w:ascii="Times New Roman" w:hAnsi="Times New Roman" w:cs="Times New Roman"/>
          <w:color w:val="000000" w:themeColor="text1"/>
          <w:sz w:val="24"/>
          <w:szCs w:val="24"/>
        </w:rPr>
        <w:t xml:space="preserve">). Despite DAPC analyses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 identifying nine independent genetic groups, they clustered on the DAPC plot as per PCA analyses. EEMS analyses pinpoint two areas impeding genetic flow across populations, the ECB and an area near to the CAY close to the Yucatán Current Break (YCB) (Fig. S23G). sPCA analyses also distinguish the populations of DOM and TRI as a unique genetic cluster apart from other populations (Fig. S23H). Finally, the AMOVA analyses of the two- and three-grouping scenarios (Table S8) revealed that the highest proportion of significant genetic variation (76.57–76.82%) was observed between groups. Even though these results were marginal, the highest level of genetic differentiation was observed on the three-grouping. On the other hand, the genetic variation between individuals within groups was relatively low (4.28–7.93%), indicating that the groups are quite distinct from each other.</w:t>
      </w:r>
    </w:p>
    <w:p w14:paraId="16119D5F" w14:textId="66A049C2" w:rsidR="00931688" w:rsidRPr="00EA2E82" w:rsidRDefault="00931688" w:rsidP="00931688">
      <w:pPr>
        <w:jc w:val="both"/>
        <w:rPr>
          <w:rFonts w:ascii="Times New Roman" w:hAnsi="Times New Roman" w:cs="Times New Roman"/>
          <w:color w:val="000000" w:themeColor="text1"/>
          <w:sz w:val="24"/>
          <w:szCs w:val="24"/>
        </w:rPr>
      </w:pPr>
      <w:r w:rsidRPr="00EA2E82">
        <w:rPr>
          <w:rFonts w:ascii="Times New Roman" w:hAnsi="Times New Roman" w:cs="Times New Roman"/>
          <w:b/>
          <w:bCs/>
          <w:i/>
          <w:iCs/>
          <w:color w:val="000000" w:themeColor="text1"/>
          <w:sz w:val="24"/>
          <w:szCs w:val="24"/>
        </w:rPr>
        <w:t>M. macropus</w:t>
      </w:r>
      <w:r w:rsidRPr="00EA2E82">
        <w:rPr>
          <w:rFonts w:ascii="Times New Roman" w:hAnsi="Times New Roman" w:cs="Times New Roman"/>
          <w:b/>
          <w:bCs/>
          <w:color w:val="000000" w:themeColor="text1"/>
          <w:sz w:val="24"/>
          <w:szCs w:val="24"/>
        </w:rPr>
        <w:t xml:space="preserve">. </w:t>
      </w:r>
      <w:r w:rsidRPr="00EA2E82">
        <w:rPr>
          <w:rFonts w:ascii="Times New Roman" w:hAnsi="Times New Roman" w:cs="Times New Roman"/>
          <w:color w:val="000000" w:themeColor="text1"/>
          <w:sz w:val="24"/>
          <w:szCs w:val="24"/>
        </w:rPr>
        <w:t>The phylogenomic tree revealed two main clades: clade A, encompassing populations of Puerto Rico (PRI) and Virgin Islands (VIR), and clade B containing Florida (FLO), San Andrés (AND), the Bahamas (BAH), Belize (BLZ), Cayman Islands (CAY), Yucatán (YUC), and Panama (PAN) as a distinct subclade (Fig. S24A). FastStructure and ADMIXTURE analyses discerned two metapopulations in alignment with the phylogenomic tree, with ADMIXTURE pinpointing limited genetic flow from PRI-VIR to BLZ and BAH (Fig. S24B</w:t>
      </w:r>
      <w:r w:rsidRPr="00EA2E82">
        <w:rPr>
          <w:rFonts w:ascii="Times New Roman" w:hAnsi="Times New Roman" w:cs="Times New Roman"/>
          <w:noProof/>
          <w:color w:val="000000" w:themeColor="text1"/>
          <w:sz w:val="24"/>
          <w:szCs w:val="24"/>
        </w:rPr>
        <w:t>–C</w:t>
      </w:r>
      <w:r w:rsidRPr="00EA2E82">
        <w:rPr>
          <w:rFonts w:ascii="Times New Roman" w:hAnsi="Times New Roman" w:cs="Times New Roman"/>
          <w:color w:val="000000" w:themeColor="text1"/>
          <w:sz w:val="24"/>
          <w:szCs w:val="24"/>
        </w:rPr>
        <w:t xml:space="preserve">). PCA and DAPC analyses, both with and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groupings, separated PRI and VIR as a distinct genetic cluster on the PC1 axis, accounting for 14.7–71.2% of the variation. However, these analyses highlighted nuanced distinctions in the finer structure of populations (Fig. S24D</w:t>
      </w:r>
      <w:r w:rsidRPr="00EA2E82">
        <w:rPr>
          <w:rFonts w:ascii="Times New Roman" w:hAnsi="Times New Roman" w:cs="Times New Roman"/>
          <w:noProof/>
          <w:color w:val="000000" w:themeColor="text1"/>
          <w:sz w:val="24"/>
          <w:szCs w:val="24"/>
        </w:rPr>
        <w:t>–F</w:t>
      </w:r>
      <w:r w:rsidRPr="00EA2E82">
        <w:rPr>
          <w:rFonts w:ascii="Times New Roman" w:hAnsi="Times New Roman" w:cs="Times New Roman"/>
          <w:color w:val="000000" w:themeColor="text1"/>
          <w:sz w:val="24"/>
          <w:szCs w:val="24"/>
        </w:rPr>
        <w:t xml:space="preserve">). Specifically, the PCA’s PC2 axis (0.05%) marked PAN as a unique genetic cluster (Fig. S24D), while the DAPC’s PC2 axis (21.0%), with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groupings, grouped PAN with the rest of the populations but set FLO apart as a unique genetic entity (Fig. S24E).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groupings, DAPC analyses suggested that PAN and FLO were both slightly distinct from the remaining localities (Fig. S24</w:t>
      </w:r>
      <w:r w:rsidRPr="00EA2E82">
        <w:rPr>
          <w:rFonts w:ascii="Times New Roman" w:hAnsi="Times New Roman" w:cs="Times New Roman"/>
          <w:noProof/>
          <w:color w:val="000000" w:themeColor="text1"/>
          <w:sz w:val="24"/>
          <w:szCs w:val="24"/>
        </w:rPr>
        <w:t>F</w:t>
      </w:r>
      <w:r w:rsidRPr="00EA2E82">
        <w:rPr>
          <w:rFonts w:ascii="Times New Roman" w:hAnsi="Times New Roman" w:cs="Times New Roman"/>
          <w:color w:val="000000" w:themeColor="text1"/>
          <w:sz w:val="24"/>
          <w:szCs w:val="24"/>
        </w:rPr>
        <w:t>). The genetic structure observed across these analyses corresponds to the influence of the Eastern Caribbean Break (ECB), which separates the populations of PRI-VIR from the other populations, while the Bahamas and Gulf of Mexico Breaks (BB and GMB respectively) appear to isolate the FLO population, and a putative new barrier (PNB8) appears to segregate PAN. EEMS plots indicate two barriers to genetic flow, corresponding to the BB and the ECB. sPCA plots echo prior findings, depicting PRI and VIR as an independent genetic group (Fig. S24H). Finally, AMOVA analyses comparing two- and three-grouping scenarios (with PAN or FLO representing the third group) reflect a consistent pattern where a significant proportion of genetic variation (25.27–34.27%; Table S8) is found between groups. In the two-grouping scenario, PRI-VIR are significantly different and represent the highest portion of genetic variation (34.37%), aligning with a strong effect by the ECB. Overall, the largest proportion of genetic variation is found within individuals across all scenarios (61.68–71.33%), indicating a high degree of genetic diversity at the individual level.</w:t>
      </w:r>
    </w:p>
    <w:p w14:paraId="3CCEF0BF" w14:textId="77777777" w:rsidR="00931688" w:rsidRPr="00EA2E82" w:rsidRDefault="00931688" w:rsidP="00931688">
      <w:pPr>
        <w:jc w:val="both"/>
        <w:rPr>
          <w:rFonts w:ascii="Times New Roman" w:hAnsi="Times New Roman" w:cs="Times New Roman"/>
          <w:color w:val="000000" w:themeColor="text1"/>
          <w:sz w:val="24"/>
          <w:szCs w:val="24"/>
        </w:rPr>
      </w:pPr>
    </w:p>
    <w:p w14:paraId="35AA548C" w14:textId="2E3A95CF" w:rsidR="00931688" w:rsidRPr="00EA2E82" w:rsidRDefault="00931688" w:rsidP="00931688">
      <w:pPr>
        <w:jc w:val="both"/>
        <w:rPr>
          <w:rFonts w:ascii="Times New Roman" w:hAnsi="Times New Roman" w:cs="Times New Roman"/>
          <w:color w:val="000000" w:themeColor="text1"/>
          <w:sz w:val="24"/>
          <w:szCs w:val="24"/>
        </w:rPr>
      </w:pPr>
      <w:r w:rsidRPr="00EA2E82">
        <w:rPr>
          <w:rFonts w:ascii="Times New Roman" w:hAnsi="Times New Roman" w:cs="Times New Roman"/>
          <w:b/>
          <w:bCs/>
          <w:i/>
          <w:iCs/>
          <w:color w:val="000000" w:themeColor="text1"/>
          <w:sz w:val="24"/>
          <w:szCs w:val="24"/>
        </w:rPr>
        <w:lastRenderedPageBreak/>
        <w:t>M. triangulatus</w:t>
      </w:r>
      <w:r w:rsidRPr="00EA2E82">
        <w:rPr>
          <w:rFonts w:ascii="Times New Roman" w:hAnsi="Times New Roman" w:cs="Times New Roman"/>
          <w:b/>
          <w:bCs/>
          <w:color w:val="000000" w:themeColor="text1"/>
          <w:sz w:val="24"/>
          <w:szCs w:val="24"/>
        </w:rPr>
        <w:t xml:space="preserve">. </w:t>
      </w:r>
      <w:r w:rsidRPr="00EA2E82">
        <w:rPr>
          <w:rFonts w:ascii="Times New Roman" w:hAnsi="Times New Roman" w:cs="Times New Roman"/>
          <w:color w:val="000000" w:themeColor="text1"/>
          <w:sz w:val="24"/>
          <w:szCs w:val="24"/>
        </w:rPr>
        <w:t xml:space="preserve">The phylogenomic tree recovers three main clades. Clade A encompasses three subclades: the first consists of Florida (FLO) and Veracruz (VER); the second is made up of Belize (BLZ) and Yucatán (YUC); and the third includes Panama (PAN), Limón (LIM), and Tayrona (TAY). Clade B also comprises three subclades: the first is represented by San Andrés (AND); the second includes individuals from Mona (MON), the Bahamas (BAH), and Cayman Islands (CAY); and the third subclade includes Virgin Islands (VIR), Puerto Rico (PRI), Curaçao (CUR), and Dominica (DOM). Lastly, clade C showcases three primary subclades: the first represented by Trinidad and Tobago (TRT), the second by Fernando da Noronha (NOR), and the third also by individuals from TRT (Fig. S25A). FastStructure analyses identified three main clusters of populations as the optimal </w:t>
      </w:r>
      <w:r w:rsidRPr="00EA2E82">
        <w:rPr>
          <w:rFonts w:ascii="Times New Roman" w:hAnsi="Times New Roman" w:cs="Times New Roman"/>
          <w:i/>
          <w:iCs/>
          <w:color w:val="000000" w:themeColor="text1"/>
          <w:sz w:val="24"/>
          <w:szCs w:val="24"/>
        </w:rPr>
        <w:t>k</w:t>
      </w:r>
      <w:r w:rsidRPr="00EA2E82">
        <w:rPr>
          <w:rFonts w:ascii="Times New Roman" w:hAnsi="Times New Roman" w:cs="Times New Roman"/>
          <w:color w:val="000000" w:themeColor="text1"/>
          <w:sz w:val="24"/>
          <w:szCs w:val="24"/>
        </w:rPr>
        <w:t xml:space="preserve"> scenario. The first cluster is comprised of populations from FLO, BLZ, VER, YUC, LIM, PAN, TAY, and </w:t>
      </w:r>
      <w:proofErr w:type="spellStart"/>
      <w:r w:rsidRPr="00EA2E82">
        <w:rPr>
          <w:rFonts w:ascii="Times New Roman" w:hAnsi="Times New Roman" w:cs="Times New Roman"/>
          <w:color w:val="000000" w:themeColor="text1"/>
          <w:sz w:val="24"/>
          <w:szCs w:val="24"/>
        </w:rPr>
        <w:t>AND</w:t>
      </w:r>
      <w:proofErr w:type="spellEnd"/>
      <w:r w:rsidRPr="00EA2E82">
        <w:rPr>
          <w:rFonts w:ascii="Times New Roman" w:hAnsi="Times New Roman" w:cs="Times New Roman"/>
          <w:color w:val="000000" w:themeColor="text1"/>
          <w:sz w:val="24"/>
          <w:szCs w:val="24"/>
        </w:rPr>
        <w:t xml:space="preserve">; the second group consists of BAH, CAY, MON, PRI, VIR, CUR, and DOM; the third group is made up of TRT and NOR. These analyses identify genetic flow from populations in the second group to AND, as well as two individuals from TRT that exhibit a shared genetic makeup with the other two genetic groups (Fig. S25B). ADMIXTURE analyses recovered a higher genetic partitioning, suggesting a best </w:t>
      </w:r>
      <w:r w:rsidRPr="00EA2E82">
        <w:rPr>
          <w:rFonts w:ascii="Times New Roman" w:hAnsi="Times New Roman" w:cs="Times New Roman"/>
          <w:i/>
          <w:iCs/>
          <w:color w:val="000000" w:themeColor="text1"/>
          <w:sz w:val="24"/>
          <w:szCs w:val="24"/>
        </w:rPr>
        <w:t>k</w:t>
      </w:r>
      <w:r w:rsidRPr="00EA2E82">
        <w:rPr>
          <w:rFonts w:ascii="Times New Roman" w:hAnsi="Times New Roman" w:cs="Times New Roman"/>
          <w:color w:val="000000" w:themeColor="text1"/>
          <w:sz w:val="24"/>
          <w:szCs w:val="24"/>
        </w:rPr>
        <w:t xml:space="preserve"> scenario of 5 populations. Here, the first group identified by fastStructure is further subdivided, with the populations of LIM, PAN, TAY, and </w:t>
      </w:r>
      <w:proofErr w:type="spellStart"/>
      <w:r w:rsidRPr="00EA2E82">
        <w:rPr>
          <w:rFonts w:ascii="Times New Roman" w:hAnsi="Times New Roman" w:cs="Times New Roman"/>
          <w:color w:val="000000" w:themeColor="text1"/>
          <w:sz w:val="24"/>
          <w:szCs w:val="24"/>
        </w:rPr>
        <w:t>AND</w:t>
      </w:r>
      <w:proofErr w:type="spellEnd"/>
      <w:r w:rsidRPr="00EA2E82">
        <w:rPr>
          <w:rFonts w:ascii="Times New Roman" w:hAnsi="Times New Roman" w:cs="Times New Roman"/>
          <w:color w:val="000000" w:themeColor="text1"/>
          <w:sz w:val="24"/>
          <w:szCs w:val="24"/>
        </w:rPr>
        <w:t xml:space="preserve"> emerging as a separate genetic cluster. The second fastStructure group splits into two clusters: CUR and DOM form an independent group, whereas PRI and VIR display approximately 50% genetic information shared with DOM and CUR. However, the cross-validation results from ADMIXTURE were marginal, pointing to </w:t>
      </w:r>
      <w:r w:rsidRPr="00EA2E82">
        <w:rPr>
          <w:rFonts w:ascii="Times New Roman" w:hAnsi="Times New Roman" w:cs="Times New Roman"/>
          <w:i/>
          <w:iCs/>
          <w:color w:val="000000" w:themeColor="text1"/>
          <w:sz w:val="24"/>
          <w:szCs w:val="24"/>
        </w:rPr>
        <w:t>k</w:t>
      </w:r>
      <w:r w:rsidRPr="00EA2E82">
        <w:rPr>
          <w:rFonts w:ascii="Times New Roman" w:hAnsi="Times New Roman" w:cs="Times New Roman"/>
          <w:color w:val="000000" w:themeColor="text1"/>
          <w:sz w:val="24"/>
          <w:szCs w:val="24"/>
        </w:rPr>
        <w:t xml:space="preserve"> = 6 as another potential scenario. Under this framework, AND constitutes its own distinct cluster (Fig. S25</w:t>
      </w:r>
      <w:r w:rsidRPr="00EA2E82">
        <w:rPr>
          <w:rFonts w:ascii="Times New Roman" w:hAnsi="Times New Roman" w:cs="Times New Roman"/>
          <w:noProof/>
          <w:color w:val="000000" w:themeColor="text1"/>
          <w:sz w:val="24"/>
          <w:szCs w:val="24"/>
        </w:rPr>
        <w:t>C</w:t>
      </w:r>
      <w:r w:rsidRPr="00EA2E82">
        <w:rPr>
          <w:rFonts w:ascii="Times New Roman" w:hAnsi="Times New Roman" w:cs="Times New Roman"/>
          <w:color w:val="000000" w:themeColor="text1"/>
          <w:sz w:val="24"/>
          <w:szCs w:val="24"/>
        </w:rPr>
        <w:t xml:space="preserve">). Both PCA and DAPC analyses, conducted with and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groupings, revealed similar patterns in which PC1 distinguishes the populations of TRT and NOR from the others, accounting for 18.1 to 33.9% of the variance (Fig. S25D</w:t>
      </w:r>
      <w:r w:rsidRPr="00EA2E82">
        <w:rPr>
          <w:rFonts w:ascii="Times New Roman" w:hAnsi="Times New Roman" w:cs="Times New Roman"/>
          <w:noProof/>
          <w:color w:val="000000" w:themeColor="text1"/>
          <w:sz w:val="24"/>
          <w:szCs w:val="24"/>
        </w:rPr>
        <w:t>–F</w:t>
      </w:r>
      <w:r w:rsidRPr="00EA2E82">
        <w:rPr>
          <w:rFonts w:ascii="Times New Roman" w:hAnsi="Times New Roman" w:cs="Times New Roman"/>
          <w:color w:val="000000" w:themeColor="text1"/>
          <w:sz w:val="24"/>
          <w:szCs w:val="24"/>
        </w:rPr>
        <w:t xml:space="preserve">). The PC2 axis in the PCA, accounting for 11.4%, segregates four major groups: the first includes populations from FLO, VER, BLZ, and YUC; the second contains individuals from LIM, PAN, and TAY; the third is composed of AND, ant the fourth encompasses the remaining populations (Fig. S25D). For DAPC’s PC2 (21.4%), estimated with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groupings, a slightly different partitioning is evident, with only three groups: the first comprising FLO and VEN; the second consisting of  YUC, TAY, AND, PAN, and LIM; and the third integrated by VIR, PRI, CUR, DOM, and CAY (Fig. S25E). In contrast, DAPC’s PC2 (11.3%),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groupings, differentiates the TRT and NOR group from the individuals from TRT who exhibited admixture patters (Fig. S25F). The EEMS plot highlights several areas impeding genetic flow. These areas correspond to previously recognized marine breaks, including the Bahamas Break (BB), Yucatán Break (YUC), Western Caribbean Break (WCB), Mona Passage Break (MPB), the Eastern Caribbean Break (ECB). These analyses were also in agreement with the identification of two potentially new breaks: one between the coast of Honduras-El Salvador and Cayman Islands (PNB6), and another between DOM and TRT (PNB10) (Fig. S25G). In this scenario, the sPCA analyses similarly identify TRT and NOR as a distinct genetic group supporting PNB10 as a potential marine break for this species (Fig. S25H).</w:t>
      </w:r>
    </w:p>
    <w:p w14:paraId="087ED5AA" w14:textId="1A056D9B" w:rsidR="00931688" w:rsidRPr="00EA2E82" w:rsidRDefault="00931688" w:rsidP="00931688">
      <w:pPr>
        <w:jc w:val="both"/>
        <w:rPr>
          <w:rFonts w:ascii="Times New Roman" w:hAnsi="Times New Roman" w:cs="Times New Roman"/>
          <w:color w:val="000000" w:themeColor="text1"/>
          <w:sz w:val="24"/>
          <w:szCs w:val="24"/>
        </w:rPr>
      </w:pPr>
      <w:r w:rsidRPr="00EA2E82">
        <w:rPr>
          <w:rFonts w:ascii="Times New Roman" w:hAnsi="Times New Roman" w:cs="Times New Roman"/>
          <w:b/>
          <w:bCs/>
          <w:i/>
          <w:iCs/>
          <w:color w:val="000000" w:themeColor="text1"/>
          <w:sz w:val="24"/>
          <w:szCs w:val="24"/>
        </w:rPr>
        <w:t>M. versicolor</w:t>
      </w:r>
      <w:r w:rsidRPr="00EA2E82">
        <w:rPr>
          <w:rFonts w:ascii="Times New Roman" w:hAnsi="Times New Roman" w:cs="Times New Roman"/>
          <w:b/>
          <w:bCs/>
          <w:color w:val="000000" w:themeColor="text1"/>
          <w:sz w:val="24"/>
          <w:szCs w:val="24"/>
        </w:rPr>
        <w:t xml:space="preserve">. </w:t>
      </w:r>
      <w:r w:rsidRPr="00EA2E82">
        <w:rPr>
          <w:rFonts w:ascii="Times New Roman" w:hAnsi="Times New Roman" w:cs="Times New Roman"/>
          <w:color w:val="000000" w:themeColor="text1"/>
          <w:sz w:val="24"/>
          <w:szCs w:val="24"/>
        </w:rPr>
        <w:t>The phylogenomic tree distinguishes each of the three geographic locations as a distinct lineage (Fig. S26A). The fastStructure analyses align with the phylogenomic tree, revealing three main genetic clusters (</w:t>
      </w:r>
      <w:r w:rsidRPr="00EA2E82">
        <w:rPr>
          <w:rFonts w:ascii="Times New Roman" w:hAnsi="Times New Roman" w:cs="Times New Roman"/>
          <w:i/>
          <w:iCs/>
          <w:color w:val="000000" w:themeColor="text1"/>
          <w:sz w:val="24"/>
          <w:szCs w:val="24"/>
        </w:rPr>
        <w:t>k</w:t>
      </w:r>
      <w:r w:rsidRPr="00EA2E82">
        <w:rPr>
          <w:rFonts w:ascii="Times New Roman" w:hAnsi="Times New Roman" w:cs="Times New Roman"/>
          <w:color w:val="000000" w:themeColor="text1"/>
          <w:sz w:val="24"/>
          <w:szCs w:val="24"/>
        </w:rPr>
        <w:t xml:space="preserve">=3), each corresponding to a specific geographical location (Fig. S26B). Conversely, ADMIXTURE’s cross-validation procedure suggests an optimal </w:t>
      </w:r>
      <w:r w:rsidRPr="00EA2E82">
        <w:rPr>
          <w:rFonts w:ascii="Times New Roman" w:hAnsi="Times New Roman" w:cs="Times New Roman"/>
          <w:i/>
          <w:iCs/>
          <w:color w:val="000000" w:themeColor="text1"/>
          <w:sz w:val="24"/>
          <w:szCs w:val="24"/>
        </w:rPr>
        <w:t>k</w:t>
      </w:r>
      <w:r w:rsidRPr="00EA2E82">
        <w:rPr>
          <w:rFonts w:ascii="Times New Roman" w:hAnsi="Times New Roman" w:cs="Times New Roman"/>
          <w:color w:val="000000" w:themeColor="text1"/>
          <w:sz w:val="24"/>
          <w:szCs w:val="24"/>
        </w:rPr>
        <w:t xml:space="preserve"> </w:t>
      </w:r>
      <w:r w:rsidRPr="00EA2E82">
        <w:rPr>
          <w:rFonts w:ascii="Times New Roman" w:hAnsi="Times New Roman" w:cs="Times New Roman"/>
          <w:color w:val="000000" w:themeColor="text1"/>
          <w:sz w:val="24"/>
          <w:szCs w:val="24"/>
        </w:rPr>
        <w:lastRenderedPageBreak/>
        <w:t xml:space="preserve">scenario of two populations. The first group comprises individuals from the Bahamas (BAH), while the second encompasses individuals from Yucatán (YUC). Interestingly, the sole? Puerto Rico (PRI) individual sequenced displays genetic admixture from both groups (Fig. S26C). Both PCA and DAPC, with and without </w:t>
      </w:r>
      <w:r w:rsidRPr="00EA2E82">
        <w:rPr>
          <w:rFonts w:ascii="Times New Roman" w:hAnsi="Times New Roman" w:cs="Times New Roman"/>
          <w:i/>
          <w:iCs/>
          <w:color w:val="000000" w:themeColor="text1"/>
          <w:sz w:val="24"/>
          <w:szCs w:val="24"/>
        </w:rPr>
        <w:t>a priori</w:t>
      </w:r>
      <w:r w:rsidRPr="00EA2E82">
        <w:rPr>
          <w:rFonts w:ascii="Times New Roman" w:hAnsi="Times New Roman" w:cs="Times New Roman"/>
          <w:color w:val="000000" w:themeColor="text1"/>
          <w:sz w:val="24"/>
          <w:szCs w:val="24"/>
        </w:rPr>
        <w:t xml:space="preserve"> groupings, also recover three genetic clusters, consistent with the geographic locations and the phylogenomic tree (Fig. S26D</w:t>
      </w:r>
      <w:r w:rsidRPr="00EA2E82">
        <w:rPr>
          <w:rFonts w:ascii="Times New Roman" w:hAnsi="Times New Roman" w:cs="Times New Roman"/>
          <w:noProof/>
          <w:color w:val="000000" w:themeColor="text1"/>
          <w:sz w:val="24"/>
          <w:szCs w:val="24"/>
        </w:rPr>
        <w:t>–F</w:t>
      </w:r>
      <w:r w:rsidRPr="00EA2E82">
        <w:rPr>
          <w:rFonts w:ascii="Times New Roman" w:hAnsi="Times New Roman" w:cs="Times New Roman"/>
          <w:color w:val="000000" w:themeColor="text1"/>
          <w:sz w:val="24"/>
          <w:szCs w:val="24"/>
        </w:rPr>
        <w:t>). The PC1 axis clearly segregates all clusters, accounting for 43.5 to 64.5% of the overall variation, while the PC2 axis primarily differentiates the PRI population, representing 14.1 to 36.6% of the variance. The EEMS plot highlights an area hindering population connectivity that coincides with the Bahamas Break (BB) (Fig. S26G), while the sPCA plot signals YUC population as a unique genetic cluster (Fig. S26H).</w:t>
      </w:r>
    </w:p>
    <w:p w14:paraId="04D78386" w14:textId="77777777" w:rsidR="00931688" w:rsidRPr="00EA2E82" w:rsidRDefault="00931688" w:rsidP="00931688">
      <w:pPr>
        <w:jc w:val="both"/>
        <w:rPr>
          <w:rFonts w:ascii="Times New Roman" w:hAnsi="Times New Roman" w:cs="Times New Roman"/>
          <w:color w:val="000000" w:themeColor="text1"/>
          <w:sz w:val="24"/>
          <w:szCs w:val="24"/>
        </w:rPr>
      </w:pPr>
      <w:r w:rsidRPr="00EA2E82">
        <w:rPr>
          <w:rFonts w:ascii="Times New Roman" w:hAnsi="Times New Roman" w:cs="Times New Roman"/>
          <w:b/>
          <w:bCs/>
          <w:i/>
          <w:iCs/>
          <w:color w:val="000000" w:themeColor="text1"/>
          <w:sz w:val="24"/>
          <w:szCs w:val="24"/>
        </w:rPr>
        <w:t>M. costaricanus</w:t>
      </w:r>
      <w:r w:rsidRPr="00EA2E82">
        <w:rPr>
          <w:rFonts w:ascii="Times New Roman" w:hAnsi="Times New Roman" w:cs="Times New Roman"/>
          <w:b/>
          <w:bCs/>
          <w:color w:val="000000" w:themeColor="text1"/>
          <w:sz w:val="24"/>
          <w:szCs w:val="24"/>
        </w:rPr>
        <w:t xml:space="preserve">, </w:t>
      </w:r>
      <w:r w:rsidRPr="00EA2E82">
        <w:rPr>
          <w:rFonts w:ascii="Times New Roman" w:hAnsi="Times New Roman" w:cs="Times New Roman"/>
          <w:b/>
          <w:bCs/>
          <w:i/>
          <w:iCs/>
          <w:color w:val="000000" w:themeColor="text1"/>
          <w:sz w:val="24"/>
          <w:szCs w:val="24"/>
        </w:rPr>
        <w:t>M. gigas</w:t>
      </w:r>
      <w:r w:rsidRPr="00EA2E82">
        <w:rPr>
          <w:rFonts w:ascii="Times New Roman" w:hAnsi="Times New Roman" w:cs="Times New Roman"/>
          <w:b/>
          <w:bCs/>
          <w:color w:val="000000" w:themeColor="text1"/>
          <w:sz w:val="24"/>
          <w:szCs w:val="24"/>
        </w:rPr>
        <w:t xml:space="preserve">, </w:t>
      </w:r>
      <w:r w:rsidRPr="00EA2E82">
        <w:rPr>
          <w:rFonts w:ascii="Times New Roman" w:hAnsi="Times New Roman" w:cs="Times New Roman"/>
          <w:b/>
          <w:bCs/>
          <w:i/>
          <w:iCs/>
          <w:color w:val="000000" w:themeColor="text1"/>
          <w:sz w:val="24"/>
          <w:szCs w:val="24"/>
        </w:rPr>
        <w:t>M. margaritae</w:t>
      </w:r>
      <w:r w:rsidRPr="00EA2E82">
        <w:rPr>
          <w:rFonts w:ascii="Times New Roman" w:hAnsi="Times New Roman" w:cs="Times New Roman"/>
          <w:b/>
          <w:bCs/>
          <w:color w:val="000000" w:themeColor="text1"/>
          <w:sz w:val="24"/>
          <w:szCs w:val="24"/>
        </w:rPr>
        <w:t xml:space="preserve">, and </w:t>
      </w:r>
      <w:r w:rsidRPr="00EA2E82">
        <w:rPr>
          <w:rFonts w:ascii="Times New Roman" w:hAnsi="Times New Roman" w:cs="Times New Roman"/>
          <w:b/>
          <w:bCs/>
          <w:i/>
          <w:iCs/>
          <w:color w:val="000000" w:themeColor="text1"/>
          <w:sz w:val="24"/>
          <w:szCs w:val="24"/>
        </w:rPr>
        <w:t>M. zonogaster</w:t>
      </w:r>
      <w:r w:rsidRPr="00EA2E82">
        <w:rPr>
          <w:rFonts w:ascii="Times New Roman" w:hAnsi="Times New Roman" w:cs="Times New Roman"/>
          <w:b/>
          <w:bCs/>
          <w:color w:val="000000" w:themeColor="text1"/>
          <w:sz w:val="24"/>
          <w:szCs w:val="24"/>
        </w:rPr>
        <w:t xml:space="preserve">. </w:t>
      </w:r>
      <w:r w:rsidRPr="00EA2E82">
        <w:rPr>
          <w:rFonts w:ascii="Times New Roman" w:hAnsi="Times New Roman" w:cs="Times New Roman"/>
          <w:color w:val="000000" w:themeColor="text1"/>
          <w:sz w:val="24"/>
          <w:szCs w:val="24"/>
        </w:rPr>
        <w:t>For these species, we collected several individuals but only in one or two localities across the TEP. We estimated phylogenomic trees to evaluate  the degree of genetic disparity (see Supplementary Materials and Methods). As expected, the phylogenomic trees failed to recover any significant structure among individuals from either a single population (</w:t>
      </w:r>
      <w:r w:rsidRPr="00EA2E82">
        <w:rPr>
          <w:rFonts w:ascii="Times New Roman" w:hAnsi="Times New Roman" w:cs="Times New Roman"/>
          <w:i/>
          <w:iCs/>
          <w:color w:val="000000" w:themeColor="text1"/>
          <w:sz w:val="24"/>
          <w:szCs w:val="24"/>
        </w:rPr>
        <w:t>M. costaricanus</w:t>
      </w:r>
      <w:r w:rsidRPr="00EA2E82">
        <w:rPr>
          <w:rFonts w:ascii="Times New Roman" w:hAnsi="Times New Roman" w:cs="Times New Roman"/>
          <w:color w:val="000000" w:themeColor="text1"/>
          <w:sz w:val="24"/>
          <w:szCs w:val="24"/>
        </w:rPr>
        <w:t xml:space="preserve"> and </w:t>
      </w:r>
      <w:r w:rsidRPr="00EA2E82">
        <w:rPr>
          <w:rFonts w:ascii="Times New Roman" w:hAnsi="Times New Roman" w:cs="Times New Roman"/>
          <w:i/>
          <w:iCs/>
          <w:color w:val="000000" w:themeColor="text1"/>
          <w:sz w:val="24"/>
          <w:szCs w:val="24"/>
        </w:rPr>
        <w:t>M. margaritae</w:t>
      </w:r>
      <w:r w:rsidRPr="00EA2E82">
        <w:rPr>
          <w:rFonts w:ascii="Times New Roman" w:hAnsi="Times New Roman" w:cs="Times New Roman"/>
          <w:color w:val="000000" w:themeColor="text1"/>
          <w:sz w:val="24"/>
          <w:szCs w:val="24"/>
        </w:rPr>
        <w:t>) or two geographically proximate populations (</w:t>
      </w:r>
      <w:r w:rsidRPr="00EA2E82">
        <w:rPr>
          <w:rFonts w:ascii="Times New Roman" w:hAnsi="Times New Roman" w:cs="Times New Roman"/>
          <w:i/>
          <w:iCs/>
          <w:color w:val="000000" w:themeColor="text1"/>
          <w:sz w:val="24"/>
          <w:szCs w:val="24"/>
        </w:rPr>
        <w:t>M. gigas</w:t>
      </w:r>
      <w:r w:rsidRPr="00EA2E82">
        <w:rPr>
          <w:rFonts w:ascii="Times New Roman" w:hAnsi="Times New Roman" w:cs="Times New Roman"/>
          <w:color w:val="000000" w:themeColor="text1"/>
          <w:sz w:val="24"/>
          <w:szCs w:val="24"/>
        </w:rPr>
        <w:t xml:space="preserve"> and </w:t>
      </w:r>
      <w:r w:rsidRPr="00EA2E82">
        <w:rPr>
          <w:rFonts w:ascii="Times New Roman" w:hAnsi="Times New Roman" w:cs="Times New Roman"/>
          <w:i/>
          <w:iCs/>
          <w:color w:val="000000" w:themeColor="text1"/>
          <w:sz w:val="24"/>
          <w:szCs w:val="24"/>
        </w:rPr>
        <w:t>M. zonogaster</w:t>
      </w:r>
      <w:r w:rsidRPr="00EA2E82">
        <w:rPr>
          <w:rFonts w:ascii="Times New Roman" w:hAnsi="Times New Roman" w:cs="Times New Roman"/>
          <w:color w:val="000000" w:themeColor="text1"/>
          <w:sz w:val="24"/>
          <w:szCs w:val="24"/>
        </w:rPr>
        <w:t>) (Fig. S27).</w:t>
      </w:r>
    </w:p>
    <w:p w14:paraId="5ADD57F6" w14:textId="77777777" w:rsidR="00931688" w:rsidRPr="00EA2E82" w:rsidRDefault="00931688" w:rsidP="00931688">
      <w:pPr>
        <w:rPr>
          <w:rFonts w:ascii="Times New Roman" w:hAnsi="Times New Roman" w:cs="Times New Roman"/>
          <w:sz w:val="24"/>
          <w:szCs w:val="24"/>
        </w:rPr>
      </w:pPr>
    </w:p>
    <w:p w14:paraId="7E3321BE" w14:textId="77777777" w:rsidR="00321B78" w:rsidRPr="00EA2E82" w:rsidRDefault="00321B78" w:rsidP="00321B78">
      <w:pPr>
        <w:rPr>
          <w:rFonts w:ascii="Times New Roman" w:eastAsia="Times New Roman" w:hAnsi="Times New Roman" w:cs="Times New Roman"/>
          <w:sz w:val="24"/>
          <w:szCs w:val="24"/>
        </w:rPr>
        <w:sectPr w:rsidR="00321B78" w:rsidRPr="00EA2E82" w:rsidSect="000A0A64">
          <w:pgSz w:w="12240" w:h="15840"/>
          <w:pgMar w:top="1440" w:right="1440" w:bottom="1440" w:left="1440" w:header="708" w:footer="708" w:gutter="0"/>
          <w:pgNumType w:start="93"/>
          <w:cols w:space="708"/>
          <w:docGrid w:linePitch="360"/>
        </w:sectPr>
      </w:pPr>
    </w:p>
    <w:p w14:paraId="223FCB70" w14:textId="0CE297E3" w:rsidR="000C6D7C" w:rsidRDefault="005012C6" w:rsidP="000F7ED6">
      <w:pPr>
        <w:jc w:val="both"/>
        <w:rPr>
          <w:rFonts w:ascii="Times New Roman" w:hAnsi="Times New Roman" w:cs="Times New Roman"/>
          <w:bCs/>
          <w:sz w:val="24"/>
          <w:szCs w:val="24"/>
        </w:rPr>
      </w:pPr>
      <w:r w:rsidRPr="005012C6">
        <w:rPr>
          <w:rFonts w:ascii="Times New Roman" w:hAnsi="Times New Roman" w:cs="Times New Roman"/>
          <w:noProof/>
          <w:sz w:val="24"/>
          <w:szCs w:val="24"/>
        </w:rPr>
        <w:lastRenderedPageBreak/>
        <w:drawing>
          <wp:anchor distT="0" distB="0" distL="114300" distR="114300" simplePos="0" relativeHeight="251745280" behindDoc="0" locked="0" layoutInCell="1" allowOverlap="1" wp14:anchorId="0B3C4938" wp14:editId="257650DE">
            <wp:simplePos x="0" y="0"/>
            <wp:positionH relativeFrom="column">
              <wp:posOffset>244879</wp:posOffset>
            </wp:positionH>
            <wp:positionV relativeFrom="paragraph">
              <wp:posOffset>-10160</wp:posOffset>
            </wp:positionV>
            <wp:extent cx="5444836" cy="6299373"/>
            <wp:effectExtent l="0" t="0" r="3810" b="0"/>
            <wp:wrapNone/>
            <wp:docPr id="15793951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95114" name="Picture 1" descr="A screenshot of a computer&#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44836" cy="6299373"/>
                    </a:xfrm>
                    <a:prstGeom prst="rect">
                      <a:avLst/>
                    </a:prstGeom>
                  </pic:spPr>
                </pic:pic>
              </a:graphicData>
            </a:graphic>
            <wp14:sizeRelH relativeFrom="page">
              <wp14:pctWidth>0</wp14:pctWidth>
            </wp14:sizeRelH>
            <wp14:sizeRelV relativeFrom="page">
              <wp14:pctHeight>0</wp14:pctHeight>
            </wp14:sizeRelV>
          </wp:anchor>
        </w:drawing>
      </w:r>
    </w:p>
    <w:p w14:paraId="45D02A54" w14:textId="2852D5D8" w:rsidR="005012C6" w:rsidRPr="005012C6" w:rsidRDefault="005012C6" w:rsidP="005012C6">
      <w:pPr>
        <w:rPr>
          <w:rFonts w:ascii="Times New Roman" w:hAnsi="Times New Roman" w:cs="Times New Roman"/>
          <w:sz w:val="24"/>
          <w:szCs w:val="24"/>
        </w:rPr>
      </w:pPr>
    </w:p>
    <w:p w14:paraId="0CADBE4A" w14:textId="77777777" w:rsidR="005012C6" w:rsidRPr="005012C6" w:rsidRDefault="005012C6" w:rsidP="005012C6">
      <w:pPr>
        <w:rPr>
          <w:rFonts w:ascii="Times New Roman" w:hAnsi="Times New Roman" w:cs="Times New Roman"/>
          <w:sz w:val="24"/>
          <w:szCs w:val="24"/>
        </w:rPr>
      </w:pPr>
    </w:p>
    <w:p w14:paraId="77905DE6" w14:textId="6CCE3A2D" w:rsidR="005012C6" w:rsidRPr="005012C6" w:rsidRDefault="005012C6" w:rsidP="005012C6">
      <w:pPr>
        <w:rPr>
          <w:rFonts w:ascii="Times New Roman" w:hAnsi="Times New Roman" w:cs="Times New Roman"/>
          <w:sz w:val="24"/>
          <w:szCs w:val="24"/>
        </w:rPr>
      </w:pPr>
    </w:p>
    <w:p w14:paraId="5F42308A" w14:textId="4612A8E0" w:rsidR="005012C6" w:rsidRPr="005012C6" w:rsidRDefault="005012C6" w:rsidP="005012C6">
      <w:pPr>
        <w:rPr>
          <w:rFonts w:ascii="Times New Roman" w:hAnsi="Times New Roman" w:cs="Times New Roman"/>
          <w:sz w:val="24"/>
          <w:szCs w:val="24"/>
        </w:rPr>
      </w:pPr>
    </w:p>
    <w:p w14:paraId="6AB4C766" w14:textId="6E8FF6DF" w:rsidR="005012C6" w:rsidRPr="005012C6" w:rsidRDefault="005012C6" w:rsidP="005012C6">
      <w:pPr>
        <w:rPr>
          <w:rFonts w:ascii="Times New Roman" w:hAnsi="Times New Roman" w:cs="Times New Roman"/>
          <w:sz w:val="24"/>
          <w:szCs w:val="24"/>
        </w:rPr>
      </w:pPr>
    </w:p>
    <w:p w14:paraId="5EB83D87" w14:textId="65F15E8E" w:rsidR="005012C6" w:rsidRPr="005012C6" w:rsidRDefault="005012C6" w:rsidP="005012C6">
      <w:pPr>
        <w:rPr>
          <w:rFonts w:ascii="Times New Roman" w:hAnsi="Times New Roman" w:cs="Times New Roman"/>
          <w:sz w:val="24"/>
          <w:szCs w:val="24"/>
        </w:rPr>
      </w:pPr>
    </w:p>
    <w:p w14:paraId="47124ACE" w14:textId="77777777" w:rsidR="005012C6" w:rsidRPr="005012C6" w:rsidRDefault="005012C6" w:rsidP="005012C6">
      <w:pPr>
        <w:rPr>
          <w:rFonts w:ascii="Times New Roman" w:hAnsi="Times New Roman" w:cs="Times New Roman"/>
          <w:sz w:val="24"/>
          <w:szCs w:val="24"/>
        </w:rPr>
      </w:pPr>
    </w:p>
    <w:p w14:paraId="7D8FD6E9" w14:textId="4DC33DF4" w:rsidR="005012C6" w:rsidRPr="005012C6" w:rsidRDefault="005012C6" w:rsidP="005012C6">
      <w:pPr>
        <w:rPr>
          <w:rFonts w:ascii="Times New Roman" w:hAnsi="Times New Roman" w:cs="Times New Roman"/>
          <w:sz w:val="24"/>
          <w:szCs w:val="24"/>
        </w:rPr>
      </w:pPr>
    </w:p>
    <w:p w14:paraId="07A07135" w14:textId="77777777" w:rsidR="005012C6" w:rsidRPr="005012C6" w:rsidRDefault="005012C6" w:rsidP="005012C6">
      <w:pPr>
        <w:rPr>
          <w:rFonts w:ascii="Times New Roman" w:hAnsi="Times New Roman" w:cs="Times New Roman"/>
          <w:sz w:val="24"/>
          <w:szCs w:val="24"/>
        </w:rPr>
      </w:pPr>
    </w:p>
    <w:p w14:paraId="3F525C88" w14:textId="05FA4CF1" w:rsidR="005012C6" w:rsidRPr="005012C6" w:rsidRDefault="005012C6" w:rsidP="005012C6">
      <w:pPr>
        <w:rPr>
          <w:rFonts w:ascii="Times New Roman" w:hAnsi="Times New Roman" w:cs="Times New Roman"/>
          <w:sz w:val="24"/>
          <w:szCs w:val="24"/>
        </w:rPr>
      </w:pPr>
    </w:p>
    <w:p w14:paraId="0DB4D6BE" w14:textId="77777777" w:rsidR="005012C6" w:rsidRPr="005012C6" w:rsidRDefault="005012C6" w:rsidP="005012C6">
      <w:pPr>
        <w:rPr>
          <w:rFonts w:ascii="Times New Roman" w:hAnsi="Times New Roman" w:cs="Times New Roman"/>
          <w:sz w:val="24"/>
          <w:szCs w:val="24"/>
        </w:rPr>
      </w:pPr>
    </w:p>
    <w:p w14:paraId="08207970" w14:textId="77777777" w:rsidR="005012C6" w:rsidRDefault="005012C6" w:rsidP="005012C6">
      <w:pPr>
        <w:rPr>
          <w:rFonts w:ascii="Times New Roman" w:hAnsi="Times New Roman" w:cs="Times New Roman"/>
          <w:bCs/>
          <w:sz w:val="24"/>
          <w:szCs w:val="24"/>
        </w:rPr>
      </w:pPr>
    </w:p>
    <w:p w14:paraId="77E55FD7" w14:textId="07E5C621" w:rsidR="005012C6" w:rsidRDefault="005012C6" w:rsidP="005012C6">
      <w:pPr>
        <w:jc w:val="center"/>
        <w:rPr>
          <w:rFonts w:ascii="Times New Roman" w:hAnsi="Times New Roman" w:cs="Times New Roman"/>
          <w:sz w:val="24"/>
          <w:szCs w:val="24"/>
        </w:rPr>
      </w:pPr>
    </w:p>
    <w:p w14:paraId="7CB3E021" w14:textId="4CC30998" w:rsidR="005012C6" w:rsidRDefault="005012C6" w:rsidP="005012C6">
      <w:pPr>
        <w:jc w:val="center"/>
        <w:rPr>
          <w:rFonts w:ascii="Times New Roman" w:hAnsi="Times New Roman" w:cs="Times New Roman"/>
          <w:sz w:val="24"/>
          <w:szCs w:val="24"/>
        </w:rPr>
      </w:pPr>
    </w:p>
    <w:p w14:paraId="6FE39656" w14:textId="31DBA031" w:rsidR="005012C6" w:rsidRDefault="005012C6" w:rsidP="005012C6">
      <w:pPr>
        <w:jc w:val="center"/>
        <w:rPr>
          <w:rFonts w:ascii="Times New Roman" w:hAnsi="Times New Roman" w:cs="Times New Roman"/>
          <w:sz w:val="24"/>
          <w:szCs w:val="24"/>
        </w:rPr>
      </w:pPr>
    </w:p>
    <w:p w14:paraId="12645E3C" w14:textId="3F3B8B5D" w:rsidR="005012C6" w:rsidRDefault="005012C6" w:rsidP="005012C6">
      <w:pPr>
        <w:jc w:val="center"/>
        <w:rPr>
          <w:rFonts w:ascii="Times New Roman" w:hAnsi="Times New Roman" w:cs="Times New Roman"/>
          <w:sz w:val="24"/>
          <w:szCs w:val="24"/>
        </w:rPr>
      </w:pPr>
    </w:p>
    <w:p w14:paraId="561F0DDA" w14:textId="649AA36F" w:rsidR="005012C6" w:rsidRDefault="005012C6" w:rsidP="005012C6">
      <w:pPr>
        <w:jc w:val="center"/>
        <w:rPr>
          <w:rFonts w:ascii="Times New Roman" w:hAnsi="Times New Roman" w:cs="Times New Roman"/>
          <w:sz w:val="24"/>
          <w:szCs w:val="24"/>
        </w:rPr>
      </w:pPr>
    </w:p>
    <w:p w14:paraId="7AE80A15" w14:textId="27771264" w:rsidR="005012C6" w:rsidRDefault="005012C6" w:rsidP="005012C6">
      <w:pPr>
        <w:jc w:val="center"/>
        <w:rPr>
          <w:rFonts w:ascii="Times New Roman" w:hAnsi="Times New Roman" w:cs="Times New Roman"/>
          <w:sz w:val="24"/>
          <w:szCs w:val="24"/>
        </w:rPr>
      </w:pPr>
    </w:p>
    <w:p w14:paraId="1CCC22E9" w14:textId="437E52B9" w:rsidR="005012C6" w:rsidRDefault="005012C6" w:rsidP="005012C6">
      <w:pPr>
        <w:jc w:val="center"/>
        <w:rPr>
          <w:rFonts w:ascii="Times New Roman" w:hAnsi="Times New Roman" w:cs="Times New Roman"/>
          <w:sz w:val="24"/>
          <w:szCs w:val="24"/>
        </w:rPr>
      </w:pPr>
    </w:p>
    <w:p w14:paraId="3FE44463" w14:textId="1676DCCA" w:rsidR="005012C6" w:rsidRDefault="005012C6" w:rsidP="005012C6">
      <w:pPr>
        <w:jc w:val="center"/>
        <w:rPr>
          <w:rFonts w:ascii="Times New Roman" w:hAnsi="Times New Roman" w:cs="Times New Roman"/>
          <w:sz w:val="24"/>
          <w:szCs w:val="24"/>
        </w:rPr>
      </w:pPr>
    </w:p>
    <w:p w14:paraId="7A995EEA" w14:textId="1157EDCB" w:rsidR="005012C6" w:rsidRDefault="005012C6"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44256" behindDoc="0" locked="0" layoutInCell="1" allowOverlap="1" wp14:anchorId="6E914902" wp14:editId="3D1C2034">
                <wp:simplePos x="0" y="0"/>
                <wp:positionH relativeFrom="column">
                  <wp:posOffset>0</wp:posOffset>
                </wp:positionH>
                <wp:positionV relativeFrom="paragraph">
                  <wp:posOffset>202334</wp:posOffset>
                </wp:positionV>
                <wp:extent cx="6024245" cy="1693718"/>
                <wp:effectExtent l="0" t="0" r="0" b="0"/>
                <wp:wrapNone/>
                <wp:docPr id="403518545" name="Text Box 2"/>
                <wp:cNvGraphicFramePr/>
                <a:graphic xmlns:a="http://schemas.openxmlformats.org/drawingml/2006/main">
                  <a:graphicData uri="http://schemas.microsoft.com/office/word/2010/wordprocessingShape">
                    <wps:wsp>
                      <wps:cNvSpPr txBox="1"/>
                      <wps:spPr>
                        <a:xfrm>
                          <a:off x="0" y="0"/>
                          <a:ext cx="6024245" cy="1693718"/>
                        </a:xfrm>
                        <a:prstGeom prst="rect">
                          <a:avLst/>
                        </a:prstGeom>
                        <a:noFill/>
                        <a:ln w="6350">
                          <a:noFill/>
                        </a:ln>
                      </wps:spPr>
                      <wps:txbx>
                        <w:txbxContent>
                          <w:p w14:paraId="3A48F8BA" w14:textId="69E36AF4" w:rsidR="002D5A03" w:rsidRPr="00AC36DC" w:rsidRDefault="002D5A03" w:rsidP="002D5A03">
                            <w:pPr>
                              <w:jc w:val="both"/>
                              <w:rPr>
                                <w:rFonts w:ascii="Times New Roman" w:hAnsi="Times New Roman" w:cs="Times New Roman"/>
                                <w:color w:val="000000" w:themeColor="text1"/>
                                <w:sz w:val="20"/>
                                <w:szCs w:val="20"/>
                              </w:rPr>
                            </w:pPr>
                            <w:bookmarkStart w:id="22" w:name="FigS13"/>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13</w:t>
                            </w:r>
                            <w:bookmarkEnd w:id="22"/>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M. ebisui</w:t>
                            </w:r>
                            <w:r>
                              <w:rPr>
                                <w:rFonts w:ascii="Times New Roman" w:hAnsi="Times New Roman" w:cs="Times New Roman"/>
                                <w:color w:val="000000" w:themeColor="text1"/>
                                <w:sz w:val="20"/>
                                <w:szCs w:val="20"/>
                              </w:rPr>
                              <w:t xml:space="preserve"> based on 6,786 SNPs. A) </w:t>
                            </w:r>
                            <w:r w:rsidR="005012C6">
                              <w:rPr>
                                <w:rFonts w:ascii="Times New Roman" w:hAnsi="Times New Roman" w:cs="Times New Roman"/>
                                <w:color w:val="000000" w:themeColor="text1"/>
                                <w:sz w:val="20"/>
                                <w:szCs w:val="20"/>
                              </w:rPr>
                              <w:t>P</w:t>
                            </w:r>
                            <w:r>
                              <w:rPr>
                                <w:rFonts w:ascii="Times New Roman" w:hAnsi="Times New Roman" w:cs="Times New Roman"/>
                                <w:color w:val="000000" w:themeColor="text1"/>
                                <w:sz w:val="20"/>
                                <w:szCs w:val="20"/>
                              </w:rPr>
                              <w:t>hylogenetic tree, with branches are color-coded to match sampling sites</w:t>
                            </w:r>
                            <w:r w:rsidR="005012C6">
                              <w:rPr>
                                <w:rFonts w:ascii="Times New Roman" w:hAnsi="Times New Roman" w:cs="Times New Roman"/>
                                <w:color w:val="000000" w:themeColor="text1"/>
                                <w:sz w:val="20"/>
                                <w:szCs w:val="20"/>
                              </w:rPr>
                              <w:t xml:space="preserve"> in Fig</w:t>
                            </w:r>
                            <w:r>
                              <w:rPr>
                                <w:rFonts w:ascii="Times New Roman" w:hAnsi="Times New Roman" w:cs="Times New Roman"/>
                                <w:color w:val="000000" w:themeColor="text1"/>
                                <w:sz w:val="20"/>
                                <w:szCs w:val="20"/>
                              </w:rPr>
                              <w:t>.</w:t>
                            </w:r>
                            <w:r w:rsidR="005012C6">
                              <w:rPr>
                                <w:rFonts w:ascii="Times New Roman" w:hAnsi="Times New Roman" w:cs="Times New Roman"/>
                                <w:color w:val="000000" w:themeColor="text1"/>
                                <w:sz w:val="20"/>
                                <w:szCs w:val="20"/>
                              </w:rPr>
                              <w:t xml:space="preserve"> 3.1.</w:t>
                            </w:r>
                            <w:r>
                              <w:rPr>
                                <w:rFonts w:ascii="Times New Roman" w:hAnsi="Times New Roman" w:cs="Times New Roman"/>
                                <w:color w:val="000000" w:themeColor="text1"/>
                                <w:sz w:val="20"/>
                                <w:szCs w:val="20"/>
                              </w:rPr>
                              <w:t xml:space="preserve">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14902" id="_x0000_s1052" type="#_x0000_t202" style="position:absolute;left:0;text-align:left;margin-left:0;margin-top:15.95pt;width:474.35pt;height:133.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" filled="f" stroked="f" strokeweight=".5pt">
                <v:textbox>
                  <w:txbxContent>
                    <w:p w14:paraId="3A48F8BA" w14:textId="69E36AF4" w:rsidR="002D5A03" w:rsidRPr="00AC36DC" w:rsidRDefault="002D5A03" w:rsidP="002D5A03">
                      <w:pPr>
                        <w:jc w:val="both"/>
                        <w:rPr>
                          <w:rFonts w:ascii="Times New Roman" w:hAnsi="Times New Roman" w:cs="Times New Roman"/>
                          <w:color w:val="000000" w:themeColor="text1"/>
                          <w:sz w:val="20"/>
                          <w:szCs w:val="20"/>
                        </w:rPr>
                      </w:pPr>
                      <w:bookmarkStart w:id="36" w:name="FigS13"/>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13</w:t>
                      </w:r>
                      <w:bookmarkEnd w:id="36"/>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M. ebisui</w:t>
                      </w:r>
                      <w:r>
                        <w:rPr>
                          <w:rFonts w:ascii="Times New Roman" w:hAnsi="Times New Roman" w:cs="Times New Roman"/>
                          <w:color w:val="000000" w:themeColor="text1"/>
                          <w:sz w:val="20"/>
                          <w:szCs w:val="20"/>
                        </w:rPr>
                        <w:t xml:space="preserve"> based on 6,786 SNPs. A) </w:t>
                      </w:r>
                      <w:r w:rsidR="005012C6">
                        <w:rPr>
                          <w:rFonts w:ascii="Times New Roman" w:hAnsi="Times New Roman" w:cs="Times New Roman"/>
                          <w:color w:val="000000" w:themeColor="text1"/>
                          <w:sz w:val="20"/>
                          <w:szCs w:val="20"/>
                        </w:rPr>
                        <w:t>P</w:t>
                      </w:r>
                      <w:r>
                        <w:rPr>
                          <w:rFonts w:ascii="Times New Roman" w:hAnsi="Times New Roman" w:cs="Times New Roman"/>
                          <w:color w:val="000000" w:themeColor="text1"/>
                          <w:sz w:val="20"/>
                          <w:szCs w:val="20"/>
                        </w:rPr>
                        <w:t>hylogenetic tree, with branches are color-coded to match sampling sites</w:t>
                      </w:r>
                      <w:r w:rsidR="005012C6">
                        <w:rPr>
                          <w:rFonts w:ascii="Times New Roman" w:hAnsi="Times New Roman" w:cs="Times New Roman"/>
                          <w:color w:val="000000" w:themeColor="text1"/>
                          <w:sz w:val="20"/>
                          <w:szCs w:val="20"/>
                        </w:rPr>
                        <w:t xml:space="preserve"> in Fig</w:t>
                      </w:r>
                      <w:r>
                        <w:rPr>
                          <w:rFonts w:ascii="Times New Roman" w:hAnsi="Times New Roman" w:cs="Times New Roman"/>
                          <w:color w:val="000000" w:themeColor="text1"/>
                          <w:sz w:val="20"/>
                          <w:szCs w:val="20"/>
                        </w:rPr>
                        <w:t>.</w:t>
                      </w:r>
                      <w:r w:rsidR="005012C6">
                        <w:rPr>
                          <w:rFonts w:ascii="Times New Roman" w:hAnsi="Times New Roman" w:cs="Times New Roman"/>
                          <w:color w:val="000000" w:themeColor="text1"/>
                          <w:sz w:val="20"/>
                          <w:szCs w:val="20"/>
                        </w:rPr>
                        <w:t xml:space="preserve"> 3.1.</w:t>
                      </w:r>
                      <w:r>
                        <w:rPr>
                          <w:rFonts w:ascii="Times New Roman" w:hAnsi="Times New Roman" w:cs="Times New Roman"/>
                          <w:color w:val="000000" w:themeColor="text1"/>
                          <w:sz w:val="20"/>
                          <w:szCs w:val="20"/>
                        </w:rPr>
                        <w:t xml:space="preserve">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399D69EC" w14:textId="5D6C89D2" w:rsidR="005012C6" w:rsidRDefault="005012C6" w:rsidP="005012C6">
      <w:pPr>
        <w:jc w:val="center"/>
        <w:rPr>
          <w:rFonts w:ascii="Times New Roman" w:hAnsi="Times New Roman" w:cs="Times New Roman"/>
          <w:sz w:val="24"/>
          <w:szCs w:val="24"/>
        </w:rPr>
      </w:pPr>
    </w:p>
    <w:p w14:paraId="6F5A54A6" w14:textId="6B3F32FC" w:rsidR="005012C6" w:rsidRDefault="005012C6" w:rsidP="005012C6">
      <w:pPr>
        <w:jc w:val="center"/>
        <w:rPr>
          <w:rFonts w:ascii="Times New Roman" w:hAnsi="Times New Roman" w:cs="Times New Roman"/>
          <w:sz w:val="24"/>
          <w:szCs w:val="24"/>
        </w:rPr>
      </w:pPr>
    </w:p>
    <w:p w14:paraId="5D4FAC39" w14:textId="77777777" w:rsidR="005012C6" w:rsidRDefault="005012C6" w:rsidP="005012C6">
      <w:pPr>
        <w:jc w:val="center"/>
        <w:rPr>
          <w:rFonts w:ascii="Times New Roman" w:hAnsi="Times New Roman" w:cs="Times New Roman"/>
          <w:sz w:val="24"/>
          <w:szCs w:val="24"/>
        </w:rPr>
      </w:pPr>
    </w:p>
    <w:p w14:paraId="0826AE16" w14:textId="77777777" w:rsidR="005012C6" w:rsidRDefault="005012C6" w:rsidP="005012C6">
      <w:pPr>
        <w:jc w:val="center"/>
        <w:rPr>
          <w:rFonts w:ascii="Times New Roman" w:hAnsi="Times New Roman" w:cs="Times New Roman"/>
          <w:sz w:val="24"/>
          <w:szCs w:val="24"/>
        </w:rPr>
      </w:pPr>
    </w:p>
    <w:p w14:paraId="18353BE7" w14:textId="77777777" w:rsidR="005012C6" w:rsidRDefault="005012C6" w:rsidP="005012C6">
      <w:pPr>
        <w:jc w:val="center"/>
        <w:rPr>
          <w:rFonts w:ascii="Times New Roman" w:hAnsi="Times New Roman" w:cs="Times New Roman"/>
          <w:sz w:val="24"/>
          <w:szCs w:val="24"/>
        </w:rPr>
      </w:pPr>
    </w:p>
    <w:p w14:paraId="58E583BC" w14:textId="77777777" w:rsidR="005012C6" w:rsidRDefault="005012C6" w:rsidP="005012C6">
      <w:pPr>
        <w:jc w:val="center"/>
        <w:rPr>
          <w:rFonts w:ascii="Times New Roman" w:hAnsi="Times New Roman" w:cs="Times New Roman"/>
          <w:sz w:val="24"/>
          <w:szCs w:val="24"/>
        </w:rPr>
      </w:pPr>
    </w:p>
    <w:p w14:paraId="0E37B1D1" w14:textId="4040DFAD" w:rsidR="005012C6" w:rsidRDefault="00950224" w:rsidP="005012C6">
      <w:pPr>
        <w:jc w:val="center"/>
        <w:rPr>
          <w:rFonts w:ascii="Times New Roman" w:hAnsi="Times New Roman" w:cs="Times New Roman"/>
          <w:sz w:val="24"/>
          <w:szCs w:val="24"/>
        </w:rPr>
      </w:pPr>
      <w:r w:rsidRPr="00950224">
        <w:rPr>
          <w:rFonts w:ascii="Times New Roman" w:hAnsi="Times New Roman" w:cs="Times New Roman"/>
          <w:noProof/>
          <w:sz w:val="24"/>
          <w:szCs w:val="24"/>
        </w:rPr>
        <w:lastRenderedPageBreak/>
        <w:drawing>
          <wp:anchor distT="0" distB="0" distL="114300" distR="114300" simplePos="0" relativeHeight="251748352" behindDoc="0" locked="0" layoutInCell="1" allowOverlap="1" wp14:anchorId="0CAF49DE" wp14:editId="09AA096B">
            <wp:simplePos x="0" y="0"/>
            <wp:positionH relativeFrom="column">
              <wp:posOffset>289329</wp:posOffset>
            </wp:positionH>
            <wp:positionV relativeFrom="paragraph">
              <wp:posOffset>61595</wp:posOffset>
            </wp:positionV>
            <wp:extent cx="5352778" cy="6192866"/>
            <wp:effectExtent l="0" t="0" r="0" b="5080"/>
            <wp:wrapNone/>
            <wp:docPr id="222194202" name="Picture 1"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94202" name="Picture 1" descr="A collage of a diagram&#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352778" cy="6192866"/>
                    </a:xfrm>
                    <a:prstGeom prst="rect">
                      <a:avLst/>
                    </a:prstGeom>
                  </pic:spPr>
                </pic:pic>
              </a:graphicData>
            </a:graphic>
            <wp14:sizeRelH relativeFrom="page">
              <wp14:pctWidth>0</wp14:pctWidth>
            </wp14:sizeRelH>
            <wp14:sizeRelV relativeFrom="page">
              <wp14:pctHeight>0</wp14:pctHeight>
            </wp14:sizeRelV>
          </wp:anchor>
        </w:drawing>
      </w:r>
    </w:p>
    <w:p w14:paraId="59EB8354" w14:textId="41D9167F" w:rsidR="005012C6" w:rsidRDefault="005012C6" w:rsidP="005012C6">
      <w:pPr>
        <w:jc w:val="center"/>
        <w:rPr>
          <w:rFonts w:ascii="Times New Roman" w:hAnsi="Times New Roman" w:cs="Times New Roman"/>
          <w:sz w:val="24"/>
          <w:szCs w:val="24"/>
        </w:rPr>
      </w:pPr>
    </w:p>
    <w:p w14:paraId="73B81BC6" w14:textId="62761DFA" w:rsidR="005012C6" w:rsidRDefault="005012C6" w:rsidP="005012C6">
      <w:pPr>
        <w:jc w:val="center"/>
        <w:rPr>
          <w:rFonts w:ascii="Times New Roman" w:hAnsi="Times New Roman" w:cs="Times New Roman"/>
          <w:sz w:val="24"/>
          <w:szCs w:val="24"/>
        </w:rPr>
      </w:pPr>
    </w:p>
    <w:p w14:paraId="3C4E90D2" w14:textId="77777777" w:rsidR="005012C6" w:rsidRDefault="005012C6" w:rsidP="005012C6">
      <w:pPr>
        <w:jc w:val="center"/>
        <w:rPr>
          <w:rFonts w:ascii="Times New Roman" w:hAnsi="Times New Roman" w:cs="Times New Roman"/>
          <w:sz w:val="24"/>
          <w:szCs w:val="24"/>
        </w:rPr>
      </w:pPr>
    </w:p>
    <w:p w14:paraId="5A0B8A00" w14:textId="55487BD9" w:rsidR="005012C6" w:rsidRDefault="005012C6" w:rsidP="005012C6">
      <w:pPr>
        <w:jc w:val="center"/>
        <w:rPr>
          <w:rFonts w:ascii="Times New Roman" w:hAnsi="Times New Roman" w:cs="Times New Roman"/>
          <w:sz w:val="24"/>
          <w:szCs w:val="24"/>
        </w:rPr>
      </w:pPr>
    </w:p>
    <w:p w14:paraId="08CACD12" w14:textId="0C4A7FFA" w:rsidR="005012C6" w:rsidRDefault="005012C6" w:rsidP="005012C6">
      <w:pPr>
        <w:jc w:val="center"/>
        <w:rPr>
          <w:rFonts w:ascii="Times New Roman" w:hAnsi="Times New Roman" w:cs="Times New Roman"/>
          <w:sz w:val="24"/>
          <w:szCs w:val="24"/>
        </w:rPr>
      </w:pPr>
    </w:p>
    <w:p w14:paraId="4A860356" w14:textId="77777777" w:rsidR="005012C6" w:rsidRDefault="005012C6" w:rsidP="005012C6">
      <w:pPr>
        <w:jc w:val="center"/>
        <w:rPr>
          <w:rFonts w:ascii="Times New Roman" w:hAnsi="Times New Roman" w:cs="Times New Roman"/>
          <w:sz w:val="24"/>
          <w:szCs w:val="24"/>
        </w:rPr>
      </w:pPr>
    </w:p>
    <w:p w14:paraId="73A2556C" w14:textId="367FA7B7" w:rsidR="005012C6" w:rsidRDefault="005012C6" w:rsidP="005012C6">
      <w:pPr>
        <w:jc w:val="center"/>
        <w:rPr>
          <w:rFonts w:ascii="Times New Roman" w:hAnsi="Times New Roman" w:cs="Times New Roman"/>
          <w:sz w:val="24"/>
          <w:szCs w:val="24"/>
        </w:rPr>
      </w:pPr>
    </w:p>
    <w:p w14:paraId="561B7F20" w14:textId="52518C89" w:rsidR="005012C6" w:rsidRDefault="005012C6" w:rsidP="005012C6">
      <w:pPr>
        <w:jc w:val="center"/>
        <w:rPr>
          <w:rFonts w:ascii="Times New Roman" w:hAnsi="Times New Roman" w:cs="Times New Roman"/>
          <w:sz w:val="24"/>
          <w:szCs w:val="24"/>
        </w:rPr>
      </w:pPr>
    </w:p>
    <w:p w14:paraId="3A6D573D" w14:textId="00AAA69A" w:rsidR="005012C6" w:rsidRDefault="005012C6" w:rsidP="005012C6">
      <w:pPr>
        <w:jc w:val="center"/>
        <w:rPr>
          <w:rFonts w:ascii="Times New Roman" w:hAnsi="Times New Roman" w:cs="Times New Roman"/>
          <w:sz w:val="24"/>
          <w:szCs w:val="24"/>
        </w:rPr>
      </w:pPr>
    </w:p>
    <w:p w14:paraId="33FB52E7" w14:textId="52D26AFB" w:rsidR="005012C6" w:rsidRDefault="005012C6" w:rsidP="005012C6">
      <w:pPr>
        <w:jc w:val="center"/>
        <w:rPr>
          <w:rFonts w:ascii="Times New Roman" w:hAnsi="Times New Roman" w:cs="Times New Roman"/>
          <w:sz w:val="24"/>
          <w:szCs w:val="24"/>
        </w:rPr>
      </w:pPr>
    </w:p>
    <w:p w14:paraId="0F5D1342" w14:textId="3221AC04" w:rsidR="005012C6" w:rsidRDefault="005012C6" w:rsidP="005012C6">
      <w:pPr>
        <w:jc w:val="center"/>
        <w:rPr>
          <w:rFonts w:ascii="Times New Roman" w:hAnsi="Times New Roman" w:cs="Times New Roman"/>
          <w:sz w:val="24"/>
          <w:szCs w:val="24"/>
        </w:rPr>
      </w:pPr>
    </w:p>
    <w:p w14:paraId="41003801" w14:textId="4EACCF67" w:rsidR="005012C6" w:rsidRDefault="005012C6" w:rsidP="005012C6">
      <w:pPr>
        <w:jc w:val="center"/>
        <w:rPr>
          <w:rFonts w:ascii="Times New Roman" w:hAnsi="Times New Roman" w:cs="Times New Roman"/>
          <w:sz w:val="24"/>
          <w:szCs w:val="24"/>
        </w:rPr>
      </w:pPr>
    </w:p>
    <w:p w14:paraId="545AC22B" w14:textId="2060C229" w:rsidR="005012C6" w:rsidRDefault="005012C6" w:rsidP="005012C6">
      <w:pPr>
        <w:jc w:val="center"/>
        <w:rPr>
          <w:rFonts w:ascii="Times New Roman" w:hAnsi="Times New Roman" w:cs="Times New Roman"/>
          <w:sz w:val="24"/>
          <w:szCs w:val="24"/>
        </w:rPr>
      </w:pPr>
    </w:p>
    <w:p w14:paraId="498B285B" w14:textId="0457779D" w:rsidR="005012C6" w:rsidRDefault="005012C6" w:rsidP="005012C6">
      <w:pPr>
        <w:jc w:val="center"/>
        <w:rPr>
          <w:rFonts w:ascii="Times New Roman" w:hAnsi="Times New Roman" w:cs="Times New Roman"/>
          <w:sz w:val="24"/>
          <w:szCs w:val="24"/>
        </w:rPr>
      </w:pPr>
    </w:p>
    <w:p w14:paraId="3714854D" w14:textId="77777777" w:rsidR="005012C6" w:rsidRDefault="005012C6" w:rsidP="005012C6">
      <w:pPr>
        <w:jc w:val="center"/>
        <w:rPr>
          <w:rFonts w:ascii="Times New Roman" w:hAnsi="Times New Roman" w:cs="Times New Roman"/>
          <w:sz w:val="24"/>
          <w:szCs w:val="24"/>
        </w:rPr>
      </w:pPr>
    </w:p>
    <w:p w14:paraId="32B3D97A" w14:textId="1065E9C0" w:rsidR="005012C6" w:rsidRDefault="005012C6" w:rsidP="005012C6">
      <w:pPr>
        <w:jc w:val="center"/>
        <w:rPr>
          <w:rFonts w:ascii="Times New Roman" w:hAnsi="Times New Roman" w:cs="Times New Roman"/>
          <w:sz w:val="24"/>
          <w:szCs w:val="24"/>
        </w:rPr>
      </w:pPr>
    </w:p>
    <w:p w14:paraId="0F380FD5" w14:textId="48E86AD6" w:rsidR="005012C6" w:rsidRDefault="005012C6" w:rsidP="005012C6">
      <w:pPr>
        <w:jc w:val="center"/>
        <w:rPr>
          <w:rFonts w:ascii="Times New Roman" w:hAnsi="Times New Roman" w:cs="Times New Roman"/>
          <w:sz w:val="24"/>
          <w:szCs w:val="24"/>
        </w:rPr>
      </w:pPr>
    </w:p>
    <w:p w14:paraId="21A5C7F5" w14:textId="6ABFB1BA" w:rsidR="005012C6" w:rsidRDefault="005012C6" w:rsidP="005012C6">
      <w:pPr>
        <w:jc w:val="center"/>
        <w:rPr>
          <w:rFonts w:ascii="Times New Roman" w:hAnsi="Times New Roman" w:cs="Times New Roman"/>
          <w:sz w:val="24"/>
          <w:szCs w:val="24"/>
        </w:rPr>
      </w:pPr>
    </w:p>
    <w:p w14:paraId="1A8F7999" w14:textId="3F4270E8" w:rsidR="005012C6" w:rsidRDefault="005012C6" w:rsidP="005012C6">
      <w:pPr>
        <w:jc w:val="center"/>
        <w:rPr>
          <w:rFonts w:ascii="Times New Roman" w:hAnsi="Times New Roman" w:cs="Times New Roman"/>
          <w:sz w:val="24"/>
          <w:szCs w:val="24"/>
        </w:rPr>
      </w:pPr>
    </w:p>
    <w:p w14:paraId="52066AE9" w14:textId="30A338A2" w:rsidR="005012C6" w:rsidRDefault="005012C6" w:rsidP="005012C6">
      <w:pPr>
        <w:jc w:val="center"/>
        <w:rPr>
          <w:rFonts w:ascii="Times New Roman" w:hAnsi="Times New Roman" w:cs="Times New Roman"/>
          <w:sz w:val="24"/>
          <w:szCs w:val="24"/>
        </w:rPr>
      </w:pPr>
    </w:p>
    <w:p w14:paraId="4B589AAB" w14:textId="783786CD" w:rsidR="005012C6" w:rsidRDefault="003B5EB0"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47328" behindDoc="0" locked="0" layoutInCell="1" allowOverlap="1" wp14:anchorId="311CCE75" wp14:editId="4ECBEA9F">
                <wp:simplePos x="0" y="0"/>
                <wp:positionH relativeFrom="column">
                  <wp:posOffset>-56148</wp:posOffset>
                </wp:positionH>
                <wp:positionV relativeFrom="paragraph">
                  <wp:posOffset>103405</wp:posOffset>
                </wp:positionV>
                <wp:extent cx="6015789" cy="1852863"/>
                <wp:effectExtent l="0" t="0" r="0" b="0"/>
                <wp:wrapNone/>
                <wp:docPr id="1884452187" name="Text Box 2"/>
                <wp:cNvGraphicFramePr/>
                <a:graphic xmlns:a="http://schemas.openxmlformats.org/drawingml/2006/main">
                  <a:graphicData uri="http://schemas.microsoft.com/office/word/2010/wordprocessingShape">
                    <wps:wsp>
                      <wps:cNvSpPr txBox="1"/>
                      <wps:spPr>
                        <a:xfrm>
                          <a:off x="0" y="0"/>
                          <a:ext cx="6015789" cy="1852863"/>
                        </a:xfrm>
                        <a:prstGeom prst="rect">
                          <a:avLst/>
                        </a:prstGeom>
                        <a:noFill/>
                        <a:ln w="6350">
                          <a:noFill/>
                        </a:ln>
                      </wps:spPr>
                      <wps:txbx>
                        <w:txbxContent>
                          <w:p w14:paraId="11140A48" w14:textId="4B6DABF7" w:rsidR="003B5EB0" w:rsidRPr="00AC36DC" w:rsidRDefault="003B5EB0" w:rsidP="003B5EB0">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14</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hubbsi-M. polyporosus</w:t>
                            </w:r>
                            <w:r>
                              <w:rPr>
                                <w:rFonts w:ascii="Times New Roman" w:hAnsi="Times New Roman" w:cs="Times New Roman"/>
                                <w:color w:val="000000" w:themeColor="text1"/>
                                <w:sz w:val="20"/>
                                <w:szCs w:val="20"/>
                              </w:rPr>
                              <w:t xml:space="preserve"> based on 6,868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CCE75" id="_x0000_s1053" type="#_x0000_t202" style="position:absolute;left:0;text-align:left;margin-left:-4.4pt;margin-top:8.15pt;width:473.7pt;height:145.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" filled="f" stroked="f" strokeweight=".5pt">
                <v:textbox>
                  <w:txbxContent>
                    <w:p w14:paraId="11140A48" w14:textId="4B6DABF7" w:rsidR="003B5EB0" w:rsidRPr="00AC36DC" w:rsidRDefault="003B5EB0" w:rsidP="003B5EB0">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14</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hubbsi-M. polyporosus</w:t>
                      </w:r>
                      <w:r>
                        <w:rPr>
                          <w:rFonts w:ascii="Times New Roman" w:hAnsi="Times New Roman" w:cs="Times New Roman"/>
                          <w:color w:val="000000" w:themeColor="text1"/>
                          <w:sz w:val="20"/>
                          <w:szCs w:val="20"/>
                        </w:rPr>
                        <w:t xml:space="preserve"> based on 6,868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25FD12B2" w14:textId="77777777" w:rsidR="005012C6" w:rsidRDefault="005012C6" w:rsidP="005012C6">
      <w:pPr>
        <w:jc w:val="center"/>
        <w:rPr>
          <w:rFonts w:ascii="Times New Roman" w:hAnsi="Times New Roman" w:cs="Times New Roman"/>
          <w:sz w:val="24"/>
          <w:szCs w:val="24"/>
        </w:rPr>
      </w:pPr>
    </w:p>
    <w:p w14:paraId="6D88401A" w14:textId="77777777" w:rsidR="005012C6" w:rsidRDefault="005012C6" w:rsidP="005012C6">
      <w:pPr>
        <w:jc w:val="center"/>
        <w:rPr>
          <w:rFonts w:ascii="Times New Roman" w:hAnsi="Times New Roman" w:cs="Times New Roman"/>
          <w:sz w:val="24"/>
          <w:szCs w:val="24"/>
        </w:rPr>
      </w:pPr>
    </w:p>
    <w:p w14:paraId="49252731" w14:textId="77777777" w:rsidR="005012C6" w:rsidRDefault="005012C6" w:rsidP="005012C6">
      <w:pPr>
        <w:jc w:val="center"/>
        <w:rPr>
          <w:rFonts w:ascii="Times New Roman" w:hAnsi="Times New Roman" w:cs="Times New Roman"/>
          <w:sz w:val="24"/>
          <w:szCs w:val="24"/>
        </w:rPr>
      </w:pPr>
    </w:p>
    <w:p w14:paraId="63760B3E" w14:textId="77777777" w:rsidR="005012C6" w:rsidRDefault="005012C6" w:rsidP="005012C6">
      <w:pPr>
        <w:jc w:val="center"/>
        <w:rPr>
          <w:rFonts w:ascii="Times New Roman" w:hAnsi="Times New Roman" w:cs="Times New Roman"/>
          <w:sz w:val="24"/>
          <w:szCs w:val="24"/>
        </w:rPr>
      </w:pPr>
    </w:p>
    <w:p w14:paraId="31A1320C" w14:textId="77777777" w:rsidR="005012C6" w:rsidRDefault="005012C6" w:rsidP="005012C6">
      <w:pPr>
        <w:jc w:val="center"/>
        <w:rPr>
          <w:rFonts w:ascii="Times New Roman" w:hAnsi="Times New Roman" w:cs="Times New Roman"/>
          <w:sz w:val="24"/>
          <w:szCs w:val="24"/>
        </w:rPr>
      </w:pPr>
    </w:p>
    <w:p w14:paraId="6400A0A3" w14:textId="77777777" w:rsidR="005012C6" w:rsidRDefault="005012C6" w:rsidP="005012C6">
      <w:pPr>
        <w:jc w:val="center"/>
        <w:rPr>
          <w:rFonts w:ascii="Times New Roman" w:hAnsi="Times New Roman" w:cs="Times New Roman"/>
          <w:sz w:val="24"/>
          <w:szCs w:val="24"/>
        </w:rPr>
      </w:pPr>
    </w:p>
    <w:p w14:paraId="5CE09D50" w14:textId="3A7B5D13" w:rsidR="005012C6" w:rsidRDefault="00191A1B" w:rsidP="005012C6">
      <w:pPr>
        <w:jc w:val="center"/>
        <w:rPr>
          <w:rFonts w:ascii="Times New Roman" w:hAnsi="Times New Roman" w:cs="Times New Roman"/>
          <w:sz w:val="24"/>
          <w:szCs w:val="24"/>
        </w:rPr>
      </w:pPr>
      <w:r w:rsidRPr="00191A1B">
        <w:rPr>
          <w:rFonts w:ascii="Times New Roman" w:hAnsi="Times New Roman" w:cs="Times New Roman"/>
          <w:noProof/>
          <w:sz w:val="24"/>
          <w:szCs w:val="24"/>
        </w:rPr>
        <w:lastRenderedPageBreak/>
        <w:drawing>
          <wp:anchor distT="0" distB="0" distL="114300" distR="114300" simplePos="0" relativeHeight="251751424" behindDoc="0" locked="0" layoutInCell="1" allowOverlap="1" wp14:anchorId="79312BB0" wp14:editId="00843D52">
            <wp:simplePos x="0" y="0"/>
            <wp:positionH relativeFrom="column">
              <wp:posOffset>256882</wp:posOffset>
            </wp:positionH>
            <wp:positionV relativeFrom="paragraph">
              <wp:posOffset>20320</wp:posOffset>
            </wp:positionV>
            <wp:extent cx="5462954" cy="6321502"/>
            <wp:effectExtent l="0" t="0" r="0" b="3175"/>
            <wp:wrapNone/>
            <wp:docPr id="18951868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8682" name="Picture 1" descr="A screenshot of a computer screen&#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62954" cy="6321502"/>
                    </a:xfrm>
                    <a:prstGeom prst="rect">
                      <a:avLst/>
                    </a:prstGeom>
                  </pic:spPr>
                </pic:pic>
              </a:graphicData>
            </a:graphic>
            <wp14:sizeRelH relativeFrom="page">
              <wp14:pctWidth>0</wp14:pctWidth>
            </wp14:sizeRelH>
            <wp14:sizeRelV relativeFrom="page">
              <wp14:pctHeight>0</wp14:pctHeight>
            </wp14:sizeRelV>
          </wp:anchor>
        </w:drawing>
      </w:r>
    </w:p>
    <w:p w14:paraId="0A2E6533" w14:textId="234573E2" w:rsidR="005012C6" w:rsidRDefault="005012C6" w:rsidP="005012C6">
      <w:pPr>
        <w:jc w:val="center"/>
        <w:rPr>
          <w:rFonts w:ascii="Times New Roman" w:hAnsi="Times New Roman" w:cs="Times New Roman"/>
          <w:sz w:val="24"/>
          <w:szCs w:val="24"/>
        </w:rPr>
      </w:pPr>
    </w:p>
    <w:p w14:paraId="12200A49" w14:textId="1E9F8D26" w:rsidR="005012C6" w:rsidRDefault="005012C6" w:rsidP="005012C6">
      <w:pPr>
        <w:jc w:val="center"/>
        <w:rPr>
          <w:rFonts w:ascii="Times New Roman" w:hAnsi="Times New Roman" w:cs="Times New Roman"/>
          <w:sz w:val="24"/>
          <w:szCs w:val="24"/>
        </w:rPr>
      </w:pPr>
    </w:p>
    <w:p w14:paraId="4FE39E05" w14:textId="664C6945" w:rsidR="005012C6" w:rsidRDefault="005012C6" w:rsidP="005012C6">
      <w:pPr>
        <w:jc w:val="center"/>
        <w:rPr>
          <w:rFonts w:ascii="Times New Roman" w:hAnsi="Times New Roman" w:cs="Times New Roman"/>
          <w:sz w:val="24"/>
          <w:szCs w:val="24"/>
        </w:rPr>
      </w:pPr>
    </w:p>
    <w:p w14:paraId="1D06CC3D" w14:textId="77777777" w:rsidR="005012C6" w:rsidRDefault="005012C6" w:rsidP="005012C6">
      <w:pPr>
        <w:jc w:val="center"/>
        <w:rPr>
          <w:rFonts w:ascii="Times New Roman" w:hAnsi="Times New Roman" w:cs="Times New Roman"/>
          <w:sz w:val="24"/>
          <w:szCs w:val="24"/>
        </w:rPr>
      </w:pPr>
    </w:p>
    <w:p w14:paraId="33D67B8B" w14:textId="77777777" w:rsidR="005012C6" w:rsidRDefault="005012C6" w:rsidP="005012C6">
      <w:pPr>
        <w:jc w:val="center"/>
        <w:rPr>
          <w:rFonts w:ascii="Times New Roman" w:hAnsi="Times New Roman" w:cs="Times New Roman"/>
          <w:sz w:val="24"/>
          <w:szCs w:val="24"/>
        </w:rPr>
      </w:pPr>
    </w:p>
    <w:p w14:paraId="43E46601" w14:textId="77777777" w:rsidR="005012C6" w:rsidRDefault="005012C6" w:rsidP="005012C6">
      <w:pPr>
        <w:jc w:val="center"/>
        <w:rPr>
          <w:rFonts w:ascii="Times New Roman" w:hAnsi="Times New Roman" w:cs="Times New Roman"/>
          <w:sz w:val="24"/>
          <w:szCs w:val="24"/>
        </w:rPr>
      </w:pPr>
    </w:p>
    <w:p w14:paraId="66191F6C" w14:textId="77777777" w:rsidR="005012C6" w:rsidRDefault="005012C6" w:rsidP="005012C6">
      <w:pPr>
        <w:jc w:val="center"/>
        <w:rPr>
          <w:rFonts w:ascii="Times New Roman" w:hAnsi="Times New Roman" w:cs="Times New Roman"/>
          <w:sz w:val="24"/>
          <w:szCs w:val="24"/>
        </w:rPr>
      </w:pPr>
    </w:p>
    <w:p w14:paraId="1B1280A1" w14:textId="77777777" w:rsidR="005012C6" w:rsidRDefault="005012C6" w:rsidP="005012C6">
      <w:pPr>
        <w:jc w:val="center"/>
        <w:rPr>
          <w:rFonts w:ascii="Times New Roman" w:hAnsi="Times New Roman" w:cs="Times New Roman"/>
          <w:sz w:val="24"/>
          <w:szCs w:val="24"/>
        </w:rPr>
      </w:pPr>
    </w:p>
    <w:p w14:paraId="592FF94C" w14:textId="77777777" w:rsidR="005012C6" w:rsidRDefault="005012C6" w:rsidP="005012C6">
      <w:pPr>
        <w:jc w:val="center"/>
        <w:rPr>
          <w:rFonts w:ascii="Times New Roman" w:hAnsi="Times New Roman" w:cs="Times New Roman"/>
          <w:sz w:val="24"/>
          <w:szCs w:val="24"/>
        </w:rPr>
      </w:pPr>
    </w:p>
    <w:p w14:paraId="46D55C4A" w14:textId="77777777" w:rsidR="005012C6" w:rsidRDefault="005012C6" w:rsidP="005012C6">
      <w:pPr>
        <w:jc w:val="center"/>
        <w:rPr>
          <w:rFonts w:ascii="Times New Roman" w:hAnsi="Times New Roman" w:cs="Times New Roman"/>
          <w:sz w:val="24"/>
          <w:szCs w:val="24"/>
        </w:rPr>
      </w:pPr>
    </w:p>
    <w:p w14:paraId="49645A6D" w14:textId="77777777" w:rsidR="005012C6" w:rsidRDefault="005012C6" w:rsidP="005012C6">
      <w:pPr>
        <w:jc w:val="center"/>
        <w:rPr>
          <w:rFonts w:ascii="Times New Roman" w:hAnsi="Times New Roman" w:cs="Times New Roman"/>
          <w:sz w:val="24"/>
          <w:szCs w:val="24"/>
        </w:rPr>
      </w:pPr>
    </w:p>
    <w:p w14:paraId="27F996D4" w14:textId="77777777" w:rsidR="005012C6" w:rsidRDefault="005012C6" w:rsidP="005012C6">
      <w:pPr>
        <w:jc w:val="center"/>
        <w:rPr>
          <w:rFonts w:ascii="Times New Roman" w:hAnsi="Times New Roman" w:cs="Times New Roman"/>
          <w:sz w:val="24"/>
          <w:szCs w:val="24"/>
        </w:rPr>
      </w:pPr>
    </w:p>
    <w:p w14:paraId="25F42420" w14:textId="77777777" w:rsidR="005012C6" w:rsidRDefault="005012C6" w:rsidP="005012C6">
      <w:pPr>
        <w:jc w:val="center"/>
        <w:rPr>
          <w:rFonts w:ascii="Times New Roman" w:hAnsi="Times New Roman" w:cs="Times New Roman"/>
          <w:sz w:val="24"/>
          <w:szCs w:val="24"/>
        </w:rPr>
      </w:pPr>
    </w:p>
    <w:p w14:paraId="75D9C0F1" w14:textId="77777777" w:rsidR="005012C6" w:rsidRDefault="005012C6" w:rsidP="005012C6">
      <w:pPr>
        <w:jc w:val="center"/>
        <w:rPr>
          <w:rFonts w:ascii="Times New Roman" w:hAnsi="Times New Roman" w:cs="Times New Roman"/>
          <w:sz w:val="24"/>
          <w:szCs w:val="24"/>
        </w:rPr>
      </w:pPr>
    </w:p>
    <w:p w14:paraId="520C9B2A" w14:textId="77777777" w:rsidR="005012C6" w:rsidRDefault="005012C6" w:rsidP="005012C6">
      <w:pPr>
        <w:jc w:val="center"/>
        <w:rPr>
          <w:rFonts w:ascii="Times New Roman" w:hAnsi="Times New Roman" w:cs="Times New Roman"/>
          <w:sz w:val="24"/>
          <w:szCs w:val="24"/>
        </w:rPr>
      </w:pPr>
    </w:p>
    <w:p w14:paraId="2B27AE9B" w14:textId="77777777" w:rsidR="005012C6" w:rsidRDefault="005012C6" w:rsidP="005012C6">
      <w:pPr>
        <w:jc w:val="center"/>
        <w:rPr>
          <w:rFonts w:ascii="Times New Roman" w:hAnsi="Times New Roman" w:cs="Times New Roman"/>
          <w:sz w:val="24"/>
          <w:szCs w:val="24"/>
        </w:rPr>
      </w:pPr>
    </w:p>
    <w:p w14:paraId="4DBB73E7" w14:textId="77777777" w:rsidR="005012C6" w:rsidRDefault="005012C6" w:rsidP="005012C6">
      <w:pPr>
        <w:jc w:val="center"/>
        <w:rPr>
          <w:rFonts w:ascii="Times New Roman" w:hAnsi="Times New Roman" w:cs="Times New Roman"/>
          <w:sz w:val="24"/>
          <w:szCs w:val="24"/>
        </w:rPr>
      </w:pPr>
    </w:p>
    <w:p w14:paraId="4353E58D" w14:textId="77777777" w:rsidR="005012C6" w:rsidRDefault="005012C6" w:rsidP="005012C6">
      <w:pPr>
        <w:jc w:val="center"/>
        <w:rPr>
          <w:rFonts w:ascii="Times New Roman" w:hAnsi="Times New Roman" w:cs="Times New Roman"/>
          <w:sz w:val="24"/>
          <w:szCs w:val="24"/>
        </w:rPr>
      </w:pPr>
    </w:p>
    <w:p w14:paraId="273AAEC6" w14:textId="77777777" w:rsidR="005012C6" w:rsidRDefault="005012C6" w:rsidP="005012C6">
      <w:pPr>
        <w:jc w:val="center"/>
        <w:rPr>
          <w:rFonts w:ascii="Times New Roman" w:hAnsi="Times New Roman" w:cs="Times New Roman"/>
          <w:sz w:val="24"/>
          <w:szCs w:val="24"/>
        </w:rPr>
      </w:pPr>
    </w:p>
    <w:p w14:paraId="49296DEE" w14:textId="11A0D038" w:rsidR="00ED3043" w:rsidRDefault="00ED3043" w:rsidP="005012C6">
      <w:pPr>
        <w:jc w:val="center"/>
        <w:rPr>
          <w:rFonts w:ascii="Times New Roman" w:hAnsi="Times New Roman" w:cs="Times New Roman"/>
          <w:sz w:val="24"/>
          <w:szCs w:val="24"/>
        </w:rPr>
      </w:pPr>
    </w:p>
    <w:p w14:paraId="5079BF2A" w14:textId="357C610A" w:rsidR="00ED3043" w:rsidRDefault="00ED3043"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50400" behindDoc="0" locked="0" layoutInCell="1" allowOverlap="1" wp14:anchorId="0DF382E9" wp14:editId="6DA12FDA">
                <wp:simplePos x="0" y="0"/>
                <wp:positionH relativeFrom="column">
                  <wp:posOffset>0</wp:posOffset>
                </wp:positionH>
                <wp:positionV relativeFrom="paragraph">
                  <wp:posOffset>238010</wp:posOffset>
                </wp:positionV>
                <wp:extent cx="6024245" cy="1693545"/>
                <wp:effectExtent l="0" t="0" r="0" b="0"/>
                <wp:wrapNone/>
                <wp:docPr id="1517375622" name="Text Box 2"/>
                <wp:cNvGraphicFramePr/>
                <a:graphic xmlns:a="http://schemas.openxmlformats.org/drawingml/2006/main">
                  <a:graphicData uri="http://schemas.microsoft.com/office/word/2010/wordprocessingShape">
                    <wps:wsp>
                      <wps:cNvSpPr txBox="1"/>
                      <wps:spPr>
                        <a:xfrm>
                          <a:off x="0" y="0"/>
                          <a:ext cx="6024245" cy="1693545"/>
                        </a:xfrm>
                        <a:prstGeom prst="rect">
                          <a:avLst/>
                        </a:prstGeom>
                        <a:noFill/>
                        <a:ln w="6350">
                          <a:noFill/>
                        </a:ln>
                      </wps:spPr>
                      <wps:txbx>
                        <w:txbxContent>
                          <w:p w14:paraId="6B6324CC" w14:textId="5DF55D3C" w:rsidR="00ED3043" w:rsidRPr="00AC36DC" w:rsidRDefault="00ED3043" w:rsidP="00ED3043">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15</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sidR="002C42E4">
                              <w:rPr>
                                <w:rFonts w:ascii="Times New Roman" w:hAnsi="Times New Roman" w:cs="Times New Roman"/>
                                <w:i/>
                                <w:iCs/>
                                <w:color w:val="000000" w:themeColor="text1"/>
                                <w:sz w:val="20"/>
                                <w:szCs w:val="20"/>
                              </w:rPr>
                              <w:t>mexicanus</w:t>
                            </w:r>
                            <w:r>
                              <w:rPr>
                                <w:rFonts w:ascii="Times New Roman" w:hAnsi="Times New Roman" w:cs="Times New Roman"/>
                                <w:color w:val="000000" w:themeColor="text1"/>
                                <w:sz w:val="20"/>
                                <w:szCs w:val="20"/>
                              </w:rPr>
                              <w:t xml:space="preserve"> based on </w:t>
                            </w:r>
                            <w:r w:rsidR="002C42E4">
                              <w:rPr>
                                <w:rFonts w:ascii="Times New Roman" w:hAnsi="Times New Roman" w:cs="Times New Roman"/>
                                <w:color w:val="000000" w:themeColor="text1"/>
                                <w:sz w:val="20"/>
                                <w:szCs w:val="20"/>
                              </w:rPr>
                              <w:t>5,374</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82E9" id="_x0000_s1054" type="#_x0000_t202" style="position:absolute;left:0;text-align:left;margin-left:0;margin-top:18.75pt;width:474.35pt;height:133.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" filled="f" stroked="f" strokeweight=".5pt">
                <v:textbox>
                  <w:txbxContent>
                    <w:p w14:paraId="6B6324CC" w14:textId="5DF55D3C" w:rsidR="00ED3043" w:rsidRPr="00AC36DC" w:rsidRDefault="00ED3043" w:rsidP="00ED3043">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w:t>
                      </w:r>
                      <w:r>
                        <w:rPr>
                          <w:rFonts w:ascii="Times New Roman" w:hAnsi="Times New Roman" w:cs="Times New Roman"/>
                          <w:b/>
                          <w:bCs/>
                          <w:color w:val="000000" w:themeColor="text1"/>
                          <w:sz w:val="20"/>
                          <w:szCs w:val="20"/>
                        </w:rPr>
                        <w:t>5</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sidR="002C42E4">
                        <w:rPr>
                          <w:rFonts w:ascii="Times New Roman" w:hAnsi="Times New Roman" w:cs="Times New Roman"/>
                          <w:i/>
                          <w:iCs/>
                          <w:color w:val="000000" w:themeColor="text1"/>
                          <w:sz w:val="20"/>
                          <w:szCs w:val="20"/>
                        </w:rPr>
                        <w:t>mexicanus</w:t>
                      </w:r>
                      <w:r>
                        <w:rPr>
                          <w:rFonts w:ascii="Times New Roman" w:hAnsi="Times New Roman" w:cs="Times New Roman"/>
                          <w:color w:val="000000" w:themeColor="text1"/>
                          <w:sz w:val="20"/>
                          <w:szCs w:val="20"/>
                        </w:rPr>
                        <w:t xml:space="preserve"> based on </w:t>
                      </w:r>
                      <w:r w:rsidR="002C42E4">
                        <w:rPr>
                          <w:rFonts w:ascii="Times New Roman" w:hAnsi="Times New Roman" w:cs="Times New Roman"/>
                          <w:color w:val="000000" w:themeColor="text1"/>
                          <w:sz w:val="20"/>
                          <w:szCs w:val="20"/>
                        </w:rPr>
                        <w:t>5,374</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5A95DED5" w14:textId="3098EC91" w:rsidR="00ED3043" w:rsidRDefault="00ED3043" w:rsidP="005012C6">
      <w:pPr>
        <w:jc w:val="center"/>
        <w:rPr>
          <w:rFonts w:ascii="Times New Roman" w:hAnsi="Times New Roman" w:cs="Times New Roman"/>
          <w:sz w:val="24"/>
          <w:szCs w:val="24"/>
        </w:rPr>
      </w:pPr>
    </w:p>
    <w:p w14:paraId="065EB290" w14:textId="5306B149" w:rsidR="00ED3043" w:rsidRDefault="00ED3043" w:rsidP="005012C6">
      <w:pPr>
        <w:jc w:val="center"/>
        <w:rPr>
          <w:rFonts w:ascii="Times New Roman" w:hAnsi="Times New Roman" w:cs="Times New Roman"/>
          <w:sz w:val="24"/>
          <w:szCs w:val="24"/>
        </w:rPr>
      </w:pPr>
    </w:p>
    <w:p w14:paraId="449F078C" w14:textId="206E2C3C" w:rsidR="00ED3043" w:rsidRDefault="00ED3043" w:rsidP="005012C6">
      <w:pPr>
        <w:jc w:val="center"/>
        <w:rPr>
          <w:rFonts w:ascii="Times New Roman" w:hAnsi="Times New Roman" w:cs="Times New Roman"/>
          <w:sz w:val="24"/>
          <w:szCs w:val="24"/>
        </w:rPr>
      </w:pPr>
    </w:p>
    <w:p w14:paraId="7D502EF0" w14:textId="6910D66D" w:rsidR="00ED3043" w:rsidRDefault="00ED3043" w:rsidP="005012C6">
      <w:pPr>
        <w:jc w:val="center"/>
        <w:rPr>
          <w:rFonts w:ascii="Times New Roman" w:hAnsi="Times New Roman" w:cs="Times New Roman"/>
          <w:sz w:val="24"/>
          <w:szCs w:val="24"/>
        </w:rPr>
      </w:pPr>
    </w:p>
    <w:p w14:paraId="287F66D1" w14:textId="7ADDD511" w:rsidR="00ED3043" w:rsidRDefault="00ED3043" w:rsidP="005012C6">
      <w:pPr>
        <w:jc w:val="center"/>
        <w:rPr>
          <w:rFonts w:ascii="Times New Roman" w:hAnsi="Times New Roman" w:cs="Times New Roman"/>
          <w:sz w:val="24"/>
          <w:szCs w:val="24"/>
        </w:rPr>
      </w:pPr>
    </w:p>
    <w:p w14:paraId="7CAAC8D9" w14:textId="67E2514C" w:rsidR="00ED3043" w:rsidRDefault="00ED3043" w:rsidP="005012C6">
      <w:pPr>
        <w:jc w:val="center"/>
        <w:rPr>
          <w:rFonts w:ascii="Times New Roman" w:hAnsi="Times New Roman" w:cs="Times New Roman"/>
          <w:sz w:val="24"/>
          <w:szCs w:val="24"/>
        </w:rPr>
      </w:pPr>
    </w:p>
    <w:p w14:paraId="68F847EA" w14:textId="5F609EB8" w:rsidR="00ED3043" w:rsidRDefault="00EA4BBE" w:rsidP="005012C6">
      <w:pPr>
        <w:jc w:val="center"/>
        <w:rPr>
          <w:rFonts w:ascii="Times New Roman" w:hAnsi="Times New Roman" w:cs="Times New Roman"/>
          <w:sz w:val="24"/>
          <w:szCs w:val="24"/>
        </w:rPr>
      </w:pPr>
      <w:r w:rsidRPr="00EA4BBE">
        <w:rPr>
          <w:rFonts w:ascii="Times New Roman" w:hAnsi="Times New Roman" w:cs="Times New Roman"/>
          <w:noProof/>
          <w:sz w:val="24"/>
          <w:szCs w:val="24"/>
        </w:rPr>
        <w:lastRenderedPageBreak/>
        <w:drawing>
          <wp:anchor distT="0" distB="0" distL="114300" distR="114300" simplePos="0" relativeHeight="251754496" behindDoc="0" locked="0" layoutInCell="1" allowOverlap="1" wp14:anchorId="7B0338AC" wp14:editId="2E84C957">
            <wp:simplePos x="0" y="0"/>
            <wp:positionH relativeFrom="column">
              <wp:posOffset>316035</wp:posOffset>
            </wp:positionH>
            <wp:positionV relativeFrom="paragraph">
              <wp:posOffset>79981</wp:posOffset>
            </wp:positionV>
            <wp:extent cx="5380893" cy="6227119"/>
            <wp:effectExtent l="0" t="0" r="4445" b="0"/>
            <wp:wrapNone/>
            <wp:docPr id="4801085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08542" name="Picture 1" descr="A screenshot of a computer&#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80893" cy="6227119"/>
                    </a:xfrm>
                    <a:prstGeom prst="rect">
                      <a:avLst/>
                    </a:prstGeom>
                  </pic:spPr>
                </pic:pic>
              </a:graphicData>
            </a:graphic>
            <wp14:sizeRelH relativeFrom="page">
              <wp14:pctWidth>0</wp14:pctWidth>
            </wp14:sizeRelH>
            <wp14:sizeRelV relativeFrom="page">
              <wp14:pctHeight>0</wp14:pctHeight>
            </wp14:sizeRelV>
          </wp:anchor>
        </w:drawing>
      </w:r>
    </w:p>
    <w:p w14:paraId="494A3064" w14:textId="20E3D49F" w:rsidR="00ED3043" w:rsidRDefault="00ED3043" w:rsidP="005012C6">
      <w:pPr>
        <w:jc w:val="center"/>
        <w:rPr>
          <w:rFonts w:ascii="Times New Roman" w:hAnsi="Times New Roman" w:cs="Times New Roman"/>
          <w:sz w:val="24"/>
          <w:szCs w:val="24"/>
        </w:rPr>
      </w:pPr>
    </w:p>
    <w:p w14:paraId="37198BFE" w14:textId="650E83FF" w:rsidR="00ED3043" w:rsidRDefault="00ED3043" w:rsidP="005012C6">
      <w:pPr>
        <w:jc w:val="center"/>
        <w:rPr>
          <w:rFonts w:ascii="Times New Roman" w:hAnsi="Times New Roman" w:cs="Times New Roman"/>
          <w:sz w:val="24"/>
          <w:szCs w:val="24"/>
        </w:rPr>
      </w:pPr>
    </w:p>
    <w:p w14:paraId="5C950AC1" w14:textId="5EB064D9" w:rsidR="00ED3043" w:rsidRDefault="00ED3043" w:rsidP="005012C6">
      <w:pPr>
        <w:jc w:val="center"/>
        <w:rPr>
          <w:rFonts w:ascii="Times New Roman" w:hAnsi="Times New Roman" w:cs="Times New Roman"/>
          <w:sz w:val="24"/>
          <w:szCs w:val="24"/>
        </w:rPr>
      </w:pPr>
    </w:p>
    <w:p w14:paraId="5B4235FA" w14:textId="41727B31" w:rsidR="00ED3043" w:rsidRDefault="00ED3043" w:rsidP="005012C6">
      <w:pPr>
        <w:jc w:val="center"/>
        <w:rPr>
          <w:rFonts w:ascii="Times New Roman" w:hAnsi="Times New Roman" w:cs="Times New Roman"/>
          <w:sz w:val="24"/>
          <w:szCs w:val="24"/>
        </w:rPr>
      </w:pPr>
    </w:p>
    <w:p w14:paraId="087AE5C9" w14:textId="09D3BD14" w:rsidR="00ED3043" w:rsidRDefault="00ED3043" w:rsidP="005012C6">
      <w:pPr>
        <w:jc w:val="center"/>
        <w:rPr>
          <w:rFonts w:ascii="Times New Roman" w:hAnsi="Times New Roman" w:cs="Times New Roman"/>
          <w:sz w:val="24"/>
          <w:szCs w:val="24"/>
        </w:rPr>
      </w:pPr>
    </w:p>
    <w:p w14:paraId="1229DF2B" w14:textId="427768CE" w:rsidR="00ED3043" w:rsidRDefault="00ED3043" w:rsidP="005012C6">
      <w:pPr>
        <w:jc w:val="center"/>
        <w:rPr>
          <w:rFonts w:ascii="Times New Roman" w:hAnsi="Times New Roman" w:cs="Times New Roman"/>
          <w:sz w:val="24"/>
          <w:szCs w:val="24"/>
        </w:rPr>
      </w:pPr>
    </w:p>
    <w:p w14:paraId="38E67D21" w14:textId="2C98353E" w:rsidR="005012C6" w:rsidRDefault="005012C6" w:rsidP="005012C6">
      <w:pPr>
        <w:jc w:val="center"/>
        <w:rPr>
          <w:rFonts w:ascii="Times New Roman" w:hAnsi="Times New Roman" w:cs="Times New Roman"/>
          <w:sz w:val="24"/>
          <w:szCs w:val="24"/>
        </w:rPr>
      </w:pPr>
    </w:p>
    <w:p w14:paraId="2F095A8F" w14:textId="377A6D5B" w:rsidR="005012C6" w:rsidRDefault="005012C6" w:rsidP="005012C6">
      <w:pPr>
        <w:jc w:val="center"/>
        <w:rPr>
          <w:rFonts w:ascii="Times New Roman" w:hAnsi="Times New Roman" w:cs="Times New Roman"/>
          <w:sz w:val="24"/>
          <w:szCs w:val="24"/>
        </w:rPr>
      </w:pPr>
    </w:p>
    <w:p w14:paraId="084613D1" w14:textId="7BAD5DCA" w:rsidR="005012C6" w:rsidRDefault="005012C6" w:rsidP="005012C6">
      <w:pPr>
        <w:jc w:val="center"/>
        <w:rPr>
          <w:rFonts w:ascii="Times New Roman" w:hAnsi="Times New Roman" w:cs="Times New Roman"/>
          <w:sz w:val="24"/>
          <w:szCs w:val="24"/>
        </w:rPr>
      </w:pPr>
    </w:p>
    <w:p w14:paraId="726F4289" w14:textId="4BA618EF" w:rsidR="00EA4BBE" w:rsidRDefault="00EA4BBE" w:rsidP="005012C6">
      <w:pPr>
        <w:jc w:val="center"/>
        <w:rPr>
          <w:rFonts w:ascii="Times New Roman" w:hAnsi="Times New Roman" w:cs="Times New Roman"/>
          <w:sz w:val="24"/>
          <w:szCs w:val="24"/>
        </w:rPr>
      </w:pPr>
    </w:p>
    <w:p w14:paraId="65FC7115" w14:textId="2F8604B8" w:rsidR="00EA4BBE" w:rsidRDefault="00EA4BBE" w:rsidP="005012C6">
      <w:pPr>
        <w:jc w:val="center"/>
        <w:rPr>
          <w:rFonts w:ascii="Times New Roman" w:hAnsi="Times New Roman" w:cs="Times New Roman"/>
          <w:sz w:val="24"/>
          <w:szCs w:val="24"/>
        </w:rPr>
      </w:pPr>
    </w:p>
    <w:p w14:paraId="13C8ADFB" w14:textId="55E22A8E" w:rsidR="00EA4BBE" w:rsidRDefault="00EA4BBE" w:rsidP="005012C6">
      <w:pPr>
        <w:jc w:val="center"/>
        <w:rPr>
          <w:rFonts w:ascii="Times New Roman" w:hAnsi="Times New Roman" w:cs="Times New Roman"/>
          <w:sz w:val="24"/>
          <w:szCs w:val="24"/>
        </w:rPr>
      </w:pPr>
    </w:p>
    <w:p w14:paraId="397054BA" w14:textId="2F725892" w:rsidR="00EA4BBE" w:rsidRDefault="00EA4BBE" w:rsidP="005012C6">
      <w:pPr>
        <w:jc w:val="center"/>
        <w:rPr>
          <w:rFonts w:ascii="Times New Roman" w:hAnsi="Times New Roman" w:cs="Times New Roman"/>
          <w:sz w:val="24"/>
          <w:szCs w:val="24"/>
        </w:rPr>
      </w:pPr>
    </w:p>
    <w:p w14:paraId="3917C55C" w14:textId="304A4F32" w:rsidR="00EA4BBE" w:rsidRDefault="00EA4BBE" w:rsidP="005012C6">
      <w:pPr>
        <w:jc w:val="center"/>
        <w:rPr>
          <w:rFonts w:ascii="Times New Roman" w:hAnsi="Times New Roman" w:cs="Times New Roman"/>
          <w:sz w:val="24"/>
          <w:szCs w:val="24"/>
        </w:rPr>
      </w:pPr>
    </w:p>
    <w:p w14:paraId="401CC206" w14:textId="5D65D2D0" w:rsidR="00EA4BBE" w:rsidRDefault="00EA4BBE" w:rsidP="005012C6">
      <w:pPr>
        <w:jc w:val="center"/>
        <w:rPr>
          <w:rFonts w:ascii="Times New Roman" w:hAnsi="Times New Roman" w:cs="Times New Roman"/>
          <w:sz w:val="24"/>
          <w:szCs w:val="24"/>
        </w:rPr>
      </w:pPr>
    </w:p>
    <w:p w14:paraId="4ABC3395" w14:textId="05D4E7AA" w:rsidR="00EA4BBE" w:rsidRDefault="00EA4BBE" w:rsidP="005012C6">
      <w:pPr>
        <w:jc w:val="center"/>
        <w:rPr>
          <w:rFonts w:ascii="Times New Roman" w:hAnsi="Times New Roman" w:cs="Times New Roman"/>
          <w:sz w:val="24"/>
          <w:szCs w:val="24"/>
        </w:rPr>
      </w:pPr>
    </w:p>
    <w:p w14:paraId="5AC7CEA3" w14:textId="01797B46" w:rsidR="00EA4BBE" w:rsidRDefault="00EA4BBE" w:rsidP="005012C6">
      <w:pPr>
        <w:jc w:val="center"/>
        <w:rPr>
          <w:rFonts w:ascii="Times New Roman" w:hAnsi="Times New Roman" w:cs="Times New Roman"/>
          <w:sz w:val="24"/>
          <w:szCs w:val="24"/>
        </w:rPr>
      </w:pPr>
    </w:p>
    <w:p w14:paraId="7E117D1F" w14:textId="6E01F209" w:rsidR="00EA4BBE" w:rsidRDefault="00EA4BBE" w:rsidP="005012C6">
      <w:pPr>
        <w:jc w:val="center"/>
        <w:rPr>
          <w:rFonts w:ascii="Times New Roman" w:hAnsi="Times New Roman" w:cs="Times New Roman"/>
          <w:sz w:val="24"/>
          <w:szCs w:val="24"/>
        </w:rPr>
      </w:pPr>
    </w:p>
    <w:p w14:paraId="3820905C" w14:textId="78157D89" w:rsidR="00EA4BBE" w:rsidRDefault="00EA4BBE" w:rsidP="005012C6">
      <w:pPr>
        <w:jc w:val="center"/>
        <w:rPr>
          <w:rFonts w:ascii="Times New Roman" w:hAnsi="Times New Roman" w:cs="Times New Roman"/>
          <w:sz w:val="24"/>
          <w:szCs w:val="24"/>
        </w:rPr>
      </w:pPr>
    </w:p>
    <w:p w14:paraId="715EBF76" w14:textId="386EA8FD" w:rsidR="00EA4BBE" w:rsidRDefault="00EA4BBE" w:rsidP="005012C6">
      <w:pPr>
        <w:jc w:val="center"/>
        <w:rPr>
          <w:rFonts w:ascii="Times New Roman" w:hAnsi="Times New Roman" w:cs="Times New Roman"/>
          <w:sz w:val="24"/>
          <w:szCs w:val="24"/>
        </w:rPr>
      </w:pPr>
    </w:p>
    <w:p w14:paraId="7868675F" w14:textId="0855C8D5" w:rsidR="00EA4BBE" w:rsidRDefault="00EA4BBE"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53472" behindDoc="0" locked="0" layoutInCell="1" allowOverlap="1" wp14:anchorId="783CFCBD" wp14:editId="6181FAA8">
                <wp:simplePos x="0" y="0"/>
                <wp:positionH relativeFrom="column">
                  <wp:posOffset>0</wp:posOffset>
                </wp:positionH>
                <wp:positionV relativeFrom="paragraph">
                  <wp:posOffset>199683</wp:posOffset>
                </wp:positionV>
                <wp:extent cx="6024245" cy="1693545"/>
                <wp:effectExtent l="0" t="0" r="0" b="0"/>
                <wp:wrapNone/>
                <wp:docPr id="795846876" name="Text Box 2"/>
                <wp:cNvGraphicFramePr/>
                <a:graphic xmlns:a="http://schemas.openxmlformats.org/drawingml/2006/main">
                  <a:graphicData uri="http://schemas.microsoft.com/office/word/2010/wordprocessingShape">
                    <wps:wsp>
                      <wps:cNvSpPr txBox="1"/>
                      <wps:spPr>
                        <a:xfrm>
                          <a:off x="0" y="0"/>
                          <a:ext cx="6024245" cy="1693545"/>
                        </a:xfrm>
                        <a:prstGeom prst="rect">
                          <a:avLst/>
                        </a:prstGeom>
                        <a:noFill/>
                        <a:ln w="6350">
                          <a:noFill/>
                        </a:ln>
                      </wps:spPr>
                      <wps:txbx>
                        <w:txbxContent>
                          <w:p w14:paraId="18545CE3" w14:textId="15CBCF99" w:rsidR="00EA4BBE" w:rsidRPr="00AC36DC" w:rsidRDefault="00EA4BBE" w:rsidP="00EA4BBE">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16</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sudensis</w:t>
                            </w:r>
                            <w:r>
                              <w:rPr>
                                <w:rFonts w:ascii="Times New Roman" w:hAnsi="Times New Roman" w:cs="Times New Roman"/>
                                <w:color w:val="000000" w:themeColor="text1"/>
                                <w:sz w:val="20"/>
                                <w:szCs w:val="20"/>
                              </w:rPr>
                              <w:t xml:space="preserve"> based on 6,513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CFCBD" id="_x0000_s1055" type="#_x0000_t202" style="position:absolute;left:0;text-align:left;margin-left:0;margin-top:15.7pt;width:474.35pt;height:133.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" filled="f" stroked="f" strokeweight=".5pt">
                <v:textbox>
                  <w:txbxContent>
                    <w:p w14:paraId="18545CE3" w14:textId="15CBCF99" w:rsidR="00EA4BBE" w:rsidRPr="00AC36DC" w:rsidRDefault="00EA4BBE" w:rsidP="00EA4BBE">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w:t>
                      </w:r>
                      <w:r>
                        <w:rPr>
                          <w:rFonts w:ascii="Times New Roman" w:hAnsi="Times New Roman" w:cs="Times New Roman"/>
                          <w:b/>
                          <w:bCs/>
                          <w:color w:val="000000" w:themeColor="text1"/>
                          <w:sz w:val="20"/>
                          <w:szCs w:val="20"/>
                        </w:rPr>
                        <w:t>6</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sudensis</w:t>
                      </w:r>
                      <w:r>
                        <w:rPr>
                          <w:rFonts w:ascii="Times New Roman" w:hAnsi="Times New Roman" w:cs="Times New Roman"/>
                          <w:color w:val="000000" w:themeColor="text1"/>
                          <w:sz w:val="20"/>
                          <w:szCs w:val="20"/>
                        </w:rPr>
                        <w:t xml:space="preserve"> based on </w:t>
                      </w:r>
                      <w:r>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513</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76074881" w14:textId="77777777" w:rsidR="00EA4BBE" w:rsidRDefault="00EA4BBE" w:rsidP="005012C6">
      <w:pPr>
        <w:jc w:val="center"/>
        <w:rPr>
          <w:rFonts w:ascii="Times New Roman" w:hAnsi="Times New Roman" w:cs="Times New Roman"/>
          <w:sz w:val="24"/>
          <w:szCs w:val="24"/>
        </w:rPr>
      </w:pPr>
    </w:p>
    <w:p w14:paraId="03240B58" w14:textId="77777777" w:rsidR="00EA4BBE" w:rsidRDefault="00EA4BBE" w:rsidP="005012C6">
      <w:pPr>
        <w:jc w:val="center"/>
        <w:rPr>
          <w:rFonts w:ascii="Times New Roman" w:hAnsi="Times New Roman" w:cs="Times New Roman"/>
          <w:sz w:val="24"/>
          <w:szCs w:val="24"/>
        </w:rPr>
      </w:pPr>
    </w:p>
    <w:p w14:paraId="10F9BFBE" w14:textId="77777777" w:rsidR="00EA4BBE" w:rsidRDefault="00EA4BBE" w:rsidP="005012C6">
      <w:pPr>
        <w:jc w:val="center"/>
        <w:rPr>
          <w:rFonts w:ascii="Times New Roman" w:hAnsi="Times New Roman" w:cs="Times New Roman"/>
          <w:sz w:val="24"/>
          <w:szCs w:val="24"/>
        </w:rPr>
      </w:pPr>
    </w:p>
    <w:p w14:paraId="4CFBF011" w14:textId="77777777" w:rsidR="00EA4BBE" w:rsidRDefault="00EA4BBE" w:rsidP="005012C6">
      <w:pPr>
        <w:jc w:val="center"/>
        <w:rPr>
          <w:rFonts w:ascii="Times New Roman" w:hAnsi="Times New Roman" w:cs="Times New Roman"/>
          <w:sz w:val="24"/>
          <w:szCs w:val="24"/>
        </w:rPr>
      </w:pPr>
    </w:p>
    <w:p w14:paraId="3D248DF8" w14:textId="77777777" w:rsidR="00EA4BBE" w:rsidRDefault="00EA4BBE" w:rsidP="005012C6">
      <w:pPr>
        <w:jc w:val="center"/>
        <w:rPr>
          <w:rFonts w:ascii="Times New Roman" w:hAnsi="Times New Roman" w:cs="Times New Roman"/>
          <w:sz w:val="24"/>
          <w:szCs w:val="24"/>
        </w:rPr>
      </w:pPr>
    </w:p>
    <w:p w14:paraId="16521443" w14:textId="77777777" w:rsidR="00EA4BBE" w:rsidRDefault="00EA4BBE" w:rsidP="005012C6">
      <w:pPr>
        <w:jc w:val="center"/>
        <w:rPr>
          <w:rFonts w:ascii="Times New Roman" w:hAnsi="Times New Roman" w:cs="Times New Roman"/>
          <w:sz w:val="24"/>
          <w:szCs w:val="24"/>
        </w:rPr>
      </w:pPr>
    </w:p>
    <w:p w14:paraId="5FBDA90F" w14:textId="05E31EBC" w:rsidR="00EA4BBE" w:rsidRDefault="001E7AA6" w:rsidP="005012C6">
      <w:pPr>
        <w:jc w:val="center"/>
        <w:rPr>
          <w:rFonts w:ascii="Times New Roman" w:hAnsi="Times New Roman" w:cs="Times New Roman"/>
          <w:sz w:val="24"/>
          <w:szCs w:val="24"/>
        </w:rPr>
      </w:pPr>
      <w:r w:rsidRPr="001E7AA6">
        <w:rPr>
          <w:rFonts w:ascii="Times New Roman" w:hAnsi="Times New Roman" w:cs="Times New Roman"/>
          <w:noProof/>
          <w:sz w:val="24"/>
          <w:szCs w:val="24"/>
        </w:rPr>
        <w:lastRenderedPageBreak/>
        <w:drawing>
          <wp:anchor distT="0" distB="0" distL="114300" distR="114300" simplePos="0" relativeHeight="251757568" behindDoc="0" locked="0" layoutInCell="1" allowOverlap="1" wp14:anchorId="751EBA3C" wp14:editId="1BFCED5C">
            <wp:simplePos x="0" y="0"/>
            <wp:positionH relativeFrom="column">
              <wp:posOffset>392772</wp:posOffset>
            </wp:positionH>
            <wp:positionV relativeFrom="paragraph">
              <wp:posOffset>29845</wp:posOffset>
            </wp:positionV>
            <wp:extent cx="5251938" cy="6077884"/>
            <wp:effectExtent l="0" t="0" r="6350" b="5715"/>
            <wp:wrapNone/>
            <wp:docPr id="124452787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27878" name="Picture 1" descr="A screenshot of a computer screen&#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251938" cy="6077884"/>
                    </a:xfrm>
                    <a:prstGeom prst="rect">
                      <a:avLst/>
                    </a:prstGeom>
                  </pic:spPr>
                </pic:pic>
              </a:graphicData>
            </a:graphic>
            <wp14:sizeRelH relativeFrom="page">
              <wp14:pctWidth>0</wp14:pctWidth>
            </wp14:sizeRelH>
            <wp14:sizeRelV relativeFrom="page">
              <wp14:pctHeight>0</wp14:pctHeight>
            </wp14:sizeRelV>
          </wp:anchor>
        </w:drawing>
      </w:r>
    </w:p>
    <w:p w14:paraId="787C9195" w14:textId="77777777" w:rsidR="00EA4BBE" w:rsidRDefault="00EA4BBE" w:rsidP="005012C6">
      <w:pPr>
        <w:jc w:val="center"/>
        <w:rPr>
          <w:rFonts w:ascii="Times New Roman" w:hAnsi="Times New Roman" w:cs="Times New Roman"/>
          <w:sz w:val="24"/>
          <w:szCs w:val="24"/>
        </w:rPr>
      </w:pPr>
    </w:p>
    <w:p w14:paraId="74D4B08A" w14:textId="77777777" w:rsidR="00EA4BBE" w:rsidRDefault="00EA4BBE" w:rsidP="005012C6">
      <w:pPr>
        <w:jc w:val="center"/>
        <w:rPr>
          <w:rFonts w:ascii="Times New Roman" w:hAnsi="Times New Roman" w:cs="Times New Roman"/>
          <w:sz w:val="24"/>
          <w:szCs w:val="24"/>
        </w:rPr>
      </w:pPr>
    </w:p>
    <w:p w14:paraId="02CB2C73" w14:textId="77777777" w:rsidR="00EA4BBE" w:rsidRDefault="00EA4BBE" w:rsidP="005012C6">
      <w:pPr>
        <w:jc w:val="center"/>
        <w:rPr>
          <w:rFonts w:ascii="Times New Roman" w:hAnsi="Times New Roman" w:cs="Times New Roman"/>
          <w:sz w:val="24"/>
          <w:szCs w:val="24"/>
        </w:rPr>
      </w:pPr>
    </w:p>
    <w:p w14:paraId="6C32859F" w14:textId="77777777" w:rsidR="00EA4BBE" w:rsidRDefault="00EA4BBE" w:rsidP="005012C6">
      <w:pPr>
        <w:jc w:val="center"/>
        <w:rPr>
          <w:rFonts w:ascii="Times New Roman" w:hAnsi="Times New Roman" w:cs="Times New Roman"/>
          <w:sz w:val="24"/>
          <w:szCs w:val="24"/>
        </w:rPr>
      </w:pPr>
    </w:p>
    <w:p w14:paraId="663F11D3" w14:textId="77777777" w:rsidR="00EA4BBE" w:rsidRDefault="00EA4BBE" w:rsidP="005012C6">
      <w:pPr>
        <w:jc w:val="center"/>
        <w:rPr>
          <w:rFonts w:ascii="Times New Roman" w:hAnsi="Times New Roman" w:cs="Times New Roman"/>
          <w:sz w:val="24"/>
          <w:szCs w:val="24"/>
        </w:rPr>
      </w:pPr>
    </w:p>
    <w:p w14:paraId="1E19970E" w14:textId="77777777" w:rsidR="00EA4BBE" w:rsidRDefault="00EA4BBE" w:rsidP="005012C6">
      <w:pPr>
        <w:jc w:val="center"/>
        <w:rPr>
          <w:rFonts w:ascii="Times New Roman" w:hAnsi="Times New Roman" w:cs="Times New Roman"/>
          <w:sz w:val="24"/>
          <w:szCs w:val="24"/>
        </w:rPr>
      </w:pPr>
    </w:p>
    <w:p w14:paraId="52FDDE3B" w14:textId="77777777" w:rsidR="00EA4BBE" w:rsidRDefault="00EA4BBE" w:rsidP="005012C6">
      <w:pPr>
        <w:jc w:val="center"/>
        <w:rPr>
          <w:rFonts w:ascii="Times New Roman" w:hAnsi="Times New Roman" w:cs="Times New Roman"/>
          <w:sz w:val="24"/>
          <w:szCs w:val="24"/>
        </w:rPr>
      </w:pPr>
    </w:p>
    <w:p w14:paraId="64D66ED0" w14:textId="77777777" w:rsidR="00EA4BBE" w:rsidRDefault="00EA4BBE" w:rsidP="005012C6">
      <w:pPr>
        <w:jc w:val="center"/>
        <w:rPr>
          <w:rFonts w:ascii="Times New Roman" w:hAnsi="Times New Roman" w:cs="Times New Roman"/>
          <w:sz w:val="24"/>
          <w:szCs w:val="24"/>
        </w:rPr>
      </w:pPr>
    </w:p>
    <w:p w14:paraId="12479AA0" w14:textId="77777777" w:rsidR="00EA4BBE" w:rsidRDefault="00EA4BBE" w:rsidP="005012C6">
      <w:pPr>
        <w:jc w:val="center"/>
        <w:rPr>
          <w:rFonts w:ascii="Times New Roman" w:hAnsi="Times New Roman" w:cs="Times New Roman"/>
          <w:sz w:val="24"/>
          <w:szCs w:val="24"/>
        </w:rPr>
      </w:pPr>
    </w:p>
    <w:p w14:paraId="06F49E46" w14:textId="77777777" w:rsidR="00EA4BBE" w:rsidRDefault="00EA4BBE" w:rsidP="005012C6">
      <w:pPr>
        <w:jc w:val="center"/>
        <w:rPr>
          <w:rFonts w:ascii="Times New Roman" w:hAnsi="Times New Roman" w:cs="Times New Roman"/>
          <w:sz w:val="24"/>
          <w:szCs w:val="24"/>
        </w:rPr>
      </w:pPr>
    </w:p>
    <w:p w14:paraId="56B6B9D4" w14:textId="77777777" w:rsidR="00EA4BBE" w:rsidRDefault="00EA4BBE" w:rsidP="005012C6">
      <w:pPr>
        <w:jc w:val="center"/>
        <w:rPr>
          <w:rFonts w:ascii="Times New Roman" w:hAnsi="Times New Roman" w:cs="Times New Roman"/>
          <w:sz w:val="24"/>
          <w:szCs w:val="24"/>
        </w:rPr>
      </w:pPr>
    </w:p>
    <w:p w14:paraId="1E8CB718" w14:textId="77777777" w:rsidR="00EA4BBE" w:rsidRDefault="00EA4BBE" w:rsidP="005012C6">
      <w:pPr>
        <w:jc w:val="center"/>
        <w:rPr>
          <w:rFonts w:ascii="Times New Roman" w:hAnsi="Times New Roman" w:cs="Times New Roman"/>
          <w:sz w:val="24"/>
          <w:szCs w:val="24"/>
        </w:rPr>
      </w:pPr>
    </w:p>
    <w:p w14:paraId="4462D4E3" w14:textId="77777777" w:rsidR="00EA4BBE" w:rsidRDefault="00EA4BBE" w:rsidP="005012C6">
      <w:pPr>
        <w:jc w:val="center"/>
        <w:rPr>
          <w:rFonts w:ascii="Times New Roman" w:hAnsi="Times New Roman" w:cs="Times New Roman"/>
          <w:sz w:val="24"/>
          <w:szCs w:val="24"/>
        </w:rPr>
      </w:pPr>
    </w:p>
    <w:p w14:paraId="447498E7" w14:textId="77777777" w:rsidR="00EA4BBE" w:rsidRDefault="00EA4BBE" w:rsidP="005012C6">
      <w:pPr>
        <w:jc w:val="center"/>
        <w:rPr>
          <w:rFonts w:ascii="Times New Roman" w:hAnsi="Times New Roman" w:cs="Times New Roman"/>
          <w:sz w:val="24"/>
          <w:szCs w:val="24"/>
        </w:rPr>
      </w:pPr>
    </w:p>
    <w:p w14:paraId="45311BFD" w14:textId="77777777" w:rsidR="00EA4BBE" w:rsidRDefault="00EA4BBE" w:rsidP="005012C6">
      <w:pPr>
        <w:jc w:val="center"/>
        <w:rPr>
          <w:rFonts w:ascii="Times New Roman" w:hAnsi="Times New Roman" w:cs="Times New Roman"/>
          <w:sz w:val="24"/>
          <w:szCs w:val="24"/>
        </w:rPr>
      </w:pPr>
    </w:p>
    <w:p w14:paraId="418204F8" w14:textId="77777777" w:rsidR="00EA4BBE" w:rsidRDefault="00EA4BBE" w:rsidP="005012C6">
      <w:pPr>
        <w:jc w:val="center"/>
        <w:rPr>
          <w:rFonts w:ascii="Times New Roman" w:hAnsi="Times New Roman" w:cs="Times New Roman"/>
          <w:sz w:val="24"/>
          <w:szCs w:val="24"/>
        </w:rPr>
      </w:pPr>
    </w:p>
    <w:p w14:paraId="52E205F5" w14:textId="77777777" w:rsidR="00EA4BBE" w:rsidRDefault="00EA4BBE" w:rsidP="005012C6">
      <w:pPr>
        <w:jc w:val="center"/>
        <w:rPr>
          <w:rFonts w:ascii="Times New Roman" w:hAnsi="Times New Roman" w:cs="Times New Roman"/>
          <w:sz w:val="24"/>
          <w:szCs w:val="24"/>
        </w:rPr>
      </w:pPr>
    </w:p>
    <w:p w14:paraId="0639502D" w14:textId="77777777" w:rsidR="00EA4BBE" w:rsidRDefault="00EA4BBE" w:rsidP="005012C6">
      <w:pPr>
        <w:jc w:val="center"/>
        <w:rPr>
          <w:rFonts w:ascii="Times New Roman" w:hAnsi="Times New Roman" w:cs="Times New Roman"/>
          <w:sz w:val="24"/>
          <w:szCs w:val="24"/>
        </w:rPr>
      </w:pPr>
    </w:p>
    <w:p w14:paraId="36A5123D" w14:textId="513376E6" w:rsidR="00EA4BBE" w:rsidRDefault="00EA4BBE" w:rsidP="005012C6">
      <w:pPr>
        <w:jc w:val="center"/>
        <w:rPr>
          <w:rFonts w:ascii="Times New Roman" w:hAnsi="Times New Roman" w:cs="Times New Roman"/>
          <w:sz w:val="24"/>
          <w:szCs w:val="24"/>
        </w:rPr>
      </w:pPr>
    </w:p>
    <w:p w14:paraId="6A0AB504" w14:textId="384C64A5" w:rsidR="00EA4BBE" w:rsidRDefault="001E7AA6"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56544" behindDoc="0" locked="0" layoutInCell="1" allowOverlap="1" wp14:anchorId="6F58DB25" wp14:editId="2F11EF5E">
                <wp:simplePos x="0" y="0"/>
                <wp:positionH relativeFrom="column">
                  <wp:posOffset>0</wp:posOffset>
                </wp:positionH>
                <wp:positionV relativeFrom="paragraph">
                  <wp:posOffset>293028</wp:posOffset>
                </wp:positionV>
                <wp:extent cx="6024245" cy="1984815"/>
                <wp:effectExtent l="0" t="0" r="0" b="0"/>
                <wp:wrapNone/>
                <wp:docPr id="904859328" name="Text Box 2"/>
                <wp:cNvGraphicFramePr/>
                <a:graphic xmlns:a="http://schemas.openxmlformats.org/drawingml/2006/main">
                  <a:graphicData uri="http://schemas.microsoft.com/office/word/2010/wordprocessingShape">
                    <wps:wsp>
                      <wps:cNvSpPr txBox="1"/>
                      <wps:spPr>
                        <a:xfrm>
                          <a:off x="0" y="0"/>
                          <a:ext cx="6024245" cy="1984815"/>
                        </a:xfrm>
                        <a:prstGeom prst="rect">
                          <a:avLst/>
                        </a:prstGeom>
                        <a:noFill/>
                        <a:ln w="6350">
                          <a:noFill/>
                        </a:ln>
                      </wps:spPr>
                      <wps:txbx>
                        <w:txbxContent>
                          <w:p w14:paraId="1A4E091C" w14:textId="77777777" w:rsidR="001E7AA6" w:rsidRPr="00AC36DC" w:rsidRDefault="001E7AA6" w:rsidP="001E7AA6">
                            <w:pPr>
                              <w:jc w:val="both"/>
                              <w:rPr>
                                <w:rFonts w:ascii="Times New Roman" w:hAnsi="Times New Roman" w:cs="Times New Roman"/>
                                <w:color w:val="000000" w:themeColor="text1"/>
                                <w:sz w:val="20"/>
                                <w:szCs w:val="20"/>
                              </w:rPr>
                            </w:pPr>
                            <w:bookmarkStart w:id="23" w:name="FigS17"/>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17</w:t>
                            </w:r>
                            <w:bookmarkEnd w:id="23"/>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tetranemus</w:t>
                            </w:r>
                            <w:r>
                              <w:rPr>
                                <w:rFonts w:ascii="Times New Roman" w:hAnsi="Times New Roman" w:cs="Times New Roman"/>
                                <w:color w:val="000000" w:themeColor="text1"/>
                                <w:sz w:val="20"/>
                                <w:szCs w:val="20"/>
                              </w:rPr>
                              <w:t xml:space="preserve"> based on 5,996 SNPs. A) Map showing sampling sites and the proportion of individuals collected from each. Adjacent to the map is a phylogenetic tree, with branches are color-coded to match sampling sites. Dashed lines on the map indicate marine barriers to dispersal evaluated for this species.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8DB25" id="_x0000_s1056" type="#_x0000_t202" style="position:absolute;left:0;text-align:left;margin-left:0;margin-top:23.05pt;width:474.35pt;height:156.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" filled="f" stroked="f" strokeweight=".5pt">
                <v:textbox>
                  <w:txbxContent>
                    <w:p w14:paraId="1A4E091C" w14:textId="77777777" w:rsidR="001E7AA6" w:rsidRPr="00AC36DC" w:rsidRDefault="001E7AA6" w:rsidP="001E7AA6">
                      <w:pPr>
                        <w:jc w:val="both"/>
                        <w:rPr>
                          <w:rFonts w:ascii="Times New Roman" w:hAnsi="Times New Roman" w:cs="Times New Roman"/>
                          <w:color w:val="000000" w:themeColor="text1"/>
                          <w:sz w:val="20"/>
                          <w:szCs w:val="20"/>
                        </w:rPr>
                      </w:pPr>
                      <w:bookmarkStart w:id="38" w:name="FigS17"/>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17</w:t>
                      </w:r>
                      <w:bookmarkEnd w:id="38"/>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tetranemus</w:t>
                      </w:r>
                      <w:r>
                        <w:rPr>
                          <w:rFonts w:ascii="Times New Roman" w:hAnsi="Times New Roman" w:cs="Times New Roman"/>
                          <w:color w:val="000000" w:themeColor="text1"/>
                          <w:sz w:val="20"/>
                          <w:szCs w:val="20"/>
                        </w:rPr>
                        <w:t xml:space="preserve"> based on 5,996 SNPs. A) Map showing sampling sites and the proportion of individuals collected from each. Adjacent to the map is a phylogenetic tree, with branches are color-coded to match sampling sites. Dashed lines on the map indicate marine barriers to dispersal evaluated for this species.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23CDEAA5" w14:textId="46369DB1" w:rsidR="00EA4BBE" w:rsidRDefault="00EA4BBE" w:rsidP="005012C6">
      <w:pPr>
        <w:jc w:val="center"/>
        <w:rPr>
          <w:rFonts w:ascii="Times New Roman" w:hAnsi="Times New Roman" w:cs="Times New Roman"/>
          <w:sz w:val="24"/>
          <w:szCs w:val="24"/>
        </w:rPr>
      </w:pPr>
    </w:p>
    <w:p w14:paraId="3EF8E60B" w14:textId="77777777" w:rsidR="00EA4BBE" w:rsidRDefault="00EA4BBE" w:rsidP="005012C6">
      <w:pPr>
        <w:jc w:val="center"/>
        <w:rPr>
          <w:rFonts w:ascii="Times New Roman" w:hAnsi="Times New Roman" w:cs="Times New Roman"/>
          <w:sz w:val="24"/>
          <w:szCs w:val="24"/>
        </w:rPr>
      </w:pPr>
    </w:p>
    <w:p w14:paraId="62212C73" w14:textId="77777777" w:rsidR="00EA4BBE" w:rsidRDefault="00EA4BBE" w:rsidP="005012C6">
      <w:pPr>
        <w:jc w:val="center"/>
        <w:rPr>
          <w:rFonts w:ascii="Times New Roman" w:hAnsi="Times New Roman" w:cs="Times New Roman"/>
          <w:sz w:val="24"/>
          <w:szCs w:val="24"/>
        </w:rPr>
      </w:pPr>
    </w:p>
    <w:p w14:paraId="4B839761" w14:textId="77777777" w:rsidR="00EA4BBE" w:rsidRDefault="00EA4BBE" w:rsidP="005012C6">
      <w:pPr>
        <w:jc w:val="center"/>
        <w:rPr>
          <w:rFonts w:ascii="Times New Roman" w:hAnsi="Times New Roman" w:cs="Times New Roman"/>
          <w:sz w:val="24"/>
          <w:szCs w:val="24"/>
        </w:rPr>
      </w:pPr>
    </w:p>
    <w:p w14:paraId="1D5C2422" w14:textId="77777777" w:rsidR="00EA4BBE" w:rsidRDefault="00EA4BBE" w:rsidP="005012C6">
      <w:pPr>
        <w:jc w:val="center"/>
        <w:rPr>
          <w:rFonts w:ascii="Times New Roman" w:hAnsi="Times New Roman" w:cs="Times New Roman"/>
          <w:sz w:val="24"/>
          <w:szCs w:val="24"/>
        </w:rPr>
      </w:pPr>
    </w:p>
    <w:p w14:paraId="04611D50" w14:textId="77777777" w:rsidR="00EA4BBE" w:rsidRDefault="00EA4BBE" w:rsidP="005012C6">
      <w:pPr>
        <w:jc w:val="center"/>
        <w:rPr>
          <w:rFonts w:ascii="Times New Roman" w:hAnsi="Times New Roman" w:cs="Times New Roman"/>
          <w:sz w:val="24"/>
          <w:szCs w:val="24"/>
        </w:rPr>
      </w:pPr>
    </w:p>
    <w:p w14:paraId="62E234CE" w14:textId="77777777" w:rsidR="00EA4BBE" w:rsidRDefault="00EA4BBE" w:rsidP="005012C6">
      <w:pPr>
        <w:jc w:val="center"/>
        <w:rPr>
          <w:rFonts w:ascii="Times New Roman" w:hAnsi="Times New Roman" w:cs="Times New Roman"/>
          <w:sz w:val="24"/>
          <w:szCs w:val="24"/>
        </w:rPr>
      </w:pPr>
    </w:p>
    <w:p w14:paraId="67462B4B" w14:textId="6BB47788" w:rsidR="00EA4BBE" w:rsidRDefault="00693C39" w:rsidP="005012C6">
      <w:pPr>
        <w:jc w:val="center"/>
        <w:rPr>
          <w:rFonts w:ascii="Times New Roman" w:hAnsi="Times New Roman" w:cs="Times New Roman"/>
          <w:sz w:val="24"/>
          <w:szCs w:val="24"/>
        </w:rPr>
      </w:pPr>
      <w:r w:rsidRPr="00693C39">
        <w:rPr>
          <w:rFonts w:ascii="Times New Roman" w:hAnsi="Times New Roman" w:cs="Times New Roman"/>
          <w:noProof/>
          <w:sz w:val="24"/>
          <w:szCs w:val="24"/>
        </w:rPr>
        <w:lastRenderedPageBreak/>
        <w:drawing>
          <wp:anchor distT="0" distB="0" distL="114300" distR="114300" simplePos="0" relativeHeight="251760640" behindDoc="0" locked="0" layoutInCell="1" allowOverlap="1" wp14:anchorId="53520BBE" wp14:editId="75C9AA96">
            <wp:simplePos x="0" y="0"/>
            <wp:positionH relativeFrom="column">
              <wp:posOffset>281354</wp:posOffset>
            </wp:positionH>
            <wp:positionV relativeFrom="paragraph">
              <wp:posOffset>0</wp:posOffset>
            </wp:positionV>
            <wp:extent cx="5392615" cy="6240684"/>
            <wp:effectExtent l="0" t="0" r="5080" b="0"/>
            <wp:wrapNone/>
            <wp:docPr id="94534956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49560" name="Picture 1" descr="A screenshot of a computer screen&#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392615" cy="6240684"/>
                    </a:xfrm>
                    <a:prstGeom prst="rect">
                      <a:avLst/>
                    </a:prstGeom>
                  </pic:spPr>
                </pic:pic>
              </a:graphicData>
            </a:graphic>
            <wp14:sizeRelH relativeFrom="page">
              <wp14:pctWidth>0</wp14:pctWidth>
            </wp14:sizeRelH>
            <wp14:sizeRelV relativeFrom="page">
              <wp14:pctHeight>0</wp14:pctHeight>
            </wp14:sizeRelV>
          </wp:anchor>
        </w:drawing>
      </w:r>
    </w:p>
    <w:p w14:paraId="02B491C4" w14:textId="69DD5937" w:rsidR="00EA4BBE" w:rsidRDefault="00EA4BBE" w:rsidP="005012C6">
      <w:pPr>
        <w:jc w:val="center"/>
        <w:rPr>
          <w:rFonts w:ascii="Times New Roman" w:hAnsi="Times New Roman" w:cs="Times New Roman"/>
          <w:sz w:val="24"/>
          <w:szCs w:val="24"/>
        </w:rPr>
      </w:pPr>
    </w:p>
    <w:p w14:paraId="56FC7BBA" w14:textId="111EA22A" w:rsidR="00EA4BBE" w:rsidRDefault="00EA4BBE" w:rsidP="005012C6">
      <w:pPr>
        <w:jc w:val="center"/>
        <w:rPr>
          <w:rFonts w:ascii="Times New Roman" w:hAnsi="Times New Roman" w:cs="Times New Roman"/>
          <w:sz w:val="24"/>
          <w:szCs w:val="24"/>
        </w:rPr>
      </w:pPr>
    </w:p>
    <w:p w14:paraId="7F3AD55A" w14:textId="77777777" w:rsidR="00EA4BBE" w:rsidRDefault="00EA4BBE" w:rsidP="005012C6">
      <w:pPr>
        <w:jc w:val="center"/>
        <w:rPr>
          <w:rFonts w:ascii="Times New Roman" w:hAnsi="Times New Roman" w:cs="Times New Roman"/>
          <w:sz w:val="24"/>
          <w:szCs w:val="24"/>
        </w:rPr>
      </w:pPr>
    </w:p>
    <w:p w14:paraId="21CDF08C" w14:textId="77777777" w:rsidR="00EA4BBE" w:rsidRDefault="00EA4BBE" w:rsidP="005012C6">
      <w:pPr>
        <w:jc w:val="center"/>
        <w:rPr>
          <w:rFonts w:ascii="Times New Roman" w:hAnsi="Times New Roman" w:cs="Times New Roman"/>
          <w:sz w:val="24"/>
          <w:szCs w:val="24"/>
        </w:rPr>
      </w:pPr>
    </w:p>
    <w:p w14:paraId="1E7253BB" w14:textId="77777777" w:rsidR="00EA4BBE" w:rsidRDefault="00EA4BBE" w:rsidP="005012C6">
      <w:pPr>
        <w:jc w:val="center"/>
        <w:rPr>
          <w:rFonts w:ascii="Times New Roman" w:hAnsi="Times New Roman" w:cs="Times New Roman"/>
          <w:sz w:val="24"/>
          <w:szCs w:val="24"/>
        </w:rPr>
      </w:pPr>
    </w:p>
    <w:p w14:paraId="42F19097" w14:textId="77777777" w:rsidR="00EA4BBE" w:rsidRDefault="00EA4BBE" w:rsidP="005012C6">
      <w:pPr>
        <w:jc w:val="center"/>
        <w:rPr>
          <w:rFonts w:ascii="Times New Roman" w:hAnsi="Times New Roman" w:cs="Times New Roman"/>
          <w:sz w:val="24"/>
          <w:szCs w:val="24"/>
        </w:rPr>
      </w:pPr>
    </w:p>
    <w:p w14:paraId="1077737B" w14:textId="77777777" w:rsidR="00EA4BBE" w:rsidRDefault="00EA4BBE" w:rsidP="005012C6">
      <w:pPr>
        <w:jc w:val="center"/>
        <w:rPr>
          <w:rFonts w:ascii="Times New Roman" w:hAnsi="Times New Roman" w:cs="Times New Roman"/>
          <w:sz w:val="24"/>
          <w:szCs w:val="24"/>
        </w:rPr>
      </w:pPr>
    </w:p>
    <w:p w14:paraId="7E77E310" w14:textId="77777777" w:rsidR="00EA4BBE" w:rsidRDefault="00EA4BBE" w:rsidP="005012C6">
      <w:pPr>
        <w:jc w:val="center"/>
        <w:rPr>
          <w:rFonts w:ascii="Times New Roman" w:hAnsi="Times New Roman" w:cs="Times New Roman"/>
          <w:sz w:val="24"/>
          <w:szCs w:val="24"/>
        </w:rPr>
      </w:pPr>
    </w:p>
    <w:p w14:paraId="4B047028" w14:textId="77777777" w:rsidR="00AD064D" w:rsidRDefault="00AD064D" w:rsidP="005012C6">
      <w:pPr>
        <w:jc w:val="center"/>
        <w:rPr>
          <w:rFonts w:ascii="Times New Roman" w:hAnsi="Times New Roman" w:cs="Times New Roman"/>
          <w:sz w:val="24"/>
          <w:szCs w:val="24"/>
        </w:rPr>
      </w:pPr>
    </w:p>
    <w:p w14:paraId="2EE1F675" w14:textId="77777777" w:rsidR="00AD064D" w:rsidRDefault="00AD064D" w:rsidP="005012C6">
      <w:pPr>
        <w:jc w:val="center"/>
        <w:rPr>
          <w:rFonts w:ascii="Times New Roman" w:hAnsi="Times New Roman" w:cs="Times New Roman"/>
          <w:sz w:val="24"/>
          <w:szCs w:val="24"/>
        </w:rPr>
      </w:pPr>
    </w:p>
    <w:p w14:paraId="201FEB07" w14:textId="77777777" w:rsidR="00AD064D" w:rsidRDefault="00AD064D" w:rsidP="005012C6">
      <w:pPr>
        <w:jc w:val="center"/>
        <w:rPr>
          <w:rFonts w:ascii="Times New Roman" w:hAnsi="Times New Roman" w:cs="Times New Roman"/>
          <w:sz w:val="24"/>
          <w:szCs w:val="24"/>
        </w:rPr>
      </w:pPr>
    </w:p>
    <w:p w14:paraId="1A317C70" w14:textId="77777777" w:rsidR="00AD064D" w:rsidRDefault="00AD064D" w:rsidP="005012C6">
      <w:pPr>
        <w:jc w:val="center"/>
        <w:rPr>
          <w:rFonts w:ascii="Times New Roman" w:hAnsi="Times New Roman" w:cs="Times New Roman"/>
          <w:sz w:val="24"/>
          <w:szCs w:val="24"/>
        </w:rPr>
      </w:pPr>
    </w:p>
    <w:p w14:paraId="72A30469" w14:textId="77777777" w:rsidR="00AD064D" w:rsidRDefault="00AD064D" w:rsidP="005012C6">
      <w:pPr>
        <w:jc w:val="center"/>
        <w:rPr>
          <w:rFonts w:ascii="Times New Roman" w:hAnsi="Times New Roman" w:cs="Times New Roman"/>
          <w:sz w:val="24"/>
          <w:szCs w:val="24"/>
        </w:rPr>
      </w:pPr>
    </w:p>
    <w:p w14:paraId="0DE0B50D" w14:textId="017FE7C0" w:rsidR="00AD064D" w:rsidRDefault="00AD064D" w:rsidP="005012C6">
      <w:pPr>
        <w:jc w:val="center"/>
        <w:rPr>
          <w:rFonts w:ascii="Times New Roman" w:hAnsi="Times New Roman" w:cs="Times New Roman"/>
          <w:sz w:val="24"/>
          <w:szCs w:val="24"/>
        </w:rPr>
      </w:pPr>
    </w:p>
    <w:p w14:paraId="7372D1AD" w14:textId="4E147380" w:rsidR="00AD064D" w:rsidRDefault="00AD064D" w:rsidP="005012C6">
      <w:pPr>
        <w:jc w:val="center"/>
        <w:rPr>
          <w:rFonts w:ascii="Times New Roman" w:hAnsi="Times New Roman" w:cs="Times New Roman"/>
          <w:sz w:val="24"/>
          <w:szCs w:val="24"/>
        </w:rPr>
      </w:pPr>
    </w:p>
    <w:p w14:paraId="1863BB8B" w14:textId="25D55CF6" w:rsidR="00AD064D" w:rsidRDefault="00AD064D" w:rsidP="005012C6">
      <w:pPr>
        <w:jc w:val="center"/>
        <w:rPr>
          <w:rFonts w:ascii="Times New Roman" w:hAnsi="Times New Roman" w:cs="Times New Roman"/>
          <w:sz w:val="24"/>
          <w:szCs w:val="24"/>
        </w:rPr>
      </w:pPr>
    </w:p>
    <w:p w14:paraId="41366D0C" w14:textId="3F1385B3" w:rsidR="00AD064D" w:rsidRDefault="00AD064D" w:rsidP="005012C6">
      <w:pPr>
        <w:jc w:val="center"/>
        <w:rPr>
          <w:rFonts w:ascii="Times New Roman" w:hAnsi="Times New Roman" w:cs="Times New Roman"/>
          <w:sz w:val="24"/>
          <w:szCs w:val="24"/>
        </w:rPr>
      </w:pPr>
    </w:p>
    <w:p w14:paraId="4EB2D68E" w14:textId="7F50DC6E" w:rsidR="00AD064D" w:rsidRDefault="00AD064D" w:rsidP="005012C6">
      <w:pPr>
        <w:jc w:val="center"/>
        <w:rPr>
          <w:rFonts w:ascii="Times New Roman" w:hAnsi="Times New Roman" w:cs="Times New Roman"/>
          <w:sz w:val="24"/>
          <w:szCs w:val="24"/>
        </w:rPr>
      </w:pPr>
    </w:p>
    <w:p w14:paraId="05F63192" w14:textId="539AB040" w:rsidR="00AD064D" w:rsidRDefault="00AD064D" w:rsidP="005012C6">
      <w:pPr>
        <w:jc w:val="center"/>
        <w:rPr>
          <w:rFonts w:ascii="Times New Roman" w:hAnsi="Times New Roman" w:cs="Times New Roman"/>
          <w:sz w:val="24"/>
          <w:szCs w:val="24"/>
        </w:rPr>
      </w:pPr>
    </w:p>
    <w:p w14:paraId="1AD69776" w14:textId="6A8E473C" w:rsidR="00AD064D" w:rsidRDefault="00AD064D" w:rsidP="005012C6">
      <w:pPr>
        <w:jc w:val="center"/>
        <w:rPr>
          <w:rFonts w:ascii="Times New Roman" w:hAnsi="Times New Roman" w:cs="Times New Roman"/>
          <w:sz w:val="24"/>
          <w:szCs w:val="24"/>
        </w:rPr>
      </w:pPr>
    </w:p>
    <w:p w14:paraId="2139C40C" w14:textId="6F4FB0A5" w:rsidR="00AD064D" w:rsidRDefault="0063135B"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59616" behindDoc="0" locked="0" layoutInCell="1" allowOverlap="1" wp14:anchorId="6DA3EB1C" wp14:editId="00798AA9">
                <wp:simplePos x="0" y="0"/>
                <wp:positionH relativeFrom="column">
                  <wp:posOffset>0</wp:posOffset>
                </wp:positionH>
                <wp:positionV relativeFrom="paragraph">
                  <wp:posOffset>200318</wp:posOffset>
                </wp:positionV>
                <wp:extent cx="6024245" cy="1693545"/>
                <wp:effectExtent l="0" t="0" r="0" b="0"/>
                <wp:wrapNone/>
                <wp:docPr id="121786616" name="Text Box 2"/>
                <wp:cNvGraphicFramePr/>
                <a:graphic xmlns:a="http://schemas.openxmlformats.org/drawingml/2006/main">
                  <a:graphicData uri="http://schemas.microsoft.com/office/word/2010/wordprocessingShape">
                    <wps:wsp>
                      <wps:cNvSpPr txBox="1"/>
                      <wps:spPr>
                        <a:xfrm>
                          <a:off x="0" y="0"/>
                          <a:ext cx="6024245" cy="1693545"/>
                        </a:xfrm>
                        <a:prstGeom prst="rect">
                          <a:avLst/>
                        </a:prstGeom>
                        <a:noFill/>
                        <a:ln w="6350">
                          <a:noFill/>
                        </a:ln>
                      </wps:spPr>
                      <wps:txbx>
                        <w:txbxContent>
                          <w:p w14:paraId="631E6501" w14:textId="6FE1C50A" w:rsidR="0063135B" w:rsidRPr="00AC36DC" w:rsidRDefault="0063135B" w:rsidP="0063135B">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18</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zacae</w:t>
                            </w:r>
                            <w:r>
                              <w:rPr>
                                <w:rFonts w:ascii="Times New Roman" w:hAnsi="Times New Roman" w:cs="Times New Roman"/>
                                <w:color w:val="000000" w:themeColor="text1"/>
                                <w:sz w:val="20"/>
                                <w:szCs w:val="20"/>
                              </w:rPr>
                              <w:t xml:space="preserve"> based on 8,081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3EB1C" id="_x0000_s1057" type="#_x0000_t202" style="position:absolute;left:0;text-align:left;margin-left:0;margin-top:15.75pt;width:474.35pt;height:133.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" filled="f" stroked="f" strokeweight=".5pt">
                <v:textbox>
                  <w:txbxContent>
                    <w:p w14:paraId="631E6501" w14:textId="6FE1C50A" w:rsidR="0063135B" w:rsidRPr="00AC36DC" w:rsidRDefault="0063135B" w:rsidP="0063135B">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w:t>
                      </w:r>
                      <w:r>
                        <w:rPr>
                          <w:rFonts w:ascii="Times New Roman" w:hAnsi="Times New Roman" w:cs="Times New Roman"/>
                          <w:b/>
                          <w:bCs/>
                          <w:color w:val="000000" w:themeColor="text1"/>
                          <w:sz w:val="20"/>
                          <w:szCs w:val="20"/>
                        </w:rPr>
                        <w:t>8</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zacae</w:t>
                      </w:r>
                      <w:r>
                        <w:rPr>
                          <w:rFonts w:ascii="Times New Roman" w:hAnsi="Times New Roman" w:cs="Times New Roman"/>
                          <w:color w:val="000000" w:themeColor="text1"/>
                          <w:sz w:val="20"/>
                          <w:szCs w:val="20"/>
                        </w:rPr>
                        <w:t xml:space="preserve"> based on </w:t>
                      </w:r>
                      <w:r>
                        <w:rPr>
                          <w:rFonts w:ascii="Times New Roman" w:hAnsi="Times New Roman" w:cs="Times New Roman"/>
                          <w:color w:val="000000" w:themeColor="text1"/>
                          <w:sz w:val="20"/>
                          <w:szCs w:val="20"/>
                        </w:rPr>
                        <w:t>8,081</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114828AA" w14:textId="77777777" w:rsidR="00AD064D" w:rsidRDefault="00AD064D" w:rsidP="005012C6">
      <w:pPr>
        <w:jc w:val="center"/>
        <w:rPr>
          <w:rFonts w:ascii="Times New Roman" w:hAnsi="Times New Roman" w:cs="Times New Roman"/>
          <w:sz w:val="24"/>
          <w:szCs w:val="24"/>
        </w:rPr>
      </w:pPr>
    </w:p>
    <w:p w14:paraId="5189B3B3" w14:textId="77777777" w:rsidR="00AD064D" w:rsidRDefault="00AD064D" w:rsidP="005012C6">
      <w:pPr>
        <w:jc w:val="center"/>
        <w:rPr>
          <w:rFonts w:ascii="Times New Roman" w:hAnsi="Times New Roman" w:cs="Times New Roman"/>
          <w:sz w:val="24"/>
          <w:szCs w:val="24"/>
        </w:rPr>
      </w:pPr>
    </w:p>
    <w:p w14:paraId="1B43D0B5" w14:textId="77777777" w:rsidR="00AD064D" w:rsidRDefault="00AD064D" w:rsidP="005012C6">
      <w:pPr>
        <w:jc w:val="center"/>
        <w:rPr>
          <w:rFonts w:ascii="Times New Roman" w:hAnsi="Times New Roman" w:cs="Times New Roman"/>
          <w:sz w:val="24"/>
          <w:szCs w:val="24"/>
        </w:rPr>
      </w:pPr>
    </w:p>
    <w:p w14:paraId="0A4344E5" w14:textId="77777777" w:rsidR="00AD064D" w:rsidRDefault="00AD064D" w:rsidP="005012C6">
      <w:pPr>
        <w:jc w:val="center"/>
        <w:rPr>
          <w:rFonts w:ascii="Times New Roman" w:hAnsi="Times New Roman" w:cs="Times New Roman"/>
          <w:sz w:val="24"/>
          <w:szCs w:val="24"/>
        </w:rPr>
      </w:pPr>
    </w:p>
    <w:p w14:paraId="69A0AC3F" w14:textId="77777777" w:rsidR="00AD064D" w:rsidRDefault="00AD064D" w:rsidP="005012C6">
      <w:pPr>
        <w:jc w:val="center"/>
        <w:rPr>
          <w:rFonts w:ascii="Times New Roman" w:hAnsi="Times New Roman" w:cs="Times New Roman"/>
          <w:sz w:val="24"/>
          <w:szCs w:val="24"/>
        </w:rPr>
      </w:pPr>
    </w:p>
    <w:p w14:paraId="294B7B17" w14:textId="77777777" w:rsidR="00AD064D" w:rsidRDefault="00AD064D" w:rsidP="005012C6">
      <w:pPr>
        <w:jc w:val="center"/>
        <w:rPr>
          <w:rFonts w:ascii="Times New Roman" w:hAnsi="Times New Roman" w:cs="Times New Roman"/>
          <w:sz w:val="24"/>
          <w:szCs w:val="24"/>
        </w:rPr>
      </w:pPr>
    </w:p>
    <w:p w14:paraId="42C58817" w14:textId="1BD5C706" w:rsidR="00AD064D" w:rsidRDefault="00693FC1" w:rsidP="005012C6">
      <w:pPr>
        <w:jc w:val="center"/>
        <w:rPr>
          <w:rFonts w:ascii="Times New Roman" w:hAnsi="Times New Roman" w:cs="Times New Roman"/>
          <w:sz w:val="24"/>
          <w:szCs w:val="24"/>
        </w:rPr>
      </w:pPr>
      <w:r w:rsidRPr="00693FC1">
        <w:rPr>
          <w:rFonts w:ascii="Times New Roman" w:hAnsi="Times New Roman" w:cs="Times New Roman"/>
          <w:noProof/>
          <w:sz w:val="24"/>
          <w:szCs w:val="24"/>
        </w:rPr>
        <w:lastRenderedPageBreak/>
        <w:drawing>
          <wp:anchor distT="0" distB="0" distL="114300" distR="114300" simplePos="0" relativeHeight="251763712" behindDoc="0" locked="0" layoutInCell="1" allowOverlap="1" wp14:anchorId="7674EC16" wp14:editId="4FA926B4">
            <wp:simplePos x="0" y="0"/>
            <wp:positionH relativeFrom="column">
              <wp:posOffset>254293</wp:posOffset>
            </wp:positionH>
            <wp:positionV relativeFrom="paragraph">
              <wp:posOffset>46355</wp:posOffset>
            </wp:positionV>
            <wp:extent cx="5345723" cy="6186418"/>
            <wp:effectExtent l="0" t="0" r="1270" b="0"/>
            <wp:wrapNone/>
            <wp:docPr id="1546856525" name="Picture 1"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56525" name="Picture 1" descr="A collage of a 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45723" cy="6186418"/>
                    </a:xfrm>
                    <a:prstGeom prst="rect">
                      <a:avLst/>
                    </a:prstGeom>
                  </pic:spPr>
                </pic:pic>
              </a:graphicData>
            </a:graphic>
            <wp14:sizeRelH relativeFrom="page">
              <wp14:pctWidth>0</wp14:pctWidth>
            </wp14:sizeRelH>
            <wp14:sizeRelV relativeFrom="page">
              <wp14:pctHeight>0</wp14:pctHeight>
            </wp14:sizeRelV>
          </wp:anchor>
        </w:drawing>
      </w:r>
    </w:p>
    <w:p w14:paraId="174042E6" w14:textId="71386709" w:rsidR="00AD064D" w:rsidRDefault="00AD064D" w:rsidP="005012C6">
      <w:pPr>
        <w:jc w:val="center"/>
        <w:rPr>
          <w:rFonts w:ascii="Times New Roman" w:hAnsi="Times New Roman" w:cs="Times New Roman"/>
          <w:sz w:val="24"/>
          <w:szCs w:val="24"/>
        </w:rPr>
      </w:pPr>
    </w:p>
    <w:p w14:paraId="6B44DB23" w14:textId="77777777" w:rsidR="00AD064D" w:rsidRDefault="00AD064D" w:rsidP="005012C6">
      <w:pPr>
        <w:jc w:val="center"/>
        <w:rPr>
          <w:rFonts w:ascii="Times New Roman" w:hAnsi="Times New Roman" w:cs="Times New Roman"/>
          <w:sz w:val="24"/>
          <w:szCs w:val="24"/>
        </w:rPr>
      </w:pPr>
    </w:p>
    <w:p w14:paraId="1781BC31" w14:textId="77777777" w:rsidR="00AD064D" w:rsidRDefault="00AD064D" w:rsidP="005012C6">
      <w:pPr>
        <w:jc w:val="center"/>
        <w:rPr>
          <w:rFonts w:ascii="Times New Roman" w:hAnsi="Times New Roman" w:cs="Times New Roman"/>
          <w:sz w:val="24"/>
          <w:szCs w:val="24"/>
        </w:rPr>
      </w:pPr>
    </w:p>
    <w:p w14:paraId="65C3A5B7" w14:textId="77777777" w:rsidR="00EA4BBE" w:rsidRDefault="00EA4BBE" w:rsidP="005012C6">
      <w:pPr>
        <w:jc w:val="center"/>
        <w:rPr>
          <w:rFonts w:ascii="Times New Roman" w:hAnsi="Times New Roman" w:cs="Times New Roman"/>
          <w:sz w:val="24"/>
          <w:szCs w:val="24"/>
        </w:rPr>
      </w:pPr>
    </w:p>
    <w:p w14:paraId="216DA155" w14:textId="77777777" w:rsidR="008D5F66" w:rsidRDefault="008D5F66" w:rsidP="005012C6">
      <w:pPr>
        <w:jc w:val="center"/>
        <w:rPr>
          <w:rFonts w:ascii="Times New Roman" w:hAnsi="Times New Roman" w:cs="Times New Roman"/>
          <w:sz w:val="24"/>
          <w:szCs w:val="24"/>
        </w:rPr>
      </w:pPr>
    </w:p>
    <w:p w14:paraId="0C215D1B" w14:textId="77777777" w:rsidR="008D5F66" w:rsidRDefault="008D5F66" w:rsidP="005012C6">
      <w:pPr>
        <w:jc w:val="center"/>
        <w:rPr>
          <w:rFonts w:ascii="Times New Roman" w:hAnsi="Times New Roman" w:cs="Times New Roman"/>
          <w:sz w:val="24"/>
          <w:szCs w:val="24"/>
        </w:rPr>
      </w:pPr>
    </w:p>
    <w:p w14:paraId="7AD1C29D" w14:textId="77777777" w:rsidR="008D5F66" w:rsidRDefault="008D5F66" w:rsidP="005012C6">
      <w:pPr>
        <w:jc w:val="center"/>
        <w:rPr>
          <w:rFonts w:ascii="Times New Roman" w:hAnsi="Times New Roman" w:cs="Times New Roman"/>
          <w:sz w:val="24"/>
          <w:szCs w:val="24"/>
        </w:rPr>
      </w:pPr>
    </w:p>
    <w:p w14:paraId="6CFCCB25" w14:textId="77777777" w:rsidR="008D5F66" w:rsidRDefault="008D5F66" w:rsidP="005012C6">
      <w:pPr>
        <w:jc w:val="center"/>
        <w:rPr>
          <w:rFonts w:ascii="Times New Roman" w:hAnsi="Times New Roman" w:cs="Times New Roman"/>
          <w:sz w:val="24"/>
          <w:szCs w:val="24"/>
        </w:rPr>
      </w:pPr>
    </w:p>
    <w:p w14:paraId="59491FFF" w14:textId="77777777" w:rsidR="008D5F66" w:rsidRDefault="008D5F66" w:rsidP="005012C6">
      <w:pPr>
        <w:jc w:val="center"/>
        <w:rPr>
          <w:rFonts w:ascii="Times New Roman" w:hAnsi="Times New Roman" w:cs="Times New Roman"/>
          <w:sz w:val="24"/>
          <w:szCs w:val="24"/>
        </w:rPr>
      </w:pPr>
    </w:p>
    <w:p w14:paraId="4B354004" w14:textId="77777777" w:rsidR="008D5F66" w:rsidRDefault="008D5F66" w:rsidP="005012C6">
      <w:pPr>
        <w:jc w:val="center"/>
        <w:rPr>
          <w:rFonts w:ascii="Times New Roman" w:hAnsi="Times New Roman" w:cs="Times New Roman"/>
          <w:sz w:val="24"/>
          <w:szCs w:val="24"/>
        </w:rPr>
      </w:pPr>
    </w:p>
    <w:p w14:paraId="08C910B1" w14:textId="77777777" w:rsidR="008D5F66" w:rsidRDefault="008D5F66" w:rsidP="005012C6">
      <w:pPr>
        <w:jc w:val="center"/>
        <w:rPr>
          <w:rFonts w:ascii="Times New Roman" w:hAnsi="Times New Roman" w:cs="Times New Roman"/>
          <w:sz w:val="24"/>
          <w:szCs w:val="24"/>
        </w:rPr>
      </w:pPr>
    </w:p>
    <w:p w14:paraId="12D87A18" w14:textId="77777777" w:rsidR="008D5F66" w:rsidRDefault="008D5F66" w:rsidP="005012C6">
      <w:pPr>
        <w:jc w:val="center"/>
        <w:rPr>
          <w:rFonts w:ascii="Times New Roman" w:hAnsi="Times New Roman" w:cs="Times New Roman"/>
          <w:sz w:val="24"/>
          <w:szCs w:val="24"/>
        </w:rPr>
      </w:pPr>
    </w:p>
    <w:p w14:paraId="02F7EBCF" w14:textId="77777777" w:rsidR="008D5F66" w:rsidRDefault="008D5F66" w:rsidP="005012C6">
      <w:pPr>
        <w:jc w:val="center"/>
        <w:rPr>
          <w:rFonts w:ascii="Times New Roman" w:hAnsi="Times New Roman" w:cs="Times New Roman"/>
          <w:sz w:val="24"/>
          <w:szCs w:val="24"/>
        </w:rPr>
      </w:pPr>
    </w:p>
    <w:p w14:paraId="29EF347B" w14:textId="77777777" w:rsidR="008D5F66" w:rsidRDefault="008D5F66" w:rsidP="005012C6">
      <w:pPr>
        <w:jc w:val="center"/>
        <w:rPr>
          <w:rFonts w:ascii="Times New Roman" w:hAnsi="Times New Roman" w:cs="Times New Roman"/>
          <w:sz w:val="24"/>
          <w:szCs w:val="24"/>
        </w:rPr>
      </w:pPr>
    </w:p>
    <w:p w14:paraId="68EC8A2F" w14:textId="77777777" w:rsidR="008D5F66" w:rsidRDefault="008D5F66" w:rsidP="005012C6">
      <w:pPr>
        <w:jc w:val="center"/>
        <w:rPr>
          <w:rFonts w:ascii="Times New Roman" w:hAnsi="Times New Roman" w:cs="Times New Roman"/>
          <w:sz w:val="24"/>
          <w:szCs w:val="24"/>
        </w:rPr>
      </w:pPr>
    </w:p>
    <w:p w14:paraId="5F494BC4" w14:textId="77777777" w:rsidR="008D5F66" w:rsidRDefault="008D5F66" w:rsidP="005012C6">
      <w:pPr>
        <w:jc w:val="center"/>
        <w:rPr>
          <w:rFonts w:ascii="Times New Roman" w:hAnsi="Times New Roman" w:cs="Times New Roman"/>
          <w:sz w:val="24"/>
          <w:szCs w:val="24"/>
        </w:rPr>
      </w:pPr>
    </w:p>
    <w:p w14:paraId="1F3C15E1" w14:textId="2C18D8DA" w:rsidR="008D5F66" w:rsidRDefault="008D5F66" w:rsidP="005012C6">
      <w:pPr>
        <w:jc w:val="center"/>
        <w:rPr>
          <w:rFonts w:ascii="Times New Roman" w:hAnsi="Times New Roman" w:cs="Times New Roman"/>
          <w:sz w:val="24"/>
          <w:szCs w:val="24"/>
        </w:rPr>
      </w:pPr>
    </w:p>
    <w:p w14:paraId="6C562214" w14:textId="40994F7E" w:rsidR="008D5F66" w:rsidRDefault="008D5F66" w:rsidP="005012C6">
      <w:pPr>
        <w:jc w:val="center"/>
        <w:rPr>
          <w:rFonts w:ascii="Times New Roman" w:hAnsi="Times New Roman" w:cs="Times New Roman"/>
          <w:sz w:val="24"/>
          <w:szCs w:val="24"/>
        </w:rPr>
      </w:pPr>
    </w:p>
    <w:p w14:paraId="54BC9FC1" w14:textId="43ED928B" w:rsidR="008D5F66" w:rsidRDefault="008D5F66" w:rsidP="005012C6">
      <w:pPr>
        <w:jc w:val="center"/>
        <w:rPr>
          <w:rFonts w:ascii="Times New Roman" w:hAnsi="Times New Roman" w:cs="Times New Roman"/>
          <w:sz w:val="24"/>
          <w:szCs w:val="24"/>
        </w:rPr>
      </w:pPr>
    </w:p>
    <w:p w14:paraId="173768E5" w14:textId="6A8E9B77" w:rsidR="008D5F66" w:rsidRDefault="008D5F66" w:rsidP="005012C6">
      <w:pPr>
        <w:jc w:val="center"/>
        <w:rPr>
          <w:rFonts w:ascii="Times New Roman" w:hAnsi="Times New Roman" w:cs="Times New Roman"/>
          <w:sz w:val="24"/>
          <w:szCs w:val="24"/>
        </w:rPr>
      </w:pPr>
    </w:p>
    <w:p w14:paraId="2EFEFA99" w14:textId="7BEF1E96" w:rsidR="008D5F66" w:rsidRDefault="008D5F66"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62688" behindDoc="0" locked="0" layoutInCell="1" allowOverlap="1" wp14:anchorId="3A910627" wp14:editId="02A1BEA4">
                <wp:simplePos x="0" y="0"/>
                <wp:positionH relativeFrom="column">
                  <wp:posOffset>0</wp:posOffset>
                </wp:positionH>
                <wp:positionV relativeFrom="paragraph">
                  <wp:posOffset>207303</wp:posOffset>
                </wp:positionV>
                <wp:extent cx="6024245" cy="1693545"/>
                <wp:effectExtent l="0" t="0" r="0" b="0"/>
                <wp:wrapNone/>
                <wp:docPr id="1522677311" name="Text Box 2"/>
                <wp:cNvGraphicFramePr/>
                <a:graphic xmlns:a="http://schemas.openxmlformats.org/drawingml/2006/main">
                  <a:graphicData uri="http://schemas.microsoft.com/office/word/2010/wordprocessingShape">
                    <wps:wsp>
                      <wps:cNvSpPr txBox="1"/>
                      <wps:spPr>
                        <a:xfrm>
                          <a:off x="0" y="0"/>
                          <a:ext cx="6024245" cy="1693545"/>
                        </a:xfrm>
                        <a:prstGeom prst="rect">
                          <a:avLst/>
                        </a:prstGeom>
                        <a:noFill/>
                        <a:ln w="6350">
                          <a:noFill/>
                        </a:ln>
                      </wps:spPr>
                      <wps:txbx>
                        <w:txbxContent>
                          <w:p w14:paraId="31CD1776" w14:textId="47AF4388" w:rsidR="008D5F66" w:rsidRPr="00AC36DC" w:rsidRDefault="008D5F66" w:rsidP="008D5F66">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19</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zonifer</w:t>
                            </w:r>
                            <w:r>
                              <w:rPr>
                                <w:rFonts w:ascii="Times New Roman" w:hAnsi="Times New Roman" w:cs="Times New Roman"/>
                                <w:color w:val="000000" w:themeColor="text1"/>
                                <w:sz w:val="20"/>
                                <w:szCs w:val="20"/>
                              </w:rPr>
                              <w:t xml:space="preserve"> based on 5,028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10627" id="_x0000_s1058" type="#_x0000_t202" style="position:absolute;left:0;text-align:left;margin-left:0;margin-top:16.3pt;width:474.35pt;height:133.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" filled="f" stroked="f" strokeweight=".5pt">
                <v:textbox>
                  <w:txbxContent>
                    <w:p w14:paraId="31CD1776" w14:textId="47AF4388" w:rsidR="008D5F66" w:rsidRPr="00AC36DC" w:rsidRDefault="008D5F66" w:rsidP="008D5F66">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1</w:t>
                      </w:r>
                      <w:r>
                        <w:rPr>
                          <w:rFonts w:ascii="Times New Roman" w:hAnsi="Times New Roman" w:cs="Times New Roman"/>
                          <w:b/>
                          <w:bCs/>
                          <w:color w:val="000000" w:themeColor="text1"/>
                          <w:sz w:val="20"/>
                          <w:szCs w:val="20"/>
                        </w:rPr>
                        <w:t>9</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zonifer</w:t>
                      </w:r>
                      <w:r>
                        <w:rPr>
                          <w:rFonts w:ascii="Times New Roman" w:hAnsi="Times New Roman" w:cs="Times New Roman"/>
                          <w:color w:val="000000" w:themeColor="text1"/>
                          <w:sz w:val="20"/>
                          <w:szCs w:val="20"/>
                        </w:rPr>
                        <w:t xml:space="preserve"> based on </w:t>
                      </w:r>
                      <w:r>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28</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6F3FCEDD" w14:textId="77777777" w:rsidR="008D5F66" w:rsidRDefault="008D5F66" w:rsidP="005012C6">
      <w:pPr>
        <w:jc w:val="center"/>
        <w:rPr>
          <w:rFonts w:ascii="Times New Roman" w:hAnsi="Times New Roman" w:cs="Times New Roman"/>
          <w:sz w:val="24"/>
          <w:szCs w:val="24"/>
        </w:rPr>
      </w:pPr>
    </w:p>
    <w:p w14:paraId="77E82393" w14:textId="77777777" w:rsidR="008D5F66" w:rsidRDefault="008D5F66" w:rsidP="005012C6">
      <w:pPr>
        <w:jc w:val="center"/>
        <w:rPr>
          <w:rFonts w:ascii="Times New Roman" w:hAnsi="Times New Roman" w:cs="Times New Roman"/>
          <w:sz w:val="24"/>
          <w:szCs w:val="24"/>
        </w:rPr>
      </w:pPr>
    </w:p>
    <w:p w14:paraId="4A47BCFE" w14:textId="77777777" w:rsidR="008D5F66" w:rsidRDefault="008D5F66" w:rsidP="005012C6">
      <w:pPr>
        <w:jc w:val="center"/>
        <w:rPr>
          <w:rFonts w:ascii="Times New Roman" w:hAnsi="Times New Roman" w:cs="Times New Roman"/>
          <w:sz w:val="24"/>
          <w:szCs w:val="24"/>
        </w:rPr>
      </w:pPr>
    </w:p>
    <w:p w14:paraId="16767334" w14:textId="77777777" w:rsidR="008D5F66" w:rsidRDefault="008D5F66" w:rsidP="005012C6">
      <w:pPr>
        <w:jc w:val="center"/>
        <w:rPr>
          <w:rFonts w:ascii="Times New Roman" w:hAnsi="Times New Roman" w:cs="Times New Roman"/>
          <w:sz w:val="24"/>
          <w:szCs w:val="24"/>
        </w:rPr>
      </w:pPr>
    </w:p>
    <w:p w14:paraId="5FD750EE" w14:textId="77777777" w:rsidR="008D5F66" w:rsidRDefault="008D5F66" w:rsidP="005012C6">
      <w:pPr>
        <w:jc w:val="center"/>
        <w:rPr>
          <w:rFonts w:ascii="Times New Roman" w:hAnsi="Times New Roman" w:cs="Times New Roman"/>
          <w:sz w:val="24"/>
          <w:szCs w:val="24"/>
        </w:rPr>
      </w:pPr>
    </w:p>
    <w:p w14:paraId="17EF22CF" w14:textId="77777777" w:rsidR="008D5F66" w:rsidRDefault="008D5F66" w:rsidP="005012C6">
      <w:pPr>
        <w:jc w:val="center"/>
        <w:rPr>
          <w:rFonts w:ascii="Times New Roman" w:hAnsi="Times New Roman" w:cs="Times New Roman"/>
          <w:sz w:val="24"/>
          <w:szCs w:val="24"/>
        </w:rPr>
      </w:pPr>
    </w:p>
    <w:p w14:paraId="2C652653" w14:textId="50D82B8E" w:rsidR="008D5F66" w:rsidRDefault="001B6945" w:rsidP="005012C6">
      <w:pPr>
        <w:jc w:val="center"/>
        <w:rPr>
          <w:rFonts w:ascii="Times New Roman" w:hAnsi="Times New Roman" w:cs="Times New Roman"/>
          <w:sz w:val="24"/>
          <w:szCs w:val="24"/>
        </w:rPr>
      </w:pPr>
      <w:r w:rsidRPr="001B6945">
        <w:rPr>
          <w:rFonts w:ascii="Times New Roman" w:hAnsi="Times New Roman" w:cs="Times New Roman"/>
          <w:noProof/>
          <w:sz w:val="24"/>
          <w:szCs w:val="24"/>
        </w:rPr>
        <w:lastRenderedPageBreak/>
        <w:drawing>
          <wp:anchor distT="0" distB="0" distL="114300" distR="114300" simplePos="0" relativeHeight="251766784" behindDoc="0" locked="0" layoutInCell="1" allowOverlap="1" wp14:anchorId="100BD1D0" wp14:editId="4D5B5C7F">
            <wp:simplePos x="0" y="0"/>
            <wp:positionH relativeFrom="column">
              <wp:posOffset>390818</wp:posOffset>
            </wp:positionH>
            <wp:positionV relativeFrom="paragraph">
              <wp:posOffset>0</wp:posOffset>
            </wp:positionV>
            <wp:extent cx="5158154" cy="5967698"/>
            <wp:effectExtent l="0" t="0" r="0" b="1905"/>
            <wp:wrapNone/>
            <wp:docPr id="898530049"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30049" name="Picture 1" descr="A close-up of a chart&#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158154" cy="5967698"/>
                    </a:xfrm>
                    <a:prstGeom prst="rect">
                      <a:avLst/>
                    </a:prstGeom>
                  </pic:spPr>
                </pic:pic>
              </a:graphicData>
            </a:graphic>
            <wp14:sizeRelH relativeFrom="page">
              <wp14:pctWidth>0</wp14:pctWidth>
            </wp14:sizeRelH>
            <wp14:sizeRelV relativeFrom="page">
              <wp14:pctHeight>0</wp14:pctHeight>
            </wp14:sizeRelV>
          </wp:anchor>
        </w:drawing>
      </w:r>
    </w:p>
    <w:p w14:paraId="11E0146E" w14:textId="77777777" w:rsidR="008D5F66" w:rsidRDefault="008D5F66" w:rsidP="005012C6">
      <w:pPr>
        <w:jc w:val="center"/>
        <w:rPr>
          <w:rFonts w:ascii="Times New Roman" w:hAnsi="Times New Roman" w:cs="Times New Roman"/>
          <w:sz w:val="24"/>
          <w:szCs w:val="24"/>
        </w:rPr>
      </w:pPr>
    </w:p>
    <w:p w14:paraId="2DCFBC93" w14:textId="77777777" w:rsidR="008D5F66" w:rsidRDefault="008D5F66" w:rsidP="005012C6">
      <w:pPr>
        <w:jc w:val="center"/>
        <w:rPr>
          <w:rFonts w:ascii="Times New Roman" w:hAnsi="Times New Roman" w:cs="Times New Roman"/>
          <w:sz w:val="24"/>
          <w:szCs w:val="24"/>
        </w:rPr>
      </w:pPr>
    </w:p>
    <w:p w14:paraId="3E22944A" w14:textId="77777777" w:rsidR="008D5F66" w:rsidRDefault="008D5F66" w:rsidP="005012C6">
      <w:pPr>
        <w:jc w:val="center"/>
        <w:rPr>
          <w:rFonts w:ascii="Times New Roman" w:hAnsi="Times New Roman" w:cs="Times New Roman"/>
          <w:sz w:val="24"/>
          <w:szCs w:val="24"/>
        </w:rPr>
      </w:pPr>
    </w:p>
    <w:p w14:paraId="3E40BF3B" w14:textId="77777777" w:rsidR="008D5F66" w:rsidRDefault="008D5F66" w:rsidP="005012C6">
      <w:pPr>
        <w:jc w:val="center"/>
        <w:rPr>
          <w:rFonts w:ascii="Times New Roman" w:hAnsi="Times New Roman" w:cs="Times New Roman"/>
          <w:sz w:val="24"/>
          <w:szCs w:val="24"/>
        </w:rPr>
      </w:pPr>
    </w:p>
    <w:p w14:paraId="590933BF" w14:textId="77777777" w:rsidR="008D5F66" w:rsidRDefault="008D5F66" w:rsidP="005012C6">
      <w:pPr>
        <w:jc w:val="center"/>
        <w:rPr>
          <w:rFonts w:ascii="Times New Roman" w:hAnsi="Times New Roman" w:cs="Times New Roman"/>
          <w:sz w:val="24"/>
          <w:szCs w:val="24"/>
        </w:rPr>
      </w:pPr>
    </w:p>
    <w:p w14:paraId="746676C9" w14:textId="77777777" w:rsidR="000705A6" w:rsidRDefault="000705A6" w:rsidP="005012C6">
      <w:pPr>
        <w:jc w:val="center"/>
        <w:rPr>
          <w:rFonts w:ascii="Times New Roman" w:hAnsi="Times New Roman" w:cs="Times New Roman"/>
          <w:sz w:val="24"/>
          <w:szCs w:val="24"/>
        </w:rPr>
      </w:pPr>
    </w:p>
    <w:p w14:paraId="1C21B661" w14:textId="77777777" w:rsidR="000705A6" w:rsidRDefault="000705A6" w:rsidP="005012C6">
      <w:pPr>
        <w:jc w:val="center"/>
        <w:rPr>
          <w:rFonts w:ascii="Times New Roman" w:hAnsi="Times New Roman" w:cs="Times New Roman"/>
          <w:sz w:val="24"/>
          <w:szCs w:val="24"/>
        </w:rPr>
      </w:pPr>
    </w:p>
    <w:p w14:paraId="422FB723" w14:textId="77777777" w:rsidR="000705A6" w:rsidRDefault="000705A6" w:rsidP="005012C6">
      <w:pPr>
        <w:jc w:val="center"/>
        <w:rPr>
          <w:rFonts w:ascii="Times New Roman" w:hAnsi="Times New Roman" w:cs="Times New Roman"/>
          <w:sz w:val="24"/>
          <w:szCs w:val="24"/>
        </w:rPr>
      </w:pPr>
    </w:p>
    <w:p w14:paraId="59A00E39" w14:textId="77777777" w:rsidR="000705A6" w:rsidRDefault="000705A6" w:rsidP="005012C6">
      <w:pPr>
        <w:jc w:val="center"/>
        <w:rPr>
          <w:rFonts w:ascii="Times New Roman" w:hAnsi="Times New Roman" w:cs="Times New Roman"/>
          <w:sz w:val="24"/>
          <w:szCs w:val="24"/>
        </w:rPr>
      </w:pPr>
    </w:p>
    <w:p w14:paraId="1D24377A" w14:textId="77777777" w:rsidR="000705A6" w:rsidRDefault="000705A6" w:rsidP="005012C6">
      <w:pPr>
        <w:jc w:val="center"/>
        <w:rPr>
          <w:rFonts w:ascii="Times New Roman" w:hAnsi="Times New Roman" w:cs="Times New Roman"/>
          <w:sz w:val="24"/>
          <w:szCs w:val="24"/>
        </w:rPr>
      </w:pPr>
    </w:p>
    <w:p w14:paraId="38DD9D92" w14:textId="77777777" w:rsidR="000705A6" w:rsidRDefault="000705A6" w:rsidP="005012C6">
      <w:pPr>
        <w:jc w:val="center"/>
        <w:rPr>
          <w:rFonts w:ascii="Times New Roman" w:hAnsi="Times New Roman" w:cs="Times New Roman"/>
          <w:sz w:val="24"/>
          <w:szCs w:val="24"/>
        </w:rPr>
      </w:pPr>
    </w:p>
    <w:p w14:paraId="03CD265D" w14:textId="77777777" w:rsidR="000705A6" w:rsidRDefault="000705A6" w:rsidP="005012C6">
      <w:pPr>
        <w:jc w:val="center"/>
        <w:rPr>
          <w:rFonts w:ascii="Times New Roman" w:hAnsi="Times New Roman" w:cs="Times New Roman"/>
          <w:sz w:val="24"/>
          <w:szCs w:val="24"/>
        </w:rPr>
      </w:pPr>
    </w:p>
    <w:p w14:paraId="32AF6DAB" w14:textId="77777777" w:rsidR="000705A6" w:rsidRDefault="000705A6" w:rsidP="005012C6">
      <w:pPr>
        <w:jc w:val="center"/>
        <w:rPr>
          <w:rFonts w:ascii="Times New Roman" w:hAnsi="Times New Roman" w:cs="Times New Roman"/>
          <w:sz w:val="24"/>
          <w:szCs w:val="24"/>
        </w:rPr>
      </w:pPr>
    </w:p>
    <w:p w14:paraId="4F88425A" w14:textId="77777777" w:rsidR="000705A6" w:rsidRDefault="000705A6" w:rsidP="005012C6">
      <w:pPr>
        <w:jc w:val="center"/>
        <w:rPr>
          <w:rFonts w:ascii="Times New Roman" w:hAnsi="Times New Roman" w:cs="Times New Roman"/>
          <w:sz w:val="24"/>
          <w:szCs w:val="24"/>
        </w:rPr>
      </w:pPr>
    </w:p>
    <w:p w14:paraId="23943BCF" w14:textId="77777777" w:rsidR="000705A6" w:rsidRDefault="000705A6" w:rsidP="005012C6">
      <w:pPr>
        <w:jc w:val="center"/>
        <w:rPr>
          <w:rFonts w:ascii="Times New Roman" w:hAnsi="Times New Roman" w:cs="Times New Roman"/>
          <w:sz w:val="24"/>
          <w:szCs w:val="24"/>
        </w:rPr>
      </w:pPr>
    </w:p>
    <w:p w14:paraId="5CAE597B" w14:textId="77777777" w:rsidR="000705A6" w:rsidRDefault="000705A6" w:rsidP="005012C6">
      <w:pPr>
        <w:jc w:val="center"/>
        <w:rPr>
          <w:rFonts w:ascii="Times New Roman" w:hAnsi="Times New Roman" w:cs="Times New Roman"/>
          <w:sz w:val="24"/>
          <w:szCs w:val="24"/>
        </w:rPr>
      </w:pPr>
    </w:p>
    <w:p w14:paraId="019E0320" w14:textId="77777777" w:rsidR="000705A6" w:rsidRDefault="000705A6" w:rsidP="005012C6">
      <w:pPr>
        <w:jc w:val="center"/>
        <w:rPr>
          <w:rFonts w:ascii="Times New Roman" w:hAnsi="Times New Roman" w:cs="Times New Roman"/>
          <w:sz w:val="24"/>
          <w:szCs w:val="24"/>
        </w:rPr>
      </w:pPr>
    </w:p>
    <w:p w14:paraId="34FD2491" w14:textId="77777777" w:rsidR="000705A6" w:rsidRDefault="000705A6" w:rsidP="005012C6">
      <w:pPr>
        <w:jc w:val="center"/>
        <w:rPr>
          <w:rFonts w:ascii="Times New Roman" w:hAnsi="Times New Roman" w:cs="Times New Roman"/>
          <w:sz w:val="24"/>
          <w:szCs w:val="24"/>
        </w:rPr>
      </w:pPr>
    </w:p>
    <w:p w14:paraId="7055D035" w14:textId="3E4FBCFF" w:rsidR="000705A6" w:rsidRDefault="000705A6" w:rsidP="005012C6">
      <w:pPr>
        <w:jc w:val="center"/>
        <w:rPr>
          <w:rFonts w:ascii="Times New Roman" w:hAnsi="Times New Roman" w:cs="Times New Roman"/>
          <w:sz w:val="24"/>
          <w:szCs w:val="24"/>
        </w:rPr>
      </w:pPr>
    </w:p>
    <w:p w14:paraId="4AD4FE3C" w14:textId="3F21ADCB" w:rsidR="000705A6" w:rsidRDefault="00E75F33"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65760" behindDoc="0" locked="0" layoutInCell="1" allowOverlap="1" wp14:anchorId="4D0BEA27" wp14:editId="2DE082FA">
                <wp:simplePos x="0" y="0"/>
                <wp:positionH relativeFrom="column">
                  <wp:posOffset>0</wp:posOffset>
                </wp:positionH>
                <wp:positionV relativeFrom="paragraph">
                  <wp:posOffset>199242</wp:posOffset>
                </wp:positionV>
                <wp:extent cx="6024245" cy="1984815"/>
                <wp:effectExtent l="0" t="0" r="0" b="0"/>
                <wp:wrapNone/>
                <wp:docPr id="1745854823" name="Text Box 2"/>
                <wp:cNvGraphicFramePr/>
                <a:graphic xmlns:a="http://schemas.openxmlformats.org/drawingml/2006/main">
                  <a:graphicData uri="http://schemas.microsoft.com/office/word/2010/wordprocessingShape">
                    <wps:wsp>
                      <wps:cNvSpPr txBox="1"/>
                      <wps:spPr>
                        <a:xfrm>
                          <a:off x="0" y="0"/>
                          <a:ext cx="6024245" cy="1984815"/>
                        </a:xfrm>
                        <a:prstGeom prst="rect">
                          <a:avLst/>
                        </a:prstGeom>
                        <a:noFill/>
                        <a:ln w="6350">
                          <a:noFill/>
                        </a:ln>
                      </wps:spPr>
                      <wps:txbx>
                        <w:txbxContent>
                          <w:p w14:paraId="0142112E" w14:textId="77777777" w:rsidR="00E75F33" w:rsidRPr="00AC36DC" w:rsidRDefault="00E75F33" w:rsidP="00E75F33">
                            <w:pPr>
                              <w:jc w:val="both"/>
                              <w:rPr>
                                <w:rFonts w:ascii="Times New Roman" w:hAnsi="Times New Roman" w:cs="Times New Roman"/>
                                <w:color w:val="000000" w:themeColor="text1"/>
                                <w:sz w:val="20"/>
                                <w:szCs w:val="20"/>
                              </w:rPr>
                            </w:pPr>
                            <w:bookmarkStart w:id="24" w:name="FigS20"/>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20</w:t>
                            </w:r>
                            <w:bookmarkEnd w:id="24"/>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aurolineatus</w:t>
                            </w:r>
                            <w:r>
                              <w:rPr>
                                <w:rFonts w:ascii="Times New Roman" w:hAnsi="Times New Roman" w:cs="Times New Roman"/>
                                <w:color w:val="000000" w:themeColor="text1"/>
                                <w:sz w:val="20"/>
                                <w:szCs w:val="20"/>
                              </w:rPr>
                              <w:t xml:space="preserve"> based on 6,157 SNPs. A) Map showing sampling sites and the proportion of individuals collected from each. Adjacent to the map is a phylogenetic tree, with branches are color-coded to match sampling sites. Dashed lines on the map indicate marine barriers to dispersal evaluated for this species.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BEA27" id="_x0000_s1059" type="#_x0000_t202" style="position:absolute;left:0;text-align:left;margin-left:0;margin-top:15.7pt;width:474.35pt;height:156.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" filled="f" stroked="f" strokeweight=".5pt">
                <v:textbox>
                  <w:txbxContent>
                    <w:p w14:paraId="0142112E" w14:textId="77777777" w:rsidR="00E75F33" w:rsidRPr="00AC36DC" w:rsidRDefault="00E75F33" w:rsidP="00E75F33">
                      <w:pPr>
                        <w:jc w:val="both"/>
                        <w:rPr>
                          <w:rFonts w:ascii="Times New Roman" w:hAnsi="Times New Roman" w:cs="Times New Roman"/>
                          <w:color w:val="000000" w:themeColor="text1"/>
                          <w:sz w:val="20"/>
                          <w:szCs w:val="20"/>
                        </w:rPr>
                      </w:pPr>
                      <w:bookmarkStart w:id="40" w:name="FigS20"/>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20</w:t>
                      </w:r>
                      <w:bookmarkEnd w:id="40"/>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aurolineatus</w:t>
                      </w:r>
                      <w:r>
                        <w:rPr>
                          <w:rFonts w:ascii="Times New Roman" w:hAnsi="Times New Roman" w:cs="Times New Roman"/>
                          <w:color w:val="000000" w:themeColor="text1"/>
                          <w:sz w:val="20"/>
                          <w:szCs w:val="20"/>
                        </w:rPr>
                        <w:t xml:space="preserve"> based on 6,157 SNPs. A) Map showing sampling sites and the proportion of individuals collected from each. Adjacent to the map is a phylogenetic tree, with branches are color-coded to match sampling sites. Dashed lines on the map indicate marine barriers to dispersal evaluated for this species.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3294A9D4" w14:textId="0E827DD3" w:rsidR="000705A6" w:rsidRDefault="000705A6" w:rsidP="005012C6">
      <w:pPr>
        <w:jc w:val="center"/>
        <w:rPr>
          <w:rFonts w:ascii="Times New Roman" w:hAnsi="Times New Roman" w:cs="Times New Roman"/>
          <w:sz w:val="24"/>
          <w:szCs w:val="24"/>
        </w:rPr>
      </w:pPr>
    </w:p>
    <w:p w14:paraId="260774BF" w14:textId="2FD0D8FB" w:rsidR="000705A6" w:rsidRDefault="000705A6" w:rsidP="005012C6">
      <w:pPr>
        <w:jc w:val="center"/>
        <w:rPr>
          <w:rFonts w:ascii="Times New Roman" w:hAnsi="Times New Roman" w:cs="Times New Roman"/>
          <w:sz w:val="24"/>
          <w:szCs w:val="24"/>
        </w:rPr>
      </w:pPr>
    </w:p>
    <w:p w14:paraId="03E92D50" w14:textId="36AA3C54" w:rsidR="000705A6" w:rsidRDefault="000705A6" w:rsidP="005012C6">
      <w:pPr>
        <w:jc w:val="center"/>
        <w:rPr>
          <w:rFonts w:ascii="Times New Roman" w:hAnsi="Times New Roman" w:cs="Times New Roman"/>
          <w:sz w:val="24"/>
          <w:szCs w:val="24"/>
        </w:rPr>
      </w:pPr>
    </w:p>
    <w:p w14:paraId="6B1EC6EE" w14:textId="77777777" w:rsidR="000705A6" w:rsidRDefault="000705A6" w:rsidP="005012C6">
      <w:pPr>
        <w:jc w:val="center"/>
        <w:rPr>
          <w:rFonts w:ascii="Times New Roman" w:hAnsi="Times New Roman" w:cs="Times New Roman"/>
          <w:sz w:val="24"/>
          <w:szCs w:val="24"/>
        </w:rPr>
      </w:pPr>
    </w:p>
    <w:p w14:paraId="3DA79A23" w14:textId="77777777" w:rsidR="000705A6" w:rsidRDefault="000705A6" w:rsidP="005012C6">
      <w:pPr>
        <w:jc w:val="center"/>
        <w:rPr>
          <w:rFonts w:ascii="Times New Roman" w:hAnsi="Times New Roman" w:cs="Times New Roman"/>
          <w:sz w:val="24"/>
          <w:szCs w:val="24"/>
        </w:rPr>
      </w:pPr>
    </w:p>
    <w:p w14:paraId="28448127" w14:textId="77777777" w:rsidR="000705A6" w:rsidRDefault="000705A6" w:rsidP="005012C6">
      <w:pPr>
        <w:jc w:val="center"/>
        <w:rPr>
          <w:rFonts w:ascii="Times New Roman" w:hAnsi="Times New Roman" w:cs="Times New Roman"/>
          <w:sz w:val="24"/>
          <w:szCs w:val="24"/>
        </w:rPr>
      </w:pPr>
    </w:p>
    <w:p w14:paraId="243394F7" w14:textId="77777777" w:rsidR="000705A6" w:rsidRDefault="000705A6" w:rsidP="005012C6">
      <w:pPr>
        <w:jc w:val="center"/>
        <w:rPr>
          <w:rFonts w:ascii="Times New Roman" w:hAnsi="Times New Roman" w:cs="Times New Roman"/>
          <w:sz w:val="24"/>
          <w:szCs w:val="24"/>
        </w:rPr>
      </w:pPr>
    </w:p>
    <w:p w14:paraId="4D1C6EE1" w14:textId="2DF89A40" w:rsidR="000705A6" w:rsidRDefault="00E83D82" w:rsidP="005012C6">
      <w:pPr>
        <w:jc w:val="center"/>
        <w:rPr>
          <w:rFonts w:ascii="Times New Roman" w:hAnsi="Times New Roman" w:cs="Times New Roman"/>
          <w:sz w:val="24"/>
          <w:szCs w:val="24"/>
        </w:rPr>
      </w:pPr>
      <w:r w:rsidRPr="0018605D">
        <w:rPr>
          <w:rFonts w:ascii="Times New Roman" w:hAnsi="Times New Roman" w:cs="Times New Roman"/>
          <w:noProof/>
          <w:sz w:val="24"/>
          <w:szCs w:val="24"/>
        </w:rPr>
        <w:lastRenderedPageBreak/>
        <w:drawing>
          <wp:anchor distT="0" distB="0" distL="114300" distR="114300" simplePos="0" relativeHeight="251769856" behindDoc="0" locked="0" layoutInCell="1" allowOverlap="1" wp14:anchorId="65D5F505" wp14:editId="71C5553F">
            <wp:simplePos x="0" y="0"/>
            <wp:positionH relativeFrom="column">
              <wp:posOffset>242228</wp:posOffset>
            </wp:positionH>
            <wp:positionV relativeFrom="paragraph">
              <wp:posOffset>46355</wp:posOffset>
            </wp:positionV>
            <wp:extent cx="5419042" cy="6271846"/>
            <wp:effectExtent l="0" t="0" r="4445" b="2540"/>
            <wp:wrapNone/>
            <wp:docPr id="16425427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42766" name="Picture 1" descr="A screenshot of a computer&#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419042" cy="6271846"/>
                    </a:xfrm>
                    <a:prstGeom prst="rect">
                      <a:avLst/>
                    </a:prstGeom>
                  </pic:spPr>
                </pic:pic>
              </a:graphicData>
            </a:graphic>
            <wp14:sizeRelH relativeFrom="page">
              <wp14:pctWidth>0</wp14:pctWidth>
            </wp14:sizeRelH>
            <wp14:sizeRelV relativeFrom="page">
              <wp14:pctHeight>0</wp14:pctHeight>
            </wp14:sizeRelV>
          </wp:anchor>
        </w:drawing>
      </w:r>
    </w:p>
    <w:p w14:paraId="7E66F295" w14:textId="2E848BEC" w:rsidR="000705A6" w:rsidRDefault="000705A6" w:rsidP="005012C6">
      <w:pPr>
        <w:jc w:val="center"/>
        <w:rPr>
          <w:rFonts w:ascii="Times New Roman" w:hAnsi="Times New Roman" w:cs="Times New Roman"/>
          <w:sz w:val="24"/>
          <w:szCs w:val="24"/>
        </w:rPr>
      </w:pPr>
    </w:p>
    <w:p w14:paraId="017DC4DF" w14:textId="40C216EA" w:rsidR="000705A6" w:rsidRDefault="000705A6" w:rsidP="005012C6">
      <w:pPr>
        <w:jc w:val="center"/>
        <w:rPr>
          <w:rFonts w:ascii="Times New Roman" w:hAnsi="Times New Roman" w:cs="Times New Roman"/>
          <w:sz w:val="24"/>
          <w:szCs w:val="24"/>
        </w:rPr>
      </w:pPr>
    </w:p>
    <w:p w14:paraId="138285B3" w14:textId="77777777" w:rsidR="000705A6" w:rsidRDefault="000705A6" w:rsidP="005012C6">
      <w:pPr>
        <w:jc w:val="center"/>
        <w:rPr>
          <w:rFonts w:ascii="Times New Roman" w:hAnsi="Times New Roman" w:cs="Times New Roman"/>
          <w:sz w:val="24"/>
          <w:szCs w:val="24"/>
        </w:rPr>
      </w:pPr>
    </w:p>
    <w:p w14:paraId="417DE558" w14:textId="77777777" w:rsidR="000705A6" w:rsidRDefault="000705A6" w:rsidP="005012C6">
      <w:pPr>
        <w:jc w:val="center"/>
        <w:rPr>
          <w:rFonts w:ascii="Times New Roman" w:hAnsi="Times New Roman" w:cs="Times New Roman"/>
          <w:sz w:val="24"/>
          <w:szCs w:val="24"/>
        </w:rPr>
      </w:pPr>
    </w:p>
    <w:p w14:paraId="373260FF" w14:textId="77777777" w:rsidR="005C2A60" w:rsidRDefault="005C2A60" w:rsidP="005012C6">
      <w:pPr>
        <w:jc w:val="center"/>
        <w:rPr>
          <w:rFonts w:ascii="Times New Roman" w:hAnsi="Times New Roman" w:cs="Times New Roman"/>
          <w:sz w:val="24"/>
          <w:szCs w:val="24"/>
        </w:rPr>
      </w:pPr>
    </w:p>
    <w:p w14:paraId="4B33A819" w14:textId="77777777" w:rsidR="005C2A60" w:rsidRDefault="005C2A60" w:rsidP="005012C6">
      <w:pPr>
        <w:jc w:val="center"/>
        <w:rPr>
          <w:rFonts w:ascii="Times New Roman" w:hAnsi="Times New Roman" w:cs="Times New Roman"/>
          <w:sz w:val="24"/>
          <w:szCs w:val="24"/>
        </w:rPr>
      </w:pPr>
    </w:p>
    <w:p w14:paraId="6B64662A" w14:textId="77777777" w:rsidR="005C2A60" w:rsidRDefault="005C2A60" w:rsidP="005012C6">
      <w:pPr>
        <w:jc w:val="center"/>
        <w:rPr>
          <w:rFonts w:ascii="Times New Roman" w:hAnsi="Times New Roman" w:cs="Times New Roman"/>
          <w:sz w:val="24"/>
          <w:szCs w:val="24"/>
        </w:rPr>
      </w:pPr>
    </w:p>
    <w:p w14:paraId="58C99C99" w14:textId="77777777" w:rsidR="005C2A60" w:rsidRDefault="005C2A60" w:rsidP="005012C6">
      <w:pPr>
        <w:jc w:val="center"/>
        <w:rPr>
          <w:rFonts w:ascii="Times New Roman" w:hAnsi="Times New Roman" w:cs="Times New Roman"/>
          <w:sz w:val="24"/>
          <w:szCs w:val="24"/>
        </w:rPr>
      </w:pPr>
    </w:p>
    <w:p w14:paraId="38F2A9D9" w14:textId="77777777" w:rsidR="005C2A60" w:rsidRDefault="005C2A60" w:rsidP="005012C6">
      <w:pPr>
        <w:jc w:val="center"/>
        <w:rPr>
          <w:rFonts w:ascii="Times New Roman" w:hAnsi="Times New Roman" w:cs="Times New Roman"/>
          <w:sz w:val="24"/>
          <w:szCs w:val="24"/>
        </w:rPr>
      </w:pPr>
    </w:p>
    <w:p w14:paraId="289429AB" w14:textId="77777777" w:rsidR="005C2A60" w:rsidRDefault="005C2A60" w:rsidP="005012C6">
      <w:pPr>
        <w:jc w:val="center"/>
        <w:rPr>
          <w:rFonts w:ascii="Times New Roman" w:hAnsi="Times New Roman" w:cs="Times New Roman"/>
          <w:sz w:val="24"/>
          <w:szCs w:val="24"/>
        </w:rPr>
      </w:pPr>
    </w:p>
    <w:p w14:paraId="03C93465" w14:textId="77777777" w:rsidR="005C2A60" w:rsidRDefault="005C2A60" w:rsidP="005012C6">
      <w:pPr>
        <w:jc w:val="center"/>
        <w:rPr>
          <w:rFonts w:ascii="Times New Roman" w:hAnsi="Times New Roman" w:cs="Times New Roman"/>
          <w:sz w:val="24"/>
          <w:szCs w:val="24"/>
        </w:rPr>
      </w:pPr>
    </w:p>
    <w:p w14:paraId="68E9D76B" w14:textId="77777777" w:rsidR="005C2A60" w:rsidRDefault="005C2A60" w:rsidP="005012C6">
      <w:pPr>
        <w:jc w:val="center"/>
        <w:rPr>
          <w:rFonts w:ascii="Times New Roman" w:hAnsi="Times New Roman" w:cs="Times New Roman"/>
          <w:sz w:val="24"/>
          <w:szCs w:val="24"/>
        </w:rPr>
      </w:pPr>
    </w:p>
    <w:p w14:paraId="2B86D548" w14:textId="77777777" w:rsidR="005C2A60" w:rsidRDefault="005C2A60" w:rsidP="005012C6">
      <w:pPr>
        <w:jc w:val="center"/>
        <w:rPr>
          <w:rFonts w:ascii="Times New Roman" w:hAnsi="Times New Roman" w:cs="Times New Roman"/>
          <w:sz w:val="24"/>
          <w:szCs w:val="24"/>
        </w:rPr>
      </w:pPr>
    </w:p>
    <w:p w14:paraId="14D22213" w14:textId="77777777" w:rsidR="005C2A60" w:rsidRDefault="005C2A60" w:rsidP="005012C6">
      <w:pPr>
        <w:jc w:val="center"/>
        <w:rPr>
          <w:rFonts w:ascii="Times New Roman" w:hAnsi="Times New Roman" w:cs="Times New Roman"/>
          <w:sz w:val="24"/>
          <w:szCs w:val="24"/>
        </w:rPr>
      </w:pPr>
    </w:p>
    <w:p w14:paraId="1AB0D11E" w14:textId="77777777" w:rsidR="005C2A60" w:rsidRDefault="005C2A60" w:rsidP="005012C6">
      <w:pPr>
        <w:jc w:val="center"/>
        <w:rPr>
          <w:rFonts w:ascii="Times New Roman" w:hAnsi="Times New Roman" w:cs="Times New Roman"/>
          <w:sz w:val="24"/>
          <w:szCs w:val="24"/>
        </w:rPr>
      </w:pPr>
    </w:p>
    <w:p w14:paraId="6D2F28CD" w14:textId="77777777" w:rsidR="005C2A60" w:rsidRDefault="005C2A60" w:rsidP="005012C6">
      <w:pPr>
        <w:jc w:val="center"/>
        <w:rPr>
          <w:rFonts w:ascii="Times New Roman" w:hAnsi="Times New Roman" w:cs="Times New Roman"/>
          <w:sz w:val="24"/>
          <w:szCs w:val="24"/>
        </w:rPr>
      </w:pPr>
    </w:p>
    <w:p w14:paraId="586B8FAA" w14:textId="0821820E" w:rsidR="005C2A60" w:rsidRDefault="005C2A60" w:rsidP="005012C6">
      <w:pPr>
        <w:jc w:val="center"/>
        <w:rPr>
          <w:rFonts w:ascii="Times New Roman" w:hAnsi="Times New Roman" w:cs="Times New Roman"/>
          <w:sz w:val="24"/>
          <w:szCs w:val="24"/>
        </w:rPr>
      </w:pPr>
    </w:p>
    <w:p w14:paraId="306AB61B" w14:textId="223BEAFD" w:rsidR="005C2A60" w:rsidRDefault="005C2A60" w:rsidP="005012C6">
      <w:pPr>
        <w:jc w:val="center"/>
        <w:rPr>
          <w:rFonts w:ascii="Times New Roman" w:hAnsi="Times New Roman" w:cs="Times New Roman"/>
          <w:sz w:val="24"/>
          <w:szCs w:val="24"/>
        </w:rPr>
      </w:pPr>
    </w:p>
    <w:p w14:paraId="070C38E3" w14:textId="06F6C2AB" w:rsidR="005C2A60" w:rsidRDefault="005C2A60" w:rsidP="005012C6">
      <w:pPr>
        <w:jc w:val="center"/>
        <w:rPr>
          <w:rFonts w:ascii="Times New Roman" w:hAnsi="Times New Roman" w:cs="Times New Roman"/>
          <w:sz w:val="24"/>
          <w:szCs w:val="24"/>
        </w:rPr>
      </w:pPr>
    </w:p>
    <w:p w14:paraId="416B74E7" w14:textId="7FC51254" w:rsidR="005C2A60" w:rsidRDefault="005C2A60" w:rsidP="005012C6">
      <w:pPr>
        <w:jc w:val="center"/>
        <w:rPr>
          <w:rFonts w:ascii="Times New Roman" w:hAnsi="Times New Roman" w:cs="Times New Roman"/>
          <w:sz w:val="24"/>
          <w:szCs w:val="24"/>
        </w:rPr>
      </w:pPr>
    </w:p>
    <w:p w14:paraId="44A6F810" w14:textId="7A120844" w:rsidR="005C2A60" w:rsidRDefault="00E83D82"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71904" behindDoc="0" locked="0" layoutInCell="1" allowOverlap="1" wp14:anchorId="5D63827A" wp14:editId="3290A2E1">
                <wp:simplePos x="0" y="0"/>
                <wp:positionH relativeFrom="column">
                  <wp:posOffset>0</wp:posOffset>
                </wp:positionH>
                <wp:positionV relativeFrom="paragraph">
                  <wp:posOffset>206717</wp:posOffset>
                </wp:positionV>
                <wp:extent cx="6024245" cy="1693545"/>
                <wp:effectExtent l="0" t="0" r="0" b="0"/>
                <wp:wrapNone/>
                <wp:docPr id="614045878" name="Text Box 2"/>
                <wp:cNvGraphicFramePr/>
                <a:graphic xmlns:a="http://schemas.openxmlformats.org/drawingml/2006/main">
                  <a:graphicData uri="http://schemas.microsoft.com/office/word/2010/wordprocessingShape">
                    <wps:wsp>
                      <wps:cNvSpPr txBox="1"/>
                      <wps:spPr>
                        <a:xfrm>
                          <a:off x="0" y="0"/>
                          <a:ext cx="6024245" cy="1693545"/>
                        </a:xfrm>
                        <a:prstGeom prst="rect">
                          <a:avLst/>
                        </a:prstGeom>
                        <a:noFill/>
                        <a:ln w="6350">
                          <a:noFill/>
                        </a:ln>
                      </wps:spPr>
                      <wps:txbx>
                        <w:txbxContent>
                          <w:p w14:paraId="3102F703" w14:textId="7B0D10E3" w:rsidR="00E83D82" w:rsidRPr="00AC36DC" w:rsidRDefault="00E83D82" w:rsidP="00E83D82">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21</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boehlkei</w:t>
                            </w:r>
                            <w:r>
                              <w:rPr>
                                <w:rFonts w:ascii="Times New Roman" w:hAnsi="Times New Roman" w:cs="Times New Roman"/>
                                <w:color w:val="000000" w:themeColor="text1"/>
                                <w:sz w:val="20"/>
                                <w:szCs w:val="20"/>
                              </w:rPr>
                              <w:t xml:space="preserve"> based on 6,357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3827A" id="_x0000_s1060" type="#_x0000_t202" style="position:absolute;left:0;text-align:left;margin-left:0;margin-top:16.3pt;width:474.35pt;height:133.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" filled="f" stroked="f" strokeweight=".5pt">
                <v:textbox>
                  <w:txbxContent>
                    <w:p w14:paraId="3102F703" w14:textId="7B0D10E3" w:rsidR="00E83D82" w:rsidRPr="00AC36DC" w:rsidRDefault="00E83D82" w:rsidP="00E83D82">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21</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boehlkei</w:t>
                      </w:r>
                      <w:r>
                        <w:rPr>
                          <w:rFonts w:ascii="Times New Roman" w:hAnsi="Times New Roman" w:cs="Times New Roman"/>
                          <w:color w:val="000000" w:themeColor="text1"/>
                          <w:sz w:val="20"/>
                          <w:szCs w:val="20"/>
                        </w:rPr>
                        <w:t xml:space="preserve"> based on </w:t>
                      </w:r>
                      <w:r>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357</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67A1EEAF" w14:textId="42E58452" w:rsidR="005C2A60" w:rsidRDefault="005C2A60" w:rsidP="005012C6">
      <w:pPr>
        <w:jc w:val="center"/>
        <w:rPr>
          <w:rFonts w:ascii="Times New Roman" w:hAnsi="Times New Roman" w:cs="Times New Roman"/>
          <w:sz w:val="24"/>
          <w:szCs w:val="24"/>
        </w:rPr>
      </w:pPr>
    </w:p>
    <w:p w14:paraId="42ACB129" w14:textId="77777777" w:rsidR="005C2A60" w:rsidRDefault="005C2A60" w:rsidP="005012C6">
      <w:pPr>
        <w:jc w:val="center"/>
        <w:rPr>
          <w:rFonts w:ascii="Times New Roman" w:hAnsi="Times New Roman" w:cs="Times New Roman"/>
          <w:sz w:val="24"/>
          <w:szCs w:val="24"/>
        </w:rPr>
      </w:pPr>
    </w:p>
    <w:p w14:paraId="2BEA273E" w14:textId="77777777" w:rsidR="005C2A60" w:rsidRDefault="005C2A60" w:rsidP="005012C6">
      <w:pPr>
        <w:jc w:val="center"/>
        <w:rPr>
          <w:rFonts w:ascii="Times New Roman" w:hAnsi="Times New Roman" w:cs="Times New Roman"/>
          <w:sz w:val="24"/>
          <w:szCs w:val="24"/>
        </w:rPr>
      </w:pPr>
    </w:p>
    <w:p w14:paraId="2DD0F814" w14:textId="77777777" w:rsidR="005C2A60" w:rsidRDefault="005C2A60" w:rsidP="005012C6">
      <w:pPr>
        <w:jc w:val="center"/>
        <w:rPr>
          <w:rFonts w:ascii="Times New Roman" w:hAnsi="Times New Roman" w:cs="Times New Roman"/>
          <w:sz w:val="24"/>
          <w:szCs w:val="24"/>
        </w:rPr>
      </w:pPr>
    </w:p>
    <w:p w14:paraId="122DAABE" w14:textId="77777777" w:rsidR="005C2A60" w:rsidRDefault="005C2A60" w:rsidP="005012C6">
      <w:pPr>
        <w:jc w:val="center"/>
        <w:rPr>
          <w:rFonts w:ascii="Times New Roman" w:hAnsi="Times New Roman" w:cs="Times New Roman"/>
          <w:sz w:val="24"/>
          <w:szCs w:val="24"/>
        </w:rPr>
      </w:pPr>
    </w:p>
    <w:p w14:paraId="692468B8" w14:textId="77777777" w:rsidR="005C2A60" w:rsidRDefault="005C2A60" w:rsidP="005012C6">
      <w:pPr>
        <w:jc w:val="center"/>
        <w:rPr>
          <w:rFonts w:ascii="Times New Roman" w:hAnsi="Times New Roman" w:cs="Times New Roman"/>
          <w:sz w:val="24"/>
          <w:szCs w:val="24"/>
        </w:rPr>
      </w:pPr>
    </w:p>
    <w:p w14:paraId="03F338EF" w14:textId="692791E9" w:rsidR="005C2A60" w:rsidRDefault="00336DFC" w:rsidP="005012C6">
      <w:pPr>
        <w:jc w:val="center"/>
        <w:rPr>
          <w:rFonts w:ascii="Times New Roman" w:hAnsi="Times New Roman" w:cs="Times New Roman"/>
          <w:sz w:val="24"/>
          <w:szCs w:val="24"/>
        </w:rPr>
      </w:pPr>
      <w:r w:rsidRPr="00336DFC">
        <w:rPr>
          <w:rFonts w:ascii="Times New Roman" w:hAnsi="Times New Roman" w:cs="Times New Roman"/>
          <w:noProof/>
          <w:sz w:val="24"/>
          <w:szCs w:val="24"/>
        </w:rPr>
        <w:lastRenderedPageBreak/>
        <w:drawing>
          <wp:anchor distT="0" distB="0" distL="114300" distR="114300" simplePos="0" relativeHeight="251774976" behindDoc="0" locked="0" layoutInCell="1" allowOverlap="1" wp14:anchorId="561BF1AF" wp14:editId="3CFBB76E">
            <wp:simplePos x="0" y="0"/>
            <wp:positionH relativeFrom="column">
              <wp:posOffset>233338</wp:posOffset>
            </wp:positionH>
            <wp:positionV relativeFrom="paragraph">
              <wp:posOffset>46355</wp:posOffset>
            </wp:positionV>
            <wp:extent cx="5416062" cy="6267240"/>
            <wp:effectExtent l="0" t="0" r="0" b="0"/>
            <wp:wrapNone/>
            <wp:docPr id="3383556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55613" name="Picture 1" descr="A screen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416062" cy="6267240"/>
                    </a:xfrm>
                    <a:prstGeom prst="rect">
                      <a:avLst/>
                    </a:prstGeom>
                  </pic:spPr>
                </pic:pic>
              </a:graphicData>
            </a:graphic>
            <wp14:sizeRelH relativeFrom="page">
              <wp14:pctWidth>0</wp14:pctWidth>
            </wp14:sizeRelH>
            <wp14:sizeRelV relativeFrom="page">
              <wp14:pctHeight>0</wp14:pctHeight>
            </wp14:sizeRelV>
          </wp:anchor>
        </w:drawing>
      </w:r>
    </w:p>
    <w:p w14:paraId="20E1902F" w14:textId="3E33ED68" w:rsidR="005C2A60" w:rsidRDefault="005C2A60" w:rsidP="005012C6">
      <w:pPr>
        <w:jc w:val="center"/>
        <w:rPr>
          <w:rFonts w:ascii="Times New Roman" w:hAnsi="Times New Roman" w:cs="Times New Roman"/>
          <w:sz w:val="24"/>
          <w:szCs w:val="24"/>
        </w:rPr>
      </w:pPr>
    </w:p>
    <w:p w14:paraId="285F03B9" w14:textId="77777777" w:rsidR="005C2A60" w:rsidRDefault="005C2A60" w:rsidP="005012C6">
      <w:pPr>
        <w:jc w:val="center"/>
        <w:rPr>
          <w:rFonts w:ascii="Times New Roman" w:hAnsi="Times New Roman" w:cs="Times New Roman"/>
          <w:sz w:val="24"/>
          <w:szCs w:val="24"/>
        </w:rPr>
      </w:pPr>
    </w:p>
    <w:p w14:paraId="11A83478" w14:textId="77777777" w:rsidR="005C2A60" w:rsidRDefault="005C2A60" w:rsidP="005012C6">
      <w:pPr>
        <w:jc w:val="center"/>
        <w:rPr>
          <w:rFonts w:ascii="Times New Roman" w:hAnsi="Times New Roman" w:cs="Times New Roman"/>
          <w:sz w:val="24"/>
          <w:szCs w:val="24"/>
        </w:rPr>
      </w:pPr>
    </w:p>
    <w:p w14:paraId="5A6A6DCC" w14:textId="77777777" w:rsidR="005C2A60" w:rsidRDefault="005C2A60" w:rsidP="005012C6">
      <w:pPr>
        <w:jc w:val="center"/>
        <w:rPr>
          <w:rFonts w:ascii="Times New Roman" w:hAnsi="Times New Roman" w:cs="Times New Roman"/>
          <w:sz w:val="24"/>
          <w:szCs w:val="24"/>
        </w:rPr>
      </w:pPr>
    </w:p>
    <w:p w14:paraId="67DBD0AB" w14:textId="77777777" w:rsidR="00504126" w:rsidRDefault="00504126" w:rsidP="005012C6">
      <w:pPr>
        <w:jc w:val="center"/>
        <w:rPr>
          <w:rFonts w:ascii="Times New Roman" w:hAnsi="Times New Roman" w:cs="Times New Roman"/>
          <w:sz w:val="24"/>
          <w:szCs w:val="24"/>
        </w:rPr>
      </w:pPr>
    </w:p>
    <w:p w14:paraId="509F4C29" w14:textId="77777777" w:rsidR="00504126" w:rsidRDefault="00504126" w:rsidP="005012C6">
      <w:pPr>
        <w:jc w:val="center"/>
        <w:rPr>
          <w:rFonts w:ascii="Times New Roman" w:hAnsi="Times New Roman" w:cs="Times New Roman"/>
          <w:sz w:val="24"/>
          <w:szCs w:val="24"/>
        </w:rPr>
      </w:pPr>
    </w:p>
    <w:p w14:paraId="5DA19F19" w14:textId="77777777" w:rsidR="00504126" w:rsidRDefault="00504126" w:rsidP="005012C6">
      <w:pPr>
        <w:jc w:val="center"/>
        <w:rPr>
          <w:rFonts w:ascii="Times New Roman" w:hAnsi="Times New Roman" w:cs="Times New Roman"/>
          <w:sz w:val="24"/>
          <w:szCs w:val="24"/>
        </w:rPr>
      </w:pPr>
    </w:p>
    <w:p w14:paraId="6143798C" w14:textId="77777777" w:rsidR="00504126" w:rsidRDefault="00504126" w:rsidP="005012C6">
      <w:pPr>
        <w:jc w:val="center"/>
        <w:rPr>
          <w:rFonts w:ascii="Times New Roman" w:hAnsi="Times New Roman" w:cs="Times New Roman"/>
          <w:sz w:val="24"/>
          <w:szCs w:val="24"/>
        </w:rPr>
      </w:pPr>
    </w:p>
    <w:p w14:paraId="735DB0FF" w14:textId="77777777" w:rsidR="00504126" w:rsidRDefault="00504126" w:rsidP="005012C6">
      <w:pPr>
        <w:jc w:val="center"/>
        <w:rPr>
          <w:rFonts w:ascii="Times New Roman" w:hAnsi="Times New Roman" w:cs="Times New Roman"/>
          <w:sz w:val="24"/>
          <w:szCs w:val="24"/>
        </w:rPr>
      </w:pPr>
    </w:p>
    <w:p w14:paraId="2342BAC6" w14:textId="77777777" w:rsidR="00504126" w:rsidRDefault="00504126" w:rsidP="005012C6">
      <w:pPr>
        <w:jc w:val="center"/>
        <w:rPr>
          <w:rFonts w:ascii="Times New Roman" w:hAnsi="Times New Roman" w:cs="Times New Roman"/>
          <w:sz w:val="24"/>
          <w:szCs w:val="24"/>
        </w:rPr>
      </w:pPr>
    </w:p>
    <w:p w14:paraId="7D53A8CF" w14:textId="77777777" w:rsidR="00504126" w:rsidRDefault="00504126" w:rsidP="005012C6">
      <w:pPr>
        <w:jc w:val="center"/>
        <w:rPr>
          <w:rFonts w:ascii="Times New Roman" w:hAnsi="Times New Roman" w:cs="Times New Roman"/>
          <w:sz w:val="24"/>
          <w:szCs w:val="24"/>
        </w:rPr>
      </w:pPr>
    </w:p>
    <w:p w14:paraId="066664F6" w14:textId="4033CDB0" w:rsidR="00504126" w:rsidRDefault="00504126" w:rsidP="005012C6">
      <w:pPr>
        <w:jc w:val="center"/>
        <w:rPr>
          <w:rFonts w:ascii="Times New Roman" w:hAnsi="Times New Roman" w:cs="Times New Roman"/>
          <w:sz w:val="24"/>
          <w:szCs w:val="24"/>
        </w:rPr>
      </w:pPr>
    </w:p>
    <w:p w14:paraId="0F34C1C2" w14:textId="5F8DECC2" w:rsidR="00504126" w:rsidRDefault="00504126" w:rsidP="005012C6">
      <w:pPr>
        <w:jc w:val="center"/>
        <w:rPr>
          <w:rFonts w:ascii="Times New Roman" w:hAnsi="Times New Roman" w:cs="Times New Roman"/>
          <w:sz w:val="24"/>
          <w:szCs w:val="24"/>
        </w:rPr>
      </w:pPr>
    </w:p>
    <w:p w14:paraId="11E5B563" w14:textId="1EEB6C20" w:rsidR="00504126" w:rsidRDefault="00504126" w:rsidP="005012C6">
      <w:pPr>
        <w:jc w:val="center"/>
        <w:rPr>
          <w:rFonts w:ascii="Times New Roman" w:hAnsi="Times New Roman" w:cs="Times New Roman"/>
          <w:sz w:val="24"/>
          <w:szCs w:val="24"/>
        </w:rPr>
      </w:pPr>
    </w:p>
    <w:p w14:paraId="3D367745" w14:textId="69ECAF55" w:rsidR="00504126" w:rsidRDefault="00504126" w:rsidP="005012C6">
      <w:pPr>
        <w:jc w:val="center"/>
        <w:rPr>
          <w:rFonts w:ascii="Times New Roman" w:hAnsi="Times New Roman" w:cs="Times New Roman"/>
          <w:sz w:val="24"/>
          <w:szCs w:val="24"/>
        </w:rPr>
      </w:pPr>
    </w:p>
    <w:p w14:paraId="71BF3BEF" w14:textId="3AF59FB3" w:rsidR="00504126" w:rsidRDefault="00504126" w:rsidP="005012C6">
      <w:pPr>
        <w:jc w:val="center"/>
        <w:rPr>
          <w:rFonts w:ascii="Times New Roman" w:hAnsi="Times New Roman" w:cs="Times New Roman"/>
          <w:sz w:val="24"/>
          <w:szCs w:val="24"/>
        </w:rPr>
      </w:pPr>
    </w:p>
    <w:p w14:paraId="3C4DAC42" w14:textId="6C468765" w:rsidR="00504126" w:rsidRDefault="00504126" w:rsidP="005012C6">
      <w:pPr>
        <w:jc w:val="center"/>
        <w:rPr>
          <w:rFonts w:ascii="Times New Roman" w:hAnsi="Times New Roman" w:cs="Times New Roman"/>
          <w:sz w:val="24"/>
          <w:szCs w:val="24"/>
        </w:rPr>
      </w:pPr>
    </w:p>
    <w:p w14:paraId="562487BA" w14:textId="6E68590A" w:rsidR="00504126" w:rsidRDefault="00504126" w:rsidP="005012C6">
      <w:pPr>
        <w:jc w:val="center"/>
        <w:rPr>
          <w:rFonts w:ascii="Times New Roman" w:hAnsi="Times New Roman" w:cs="Times New Roman"/>
          <w:sz w:val="24"/>
          <w:szCs w:val="24"/>
        </w:rPr>
      </w:pPr>
    </w:p>
    <w:p w14:paraId="5AE9FCF5" w14:textId="23CAB9E8" w:rsidR="00504126" w:rsidRDefault="00504126" w:rsidP="005012C6">
      <w:pPr>
        <w:jc w:val="center"/>
        <w:rPr>
          <w:rFonts w:ascii="Times New Roman" w:hAnsi="Times New Roman" w:cs="Times New Roman"/>
          <w:sz w:val="24"/>
          <w:szCs w:val="24"/>
        </w:rPr>
      </w:pPr>
    </w:p>
    <w:p w14:paraId="7E766370" w14:textId="664F8FED" w:rsidR="00504126" w:rsidRDefault="00504126" w:rsidP="005012C6">
      <w:pPr>
        <w:jc w:val="center"/>
        <w:rPr>
          <w:rFonts w:ascii="Times New Roman" w:hAnsi="Times New Roman" w:cs="Times New Roman"/>
          <w:sz w:val="24"/>
          <w:szCs w:val="24"/>
        </w:rPr>
      </w:pPr>
    </w:p>
    <w:p w14:paraId="6CB0628B" w14:textId="15515D74" w:rsidR="00504126" w:rsidRDefault="00654151"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73952" behindDoc="0" locked="0" layoutInCell="1" allowOverlap="1" wp14:anchorId="22B09287" wp14:editId="05B9EEB4">
                <wp:simplePos x="0" y="0"/>
                <wp:positionH relativeFrom="column">
                  <wp:posOffset>0</wp:posOffset>
                </wp:positionH>
                <wp:positionV relativeFrom="paragraph">
                  <wp:posOffset>200318</wp:posOffset>
                </wp:positionV>
                <wp:extent cx="6024245" cy="1693545"/>
                <wp:effectExtent l="0" t="0" r="0" b="0"/>
                <wp:wrapNone/>
                <wp:docPr id="30792762" name="Text Box 2"/>
                <wp:cNvGraphicFramePr/>
                <a:graphic xmlns:a="http://schemas.openxmlformats.org/drawingml/2006/main">
                  <a:graphicData uri="http://schemas.microsoft.com/office/word/2010/wordprocessingShape">
                    <wps:wsp>
                      <wps:cNvSpPr txBox="1"/>
                      <wps:spPr>
                        <a:xfrm>
                          <a:off x="0" y="0"/>
                          <a:ext cx="6024245" cy="1693545"/>
                        </a:xfrm>
                        <a:prstGeom prst="rect">
                          <a:avLst/>
                        </a:prstGeom>
                        <a:noFill/>
                        <a:ln w="6350">
                          <a:noFill/>
                        </a:ln>
                      </wps:spPr>
                      <wps:txbx>
                        <w:txbxContent>
                          <w:p w14:paraId="4A71AA3E" w14:textId="65F96945" w:rsidR="00654151" w:rsidRPr="00AC36DC" w:rsidRDefault="00654151" w:rsidP="00654151">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22</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erdmani</w:t>
                            </w:r>
                            <w:r>
                              <w:rPr>
                                <w:rFonts w:ascii="Times New Roman" w:hAnsi="Times New Roman" w:cs="Times New Roman"/>
                                <w:color w:val="000000" w:themeColor="text1"/>
                                <w:sz w:val="20"/>
                                <w:szCs w:val="20"/>
                              </w:rPr>
                              <w:t xml:space="preserve"> based on 6,150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09287" id="_x0000_s1061" type="#_x0000_t202" style="position:absolute;left:0;text-align:left;margin-left:0;margin-top:15.75pt;width:474.35pt;height:133.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" filled="f" stroked="f" strokeweight=".5pt">
                <v:textbox>
                  <w:txbxContent>
                    <w:p w14:paraId="4A71AA3E" w14:textId="65F96945" w:rsidR="00654151" w:rsidRPr="00AC36DC" w:rsidRDefault="00654151" w:rsidP="00654151">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w:t>
                      </w:r>
                      <w:r>
                        <w:rPr>
                          <w:rFonts w:ascii="Times New Roman" w:hAnsi="Times New Roman" w:cs="Times New Roman"/>
                          <w:b/>
                          <w:bCs/>
                          <w:color w:val="000000" w:themeColor="text1"/>
                          <w:sz w:val="20"/>
                          <w:szCs w:val="20"/>
                        </w:rPr>
                        <w:t>2</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erdmani</w:t>
                      </w:r>
                      <w:r>
                        <w:rPr>
                          <w:rFonts w:ascii="Times New Roman" w:hAnsi="Times New Roman" w:cs="Times New Roman"/>
                          <w:color w:val="000000" w:themeColor="text1"/>
                          <w:sz w:val="20"/>
                          <w:szCs w:val="20"/>
                        </w:rPr>
                        <w:t xml:space="preserve"> based on 6,</w:t>
                      </w:r>
                      <w:r>
                        <w:rPr>
                          <w:rFonts w:ascii="Times New Roman" w:hAnsi="Times New Roman" w:cs="Times New Roman"/>
                          <w:color w:val="000000" w:themeColor="text1"/>
                          <w:sz w:val="20"/>
                          <w:szCs w:val="20"/>
                        </w:rPr>
                        <w:t>150</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29533441" w14:textId="77777777" w:rsidR="00504126" w:rsidRDefault="00504126" w:rsidP="005012C6">
      <w:pPr>
        <w:jc w:val="center"/>
        <w:rPr>
          <w:rFonts w:ascii="Times New Roman" w:hAnsi="Times New Roman" w:cs="Times New Roman"/>
          <w:sz w:val="24"/>
          <w:szCs w:val="24"/>
        </w:rPr>
      </w:pPr>
    </w:p>
    <w:p w14:paraId="77BA0B37" w14:textId="77777777" w:rsidR="00504126" w:rsidRDefault="00504126" w:rsidP="005012C6">
      <w:pPr>
        <w:jc w:val="center"/>
        <w:rPr>
          <w:rFonts w:ascii="Times New Roman" w:hAnsi="Times New Roman" w:cs="Times New Roman"/>
          <w:sz w:val="24"/>
          <w:szCs w:val="24"/>
        </w:rPr>
      </w:pPr>
    </w:p>
    <w:p w14:paraId="2908C7A2" w14:textId="77777777" w:rsidR="00504126" w:rsidRDefault="00504126" w:rsidP="005012C6">
      <w:pPr>
        <w:jc w:val="center"/>
        <w:rPr>
          <w:rFonts w:ascii="Times New Roman" w:hAnsi="Times New Roman" w:cs="Times New Roman"/>
          <w:sz w:val="24"/>
          <w:szCs w:val="24"/>
        </w:rPr>
      </w:pPr>
    </w:p>
    <w:p w14:paraId="24532C92" w14:textId="77777777" w:rsidR="00504126" w:rsidRDefault="00504126" w:rsidP="005012C6">
      <w:pPr>
        <w:jc w:val="center"/>
        <w:rPr>
          <w:rFonts w:ascii="Times New Roman" w:hAnsi="Times New Roman" w:cs="Times New Roman"/>
          <w:sz w:val="24"/>
          <w:szCs w:val="24"/>
        </w:rPr>
      </w:pPr>
    </w:p>
    <w:p w14:paraId="5EC74C32" w14:textId="77777777" w:rsidR="00504126" w:rsidRDefault="00504126" w:rsidP="005012C6">
      <w:pPr>
        <w:jc w:val="center"/>
        <w:rPr>
          <w:rFonts w:ascii="Times New Roman" w:hAnsi="Times New Roman" w:cs="Times New Roman"/>
          <w:sz w:val="24"/>
          <w:szCs w:val="24"/>
        </w:rPr>
      </w:pPr>
    </w:p>
    <w:p w14:paraId="37E0FE7E" w14:textId="77777777" w:rsidR="00504126" w:rsidRDefault="00504126" w:rsidP="005012C6">
      <w:pPr>
        <w:jc w:val="center"/>
        <w:rPr>
          <w:rFonts w:ascii="Times New Roman" w:hAnsi="Times New Roman" w:cs="Times New Roman"/>
          <w:sz w:val="24"/>
          <w:szCs w:val="24"/>
        </w:rPr>
      </w:pPr>
    </w:p>
    <w:p w14:paraId="28C5D3C5" w14:textId="7FA33A37" w:rsidR="00504126" w:rsidRDefault="00E47A62" w:rsidP="005012C6">
      <w:pPr>
        <w:jc w:val="center"/>
        <w:rPr>
          <w:rFonts w:ascii="Times New Roman" w:hAnsi="Times New Roman" w:cs="Times New Roman"/>
          <w:sz w:val="24"/>
          <w:szCs w:val="24"/>
        </w:rPr>
      </w:pPr>
      <w:r w:rsidRPr="00E47A62">
        <w:rPr>
          <w:rFonts w:ascii="Times New Roman" w:hAnsi="Times New Roman" w:cs="Times New Roman"/>
          <w:noProof/>
          <w:sz w:val="24"/>
          <w:szCs w:val="24"/>
        </w:rPr>
        <w:lastRenderedPageBreak/>
        <w:drawing>
          <wp:anchor distT="0" distB="0" distL="114300" distR="114300" simplePos="0" relativeHeight="251778048" behindDoc="0" locked="0" layoutInCell="1" allowOverlap="1" wp14:anchorId="28649FEB" wp14:editId="260AA6BB">
            <wp:simplePos x="0" y="0"/>
            <wp:positionH relativeFrom="column">
              <wp:posOffset>316230</wp:posOffset>
            </wp:positionH>
            <wp:positionV relativeFrom="paragraph">
              <wp:posOffset>32727</wp:posOffset>
            </wp:positionV>
            <wp:extent cx="5440304" cy="6295292"/>
            <wp:effectExtent l="0" t="0" r="0" b="4445"/>
            <wp:wrapNone/>
            <wp:docPr id="366473743"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73743" name="Picture 1" descr="A screenshot of a 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440304" cy="6295292"/>
                    </a:xfrm>
                    <a:prstGeom prst="rect">
                      <a:avLst/>
                    </a:prstGeom>
                  </pic:spPr>
                </pic:pic>
              </a:graphicData>
            </a:graphic>
            <wp14:sizeRelH relativeFrom="page">
              <wp14:pctWidth>0</wp14:pctWidth>
            </wp14:sizeRelH>
            <wp14:sizeRelV relativeFrom="page">
              <wp14:pctHeight>0</wp14:pctHeight>
            </wp14:sizeRelV>
          </wp:anchor>
        </w:drawing>
      </w:r>
    </w:p>
    <w:p w14:paraId="4FB0A6A3" w14:textId="5286276C" w:rsidR="005C2A60" w:rsidRDefault="005C2A60" w:rsidP="005012C6">
      <w:pPr>
        <w:jc w:val="center"/>
        <w:rPr>
          <w:rFonts w:ascii="Times New Roman" w:hAnsi="Times New Roman" w:cs="Times New Roman"/>
          <w:sz w:val="24"/>
          <w:szCs w:val="24"/>
        </w:rPr>
      </w:pPr>
    </w:p>
    <w:p w14:paraId="07688554" w14:textId="77777777" w:rsidR="000705A6" w:rsidRDefault="000705A6" w:rsidP="005012C6">
      <w:pPr>
        <w:jc w:val="center"/>
        <w:rPr>
          <w:rFonts w:ascii="Times New Roman" w:hAnsi="Times New Roman" w:cs="Times New Roman"/>
          <w:sz w:val="24"/>
          <w:szCs w:val="24"/>
        </w:rPr>
      </w:pPr>
    </w:p>
    <w:p w14:paraId="684C2D08" w14:textId="77777777" w:rsidR="000705A6" w:rsidRDefault="000705A6" w:rsidP="005012C6">
      <w:pPr>
        <w:jc w:val="center"/>
        <w:rPr>
          <w:rFonts w:ascii="Times New Roman" w:hAnsi="Times New Roman" w:cs="Times New Roman"/>
          <w:sz w:val="24"/>
          <w:szCs w:val="24"/>
        </w:rPr>
      </w:pPr>
    </w:p>
    <w:p w14:paraId="6401BFF4" w14:textId="77777777" w:rsidR="008D5F66" w:rsidRDefault="008D5F66" w:rsidP="005012C6">
      <w:pPr>
        <w:jc w:val="center"/>
        <w:rPr>
          <w:rFonts w:ascii="Times New Roman" w:hAnsi="Times New Roman" w:cs="Times New Roman"/>
          <w:sz w:val="24"/>
          <w:szCs w:val="24"/>
        </w:rPr>
      </w:pPr>
    </w:p>
    <w:p w14:paraId="6C9EE396" w14:textId="77777777" w:rsidR="00BF5745" w:rsidRDefault="00BF5745" w:rsidP="005012C6">
      <w:pPr>
        <w:jc w:val="center"/>
        <w:rPr>
          <w:rFonts w:ascii="Times New Roman" w:hAnsi="Times New Roman" w:cs="Times New Roman"/>
          <w:sz w:val="24"/>
          <w:szCs w:val="24"/>
        </w:rPr>
      </w:pPr>
    </w:p>
    <w:p w14:paraId="254158D3" w14:textId="77777777" w:rsidR="00BF5745" w:rsidRDefault="00BF5745" w:rsidP="005012C6">
      <w:pPr>
        <w:jc w:val="center"/>
        <w:rPr>
          <w:rFonts w:ascii="Times New Roman" w:hAnsi="Times New Roman" w:cs="Times New Roman"/>
          <w:sz w:val="24"/>
          <w:szCs w:val="24"/>
        </w:rPr>
      </w:pPr>
    </w:p>
    <w:p w14:paraId="38E1F484" w14:textId="77777777" w:rsidR="00BF5745" w:rsidRDefault="00BF5745" w:rsidP="005012C6">
      <w:pPr>
        <w:jc w:val="center"/>
        <w:rPr>
          <w:rFonts w:ascii="Times New Roman" w:hAnsi="Times New Roman" w:cs="Times New Roman"/>
          <w:sz w:val="24"/>
          <w:szCs w:val="24"/>
        </w:rPr>
      </w:pPr>
    </w:p>
    <w:p w14:paraId="556F834C" w14:textId="77777777" w:rsidR="00BF5745" w:rsidRDefault="00BF5745" w:rsidP="005012C6">
      <w:pPr>
        <w:jc w:val="center"/>
        <w:rPr>
          <w:rFonts w:ascii="Times New Roman" w:hAnsi="Times New Roman" w:cs="Times New Roman"/>
          <w:sz w:val="24"/>
          <w:szCs w:val="24"/>
        </w:rPr>
      </w:pPr>
    </w:p>
    <w:p w14:paraId="2FCF2201" w14:textId="77777777" w:rsidR="00BF5745" w:rsidRDefault="00BF5745" w:rsidP="005012C6">
      <w:pPr>
        <w:jc w:val="center"/>
        <w:rPr>
          <w:rFonts w:ascii="Times New Roman" w:hAnsi="Times New Roman" w:cs="Times New Roman"/>
          <w:sz w:val="24"/>
          <w:szCs w:val="24"/>
        </w:rPr>
      </w:pPr>
    </w:p>
    <w:p w14:paraId="2F081FE5" w14:textId="77777777" w:rsidR="00BF5745" w:rsidRDefault="00BF5745" w:rsidP="005012C6">
      <w:pPr>
        <w:jc w:val="center"/>
        <w:rPr>
          <w:rFonts w:ascii="Times New Roman" w:hAnsi="Times New Roman" w:cs="Times New Roman"/>
          <w:sz w:val="24"/>
          <w:szCs w:val="24"/>
        </w:rPr>
      </w:pPr>
    </w:p>
    <w:p w14:paraId="0549A373" w14:textId="77777777" w:rsidR="00BF5745" w:rsidRDefault="00BF5745" w:rsidP="005012C6">
      <w:pPr>
        <w:jc w:val="center"/>
        <w:rPr>
          <w:rFonts w:ascii="Times New Roman" w:hAnsi="Times New Roman" w:cs="Times New Roman"/>
          <w:sz w:val="24"/>
          <w:szCs w:val="24"/>
        </w:rPr>
      </w:pPr>
    </w:p>
    <w:p w14:paraId="0736A1B0" w14:textId="77777777" w:rsidR="00BF5745" w:rsidRDefault="00BF5745" w:rsidP="005012C6">
      <w:pPr>
        <w:jc w:val="center"/>
        <w:rPr>
          <w:rFonts w:ascii="Times New Roman" w:hAnsi="Times New Roman" w:cs="Times New Roman"/>
          <w:sz w:val="24"/>
          <w:szCs w:val="24"/>
        </w:rPr>
      </w:pPr>
    </w:p>
    <w:p w14:paraId="60D11BF9" w14:textId="77777777" w:rsidR="00BF5745" w:rsidRDefault="00BF5745" w:rsidP="005012C6">
      <w:pPr>
        <w:jc w:val="center"/>
        <w:rPr>
          <w:rFonts w:ascii="Times New Roman" w:hAnsi="Times New Roman" w:cs="Times New Roman"/>
          <w:sz w:val="24"/>
          <w:szCs w:val="24"/>
        </w:rPr>
      </w:pPr>
    </w:p>
    <w:p w14:paraId="7D00385C" w14:textId="77777777" w:rsidR="00BF5745" w:rsidRDefault="00BF5745" w:rsidP="005012C6">
      <w:pPr>
        <w:jc w:val="center"/>
        <w:rPr>
          <w:rFonts w:ascii="Times New Roman" w:hAnsi="Times New Roman" w:cs="Times New Roman"/>
          <w:sz w:val="24"/>
          <w:szCs w:val="24"/>
        </w:rPr>
      </w:pPr>
    </w:p>
    <w:p w14:paraId="017C686E" w14:textId="77777777" w:rsidR="00BF5745" w:rsidRDefault="00BF5745" w:rsidP="005012C6">
      <w:pPr>
        <w:jc w:val="center"/>
        <w:rPr>
          <w:rFonts w:ascii="Times New Roman" w:hAnsi="Times New Roman" w:cs="Times New Roman"/>
          <w:sz w:val="24"/>
          <w:szCs w:val="24"/>
        </w:rPr>
      </w:pPr>
    </w:p>
    <w:p w14:paraId="6757DC24" w14:textId="77777777" w:rsidR="00BF5745" w:rsidRDefault="00BF5745" w:rsidP="005012C6">
      <w:pPr>
        <w:jc w:val="center"/>
        <w:rPr>
          <w:rFonts w:ascii="Times New Roman" w:hAnsi="Times New Roman" w:cs="Times New Roman"/>
          <w:sz w:val="24"/>
          <w:szCs w:val="24"/>
        </w:rPr>
      </w:pPr>
    </w:p>
    <w:p w14:paraId="4D61E470" w14:textId="77777777" w:rsidR="00BF5745" w:rsidRDefault="00BF5745" w:rsidP="005012C6">
      <w:pPr>
        <w:jc w:val="center"/>
        <w:rPr>
          <w:rFonts w:ascii="Times New Roman" w:hAnsi="Times New Roman" w:cs="Times New Roman"/>
          <w:sz w:val="24"/>
          <w:szCs w:val="24"/>
        </w:rPr>
      </w:pPr>
    </w:p>
    <w:p w14:paraId="7F0120A0" w14:textId="3AEA923B" w:rsidR="00BF5745" w:rsidRDefault="00BF5745" w:rsidP="005012C6">
      <w:pPr>
        <w:jc w:val="center"/>
        <w:rPr>
          <w:rFonts w:ascii="Times New Roman" w:hAnsi="Times New Roman" w:cs="Times New Roman"/>
          <w:sz w:val="24"/>
          <w:szCs w:val="24"/>
        </w:rPr>
      </w:pPr>
    </w:p>
    <w:p w14:paraId="5EE77420" w14:textId="6EBCD180" w:rsidR="00BF5745" w:rsidRDefault="00BF5745" w:rsidP="005012C6">
      <w:pPr>
        <w:jc w:val="center"/>
        <w:rPr>
          <w:rFonts w:ascii="Times New Roman" w:hAnsi="Times New Roman" w:cs="Times New Roman"/>
          <w:sz w:val="24"/>
          <w:szCs w:val="24"/>
        </w:rPr>
      </w:pPr>
    </w:p>
    <w:p w14:paraId="0326A095" w14:textId="7A8AE98F" w:rsidR="00BF5745" w:rsidRDefault="00BF5745" w:rsidP="005012C6">
      <w:pPr>
        <w:jc w:val="center"/>
        <w:rPr>
          <w:rFonts w:ascii="Times New Roman" w:hAnsi="Times New Roman" w:cs="Times New Roman"/>
          <w:sz w:val="24"/>
          <w:szCs w:val="24"/>
        </w:rPr>
      </w:pPr>
    </w:p>
    <w:p w14:paraId="0760F6BA" w14:textId="3E2F0EBB" w:rsidR="00BF5745" w:rsidRDefault="00054237"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77024" behindDoc="0" locked="0" layoutInCell="1" allowOverlap="1" wp14:anchorId="78E7A5B0" wp14:editId="7E017186">
                <wp:simplePos x="0" y="0"/>
                <wp:positionH relativeFrom="column">
                  <wp:posOffset>0</wp:posOffset>
                </wp:positionH>
                <wp:positionV relativeFrom="paragraph">
                  <wp:posOffset>185078</wp:posOffset>
                </wp:positionV>
                <wp:extent cx="6024245" cy="1693545"/>
                <wp:effectExtent l="0" t="0" r="0" b="0"/>
                <wp:wrapNone/>
                <wp:docPr id="1296989554" name="Text Box 2"/>
                <wp:cNvGraphicFramePr/>
                <a:graphic xmlns:a="http://schemas.openxmlformats.org/drawingml/2006/main">
                  <a:graphicData uri="http://schemas.microsoft.com/office/word/2010/wordprocessingShape">
                    <wps:wsp>
                      <wps:cNvSpPr txBox="1"/>
                      <wps:spPr>
                        <a:xfrm>
                          <a:off x="0" y="0"/>
                          <a:ext cx="6024245" cy="1693545"/>
                        </a:xfrm>
                        <a:prstGeom prst="rect">
                          <a:avLst/>
                        </a:prstGeom>
                        <a:noFill/>
                        <a:ln w="6350">
                          <a:noFill/>
                        </a:ln>
                      </wps:spPr>
                      <wps:txbx>
                        <w:txbxContent>
                          <w:p w14:paraId="2FEC55BA" w14:textId="45BB087E" w:rsidR="00054237" w:rsidRPr="00AC36DC" w:rsidRDefault="00054237" w:rsidP="00054237">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23</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gilli</w:t>
                            </w:r>
                            <w:r>
                              <w:rPr>
                                <w:rFonts w:ascii="Times New Roman" w:hAnsi="Times New Roman" w:cs="Times New Roman"/>
                                <w:color w:val="000000" w:themeColor="text1"/>
                                <w:sz w:val="20"/>
                                <w:szCs w:val="20"/>
                              </w:rPr>
                              <w:t xml:space="preserve"> based on 6,876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7A5B0" id="_x0000_s1062" type="#_x0000_t202" style="position:absolute;left:0;text-align:left;margin-left:0;margin-top:14.55pt;width:474.35pt;height:133.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" filled="f" stroked="f" strokeweight=".5pt">
                <v:textbox>
                  <w:txbxContent>
                    <w:p w14:paraId="2FEC55BA" w14:textId="45BB087E" w:rsidR="00054237" w:rsidRPr="00AC36DC" w:rsidRDefault="00054237" w:rsidP="00054237">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w:t>
                      </w:r>
                      <w:r>
                        <w:rPr>
                          <w:rFonts w:ascii="Times New Roman" w:hAnsi="Times New Roman" w:cs="Times New Roman"/>
                          <w:b/>
                          <w:bCs/>
                          <w:color w:val="000000" w:themeColor="text1"/>
                          <w:sz w:val="20"/>
                          <w:szCs w:val="20"/>
                        </w:rPr>
                        <w:t>3</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gilli</w:t>
                      </w:r>
                      <w:r>
                        <w:rPr>
                          <w:rFonts w:ascii="Times New Roman" w:hAnsi="Times New Roman" w:cs="Times New Roman"/>
                          <w:color w:val="000000" w:themeColor="text1"/>
                          <w:sz w:val="20"/>
                          <w:szCs w:val="20"/>
                        </w:rPr>
                        <w:t xml:space="preserve"> based on 6,</w:t>
                      </w:r>
                      <w:r>
                        <w:rPr>
                          <w:rFonts w:ascii="Times New Roman" w:hAnsi="Times New Roman" w:cs="Times New Roman"/>
                          <w:color w:val="000000" w:themeColor="text1"/>
                          <w:sz w:val="20"/>
                          <w:szCs w:val="20"/>
                        </w:rPr>
                        <w:t>876</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6B851233" w14:textId="77777777" w:rsidR="00BF5745" w:rsidRDefault="00BF5745" w:rsidP="005012C6">
      <w:pPr>
        <w:jc w:val="center"/>
        <w:rPr>
          <w:rFonts w:ascii="Times New Roman" w:hAnsi="Times New Roman" w:cs="Times New Roman"/>
          <w:sz w:val="24"/>
          <w:szCs w:val="24"/>
        </w:rPr>
      </w:pPr>
    </w:p>
    <w:p w14:paraId="161C77D8" w14:textId="77777777" w:rsidR="00BF5745" w:rsidRDefault="00BF5745" w:rsidP="005012C6">
      <w:pPr>
        <w:jc w:val="center"/>
        <w:rPr>
          <w:rFonts w:ascii="Times New Roman" w:hAnsi="Times New Roman" w:cs="Times New Roman"/>
          <w:sz w:val="24"/>
          <w:szCs w:val="24"/>
        </w:rPr>
      </w:pPr>
    </w:p>
    <w:p w14:paraId="556464E9" w14:textId="77777777" w:rsidR="00BF5745" w:rsidRDefault="00BF5745" w:rsidP="005012C6">
      <w:pPr>
        <w:jc w:val="center"/>
        <w:rPr>
          <w:rFonts w:ascii="Times New Roman" w:hAnsi="Times New Roman" w:cs="Times New Roman"/>
          <w:sz w:val="24"/>
          <w:szCs w:val="24"/>
        </w:rPr>
      </w:pPr>
    </w:p>
    <w:p w14:paraId="5ADE8032" w14:textId="77777777" w:rsidR="00BF5745" w:rsidRDefault="00BF5745" w:rsidP="005012C6">
      <w:pPr>
        <w:jc w:val="center"/>
        <w:rPr>
          <w:rFonts w:ascii="Times New Roman" w:hAnsi="Times New Roman" w:cs="Times New Roman"/>
          <w:sz w:val="24"/>
          <w:szCs w:val="24"/>
        </w:rPr>
      </w:pPr>
    </w:p>
    <w:p w14:paraId="175C85E1" w14:textId="77777777" w:rsidR="00BF5745" w:rsidRDefault="00BF5745" w:rsidP="005012C6">
      <w:pPr>
        <w:jc w:val="center"/>
        <w:rPr>
          <w:rFonts w:ascii="Times New Roman" w:hAnsi="Times New Roman" w:cs="Times New Roman"/>
          <w:sz w:val="24"/>
          <w:szCs w:val="24"/>
        </w:rPr>
      </w:pPr>
    </w:p>
    <w:p w14:paraId="3F7B5DB9" w14:textId="77777777" w:rsidR="00BF5745" w:rsidRDefault="00BF5745" w:rsidP="005012C6">
      <w:pPr>
        <w:jc w:val="center"/>
        <w:rPr>
          <w:rFonts w:ascii="Times New Roman" w:hAnsi="Times New Roman" w:cs="Times New Roman"/>
          <w:sz w:val="24"/>
          <w:szCs w:val="24"/>
        </w:rPr>
      </w:pPr>
    </w:p>
    <w:p w14:paraId="4B73DD6E" w14:textId="71CCA7B9" w:rsidR="00BF5745" w:rsidRDefault="00992041" w:rsidP="005012C6">
      <w:pPr>
        <w:jc w:val="center"/>
        <w:rPr>
          <w:rFonts w:ascii="Times New Roman" w:hAnsi="Times New Roman" w:cs="Times New Roman"/>
          <w:sz w:val="24"/>
          <w:szCs w:val="24"/>
        </w:rPr>
      </w:pPr>
      <w:r w:rsidRPr="00992041">
        <w:rPr>
          <w:rFonts w:ascii="Times New Roman" w:hAnsi="Times New Roman" w:cs="Times New Roman"/>
          <w:noProof/>
          <w:sz w:val="24"/>
          <w:szCs w:val="24"/>
        </w:rPr>
        <w:lastRenderedPageBreak/>
        <w:drawing>
          <wp:anchor distT="0" distB="0" distL="114300" distR="114300" simplePos="0" relativeHeight="251781120" behindDoc="0" locked="0" layoutInCell="1" allowOverlap="1" wp14:anchorId="534B4ADC" wp14:editId="27C19EFA">
            <wp:simplePos x="0" y="0"/>
            <wp:positionH relativeFrom="column">
              <wp:posOffset>253023</wp:posOffset>
            </wp:positionH>
            <wp:positionV relativeFrom="paragraph">
              <wp:posOffset>0</wp:posOffset>
            </wp:positionV>
            <wp:extent cx="5427785" cy="6281385"/>
            <wp:effectExtent l="0" t="0" r="0" b="5715"/>
            <wp:wrapNone/>
            <wp:docPr id="1740387645"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87645" name="Picture 1" descr="A screenshot of a diagram&#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27785" cy="6281385"/>
                    </a:xfrm>
                    <a:prstGeom prst="rect">
                      <a:avLst/>
                    </a:prstGeom>
                  </pic:spPr>
                </pic:pic>
              </a:graphicData>
            </a:graphic>
            <wp14:sizeRelH relativeFrom="page">
              <wp14:pctWidth>0</wp14:pctWidth>
            </wp14:sizeRelH>
            <wp14:sizeRelV relativeFrom="page">
              <wp14:pctHeight>0</wp14:pctHeight>
            </wp14:sizeRelV>
          </wp:anchor>
        </w:drawing>
      </w:r>
    </w:p>
    <w:p w14:paraId="7B28696B" w14:textId="77777777" w:rsidR="00BF5745" w:rsidRDefault="00BF5745" w:rsidP="005012C6">
      <w:pPr>
        <w:jc w:val="center"/>
        <w:rPr>
          <w:rFonts w:ascii="Times New Roman" w:hAnsi="Times New Roman" w:cs="Times New Roman"/>
          <w:sz w:val="24"/>
          <w:szCs w:val="24"/>
        </w:rPr>
      </w:pPr>
    </w:p>
    <w:p w14:paraId="1FC1C83A" w14:textId="77777777" w:rsidR="00BF5745" w:rsidRDefault="00BF5745" w:rsidP="005012C6">
      <w:pPr>
        <w:jc w:val="center"/>
        <w:rPr>
          <w:rFonts w:ascii="Times New Roman" w:hAnsi="Times New Roman" w:cs="Times New Roman"/>
          <w:sz w:val="24"/>
          <w:szCs w:val="24"/>
        </w:rPr>
      </w:pPr>
    </w:p>
    <w:p w14:paraId="6CA9566A" w14:textId="77777777" w:rsidR="005F36E0" w:rsidRDefault="005F36E0" w:rsidP="005012C6">
      <w:pPr>
        <w:jc w:val="center"/>
        <w:rPr>
          <w:rFonts w:ascii="Times New Roman" w:hAnsi="Times New Roman" w:cs="Times New Roman"/>
          <w:sz w:val="24"/>
          <w:szCs w:val="24"/>
        </w:rPr>
      </w:pPr>
    </w:p>
    <w:p w14:paraId="3C8544CC" w14:textId="77777777" w:rsidR="005F36E0" w:rsidRDefault="005F36E0" w:rsidP="005012C6">
      <w:pPr>
        <w:jc w:val="center"/>
        <w:rPr>
          <w:rFonts w:ascii="Times New Roman" w:hAnsi="Times New Roman" w:cs="Times New Roman"/>
          <w:sz w:val="24"/>
          <w:szCs w:val="24"/>
        </w:rPr>
      </w:pPr>
    </w:p>
    <w:p w14:paraId="0F2E24C6" w14:textId="77777777" w:rsidR="005F36E0" w:rsidRDefault="005F36E0" w:rsidP="005012C6">
      <w:pPr>
        <w:jc w:val="center"/>
        <w:rPr>
          <w:rFonts w:ascii="Times New Roman" w:hAnsi="Times New Roman" w:cs="Times New Roman"/>
          <w:sz w:val="24"/>
          <w:szCs w:val="24"/>
        </w:rPr>
      </w:pPr>
    </w:p>
    <w:p w14:paraId="1A639A39" w14:textId="77777777" w:rsidR="005F36E0" w:rsidRDefault="005F36E0" w:rsidP="005012C6">
      <w:pPr>
        <w:jc w:val="center"/>
        <w:rPr>
          <w:rFonts w:ascii="Times New Roman" w:hAnsi="Times New Roman" w:cs="Times New Roman"/>
          <w:sz w:val="24"/>
          <w:szCs w:val="24"/>
        </w:rPr>
      </w:pPr>
    </w:p>
    <w:p w14:paraId="444C1A0D" w14:textId="77777777" w:rsidR="005F36E0" w:rsidRDefault="005F36E0" w:rsidP="005012C6">
      <w:pPr>
        <w:jc w:val="center"/>
        <w:rPr>
          <w:rFonts w:ascii="Times New Roman" w:hAnsi="Times New Roman" w:cs="Times New Roman"/>
          <w:sz w:val="24"/>
          <w:szCs w:val="24"/>
        </w:rPr>
      </w:pPr>
    </w:p>
    <w:p w14:paraId="561073BE" w14:textId="77777777" w:rsidR="005F36E0" w:rsidRDefault="005F36E0" w:rsidP="005012C6">
      <w:pPr>
        <w:jc w:val="center"/>
        <w:rPr>
          <w:rFonts w:ascii="Times New Roman" w:hAnsi="Times New Roman" w:cs="Times New Roman"/>
          <w:sz w:val="24"/>
          <w:szCs w:val="24"/>
        </w:rPr>
      </w:pPr>
    </w:p>
    <w:p w14:paraId="22AC2840" w14:textId="77777777" w:rsidR="005F36E0" w:rsidRDefault="005F36E0" w:rsidP="005012C6">
      <w:pPr>
        <w:jc w:val="center"/>
        <w:rPr>
          <w:rFonts w:ascii="Times New Roman" w:hAnsi="Times New Roman" w:cs="Times New Roman"/>
          <w:sz w:val="24"/>
          <w:szCs w:val="24"/>
        </w:rPr>
      </w:pPr>
    </w:p>
    <w:p w14:paraId="6CBFF1EE" w14:textId="77777777" w:rsidR="005F36E0" w:rsidRDefault="005F36E0" w:rsidP="005012C6">
      <w:pPr>
        <w:jc w:val="center"/>
        <w:rPr>
          <w:rFonts w:ascii="Times New Roman" w:hAnsi="Times New Roman" w:cs="Times New Roman"/>
          <w:sz w:val="24"/>
          <w:szCs w:val="24"/>
        </w:rPr>
      </w:pPr>
    </w:p>
    <w:p w14:paraId="176737E9" w14:textId="77777777" w:rsidR="005F36E0" w:rsidRDefault="005F36E0" w:rsidP="005012C6">
      <w:pPr>
        <w:jc w:val="center"/>
        <w:rPr>
          <w:rFonts w:ascii="Times New Roman" w:hAnsi="Times New Roman" w:cs="Times New Roman"/>
          <w:sz w:val="24"/>
          <w:szCs w:val="24"/>
        </w:rPr>
      </w:pPr>
    </w:p>
    <w:p w14:paraId="2AA4DE5B" w14:textId="77777777" w:rsidR="005F36E0" w:rsidRDefault="005F36E0" w:rsidP="005012C6">
      <w:pPr>
        <w:jc w:val="center"/>
        <w:rPr>
          <w:rFonts w:ascii="Times New Roman" w:hAnsi="Times New Roman" w:cs="Times New Roman"/>
          <w:sz w:val="24"/>
          <w:szCs w:val="24"/>
        </w:rPr>
      </w:pPr>
    </w:p>
    <w:p w14:paraId="35E5365E" w14:textId="77777777" w:rsidR="005F36E0" w:rsidRDefault="005F36E0" w:rsidP="005012C6">
      <w:pPr>
        <w:jc w:val="center"/>
        <w:rPr>
          <w:rFonts w:ascii="Times New Roman" w:hAnsi="Times New Roman" w:cs="Times New Roman"/>
          <w:sz w:val="24"/>
          <w:szCs w:val="24"/>
        </w:rPr>
      </w:pPr>
    </w:p>
    <w:p w14:paraId="46A43C15" w14:textId="77777777" w:rsidR="005F36E0" w:rsidRDefault="005F36E0" w:rsidP="005012C6">
      <w:pPr>
        <w:jc w:val="center"/>
        <w:rPr>
          <w:rFonts w:ascii="Times New Roman" w:hAnsi="Times New Roman" w:cs="Times New Roman"/>
          <w:sz w:val="24"/>
          <w:szCs w:val="24"/>
        </w:rPr>
      </w:pPr>
    </w:p>
    <w:p w14:paraId="4C497DC8" w14:textId="77777777" w:rsidR="005F36E0" w:rsidRDefault="005F36E0" w:rsidP="005012C6">
      <w:pPr>
        <w:jc w:val="center"/>
        <w:rPr>
          <w:rFonts w:ascii="Times New Roman" w:hAnsi="Times New Roman" w:cs="Times New Roman"/>
          <w:sz w:val="24"/>
          <w:szCs w:val="24"/>
        </w:rPr>
      </w:pPr>
    </w:p>
    <w:p w14:paraId="3E970BA7" w14:textId="77777777" w:rsidR="005F36E0" w:rsidRDefault="005F36E0" w:rsidP="005012C6">
      <w:pPr>
        <w:jc w:val="center"/>
        <w:rPr>
          <w:rFonts w:ascii="Times New Roman" w:hAnsi="Times New Roman" w:cs="Times New Roman"/>
          <w:sz w:val="24"/>
          <w:szCs w:val="24"/>
        </w:rPr>
      </w:pPr>
    </w:p>
    <w:p w14:paraId="75DEB89E" w14:textId="77777777" w:rsidR="005F36E0" w:rsidRDefault="005F36E0" w:rsidP="005012C6">
      <w:pPr>
        <w:jc w:val="center"/>
        <w:rPr>
          <w:rFonts w:ascii="Times New Roman" w:hAnsi="Times New Roman" w:cs="Times New Roman"/>
          <w:sz w:val="24"/>
          <w:szCs w:val="24"/>
        </w:rPr>
      </w:pPr>
    </w:p>
    <w:p w14:paraId="28DB8DB7" w14:textId="67AEAA03" w:rsidR="005F36E0" w:rsidRDefault="005F36E0" w:rsidP="005012C6">
      <w:pPr>
        <w:jc w:val="center"/>
        <w:rPr>
          <w:rFonts w:ascii="Times New Roman" w:hAnsi="Times New Roman" w:cs="Times New Roman"/>
          <w:sz w:val="24"/>
          <w:szCs w:val="24"/>
        </w:rPr>
      </w:pPr>
    </w:p>
    <w:p w14:paraId="4D88AD47" w14:textId="2A667E55" w:rsidR="005F36E0" w:rsidRDefault="005F36E0" w:rsidP="005012C6">
      <w:pPr>
        <w:jc w:val="center"/>
        <w:rPr>
          <w:rFonts w:ascii="Times New Roman" w:hAnsi="Times New Roman" w:cs="Times New Roman"/>
          <w:sz w:val="24"/>
          <w:szCs w:val="24"/>
        </w:rPr>
      </w:pPr>
    </w:p>
    <w:p w14:paraId="498C5ECD" w14:textId="33E8A733" w:rsidR="005F36E0" w:rsidRDefault="005F36E0" w:rsidP="005012C6">
      <w:pPr>
        <w:jc w:val="center"/>
        <w:rPr>
          <w:rFonts w:ascii="Times New Roman" w:hAnsi="Times New Roman" w:cs="Times New Roman"/>
          <w:sz w:val="24"/>
          <w:szCs w:val="24"/>
        </w:rPr>
      </w:pPr>
    </w:p>
    <w:p w14:paraId="736B6FC9" w14:textId="7F63168E" w:rsidR="005F36E0" w:rsidRDefault="00D646D9"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80096" behindDoc="0" locked="0" layoutInCell="1" allowOverlap="1" wp14:anchorId="4E073BA7" wp14:editId="2F287805">
                <wp:simplePos x="0" y="0"/>
                <wp:positionH relativeFrom="column">
                  <wp:posOffset>0</wp:posOffset>
                </wp:positionH>
                <wp:positionV relativeFrom="paragraph">
                  <wp:posOffset>207938</wp:posOffset>
                </wp:positionV>
                <wp:extent cx="6024245" cy="1693545"/>
                <wp:effectExtent l="0" t="0" r="0" b="0"/>
                <wp:wrapNone/>
                <wp:docPr id="377827815" name="Text Box 2"/>
                <wp:cNvGraphicFramePr/>
                <a:graphic xmlns:a="http://schemas.openxmlformats.org/drawingml/2006/main">
                  <a:graphicData uri="http://schemas.microsoft.com/office/word/2010/wordprocessingShape">
                    <wps:wsp>
                      <wps:cNvSpPr txBox="1"/>
                      <wps:spPr>
                        <a:xfrm>
                          <a:off x="0" y="0"/>
                          <a:ext cx="6024245" cy="1693545"/>
                        </a:xfrm>
                        <a:prstGeom prst="rect">
                          <a:avLst/>
                        </a:prstGeom>
                        <a:noFill/>
                        <a:ln w="6350">
                          <a:noFill/>
                        </a:ln>
                      </wps:spPr>
                      <wps:txbx>
                        <w:txbxContent>
                          <w:p w14:paraId="0DDB03CB" w14:textId="3E057286" w:rsidR="00D646D9" w:rsidRPr="00AC36DC" w:rsidRDefault="00D646D9" w:rsidP="00D646D9">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24</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macropus</w:t>
                            </w:r>
                            <w:r>
                              <w:rPr>
                                <w:rFonts w:ascii="Times New Roman" w:hAnsi="Times New Roman" w:cs="Times New Roman"/>
                                <w:color w:val="000000" w:themeColor="text1"/>
                                <w:sz w:val="20"/>
                                <w:szCs w:val="20"/>
                              </w:rPr>
                              <w:t xml:space="preserve"> based on 5,273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73BA7" id="_x0000_s1063" type="#_x0000_t202" style="position:absolute;left:0;text-align:left;margin-left:0;margin-top:16.35pt;width:474.35pt;height:133.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" filled="f" stroked="f" strokeweight=".5pt">
                <v:textbox>
                  <w:txbxContent>
                    <w:p w14:paraId="0DDB03CB" w14:textId="3E057286" w:rsidR="00D646D9" w:rsidRPr="00AC36DC" w:rsidRDefault="00D646D9" w:rsidP="00D646D9">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w:t>
                      </w:r>
                      <w:r>
                        <w:rPr>
                          <w:rFonts w:ascii="Times New Roman" w:hAnsi="Times New Roman" w:cs="Times New Roman"/>
                          <w:b/>
                          <w:bCs/>
                          <w:color w:val="000000" w:themeColor="text1"/>
                          <w:sz w:val="20"/>
                          <w:szCs w:val="20"/>
                        </w:rPr>
                        <w:t>4</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macropus</w:t>
                      </w:r>
                      <w:r>
                        <w:rPr>
                          <w:rFonts w:ascii="Times New Roman" w:hAnsi="Times New Roman" w:cs="Times New Roman"/>
                          <w:color w:val="000000" w:themeColor="text1"/>
                          <w:sz w:val="20"/>
                          <w:szCs w:val="20"/>
                        </w:rPr>
                        <w:t xml:space="preserve"> based on </w:t>
                      </w:r>
                      <w:r>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273</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1ED2670C" w14:textId="77777777" w:rsidR="005F36E0" w:rsidRDefault="005F36E0" w:rsidP="005012C6">
      <w:pPr>
        <w:jc w:val="center"/>
        <w:rPr>
          <w:rFonts w:ascii="Times New Roman" w:hAnsi="Times New Roman" w:cs="Times New Roman"/>
          <w:sz w:val="24"/>
          <w:szCs w:val="24"/>
        </w:rPr>
      </w:pPr>
    </w:p>
    <w:p w14:paraId="79ED5560" w14:textId="77777777" w:rsidR="005F36E0" w:rsidRDefault="005F36E0" w:rsidP="005012C6">
      <w:pPr>
        <w:jc w:val="center"/>
        <w:rPr>
          <w:rFonts w:ascii="Times New Roman" w:hAnsi="Times New Roman" w:cs="Times New Roman"/>
          <w:sz w:val="24"/>
          <w:szCs w:val="24"/>
        </w:rPr>
      </w:pPr>
    </w:p>
    <w:p w14:paraId="60E4DAFF" w14:textId="77777777" w:rsidR="005F36E0" w:rsidRDefault="005F36E0" w:rsidP="005012C6">
      <w:pPr>
        <w:jc w:val="center"/>
        <w:rPr>
          <w:rFonts w:ascii="Times New Roman" w:hAnsi="Times New Roman" w:cs="Times New Roman"/>
          <w:sz w:val="24"/>
          <w:szCs w:val="24"/>
        </w:rPr>
      </w:pPr>
    </w:p>
    <w:p w14:paraId="42285769" w14:textId="77777777" w:rsidR="005F36E0" w:rsidRDefault="005F36E0" w:rsidP="005012C6">
      <w:pPr>
        <w:jc w:val="center"/>
        <w:rPr>
          <w:rFonts w:ascii="Times New Roman" w:hAnsi="Times New Roman" w:cs="Times New Roman"/>
          <w:sz w:val="24"/>
          <w:szCs w:val="24"/>
        </w:rPr>
      </w:pPr>
    </w:p>
    <w:p w14:paraId="570714CB" w14:textId="77777777" w:rsidR="005F36E0" w:rsidRDefault="005F36E0" w:rsidP="005012C6">
      <w:pPr>
        <w:jc w:val="center"/>
        <w:rPr>
          <w:rFonts w:ascii="Times New Roman" w:hAnsi="Times New Roman" w:cs="Times New Roman"/>
          <w:sz w:val="24"/>
          <w:szCs w:val="24"/>
        </w:rPr>
      </w:pPr>
    </w:p>
    <w:p w14:paraId="6268DA46" w14:textId="77777777" w:rsidR="005F36E0" w:rsidRDefault="005F36E0" w:rsidP="005012C6">
      <w:pPr>
        <w:jc w:val="center"/>
        <w:rPr>
          <w:rFonts w:ascii="Times New Roman" w:hAnsi="Times New Roman" w:cs="Times New Roman"/>
          <w:sz w:val="24"/>
          <w:szCs w:val="24"/>
        </w:rPr>
      </w:pPr>
    </w:p>
    <w:p w14:paraId="3C9B8F6C" w14:textId="6CD5D753" w:rsidR="005F36E0" w:rsidRDefault="00DC380B" w:rsidP="005012C6">
      <w:pPr>
        <w:jc w:val="center"/>
        <w:rPr>
          <w:rFonts w:ascii="Times New Roman" w:hAnsi="Times New Roman" w:cs="Times New Roman"/>
          <w:sz w:val="24"/>
          <w:szCs w:val="24"/>
        </w:rPr>
      </w:pPr>
      <w:r w:rsidRPr="00DC380B">
        <w:rPr>
          <w:rFonts w:ascii="Times New Roman" w:hAnsi="Times New Roman" w:cs="Times New Roman"/>
          <w:noProof/>
          <w:sz w:val="24"/>
          <w:szCs w:val="24"/>
        </w:rPr>
        <w:lastRenderedPageBreak/>
        <w:drawing>
          <wp:anchor distT="0" distB="0" distL="114300" distR="114300" simplePos="0" relativeHeight="251784192" behindDoc="0" locked="0" layoutInCell="1" allowOverlap="1" wp14:anchorId="62B28A3B" wp14:editId="1C6739A6">
            <wp:simplePos x="0" y="0"/>
            <wp:positionH relativeFrom="column">
              <wp:posOffset>264453</wp:posOffset>
            </wp:positionH>
            <wp:positionV relativeFrom="paragraph">
              <wp:posOffset>0</wp:posOffset>
            </wp:positionV>
            <wp:extent cx="5427785" cy="6280805"/>
            <wp:effectExtent l="0" t="0" r="0" b="5715"/>
            <wp:wrapNone/>
            <wp:docPr id="183673132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31327" name="Picture 1" descr="A screenshot of a computer screen&#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427785" cy="6280805"/>
                    </a:xfrm>
                    <a:prstGeom prst="rect">
                      <a:avLst/>
                    </a:prstGeom>
                  </pic:spPr>
                </pic:pic>
              </a:graphicData>
            </a:graphic>
            <wp14:sizeRelH relativeFrom="page">
              <wp14:pctWidth>0</wp14:pctWidth>
            </wp14:sizeRelH>
            <wp14:sizeRelV relativeFrom="page">
              <wp14:pctHeight>0</wp14:pctHeight>
            </wp14:sizeRelV>
          </wp:anchor>
        </w:drawing>
      </w:r>
    </w:p>
    <w:p w14:paraId="60219F2E" w14:textId="77777777" w:rsidR="005F36E0" w:rsidRDefault="005F36E0" w:rsidP="005012C6">
      <w:pPr>
        <w:jc w:val="center"/>
        <w:rPr>
          <w:rFonts w:ascii="Times New Roman" w:hAnsi="Times New Roman" w:cs="Times New Roman"/>
          <w:sz w:val="24"/>
          <w:szCs w:val="24"/>
        </w:rPr>
      </w:pPr>
    </w:p>
    <w:p w14:paraId="516CA04D" w14:textId="77777777" w:rsidR="005F36E0" w:rsidRDefault="005F36E0" w:rsidP="005012C6">
      <w:pPr>
        <w:jc w:val="center"/>
        <w:rPr>
          <w:rFonts w:ascii="Times New Roman" w:hAnsi="Times New Roman" w:cs="Times New Roman"/>
          <w:sz w:val="24"/>
          <w:szCs w:val="24"/>
        </w:rPr>
      </w:pPr>
    </w:p>
    <w:p w14:paraId="14C435FA" w14:textId="77777777" w:rsidR="005F36E0" w:rsidRDefault="005F36E0" w:rsidP="005012C6">
      <w:pPr>
        <w:jc w:val="center"/>
        <w:rPr>
          <w:rFonts w:ascii="Times New Roman" w:hAnsi="Times New Roman" w:cs="Times New Roman"/>
          <w:sz w:val="24"/>
          <w:szCs w:val="24"/>
        </w:rPr>
      </w:pPr>
    </w:p>
    <w:p w14:paraId="21E19E1D" w14:textId="77777777" w:rsidR="005F36E0" w:rsidRDefault="005F36E0" w:rsidP="005012C6">
      <w:pPr>
        <w:jc w:val="center"/>
        <w:rPr>
          <w:rFonts w:ascii="Times New Roman" w:hAnsi="Times New Roman" w:cs="Times New Roman"/>
          <w:sz w:val="24"/>
          <w:szCs w:val="24"/>
        </w:rPr>
      </w:pPr>
    </w:p>
    <w:p w14:paraId="319D78A3" w14:textId="77777777" w:rsidR="00991D22" w:rsidRDefault="00991D22" w:rsidP="005012C6">
      <w:pPr>
        <w:jc w:val="center"/>
        <w:rPr>
          <w:rFonts w:ascii="Times New Roman" w:hAnsi="Times New Roman" w:cs="Times New Roman"/>
          <w:sz w:val="24"/>
          <w:szCs w:val="24"/>
        </w:rPr>
      </w:pPr>
    </w:p>
    <w:p w14:paraId="3B14B3A7" w14:textId="77777777" w:rsidR="00991D22" w:rsidRDefault="00991D22" w:rsidP="005012C6">
      <w:pPr>
        <w:jc w:val="center"/>
        <w:rPr>
          <w:rFonts w:ascii="Times New Roman" w:hAnsi="Times New Roman" w:cs="Times New Roman"/>
          <w:sz w:val="24"/>
          <w:szCs w:val="24"/>
        </w:rPr>
      </w:pPr>
    </w:p>
    <w:p w14:paraId="4C73C6ED" w14:textId="77777777" w:rsidR="00991D22" w:rsidRDefault="00991D22" w:rsidP="005012C6">
      <w:pPr>
        <w:jc w:val="center"/>
        <w:rPr>
          <w:rFonts w:ascii="Times New Roman" w:hAnsi="Times New Roman" w:cs="Times New Roman"/>
          <w:sz w:val="24"/>
          <w:szCs w:val="24"/>
        </w:rPr>
      </w:pPr>
    </w:p>
    <w:p w14:paraId="657C72A6" w14:textId="77777777" w:rsidR="00991D22" w:rsidRDefault="00991D22" w:rsidP="005012C6">
      <w:pPr>
        <w:jc w:val="center"/>
        <w:rPr>
          <w:rFonts w:ascii="Times New Roman" w:hAnsi="Times New Roman" w:cs="Times New Roman"/>
          <w:sz w:val="24"/>
          <w:szCs w:val="24"/>
        </w:rPr>
      </w:pPr>
    </w:p>
    <w:p w14:paraId="3064988B" w14:textId="77777777" w:rsidR="00991D22" w:rsidRDefault="00991D22" w:rsidP="005012C6">
      <w:pPr>
        <w:jc w:val="center"/>
        <w:rPr>
          <w:rFonts w:ascii="Times New Roman" w:hAnsi="Times New Roman" w:cs="Times New Roman"/>
          <w:sz w:val="24"/>
          <w:szCs w:val="24"/>
        </w:rPr>
      </w:pPr>
    </w:p>
    <w:p w14:paraId="1EF05EDA" w14:textId="77777777" w:rsidR="00991D22" w:rsidRDefault="00991D22" w:rsidP="005012C6">
      <w:pPr>
        <w:jc w:val="center"/>
        <w:rPr>
          <w:rFonts w:ascii="Times New Roman" w:hAnsi="Times New Roman" w:cs="Times New Roman"/>
          <w:sz w:val="24"/>
          <w:szCs w:val="24"/>
        </w:rPr>
      </w:pPr>
    </w:p>
    <w:p w14:paraId="19CF3F7C" w14:textId="77777777" w:rsidR="00991D22" w:rsidRDefault="00991D22" w:rsidP="005012C6">
      <w:pPr>
        <w:jc w:val="center"/>
        <w:rPr>
          <w:rFonts w:ascii="Times New Roman" w:hAnsi="Times New Roman" w:cs="Times New Roman"/>
          <w:sz w:val="24"/>
          <w:szCs w:val="24"/>
        </w:rPr>
      </w:pPr>
    </w:p>
    <w:p w14:paraId="630FE6D4" w14:textId="77777777" w:rsidR="00991D22" w:rsidRDefault="00991D22" w:rsidP="005012C6">
      <w:pPr>
        <w:jc w:val="center"/>
        <w:rPr>
          <w:rFonts w:ascii="Times New Roman" w:hAnsi="Times New Roman" w:cs="Times New Roman"/>
          <w:sz w:val="24"/>
          <w:szCs w:val="24"/>
        </w:rPr>
      </w:pPr>
    </w:p>
    <w:p w14:paraId="3BC9B512" w14:textId="77777777" w:rsidR="00991D22" w:rsidRDefault="00991D22" w:rsidP="005012C6">
      <w:pPr>
        <w:jc w:val="center"/>
        <w:rPr>
          <w:rFonts w:ascii="Times New Roman" w:hAnsi="Times New Roman" w:cs="Times New Roman"/>
          <w:sz w:val="24"/>
          <w:szCs w:val="24"/>
        </w:rPr>
      </w:pPr>
    </w:p>
    <w:p w14:paraId="255B55FB" w14:textId="77777777" w:rsidR="00991D22" w:rsidRDefault="00991D22" w:rsidP="005012C6">
      <w:pPr>
        <w:jc w:val="center"/>
        <w:rPr>
          <w:rFonts w:ascii="Times New Roman" w:hAnsi="Times New Roman" w:cs="Times New Roman"/>
          <w:sz w:val="24"/>
          <w:szCs w:val="24"/>
        </w:rPr>
      </w:pPr>
    </w:p>
    <w:p w14:paraId="25D48341" w14:textId="77777777" w:rsidR="00991D22" w:rsidRDefault="00991D22" w:rsidP="005012C6">
      <w:pPr>
        <w:jc w:val="center"/>
        <w:rPr>
          <w:rFonts w:ascii="Times New Roman" w:hAnsi="Times New Roman" w:cs="Times New Roman"/>
          <w:sz w:val="24"/>
          <w:szCs w:val="24"/>
        </w:rPr>
      </w:pPr>
    </w:p>
    <w:p w14:paraId="1D24A54E" w14:textId="77777777" w:rsidR="00991D22" w:rsidRDefault="00991D22" w:rsidP="005012C6">
      <w:pPr>
        <w:jc w:val="center"/>
        <w:rPr>
          <w:rFonts w:ascii="Times New Roman" w:hAnsi="Times New Roman" w:cs="Times New Roman"/>
          <w:sz w:val="24"/>
          <w:szCs w:val="24"/>
        </w:rPr>
      </w:pPr>
    </w:p>
    <w:p w14:paraId="1EA0A698" w14:textId="77777777" w:rsidR="00991D22" w:rsidRDefault="00991D22" w:rsidP="005012C6">
      <w:pPr>
        <w:jc w:val="center"/>
        <w:rPr>
          <w:rFonts w:ascii="Times New Roman" w:hAnsi="Times New Roman" w:cs="Times New Roman"/>
          <w:sz w:val="24"/>
          <w:szCs w:val="24"/>
        </w:rPr>
      </w:pPr>
    </w:p>
    <w:p w14:paraId="40C7ED6F" w14:textId="77777777" w:rsidR="00991D22" w:rsidRDefault="00991D22" w:rsidP="005012C6">
      <w:pPr>
        <w:jc w:val="center"/>
        <w:rPr>
          <w:rFonts w:ascii="Times New Roman" w:hAnsi="Times New Roman" w:cs="Times New Roman"/>
          <w:sz w:val="24"/>
          <w:szCs w:val="24"/>
        </w:rPr>
      </w:pPr>
    </w:p>
    <w:p w14:paraId="1D8B104C" w14:textId="77777777" w:rsidR="00991D22" w:rsidRDefault="00991D22" w:rsidP="005012C6">
      <w:pPr>
        <w:jc w:val="center"/>
        <w:rPr>
          <w:rFonts w:ascii="Times New Roman" w:hAnsi="Times New Roman" w:cs="Times New Roman"/>
          <w:sz w:val="24"/>
          <w:szCs w:val="24"/>
        </w:rPr>
      </w:pPr>
    </w:p>
    <w:p w14:paraId="549E78A0" w14:textId="0E0C2413" w:rsidR="00991D22" w:rsidRDefault="00991D22" w:rsidP="005012C6">
      <w:pPr>
        <w:jc w:val="center"/>
        <w:rPr>
          <w:rFonts w:ascii="Times New Roman" w:hAnsi="Times New Roman" w:cs="Times New Roman"/>
          <w:sz w:val="24"/>
          <w:szCs w:val="24"/>
        </w:rPr>
      </w:pPr>
    </w:p>
    <w:p w14:paraId="69C587E9" w14:textId="02D0A973" w:rsidR="00991D22" w:rsidRDefault="00991D22"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83168" behindDoc="0" locked="0" layoutInCell="1" allowOverlap="1" wp14:anchorId="0B72C81E" wp14:editId="2EEFC1D2">
                <wp:simplePos x="0" y="0"/>
                <wp:positionH relativeFrom="column">
                  <wp:posOffset>0</wp:posOffset>
                </wp:positionH>
                <wp:positionV relativeFrom="paragraph">
                  <wp:posOffset>213262</wp:posOffset>
                </wp:positionV>
                <wp:extent cx="6024245" cy="1693545"/>
                <wp:effectExtent l="0" t="0" r="0" b="0"/>
                <wp:wrapNone/>
                <wp:docPr id="700869192" name="Text Box 2"/>
                <wp:cNvGraphicFramePr/>
                <a:graphic xmlns:a="http://schemas.openxmlformats.org/drawingml/2006/main">
                  <a:graphicData uri="http://schemas.microsoft.com/office/word/2010/wordprocessingShape">
                    <wps:wsp>
                      <wps:cNvSpPr txBox="1"/>
                      <wps:spPr>
                        <a:xfrm>
                          <a:off x="0" y="0"/>
                          <a:ext cx="6024245" cy="1693545"/>
                        </a:xfrm>
                        <a:prstGeom prst="rect">
                          <a:avLst/>
                        </a:prstGeom>
                        <a:noFill/>
                        <a:ln w="6350">
                          <a:noFill/>
                        </a:ln>
                      </wps:spPr>
                      <wps:txbx>
                        <w:txbxContent>
                          <w:p w14:paraId="420B3D1F" w14:textId="57F2483C" w:rsidR="00991D22" w:rsidRPr="00AC36DC" w:rsidRDefault="00991D22" w:rsidP="00991D22">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25</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triangulatus-M. lianae</w:t>
                            </w:r>
                            <w:r>
                              <w:rPr>
                                <w:rFonts w:ascii="Times New Roman" w:hAnsi="Times New Roman" w:cs="Times New Roman"/>
                                <w:color w:val="000000" w:themeColor="text1"/>
                                <w:sz w:val="20"/>
                                <w:szCs w:val="20"/>
                              </w:rPr>
                              <w:t xml:space="preserve"> based on 6,016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2C81E" id="_x0000_s1064" type="#_x0000_t202" style="position:absolute;left:0;text-align:left;margin-left:0;margin-top:16.8pt;width:474.35pt;height:133.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" filled="f" stroked="f" strokeweight=".5pt">
                <v:textbox>
                  <w:txbxContent>
                    <w:p w14:paraId="420B3D1F" w14:textId="57F2483C" w:rsidR="00991D22" w:rsidRPr="00AC36DC" w:rsidRDefault="00991D22" w:rsidP="00991D22">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w:t>
                      </w:r>
                      <w:r>
                        <w:rPr>
                          <w:rFonts w:ascii="Times New Roman" w:hAnsi="Times New Roman" w:cs="Times New Roman"/>
                          <w:b/>
                          <w:bCs/>
                          <w:color w:val="000000" w:themeColor="text1"/>
                          <w:sz w:val="20"/>
                          <w:szCs w:val="20"/>
                        </w:rPr>
                        <w:t>5</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triangulatus-M. lianae</w:t>
                      </w:r>
                      <w:r>
                        <w:rPr>
                          <w:rFonts w:ascii="Times New Roman" w:hAnsi="Times New Roman" w:cs="Times New Roman"/>
                          <w:color w:val="000000" w:themeColor="text1"/>
                          <w:sz w:val="20"/>
                          <w:szCs w:val="20"/>
                        </w:rPr>
                        <w:t xml:space="preserve"> based on </w:t>
                      </w:r>
                      <w:r>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016</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3247152D" w14:textId="77777777" w:rsidR="00991D22" w:rsidRDefault="00991D22" w:rsidP="005012C6">
      <w:pPr>
        <w:jc w:val="center"/>
        <w:rPr>
          <w:rFonts w:ascii="Times New Roman" w:hAnsi="Times New Roman" w:cs="Times New Roman"/>
          <w:sz w:val="24"/>
          <w:szCs w:val="24"/>
        </w:rPr>
      </w:pPr>
    </w:p>
    <w:p w14:paraId="7963347C" w14:textId="77777777" w:rsidR="00991D22" w:rsidRDefault="00991D22" w:rsidP="005012C6">
      <w:pPr>
        <w:jc w:val="center"/>
        <w:rPr>
          <w:rFonts w:ascii="Times New Roman" w:hAnsi="Times New Roman" w:cs="Times New Roman"/>
          <w:sz w:val="24"/>
          <w:szCs w:val="24"/>
        </w:rPr>
      </w:pPr>
    </w:p>
    <w:p w14:paraId="7DDE5F07" w14:textId="77777777" w:rsidR="00991D22" w:rsidRDefault="00991D22" w:rsidP="005012C6">
      <w:pPr>
        <w:jc w:val="center"/>
        <w:rPr>
          <w:rFonts w:ascii="Times New Roman" w:hAnsi="Times New Roman" w:cs="Times New Roman"/>
          <w:sz w:val="24"/>
          <w:szCs w:val="24"/>
        </w:rPr>
      </w:pPr>
    </w:p>
    <w:p w14:paraId="65F56210" w14:textId="77777777" w:rsidR="00991D22" w:rsidRDefault="00991D22" w:rsidP="005012C6">
      <w:pPr>
        <w:jc w:val="center"/>
        <w:rPr>
          <w:rFonts w:ascii="Times New Roman" w:hAnsi="Times New Roman" w:cs="Times New Roman"/>
          <w:sz w:val="24"/>
          <w:szCs w:val="24"/>
        </w:rPr>
      </w:pPr>
    </w:p>
    <w:p w14:paraId="0AA5AF78" w14:textId="77777777" w:rsidR="00991D22" w:rsidRDefault="00991D22" w:rsidP="005012C6">
      <w:pPr>
        <w:jc w:val="center"/>
        <w:rPr>
          <w:rFonts w:ascii="Times New Roman" w:hAnsi="Times New Roman" w:cs="Times New Roman"/>
          <w:sz w:val="24"/>
          <w:szCs w:val="24"/>
        </w:rPr>
      </w:pPr>
    </w:p>
    <w:p w14:paraId="437852B3" w14:textId="77777777" w:rsidR="00991D22" w:rsidRDefault="00991D22" w:rsidP="005012C6">
      <w:pPr>
        <w:jc w:val="center"/>
        <w:rPr>
          <w:rFonts w:ascii="Times New Roman" w:hAnsi="Times New Roman" w:cs="Times New Roman"/>
          <w:sz w:val="24"/>
          <w:szCs w:val="24"/>
        </w:rPr>
      </w:pPr>
    </w:p>
    <w:p w14:paraId="5A9777FF" w14:textId="097845A6" w:rsidR="00991D22" w:rsidRDefault="00765549" w:rsidP="005012C6">
      <w:pPr>
        <w:jc w:val="center"/>
        <w:rPr>
          <w:rFonts w:ascii="Times New Roman" w:hAnsi="Times New Roman" w:cs="Times New Roman"/>
          <w:sz w:val="24"/>
          <w:szCs w:val="24"/>
        </w:rPr>
      </w:pPr>
      <w:r w:rsidRPr="00765549">
        <w:rPr>
          <w:rFonts w:ascii="Times New Roman" w:hAnsi="Times New Roman" w:cs="Times New Roman"/>
          <w:noProof/>
          <w:sz w:val="24"/>
          <w:szCs w:val="24"/>
        </w:rPr>
        <w:lastRenderedPageBreak/>
        <w:drawing>
          <wp:anchor distT="0" distB="0" distL="114300" distR="114300" simplePos="0" relativeHeight="251787264" behindDoc="0" locked="0" layoutInCell="1" allowOverlap="1" wp14:anchorId="661499B0" wp14:editId="7C4747C3">
            <wp:simplePos x="0" y="0"/>
            <wp:positionH relativeFrom="column">
              <wp:posOffset>229528</wp:posOffset>
            </wp:positionH>
            <wp:positionV relativeFrom="paragraph">
              <wp:posOffset>0</wp:posOffset>
            </wp:positionV>
            <wp:extent cx="5462954" cy="6320918"/>
            <wp:effectExtent l="0" t="0" r="0" b="3810"/>
            <wp:wrapNone/>
            <wp:docPr id="1123347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47850"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62954" cy="6320918"/>
                    </a:xfrm>
                    <a:prstGeom prst="rect">
                      <a:avLst/>
                    </a:prstGeom>
                  </pic:spPr>
                </pic:pic>
              </a:graphicData>
            </a:graphic>
            <wp14:sizeRelH relativeFrom="page">
              <wp14:pctWidth>0</wp14:pctWidth>
            </wp14:sizeRelH>
            <wp14:sizeRelV relativeFrom="page">
              <wp14:pctHeight>0</wp14:pctHeight>
            </wp14:sizeRelV>
          </wp:anchor>
        </w:drawing>
      </w:r>
    </w:p>
    <w:p w14:paraId="507F7A36" w14:textId="77777777" w:rsidR="00991D22" w:rsidRDefault="00991D22" w:rsidP="005012C6">
      <w:pPr>
        <w:jc w:val="center"/>
        <w:rPr>
          <w:rFonts w:ascii="Times New Roman" w:hAnsi="Times New Roman" w:cs="Times New Roman"/>
          <w:sz w:val="24"/>
          <w:szCs w:val="24"/>
        </w:rPr>
      </w:pPr>
    </w:p>
    <w:p w14:paraId="6715953D" w14:textId="77777777" w:rsidR="00991D22" w:rsidRDefault="00991D22" w:rsidP="005012C6">
      <w:pPr>
        <w:jc w:val="center"/>
        <w:rPr>
          <w:rFonts w:ascii="Times New Roman" w:hAnsi="Times New Roman" w:cs="Times New Roman"/>
          <w:sz w:val="24"/>
          <w:szCs w:val="24"/>
        </w:rPr>
      </w:pPr>
    </w:p>
    <w:p w14:paraId="06B1E4AE" w14:textId="77777777" w:rsidR="005F36E0" w:rsidRDefault="005F36E0" w:rsidP="005012C6">
      <w:pPr>
        <w:jc w:val="center"/>
        <w:rPr>
          <w:rFonts w:ascii="Times New Roman" w:hAnsi="Times New Roman" w:cs="Times New Roman"/>
          <w:sz w:val="24"/>
          <w:szCs w:val="24"/>
        </w:rPr>
      </w:pPr>
    </w:p>
    <w:p w14:paraId="7348B474" w14:textId="77777777" w:rsidR="009B50A2" w:rsidRDefault="009B50A2" w:rsidP="005012C6">
      <w:pPr>
        <w:jc w:val="center"/>
        <w:rPr>
          <w:rFonts w:ascii="Times New Roman" w:hAnsi="Times New Roman" w:cs="Times New Roman"/>
          <w:sz w:val="24"/>
          <w:szCs w:val="24"/>
        </w:rPr>
      </w:pPr>
    </w:p>
    <w:p w14:paraId="7061C110" w14:textId="77777777" w:rsidR="009B50A2" w:rsidRDefault="009B50A2" w:rsidP="005012C6">
      <w:pPr>
        <w:jc w:val="center"/>
        <w:rPr>
          <w:rFonts w:ascii="Times New Roman" w:hAnsi="Times New Roman" w:cs="Times New Roman"/>
          <w:sz w:val="24"/>
          <w:szCs w:val="24"/>
        </w:rPr>
      </w:pPr>
    </w:p>
    <w:p w14:paraId="1BE25200" w14:textId="77777777" w:rsidR="009B50A2" w:rsidRDefault="009B50A2" w:rsidP="005012C6">
      <w:pPr>
        <w:jc w:val="center"/>
        <w:rPr>
          <w:rFonts w:ascii="Times New Roman" w:hAnsi="Times New Roman" w:cs="Times New Roman"/>
          <w:sz w:val="24"/>
          <w:szCs w:val="24"/>
        </w:rPr>
      </w:pPr>
    </w:p>
    <w:p w14:paraId="7A7F0382" w14:textId="77777777" w:rsidR="009B50A2" w:rsidRDefault="009B50A2" w:rsidP="005012C6">
      <w:pPr>
        <w:jc w:val="center"/>
        <w:rPr>
          <w:rFonts w:ascii="Times New Roman" w:hAnsi="Times New Roman" w:cs="Times New Roman"/>
          <w:sz w:val="24"/>
          <w:szCs w:val="24"/>
        </w:rPr>
      </w:pPr>
    </w:p>
    <w:p w14:paraId="74C3BE3E" w14:textId="77777777" w:rsidR="009B50A2" w:rsidRDefault="009B50A2" w:rsidP="005012C6">
      <w:pPr>
        <w:jc w:val="center"/>
        <w:rPr>
          <w:rFonts w:ascii="Times New Roman" w:hAnsi="Times New Roman" w:cs="Times New Roman"/>
          <w:sz w:val="24"/>
          <w:szCs w:val="24"/>
        </w:rPr>
      </w:pPr>
    </w:p>
    <w:p w14:paraId="3541F529" w14:textId="77777777" w:rsidR="009B50A2" w:rsidRDefault="009B50A2" w:rsidP="005012C6">
      <w:pPr>
        <w:jc w:val="center"/>
        <w:rPr>
          <w:rFonts w:ascii="Times New Roman" w:hAnsi="Times New Roman" w:cs="Times New Roman"/>
          <w:sz w:val="24"/>
          <w:szCs w:val="24"/>
        </w:rPr>
      </w:pPr>
    </w:p>
    <w:p w14:paraId="10D7FC30" w14:textId="77777777" w:rsidR="009B50A2" w:rsidRDefault="009B50A2" w:rsidP="005012C6">
      <w:pPr>
        <w:jc w:val="center"/>
        <w:rPr>
          <w:rFonts w:ascii="Times New Roman" w:hAnsi="Times New Roman" w:cs="Times New Roman"/>
          <w:sz w:val="24"/>
          <w:szCs w:val="24"/>
        </w:rPr>
      </w:pPr>
    </w:p>
    <w:p w14:paraId="17F6B1C7" w14:textId="77777777" w:rsidR="009B50A2" w:rsidRDefault="009B50A2" w:rsidP="005012C6">
      <w:pPr>
        <w:jc w:val="center"/>
        <w:rPr>
          <w:rFonts w:ascii="Times New Roman" w:hAnsi="Times New Roman" w:cs="Times New Roman"/>
          <w:sz w:val="24"/>
          <w:szCs w:val="24"/>
        </w:rPr>
      </w:pPr>
    </w:p>
    <w:p w14:paraId="4B147197" w14:textId="77777777" w:rsidR="009B50A2" w:rsidRDefault="009B50A2" w:rsidP="005012C6">
      <w:pPr>
        <w:jc w:val="center"/>
        <w:rPr>
          <w:rFonts w:ascii="Times New Roman" w:hAnsi="Times New Roman" w:cs="Times New Roman"/>
          <w:sz w:val="24"/>
          <w:szCs w:val="24"/>
        </w:rPr>
      </w:pPr>
    </w:p>
    <w:p w14:paraId="149509DB" w14:textId="77777777" w:rsidR="009B50A2" w:rsidRDefault="009B50A2" w:rsidP="005012C6">
      <w:pPr>
        <w:jc w:val="center"/>
        <w:rPr>
          <w:rFonts w:ascii="Times New Roman" w:hAnsi="Times New Roman" w:cs="Times New Roman"/>
          <w:sz w:val="24"/>
          <w:szCs w:val="24"/>
        </w:rPr>
      </w:pPr>
    </w:p>
    <w:p w14:paraId="2665B144" w14:textId="77777777" w:rsidR="009B50A2" w:rsidRDefault="009B50A2" w:rsidP="005012C6">
      <w:pPr>
        <w:jc w:val="center"/>
        <w:rPr>
          <w:rFonts w:ascii="Times New Roman" w:hAnsi="Times New Roman" w:cs="Times New Roman"/>
          <w:sz w:val="24"/>
          <w:szCs w:val="24"/>
        </w:rPr>
      </w:pPr>
    </w:p>
    <w:p w14:paraId="2681412B" w14:textId="77777777" w:rsidR="009B50A2" w:rsidRDefault="009B50A2" w:rsidP="005012C6">
      <w:pPr>
        <w:jc w:val="center"/>
        <w:rPr>
          <w:rFonts w:ascii="Times New Roman" w:hAnsi="Times New Roman" w:cs="Times New Roman"/>
          <w:sz w:val="24"/>
          <w:szCs w:val="24"/>
        </w:rPr>
      </w:pPr>
    </w:p>
    <w:p w14:paraId="75AA8950" w14:textId="77777777" w:rsidR="009B50A2" w:rsidRDefault="009B50A2" w:rsidP="005012C6">
      <w:pPr>
        <w:jc w:val="center"/>
        <w:rPr>
          <w:rFonts w:ascii="Times New Roman" w:hAnsi="Times New Roman" w:cs="Times New Roman"/>
          <w:sz w:val="24"/>
          <w:szCs w:val="24"/>
        </w:rPr>
      </w:pPr>
    </w:p>
    <w:p w14:paraId="27A714C4" w14:textId="77777777" w:rsidR="009B50A2" w:rsidRDefault="009B50A2" w:rsidP="005012C6">
      <w:pPr>
        <w:jc w:val="center"/>
        <w:rPr>
          <w:rFonts w:ascii="Times New Roman" w:hAnsi="Times New Roman" w:cs="Times New Roman"/>
          <w:sz w:val="24"/>
          <w:szCs w:val="24"/>
        </w:rPr>
      </w:pPr>
    </w:p>
    <w:p w14:paraId="2227AAB3" w14:textId="77777777" w:rsidR="009B50A2" w:rsidRDefault="009B50A2" w:rsidP="005012C6">
      <w:pPr>
        <w:jc w:val="center"/>
        <w:rPr>
          <w:rFonts w:ascii="Times New Roman" w:hAnsi="Times New Roman" w:cs="Times New Roman"/>
          <w:sz w:val="24"/>
          <w:szCs w:val="24"/>
        </w:rPr>
      </w:pPr>
    </w:p>
    <w:p w14:paraId="4B3372EA" w14:textId="77777777" w:rsidR="009B50A2" w:rsidRDefault="009B50A2" w:rsidP="005012C6">
      <w:pPr>
        <w:jc w:val="center"/>
        <w:rPr>
          <w:rFonts w:ascii="Times New Roman" w:hAnsi="Times New Roman" w:cs="Times New Roman"/>
          <w:sz w:val="24"/>
          <w:szCs w:val="24"/>
        </w:rPr>
      </w:pPr>
    </w:p>
    <w:p w14:paraId="2F8EDB99" w14:textId="77777777" w:rsidR="009B50A2" w:rsidRDefault="009B50A2" w:rsidP="005012C6">
      <w:pPr>
        <w:jc w:val="center"/>
        <w:rPr>
          <w:rFonts w:ascii="Times New Roman" w:hAnsi="Times New Roman" w:cs="Times New Roman"/>
          <w:sz w:val="24"/>
          <w:szCs w:val="24"/>
        </w:rPr>
      </w:pPr>
    </w:p>
    <w:p w14:paraId="768E4C4C" w14:textId="3701D444" w:rsidR="009B50A2" w:rsidRDefault="00E76709"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86240" behindDoc="0" locked="0" layoutInCell="1" allowOverlap="1" wp14:anchorId="5C390E3E" wp14:editId="7C1C9150">
                <wp:simplePos x="0" y="0"/>
                <wp:positionH relativeFrom="column">
                  <wp:posOffset>0</wp:posOffset>
                </wp:positionH>
                <wp:positionV relativeFrom="paragraph">
                  <wp:posOffset>206668</wp:posOffset>
                </wp:positionV>
                <wp:extent cx="6024245" cy="1693545"/>
                <wp:effectExtent l="0" t="0" r="0" b="0"/>
                <wp:wrapNone/>
                <wp:docPr id="1579163188" name="Text Box 2"/>
                <wp:cNvGraphicFramePr/>
                <a:graphic xmlns:a="http://schemas.openxmlformats.org/drawingml/2006/main">
                  <a:graphicData uri="http://schemas.microsoft.com/office/word/2010/wordprocessingShape">
                    <wps:wsp>
                      <wps:cNvSpPr txBox="1"/>
                      <wps:spPr>
                        <a:xfrm>
                          <a:off x="0" y="0"/>
                          <a:ext cx="6024245" cy="1693545"/>
                        </a:xfrm>
                        <a:prstGeom prst="rect">
                          <a:avLst/>
                        </a:prstGeom>
                        <a:noFill/>
                        <a:ln w="6350">
                          <a:noFill/>
                        </a:ln>
                      </wps:spPr>
                      <wps:txbx>
                        <w:txbxContent>
                          <w:p w14:paraId="72B3D18B" w14:textId="73430C4A" w:rsidR="00E76709" w:rsidRPr="00AC36DC" w:rsidRDefault="00E76709" w:rsidP="00E76709">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26</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Pr>
                                <w:rFonts w:ascii="Times New Roman" w:hAnsi="Times New Roman" w:cs="Times New Roman"/>
                                <w:i/>
                                <w:iCs/>
                                <w:color w:val="000000" w:themeColor="text1"/>
                                <w:sz w:val="20"/>
                                <w:szCs w:val="20"/>
                              </w:rPr>
                              <w:t>versicolor</w:t>
                            </w:r>
                            <w:r>
                              <w:rPr>
                                <w:rFonts w:ascii="Times New Roman" w:hAnsi="Times New Roman" w:cs="Times New Roman"/>
                                <w:color w:val="000000" w:themeColor="text1"/>
                                <w:sz w:val="20"/>
                                <w:szCs w:val="20"/>
                              </w:rPr>
                              <w:t xml:space="preserve"> based on 6,171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90E3E" id="_x0000_s1065" type="#_x0000_t202" style="position:absolute;left:0;text-align:left;margin-left:0;margin-top:16.25pt;width:474.35pt;height:133.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" filled="f" stroked="f" strokeweight=".5pt">
                <v:textbox>
                  <w:txbxContent>
                    <w:p w14:paraId="72B3D18B" w14:textId="73430C4A" w:rsidR="00E76709" w:rsidRPr="00AC36DC" w:rsidRDefault="00E76709" w:rsidP="00E76709">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w:t>
                      </w:r>
                      <w:r>
                        <w:rPr>
                          <w:rFonts w:ascii="Times New Roman" w:hAnsi="Times New Roman" w:cs="Times New Roman"/>
                          <w:b/>
                          <w:bCs/>
                          <w:color w:val="000000" w:themeColor="text1"/>
                          <w:sz w:val="20"/>
                          <w:szCs w:val="20"/>
                        </w:rPr>
                        <w:t>6</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Population differentiation analyses on </w:t>
                      </w:r>
                      <w:r>
                        <w:rPr>
                          <w:rFonts w:ascii="Times New Roman" w:hAnsi="Times New Roman" w:cs="Times New Roman"/>
                          <w:i/>
                          <w:iCs/>
                          <w:color w:val="000000" w:themeColor="text1"/>
                          <w:sz w:val="20"/>
                          <w:szCs w:val="20"/>
                        </w:rPr>
                        <w:t>versicolor</w:t>
                      </w:r>
                      <w:r>
                        <w:rPr>
                          <w:rFonts w:ascii="Times New Roman" w:hAnsi="Times New Roman" w:cs="Times New Roman"/>
                          <w:color w:val="000000" w:themeColor="text1"/>
                          <w:sz w:val="20"/>
                          <w:szCs w:val="20"/>
                        </w:rPr>
                        <w:t xml:space="preserve"> based on 6,</w:t>
                      </w:r>
                      <w:r>
                        <w:rPr>
                          <w:rFonts w:ascii="Times New Roman" w:hAnsi="Times New Roman" w:cs="Times New Roman"/>
                          <w:color w:val="000000" w:themeColor="text1"/>
                          <w:sz w:val="20"/>
                          <w:szCs w:val="20"/>
                        </w:rPr>
                        <w:t>171</w:t>
                      </w:r>
                      <w:r>
                        <w:rPr>
                          <w:rFonts w:ascii="Times New Roman" w:hAnsi="Times New Roman" w:cs="Times New Roman"/>
                          <w:color w:val="000000" w:themeColor="text1"/>
                          <w:sz w:val="20"/>
                          <w:szCs w:val="20"/>
                        </w:rPr>
                        <w:t xml:space="preserve"> SNPs. A) Phylogenetic tree, with branches are color-coded to match sampling sites in Fig. 3.1. B &amp; C) FastStructure and ADMIXTURE analyses, respectively, highlight the best </w:t>
                      </w:r>
                      <w:r w:rsidRPr="00C30C81">
                        <w:rPr>
                          <w:rFonts w:ascii="Times New Roman" w:hAnsi="Times New Roman" w:cs="Times New Roman"/>
                          <w:i/>
                          <w:iCs/>
                          <w:color w:val="000000" w:themeColor="text1"/>
                          <w:sz w:val="20"/>
                          <w:szCs w:val="20"/>
                        </w:rPr>
                        <w:t>k</w:t>
                      </w:r>
                      <w:r>
                        <w:rPr>
                          <w:rFonts w:ascii="Times New Roman" w:hAnsi="Times New Roman" w:cs="Times New Roman"/>
                          <w:color w:val="000000" w:themeColor="text1"/>
                          <w:sz w:val="20"/>
                          <w:szCs w:val="20"/>
                        </w:rPr>
                        <w:t xml:space="preserve"> scenario. Each bar denotes an individual; colors indicate the inferred membership of each genomic group. D) Principal component analysis (PCA) where each point represents an individual, color-coded by their population. E &amp; F) Discriminant analysis of principal components (DAPC), both with and without </w:t>
                      </w:r>
                      <w:r w:rsidRPr="00C30C81">
                        <w:rPr>
                          <w:rFonts w:ascii="Times New Roman" w:hAnsi="Times New Roman" w:cs="Times New Roman"/>
                          <w:i/>
                          <w:iCs/>
                          <w:color w:val="000000" w:themeColor="text1"/>
                          <w:sz w:val="20"/>
                          <w:szCs w:val="20"/>
                        </w:rPr>
                        <w:t>a priori</w:t>
                      </w:r>
                      <w:r>
                        <w:rPr>
                          <w:rFonts w:ascii="Times New Roman" w:hAnsi="Times New Roman" w:cs="Times New Roman"/>
                          <w:color w:val="000000" w:themeColor="text1"/>
                          <w:sz w:val="20"/>
                          <w:szCs w:val="20"/>
                        </w:rPr>
                        <w:t xml:space="preserve"> grouping, respectively. G) Model of the estimated effective migration surfaces (EEMS) illustrating the spatial structure of the populations. White areas correlate with estimates from an isolation by distance (IBD) model, while migration rates (</w:t>
                      </w:r>
                      <w:r w:rsidRPr="003320FD">
                        <w:rPr>
                          <w:rFonts w:ascii="Times New Roman" w:hAnsi="Times New Roman" w:cs="Times New Roman"/>
                          <w:i/>
                          <w:iCs/>
                          <w:color w:val="000000" w:themeColor="text1"/>
                          <w:sz w:val="20"/>
                          <w:szCs w:val="20"/>
                        </w:rPr>
                        <w:t>m</w:t>
                      </w:r>
                      <w:r>
                        <w:rPr>
                          <w:rFonts w:ascii="Times New Roman" w:hAnsi="Times New Roman" w:cs="Times New Roman"/>
                          <w:color w:val="000000" w:themeColor="text1"/>
                          <w:sz w:val="20"/>
                          <w:szCs w:val="20"/>
                        </w:rPr>
                        <w:t>) above average are in blue, and those below average are in brown. H) Spatial principal component analysis (sPCA) illustrate global and local genotype patterns. Each square symbolizes a population, positioned according to its spatial coordinates and color-coded based on its genetic cluster.</w:t>
                      </w:r>
                    </w:p>
                  </w:txbxContent>
                </v:textbox>
              </v:shape>
            </w:pict>
          </mc:Fallback>
        </mc:AlternateContent>
      </w:r>
    </w:p>
    <w:p w14:paraId="67CC54B0" w14:textId="77777777" w:rsidR="009B50A2" w:rsidRDefault="009B50A2" w:rsidP="005012C6">
      <w:pPr>
        <w:jc w:val="center"/>
        <w:rPr>
          <w:rFonts w:ascii="Times New Roman" w:hAnsi="Times New Roman" w:cs="Times New Roman"/>
          <w:sz w:val="24"/>
          <w:szCs w:val="24"/>
        </w:rPr>
      </w:pPr>
    </w:p>
    <w:p w14:paraId="51915E9C" w14:textId="77777777" w:rsidR="009B50A2" w:rsidRDefault="009B50A2" w:rsidP="005012C6">
      <w:pPr>
        <w:jc w:val="center"/>
        <w:rPr>
          <w:rFonts w:ascii="Times New Roman" w:hAnsi="Times New Roman" w:cs="Times New Roman"/>
          <w:sz w:val="24"/>
          <w:szCs w:val="24"/>
        </w:rPr>
      </w:pPr>
    </w:p>
    <w:p w14:paraId="57CD2EFE" w14:textId="77777777" w:rsidR="009B50A2" w:rsidRDefault="009B50A2" w:rsidP="005012C6">
      <w:pPr>
        <w:jc w:val="center"/>
        <w:rPr>
          <w:rFonts w:ascii="Times New Roman" w:hAnsi="Times New Roman" w:cs="Times New Roman"/>
          <w:sz w:val="24"/>
          <w:szCs w:val="24"/>
        </w:rPr>
      </w:pPr>
    </w:p>
    <w:p w14:paraId="4AE7CCDA" w14:textId="77777777" w:rsidR="009B50A2" w:rsidRDefault="009B50A2" w:rsidP="005012C6">
      <w:pPr>
        <w:jc w:val="center"/>
        <w:rPr>
          <w:rFonts w:ascii="Times New Roman" w:hAnsi="Times New Roman" w:cs="Times New Roman"/>
          <w:sz w:val="24"/>
          <w:szCs w:val="24"/>
        </w:rPr>
      </w:pPr>
    </w:p>
    <w:p w14:paraId="5FAC0210" w14:textId="77777777" w:rsidR="009B50A2" w:rsidRDefault="009B50A2" w:rsidP="005012C6">
      <w:pPr>
        <w:jc w:val="center"/>
        <w:rPr>
          <w:rFonts w:ascii="Times New Roman" w:hAnsi="Times New Roman" w:cs="Times New Roman"/>
          <w:sz w:val="24"/>
          <w:szCs w:val="24"/>
        </w:rPr>
      </w:pPr>
    </w:p>
    <w:p w14:paraId="50851FD1" w14:textId="77777777" w:rsidR="009B50A2" w:rsidRDefault="009B50A2" w:rsidP="005012C6">
      <w:pPr>
        <w:jc w:val="center"/>
        <w:rPr>
          <w:rFonts w:ascii="Times New Roman" w:hAnsi="Times New Roman" w:cs="Times New Roman"/>
          <w:sz w:val="24"/>
          <w:szCs w:val="24"/>
        </w:rPr>
      </w:pPr>
    </w:p>
    <w:p w14:paraId="2B02DB3D" w14:textId="39E26F6A" w:rsidR="009B50A2" w:rsidRDefault="000F310A" w:rsidP="005012C6">
      <w:pPr>
        <w:jc w:val="center"/>
        <w:rPr>
          <w:rFonts w:ascii="Times New Roman" w:hAnsi="Times New Roman" w:cs="Times New Roman"/>
          <w:sz w:val="24"/>
          <w:szCs w:val="24"/>
        </w:rPr>
      </w:pPr>
      <w:r w:rsidRPr="008928B1">
        <w:rPr>
          <w:rFonts w:ascii="Times New Roman" w:hAnsi="Times New Roman" w:cs="Times New Roman"/>
          <w:noProof/>
        </w:rPr>
        <w:lastRenderedPageBreak/>
        <w:drawing>
          <wp:inline distT="0" distB="0" distL="0" distR="0" wp14:anchorId="3ED90C93" wp14:editId="5720C9E6">
            <wp:extent cx="5943600" cy="1679575"/>
            <wp:effectExtent l="0" t="0" r="0" b="0"/>
            <wp:docPr id="2123786911" name="Picture 1" descr="A blue and pink lin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86911" name="Picture 1" descr="A blue and pink lines with white text&#10;&#10;Description automatically generated"/>
                    <pic:cNvPicPr/>
                  </pic:nvPicPr>
                  <pic:blipFill>
                    <a:blip r:embed="rId78"/>
                    <a:stretch>
                      <a:fillRect/>
                    </a:stretch>
                  </pic:blipFill>
                  <pic:spPr>
                    <a:xfrm>
                      <a:off x="0" y="0"/>
                      <a:ext cx="5943600" cy="1679575"/>
                    </a:xfrm>
                    <a:prstGeom prst="rect">
                      <a:avLst/>
                    </a:prstGeom>
                  </pic:spPr>
                </pic:pic>
              </a:graphicData>
            </a:graphic>
          </wp:inline>
        </w:drawing>
      </w:r>
    </w:p>
    <w:p w14:paraId="10322337" w14:textId="47C4F0A6" w:rsidR="000F310A" w:rsidRDefault="000F310A"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89312" behindDoc="0" locked="0" layoutInCell="1" allowOverlap="1" wp14:anchorId="6950EB44" wp14:editId="605E7D2C">
                <wp:simplePos x="0" y="0"/>
                <wp:positionH relativeFrom="column">
                  <wp:posOffset>0</wp:posOffset>
                </wp:positionH>
                <wp:positionV relativeFrom="paragraph">
                  <wp:posOffset>0</wp:posOffset>
                </wp:positionV>
                <wp:extent cx="6024245" cy="254524"/>
                <wp:effectExtent l="0" t="0" r="0" b="0"/>
                <wp:wrapNone/>
                <wp:docPr id="1815262674" name="Text Box 2"/>
                <wp:cNvGraphicFramePr/>
                <a:graphic xmlns:a="http://schemas.openxmlformats.org/drawingml/2006/main">
                  <a:graphicData uri="http://schemas.microsoft.com/office/word/2010/wordprocessingShape">
                    <wps:wsp>
                      <wps:cNvSpPr txBox="1"/>
                      <wps:spPr>
                        <a:xfrm>
                          <a:off x="0" y="0"/>
                          <a:ext cx="6024245" cy="254524"/>
                        </a:xfrm>
                        <a:prstGeom prst="rect">
                          <a:avLst/>
                        </a:prstGeom>
                        <a:noFill/>
                        <a:ln w="6350">
                          <a:noFill/>
                        </a:ln>
                      </wps:spPr>
                      <wps:txbx>
                        <w:txbxContent>
                          <w:p w14:paraId="6E7DBF3B" w14:textId="77777777" w:rsidR="000F310A" w:rsidRPr="00AC36DC" w:rsidRDefault="000F310A" w:rsidP="000F310A">
                            <w:pPr>
                              <w:jc w:val="both"/>
                              <w:rPr>
                                <w:rFonts w:ascii="Times New Roman" w:hAnsi="Times New Roman" w:cs="Times New Roman"/>
                                <w:color w:val="000000" w:themeColor="text1"/>
                                <w:sz w:val="20"/>
                                <w:szCs w:val="20"/>
                              </w:rPr>
                            </w:pPr>
                            <w:bookmarkStart w:id="25" w:name="FigS27"/>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27</w:t>
                            </w:r>
                            <w:bookmarkEnd w:id="25"/>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Phylogenetic trees of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costaricanus, M. gigas, M. margaritae</w:t>
                            </w:r>
                            <w:r>
                              <w:rPr>
                                <w:rFonts w:ascii="Times New Roman" w:hAnsi="Times New Roman" w:cs="Times New Roman"/>
                                <w:color w:val="000000" w:themeColor="text1"/>
                                <w:sz w:val="20"/>
                                <w:szCs w:val="20"/>
                              </w:rPr>
                              <w:t xml:space="preserve"> and  </w:t>
                            </w:r>
                            <w:r>
                              <w:rPr>
                                <w:rFonts w:ascii="Times New Roman" w:hAnsi="Times New Roman" w:cs="Times New Roman"/>
                                <w:i/>
                                <w:iCs/>
                                <w:color w:val="000000" w:themeColor="text1"/>
                                <w:sz w:val="20"/>
                                <w:szCs w:val="20"/>
                              </w:rPr>
                              <w:t>M. zonogaster.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0EB44" id="_x0000_s1066" type="#_x0000_t202" style="position:absolute;left:0;text-align:left;margin-left:0;margin-top:0;width:474.35pt;height:20.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" filled="f" stroked="f" strokeweight=".5pt">
                <v:textbox>
                  <w:txbxContent>
                    <w:p w14:paraId="6E7DBF3B" w14:textId="77777777" w:rsidR="000F310A" w:rsidRPr="00AC36DC" w:rsidRDefault="000F310A" w:rsidP="000F310A">
                      <w:pPr>
                        <w:jc w:val="both"/>
                        <w:rPr>
                          <w:rFonts w:ascii="Times New Roman" w:hAnsi="Times New Roman" w:cs="Times New Roman"/>
                          <w:color w:val="000000" w:themeColor="text1"/>
                          <w:sz w:val="20"/>
                          <w:szCs w:val="20"/>
                        </w:rPr>
                      </w:pPr>
                      <w:bookmarkStart w:id="42" w:name="FigS27"/>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27</w:t>
                      </w:r>
                      <w:bookmarkEnd w:id="42"/>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Phylogenetic trees of </w:t>
                      </w:r>
                      <w:r w:rsidRPr="00C30C81">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costaricanus, M. gigas, M. margaritae</w:t>
                      </w:r>
                      <w:r>
                        <w:rPr>
                          <w:rFonts w:ascii="Times New Roman" w:hAnsi="Times New Roman" w:cs="Times New Roman"/>
                          <w:color w:val="000000" w:themeColor="text1"/>
                          <w:sz w:val="20"/>
                          <w:szCs w:val="20"/>
                        </w:rPr>
                        <w:t xml:space="preserve"> and  </w:t>
                      </w:r>
                      <w:r>
                        <w:rPr>
                          <w:rFonts w:ascii="Times New Roman" w:hAnsi="Times New Roman" w:cs="Times New Roman"/>
                          <w:i/>
                          <w:iCs/>
                          <w:color w:val="000000" w:themeColor="text1"/>
                          <w:sz w:val="20"/>
                          <w:szCs w:val="20"/>
                        </w:rPr>
                        <w:t>M. zonogaster.</w:t>
                      </w:r>
                    </w:p>
                  </w:txbxContent>
                </v:textbox>
              </v:shape>
            </w:pict>
          </mc:Fallback>
        </mc:AlternateContent>
      </w:r>
    </w:p>
    <w:p w14:paraId="77C2B7AD" w14:textId="77777777" w:rsidR="009B50A2" w:rsidRDefault="009B50A2" w:rsidP="005012C6">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640"/>
        <w:gridCol w:w="3198"/>
        <w:gridCol w:w="967"/>
        <w:gridCol w:w="889"/>
        <w:gridCol w:w="666"/>
      </w:tblGrid>
      <w:tr w:rsidR="000F310A" w:rsidRPr="00D4671D" w14:paraId="70614BB6" w14:textId="77777777" w:rsidTr="00031031">
        <w:tc>
          <w:tcPr>
            <w:tcW w:w="9360" w:type="dxa"/>
            <w:gridSpan w:val="5"/>
            <w:tcBorders>
              <w:top w:val="nil"/>
              <w:left w:val="nil"/>
              <w:bottom w:val="single" w:sz="18" w:space="0" w:color="auto"/>
              <w:right w:val="nil"/>
            </w:tcBorders>
          </w:tcPr>
          <w:p w14:paraId="162DA6B6"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color w:val="000000" w:themeColor="text1"/>
                <w:sz w:val="20"/>
                <w:szCs w:val="20"/>
              </w:rPr>
              <w:t>Table S</w:t>
            </w:r>
            <w:r>
              <w:rPr>
                <w:rFonts w:ascii="Times New Roman" w:hAnsi="Times New Roman" w:cs="Times New Roman"/>
                <w:b/>
                <w:bCs/>
                <w:color w:val="000000" w:themeColor="text1"/>
                <w:sz w:val="20"/>
                <w:szCs w:val="20"/>
              </w:rPr>
              <w:t>8</w:t>
            </w:r>
            <w:r w:rsidRPr="00D4671D">
              <w:rPr>
                <w:rFonts w:ascii="Times New Roman" w:hAnsi="Times New Roman" w:cs="Times New Roman"/>
                <w:b/>
                <w:bCs/>
                <w:color w:val="000000" w:themeColor="text1"/>
                <w:sz w:val="20"/>
                <w:szCs w:val="20"/>
              </w:rPr>
              <w:t xml:space="preserve">. </w:t>
            </w:r>
            <w:r w:rsidRPr="00D4671D">
              <w:rPr>
                <w:rFonts w:ascii="Times New Roman" w:hAnsi="Times New Roman" w:cs="Times New Roman"/>
                <w:color w:val="000000" w:themeColor="text1"/>
                <w:sz w:val="20"/>
                <w:szCs w:val="20"/>
              </w:rPr>
              <w:t xml:space="preserve"> Hierarchical analysis of molecular variance (AMOVA) partitioning genetic variation according to each population clustering hypothesis. Total variance of the observations (Sum sq); proportion of total variance explained at each hierarchy (%var); and levels of genetic differentiation sigma (</w:t>
            </w:r>
            <w:r w:rsidRPr="00D4671D">
              <w:rPr>
                <w:rStyle w:val="mi"/>
                <w:rFonts w:ascii="Times New Roman" w:hAnsi="Times New Roman" w:cs="Times New Roman"/>
                <w:color w:val="000000" w:themeColor="text1"/>
                <w:sz w:val="20"/>
                <w:szCs w:val="20"/>
                <w:bdr w:val="none" w:sz="0" w:space="0" w:color="auto" w:frame="1"/>
                <w:shd w:val="clear" w:color="auto" w:fill="FFFFFF"/>
              </w:rPr>
              <w:t>ϕ</w:t>
            </w:r>
            <w:r w:rsidRPr="00D4671D">
              <w:rPr>
                <w:rStyle w:val="mi"/>
                <w:rFonts w:ascii="Times New Roman" w:hAnsi="Times New Roman" w:cs="Times New Roman"/>
                <w:color w:val="000000" w:themeColor="text1"/>
                <w:sz w:val="20"/>
                <w:szCs w:val="20"/>
                <w:bdr w:val="none" w:sz="0" w:space="0" w:color="auto" w:frame="1"/>
                <w:shd w:val="clear" w:color="auto" w:fill="FFFFFF"/>
                <w:vertAlign w:val="subscript"/>
              </w:rPr>
              <w:t>ST</w:t>
            </w:r>
            <w:r w:rsidRPr="00D4671D">
              <w:rPr>
                <w:rStyle w:val="mi"/>
                <w:rFonts w:ascii="Times New Roman" w:hAnsi="Times New Roman" w:cs="Times New Roman"/>
                <w:color w:val="000000" w:themeColor="text1"/>
                <w:sz w:val="20"/>
                <w:szCs w:val="20"/>
                <w:bdr w:val="none" w:sz="0" w:space="0" w:color="auto" w:frame="1"/>
                <w:shd w:val="clear" w:color="auto" w:fill="FFFFFF"/>
              </w:rPr>
              <w:t>).</w:t>
            </w:r>
            <w:r w:rsidRPr="00D4671D">
              <w:rPr>
                <w:rStyle w:val="mi"/>
                <w:rFonts w:ascii="Times New Roman" w:hAnsi="Times New Roman" w:cs="Times New Roman"/>
                <w:sz w:val="20"/>
                <w:szCs w:val="20"/>
                <w:bdr w:val="none" w:sz="0" w:space="0" w:color="auto" w:frame="1"/>
                <w:shd w:val="clear" w:color="auto" w:fill="FFFFFF"/>
              </w:rPr>
              <w:t xml:space="preserve"> Analyses for the species in the TEP</w:t>
            </w:r>
            <w:r>
              <w:rPr>
                <w:rStyle w:val="mi"/>
                <w:rFonts w:ascii="Times New Roman" w:hAnsi="Times New Roman" w:cs="Times New Roman"/>
                <w:sz w:val="20"/>
                <w:szCs w:val="20"/>
                <w:bdr w:val="none" w:sz="0" w:space="0" w:color="auto" w:frame="1"/>
                <w:shd w:val="clear" w:color="auto" w:fill="FFFFFF"/>
              </w:rPr>
              <w:t xml:space="preserve"> and TA </w:t>
            </w:r>
            <w:r w:rsidRPr="00D4671D">
              <w:rPr>
                <w:rStyle w:val="mi"/>
                <w:rFonts w:ascii="Times New Roman" w:hAnsi="Times New Roman" w:cs="Times New Roman"/>
                <w:sz w:val="20"/>
                <w:szCs w:val="20"/>
                <w:bdr w:val="none" w:sz="0" w:space="0" w:color="auto" w:frame="1"/>
                <w:shd w:val="clear" w:color="auto" w:fill="FFFFFF"/>
              </w:rPr>
              <w:t>.</w:t>
            </w:r>
          </w:p>
        </w:tc>
      </w:tr>
      <w:tr w:rsidR="000F310A" w:rsidRPr="00D4671D" w14:paraId="798CA5F3" w14:textId="77777777" w:rsidTr="00031031">
        <w:tc>
          <w:tcPr>
            <w:tcW w:w="3640" w:type="dxa"/>
            <w:tcBorders>
              <w:top w:val="single" w:sz="18" w:space="0" w:color="auto"/>
              <w:left w:val="nil"/>
              <w:bottom w:val="single" w:sz="18" w:space="0" w:color="auto"/>
              <w:right w:val="nil"/>
            </w:tcBorders>
          </w:tcPr>
          <w:p w14:paraId="5FA27CC7" w14:textId="77777777" w:rsidR="000F310A" w:rsidRPr="00D4671D" w:rsidRDefault="000F310A" w:rsidP="00031031">
            <w:pPr>
              <w:jc w:val="center"/>
              <w:rPr>
                <w:rFonts w:ascii="Times New Roman" w:hAnsi="Times New Roman" w:cs="Times New Roman"/>
                <w:b/>
                <w:bCs/>
                <w:color w:val="000000" w:themeColor="text1"/>
                <w:sz w:val="20"/>
                <w:szCs w:val="20"/>
              </w:rPr>
            </w:pPr>
            <w:r w:rsidRPr="00D4671D">
              <w:rPr>
                <w:rFonts w:ascii="Times New Roman" w:hAnsi="Times New Roman" w:cs="Times New Roman"/>
                <w:b/>
                <w:bCs/>
                <w:color w:val="000000" w:themeColor="text1"/>
                <w:sz w:val="20"/>
                <w:szCs w:val="20"/>
              </w:rPr>
              <w:t>Source of Variation</w:t>
            </w:r>
          </w:p>
        </w:tc>
        <w:tc>
          <w:tcPr>
            <w:tcW w:w="3198" w:type="dxa"/>
            <w:tcBorders>
              <w:top w:val="single" w:sz="18" w:space="0" w:color="auto"/>
              <w:left w:val="nil"/>
              <w:bottom w:val="single" w:sz="18" w:space="0" w:color="auto"/>
              <w:right w:val="nil"/>
            </w:tcBorders>
          </w:tcPr>
          <w:p w14:paraId="7799BB47" w14:textId="77777777" w:rsidR="000F310A" w:rsidRPr="00D4671D" w:rsidRDefault="000F310A" w:rsidP="00031031">
            <w:pPr>
              <w:jc w:val="center"/>
              <w:rPr>
                <w:rFonts w:ascii="Times New Roman" w:hAnsi="Times New Roman" w:cs="Times New Roman"/>
                <w:b/>
                <w:bCs/>
                <w:color w:val="000000" w:themeColor="text1"/>
                <w:sz w:val="20"/>
                <w:szCs w:val="20"/>
              </w:rPr>
            </w:pPr>
            <w:r w:rsidRPr="00D4671D">
              <w:rPr>
                <w:rFonts w:ascii="Times New Roman" w:hAnsi="Times New Roman" w:cs="Times New Roman"/>
                <w:b/>
                <w:bCs/>
                <w:color w:val="000000" w:themeColor="text1"/>
                <w:sz w:val="20"/>
                <w:szCs w:val="20"/>
              </w:rPr>
              <w:t>Source of Variation</w:t>
            </w:r>
          </w:p>
        </w:tc>
        <w:tc>
          <w:tcPr>
            <w:tcW w:w="967" w:type="dxa"/>
            <w:tcBorders>
              <w:top w:val="single" w:sz="18" w:space="0" w:color="auto"/>
              <w:left w:val="nil"/>
              <w:bottom w:val="single" w:sz="18" w:space="0" w:color="auto"/>
              <w:right w:val="nil"/>
            </w:tcBorders>
          </w:tcPr>
          <w:p w14:paraId="5FB27C97" w14:textId="77777777" w:rsidR="000F310A" w:rsidRPr="00D4671D" w:rsidRDefault="000F310A" w:rsidP="00031031">
            <w:pPr>
              <w:jc w:val="center"/>
              <w:rPr>
                <w:rFonts w:ascii="Times New Roman" w:hAnsi="Times New Roman" w:cs="Times New Roman"/>
                <w:b/>
                <w:bCs/>
                <w:color w:val="000000" w:themeColor="text1"/>
                <w:sz w:val="20"/>
                <w:szCs w:val="20"/>
              </w:rPr>
            </w:pPr>
            <w:r w:rsidRPr="00D4671D">
              <w:rPr>
                <w:rFonts w:ascii="Times New Roman" w:hAnsi="Times New Roman" w:cs="Times New Roman"/>
                <w:b/>
                <w:bCs/>
                <w:color w:val="000000" w:themeColor="text1"/>
                <w:sz w:val="20"/>
                <w:szCs w:val="20"/>
              </w:rPr>
              <w:t>Sum sq</w:t>
            </w:r>
          </w:p>
        </w:tc>
        <w:tc>
          <w:tcPr>
            <w:tcW w:w="889" w:type="dxa"/>
            <w:tcBorders>
              <w:top w:val="single" w:sz="18" w:space="0" w:color="auto"/>
              <w:left w:val="nil"/>
              <w:bottom w:val="single" w:sz="18" w:space="0" w:color="auto"/>
              <w:right w:val="nil"/>
            </w:tcBorders>
          </w:tcPr>
          <w:p w14:paraId="5D6298FA" w14:textId="77777777" w:rsidR="000F310A" w:rsidRPr="00D4671D" w:rsidRDefault="000F310A" w:rsidP="00031031">
            <w:pPr>
              <w:jc w:val="center"/>
              <w:rPr>
                <w:rFonts w:ascii="Times New Roman" w:hAnsi="Times New Roman" w:cs="Times New Roman"/>
                <w:b/>
                <w:bCs/>
                <w:color w:val="000000" w:themeColor="text1"/>
                <w:sz w:val="20"/>
                <w:szCs w:val="20"/>
              </w:rPr>
            </w:pPr>
            <w:r w:rsidRPr="00D4671D">
              <w:rPr>
                <w:rFonts w:ascii="Times New Roman" w:hAnsi="Times New Roman" w:cs="Times New Roman"/>
                <w:b/>
                <w:bCs/>
                <w:color w:val="000000" w:themeColor="text1"/>
                <w:sz w:val="20"/>
                <w:szCs w:val="20"/>
              </w:rPr>
              <w:t>%var</w:t>
            </w:r>
          </w:p>
        </w:tc>
        <w:tc>
          <w:tcPr>
            <w:tcW w:w="666" w:type="dxa"/>
            <w:tcBorders>
              <w:top w:val="single" w:sz="18" w:space="0" w:color="auto"/>
              <w:left w:val="nil"/>
              <w:bottom w:val="single" w:sz="18" w:space="0" w:color="auto"/>
              <w:right w:val="nil"/>
            </w:tcBorders>
          </w:tcPr>
          <w:p w14:paraId="2A938CC8" w14:textId="77777777" w:rsidR="000F310A" w:rsidRPr="00D4671D" w:rsidRDefault="000F310A" w:rsidP="00031031">
            <w:pPr>
              <w:jc w:val="center"/>
              <w:rPr>
                <w:rFonts w:ascii="Times New Roman" w:hAnsi="Times New Roman" w:cs="Times New Roman"/>
                <w:b/>
                <w:bCs/>
                <w:i/>
                <w:iCs/>
                <w:color w:val="000000" w:themeColor="text1"/>
                <w:sz w:val="20"/>
                <w:szCs w:val="20"/>
              </w:rPr>
            </w:pPr>
            <w:r w:rsidRPr="00D4671D">
              <w:rPr>
                <w:rStyle w:val="mi"/>
                <w:rFonts w:ascii="Times New Roman" w:hAnsi="Times New Roman" w:cs="Times New Roman"/>
                <w:b/>
                <w:bCs/>
                <w:color w:val="000000" w:themeColor="text1"/>
                <w:sz w:val="20"/>
                <w:szCs w:val="20"/>
                <w:bdr w:val="none" w:sz="0" w:space="0" w:color="auto" w:frame="1"/>
                <w:shd w:val="clear" w:color="auto" w:fill="FFFFFF"/>
              </w:rPr>
              <w:t>ϕ</w:t>
            </w:r>
            <w:r w:rsidRPr="00D4671D">
              <w:rPr>
                <w:rStyle w:val="mi"/>
                <w:rFonts w:ascii="Times New Roman" w:hAnsi="Times New Roman" w:cs="Times New Roman"/>
                <w:b/>
                <w:bCs/>
                <w:color w:val="000000" w:themeColor="text1"/>
                <w:sz w:val="20"/>
                <w:szCs w:val="20"/>
                <w:bdr w:val="none" w:sz="0" w:space="0" w:color="auto" w:frame="1"/>
                <w:shd w:val="clear" w:color="auto" w:fill="FFFFFF"/>
                <w:vertAlign w:val="subscript"/>
              </w:rPr>
              <w:t>ST</w:t>
            </w:r>
          </w:p>
        </w:tc>
      </w:tr>
      <w:tr w:rsidR="000F310A" w:rsidRPr="00D4671D" w14:paraId="361B0F70" w14:textId="77777777" w:rsidTr="00031031">
        <w:tc>
          <w:tcPr>
            <w:tcW w:w="3640" w:type="dxa"/>
            <w:vMerge w:val="restart"/>
            <w:tcBorders>
              <w:top w:val="single" w:sz="18" w:space="0" w:color="auto"/>
              <w:left w:val="nil"/>
              <w:bottom w:val="single" w:sz="12" w:space="0" w:color="BFBFBF" w:themeColor="background1" w:themeShade="BF"/>
              <w:right w:val="nil"/>
            </w:tcBorders>
            <w:vAlign w:val="center"/>
          </w:tcPr>
          <w:p w14:paraId="23C75E8E"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tetranemus – </w:t>
            </w:r>
            <w:r w:rsidRPr="00D4671D">
              <w:rPr>
                <w:rFonts w:ascii="Times New Roman" w:hAnsi="Times New Roman" w:cs="Times New Roman"/>
                <w:b/>
                <w:bCs/>
                <w:color w:val="000000" w:themeColor="text1"/>
                <w:sz w:val="20"/>
                <w:szCs w:val="20"/>
              </w:rPr>
              <w:t>2 groups</w:t>
            </w:r>
          </w:p>
          <w:p w14:paraId="32832A0E"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Gulf of California and Mexico</w:t>
            </w:r>
          </w:p>
          <w:p w14:paraId="6CF124F6"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Group B:</w:t>
            </w:r>
            <w:r w:rsidRPr="00D4671D">
              <w:rPr>
                <w:rFonts w:ascii="Times New Roman" w:hAnsi="Times New Roman" w:cs="Times New Roman"/>
                <w:color w:val="000000" w:themeColor="text1"/>
                <w:sz w:val="20"/>
                <w:szCs w:val="20"/>
              </w:rPr>
              <w:t xml:space="preserve"> Central and South America</w:t>
            </w:r>
          </w:p>
        </w:tc>
        <w:tc>
          <w:tcPr>
            <w:tcW w:w="3198" w:type="dxa"/>
            <w:tcBorders>
              <w:top w:val="single" w:sz="12" w:space="0" w:color="BFBFBF" w:themeColor="background1" w:themeShade="BF"/>
              <w:left w:val="nil"/>
              <w:bottom w:val="nil"/>
              <w:right w:val="nil"/>
            </w:tcBorders>
          </w:tcPr>
          <w:p w14:paraId="7A23F550"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tc>
        <w:tc>
          <w:tcPr>
            <w:tcW w:w="967" w:type="dxa"/>
            <w:tcBorders>
              <w:top w:val="single" w:sz="12" w:space="0" w:color="BFBFBF" w:themeColor="background1" w:themeShade="BF"/>
              <w:left w:val="nil"/>
              <w:bottom w:val="nil"/>
              <w:right w:val="nil"/>
            </w:tcBorders>
          </w:tcPr>
          <w:p w14:paraId="5086F952"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1276.90</w:t>
            </w:r>
          </w:p>
        </w:tc>
        <w:tc>
          <w:tcPr>
            <w:tcW w:w="889" w:type="dxa"/>
            <w:tcBorders>
              <w:top w:val="single" w:sz="12" w:space="0" w:color="BFBFBF" w:themeColor="background1" w:themeShade="BF"/>
              <w:left w:val="nil"/>
              <w:bottom w:val="nil"/>
              <w:right w:val="nil"/>
            </w:tcBorders>
          </w:tcPr>
          <w:p w14:paraId="651790FC"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11.27</w:t>
            </w:r>
          </w:p>
        </w:tc>
        <w:tc>
          <w:tcPr>
            <w:tcW w:w="666" w:type="dxa"/>
            <w:tcBorders>
              <w:top w:val="single" w:sz="12" w:space="0" w:color="BFBFBF" w:themeColor="background1" w:themeShade="BF"/>
              <w:left w:val="nil"/>
              <w:bottom w:val="nil"/>
              <w:right w:val="nil"/>
            </w:tcBorders>
          </w:tcPr>
          <w:p w14:paraId="5421F75A"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0.14*</w:t>
            </w:r>
          </w:p>
        </w:tc>
      </w:tr>
      <w:tr w:rsidR="000F310A" w:rsidRPr="00D4671D" w14:paraId="449F0A4D" w14:textId="77777777" w:rsidTr="00031031">
        <w:tc>
          <w:tcPr>
            <w:tcW w:w="3640" w:type="dxa"/>
            <w:vMerge/>
            <w:tcBorders>
              <w:top w:val="single" w:sz="12" w:space="0" w:color="BFBFBF" w:themeColor="background1" w:themeShade="BF"/>
              <w:left w:val="nil"/>
              <w:bottom w:val="single" w:sz="12" w:space="0" w:color="BFBFBF" w:themeColor="background1" w:themeShade="BF"/>
              <w:right w:val="nil"/>
            </w:tcBorders>
          </w:tcPr>
          <w:p w14:paraId="472C0A10" w14:textId="77777777" w:rsidR="000F310A" w:rsidRPr="00D4671D" w:rsidRDefault="000F310A" w:rsidP="00031031">
            <w:pPr>
              <w:jc w:val="center"/>
              <w:rPr>
                <w:rFonts w:ascii="Times New Roman" w:hAnsi="Times New Roman" w:cs="Times New Roman"/>
                <w:color w:val="000000" w:themeColor="text1"/>
                <w:sz w:val="20"/>
                <w:szCs w:val="20"/>
              </w:rPr>
            </w:pPr>
          </w:p>
        </w:tc>
        <w:tc>
          <w:tcPr>
            <w:tcW w:w="3198" w:type="dxa"/>
            <w:tcBorders>
              <w:top w:val="nil"/>
              <w:left w:val="nil"/>
              <w:bottom w:val="nil"/>
              <w:right w:val="nil"/>
            </w:tcBorders>
          </w:tcPr>
          <w:p w14:paraId="7F8AE180"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tc>
        <w:tc>
          <w:tcPr>
            <w:tcW w:w="967" w:type="dxa"/>
            <w:tcBorders>
              <w:top w:val="nil"/>
              <w:left w:val="nil"/>
              <w:bottom w:val="nil"/>
              <w:right w:val="nil"/>
            </w:tcBorders>
          </w:tcPr>
          <w:p w14:paraId="0DF9D59A"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3995.99</w:t>
            </w:r>
          </w:p>
        </w:tc>
        <w:tc>
          <w:tcPr>
            <w:tcW w:w="889" w:type="dxa"/>
            <w:tcBorders>
              <w:top w:val="nil"/>
              <w:left w:val="nil"/>
              <w:bottom w:val="nil"/>
              <w:right w:val="nil"/>
            </w:tcBorders>
          </w:tcPr>
          <w:p w14:paraId="44843037"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3.17</w:t>
            </w:r>
          </w:p>
        </w:tc>
        <w:tc>
          <w:tcPr>
            <w:tcW w:w="666" w:type="dxa"/>
            <w:tcBorders>
              <w:top w:val="nil"/>
              <w:left w:val="nil"/>
              <w:bottom w:val="nil"/>
              <w:right w:val="nil"/>
            </w:tcBorders>
          </w:tcPr>
          <w:p w14:paraId="1E3A7B75"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0.04*</w:t>
            </w:r>
          </w:p>
        </w:tc>
      </w:tr>
      <w:tr w:rsidR="000F310A" w:rsidRPr="00D4671D" w14:paraId="0E8CAB53" w14:textId="77777777" w:rsidTr="00031031">
        <w:tc>
          <w:tcPr>
            <w:tcW w:w="3640" w:type="dxa"/>
            <w:vMerge/>
            <w:tcBorders>
              <w:top w:val="single" w:sz="12" w:space="0" w:color="BFBFBF" w:themeColor="background1" w:themeShade="BF"/>
              <w:left w:val="nil"/>
              <w:bottom w:val="single" w:sz="12" w:space="0" w:color="BFBFBF" w:themeColor="background1" w:themeShade="BF"/>
              <w:right w:val="nil"/>
            </w:tcBorders>
          </w:tcPr>
          <w:p w14:paraId="245AFACD" w14:textId="77777777" w:rsidR="000F310A" w:rsidRPr="00D4671D" w:rsidRDefault="000F310A" w:rsidP="00031031">
            <w:pPr>
              <w:jc w:val="center"/>
              <w:rPr>
                <w:rFonts w:ascii="Times New Roman" w:hAnsi="Times New Roman" w:cs="Times New Roman"/>
                <w:color w:val="000000" w:themeColor="text1"/>
                <w:sz w:val="20"/>
                <w:szCs w:val="20"/>
              </w:rPr>
            </w:pPr>
          </w:p>
        </w:tc>
        <w:tc>
          <w:tcPr>
            <w:tcW w:w="3198" w:type="dxa"/>
            <w:tcBorders>
              <w:top w:val="nil"/>
              <w:left w:val="nil"/>
              <w:bottom w:val="nil"/>
              <w:right w:val="nil"/>
            </w:tcBorders>
          </w:tcPr>
          <w:p w14:paraId="5154413F"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nil"/>
              <w:left w:val="nil"/>
              <w:bottom w:val="nil"/>
              <w:right w:val="nil"/>
            </w:tcBorders>
          </w:tcPr>
          <w:p w14:paraId="2857DF43"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11860.74</w:t>
            </w:r>
          </w:p>
        </w:tc>
        <w:tc>
          <w:tcPr>
            <w:tcW w:w="889" w:type="dxa"/>
            <w:tcBorders>
              <w:top w:val="nil"/>
              <w:left w:val="nil"/>
              <w:bottom w:val="nil"/>
              <w:right w:val="nil"/>
            </w:tcBorders>
          </w:tcPr>
          <w:p w14:paraId="4E1CCADB"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85.55</w:t>
            </w:r>
          </w:p>
        </w:tc>
        <w:tc>
          <w:tcPr>
            <w:tcW w:w="666" w:type="dxa"/>
            <w:tcBorders>
              <w:top w:val="nil"/>
              <w:left w:val="nil"/>
              <w:bottom w:val="nil"/>
              <w:right w:val="nil"/>
            </w:tcBorders>
          </w:tcPr>
          <w:p w14:paraId="419F1245"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0.11*</w:t>
            </w:r>
          </w:p>
        </w:tc>
      </w:tr>
      <w:tr w:rsidR="000F310A" w:rsidRPr="00D4671D" w14:paraId="4C9931AD" w14:textId="77777777" w:rsidTr="00031031">
        <w:trPr>
          <w:trHeight w:val="933"/>
        </w:trPr>
        <w:tc>
          <w:tcPr>
            <w:tcW w:w="3640" w:type="dxa"/>
            <w:tcBorders>
              <w:top w:val="single" w:sz="12" w:space="0" w:color="BFBFBF" w:themeColor="background1" w:themeShade="BF"/>
              <w:left w:val="nil"/>
              <w:bottom w:val="single" w:sz="12" w:space="0" w:color="BFBFBF" w:themeColor="background1" w:themeShade="BF"/>
              <w:right w:val="nil"/>
            </w:tcBorders>
          </w:tcPr>
          <w:p w14:paraId="459542DA"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tetranemus – </w:t>
            </w:r>
            <w:r w:rsidRPr="00D4671D">
              <w:rPr>
                <w:rFonts w:ascii="Times New Roman" w:hAnsi="Times New Roman" w:cs="Times New Roman"/>
                <w:b/>
                <w:bCs/>
                <w:color w:val="000000" w:themeColor="text1"/>
                <w:sz w:val="20"/>
                <w:szCs w:val="20"/>
              </w:rPr>
              <w:t>3 groups</w:t>
            </w:r>
          </w:p>
          <w:p w14:paraId="0A328BC7"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Gulf of California </w:t>
            </w:r>
          </w:p>
          <w:p w14:paraId="5028F7F5"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sidRPr="00D4671D">
              <w:rPr>
                <w:rFonts w:ascii="Times New Roman" w:hAnsi="Times New Roman" w:cs="Times New Roman"/>
                <w:color w:val="000000" w:themeColor="text1"/>
                <w:sz w:val="20"/>
                <w:szCs w:val="20"/>
              </w:rPr>
              <w:t>Mexico</w:t>
            </w:r>
          </w:p>
          <w:p w14:paraId="4EBD415A"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C: </w:t>
            </w:r>
            <w:r w:rsidRPr="00D4671D">
              <w:rPr>
                <w:rFonts w:ascii="Times New Roman" w:hAnsi="Times New Roman" w:cs="Times New Roman"/>
                <w:color w:val="000000" w:themeColor="text1"/>
                <w:sz w:val="20"/>
                <w:szCs w:val="20"/>
              </w:rPr>
              <w:t>South America and Galapagos</w:t>
            </w:r>
          </w:p>
        </w:tc>
        <w:tc>
          <w:tcPr>
            <w:tcW w:w="3198" w:type="dxa"/>
            <w:tcBorders>
              <w:top w:val="single" w:sz="12" w:space="0" w:color="BFBFBF" w:themeColor="background1" w:themeShade="BF"/>
              <w:left w:val="nil"/>
              <w:bottom w:val="single" w:sz="12" w:space="0" w:color="BFBFBF" w:themeColor="background1" w:themeShade="BF"/>
              <w:right w:val="nil"/>
            </w:tcBorders>
            <w:vAlign w:val="center"/>
          </w:tcPr>
          <w:p w14:paraId="4D81013F"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6919A8C6"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186C9A6F"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bottom w:val="single" w:sz="12" w:space="0" w:color="BFBFBF" w:themeColor="background1" w:themeShade="BF"/>
              <w:right w:val="nil"/>
            </w:tcBorders>
            <w:vAlign w:val="center"/>
          </w:tcPr>
          <w:p w14:paraId="196D5A63"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1738.20</w:t>
            </w:r>
          </w:p>
          <w:p w14:paraId="13313513"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3534.69</w:t>
            </w:r>
          </w:p>
          <w:p w14:paraId="61CDDAB7"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11860.75</w:t>
            </w:r>
          </w:p>
        </w:tc>
        <w:tc>
          <w:tcPr>
            <w:tcW w:w="889" w:type="dxa"/>
            <w:tcBorders>
              <w:top w:val="single" w:sz="12" w:space="0" w:color="BFBFBF" w:themeColor="background1" w:themeShade="BF"/>
              <w:left w:val="nil"/>
              <w:bottom w:val="single" w:sz="12" w:space="0" w:color="BFBFBF" w:themeColor="background1" w:themeShade="BF"/>
              <w:right w:val="nil"/>
            </w:tcBorders>
            <w:vAlign w:val="center"/>
          </w:tcPr>
          <w:p w14:paraId="314C7CE4"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11.83</w:t>
            </w:r>
          </w:p>
          <w:p w14:paraId="5E600B92"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2.12</w:t>
            </w:r>
          </w:p>
          <w:p w14:paraId="25A8CA97"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86.05</w:t>
            </w:r>
          </w:p>
        </w:tc>
        <w:tc>
          <w:tcPr>
            <w:tcW w:w="666" w:type="dxa"/>
            <w:tcBorders>
              <w:top w:val="single" w:sz="12" w:space="0" w:color="BFBFBF" w:themeColor="background1" w:themeShade="BF"/>
              <w:left w:val="nil"/>
              <w:bottom w:val="single" w:sz="12" w:space="0" w:color="BFBFBF" w:themeColor="background1" w:themeShade="BF"/>
              <w:right w:val="nil"/>
            </w:tcBorders>
            <w:vAlign w:val="center"/>
          </w:tcPr>
          <w:p w14:paraId="5770C192"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0.13*</w:t>
            </w:r>
          </w:p>
          <w:p w14:paraId="1BBED928"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0.02*</w:t>
            </w:r>
          </w:p>
          <w:p w14:paraId="039D8237"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0.11*</w:t>
            </w:r>
          </w:p>
        </w:tc>
      </w:tr>
      <w:tr w:rsidR="000F310A" w:rsidRPr="00D4671D" w14:paraId="49FF5CB6" w14:textId="77777777" w:rsidTr="00031031">
        <w:trPr>
          <w:trHeight w:val="864"/>
        </w:trPr>
        <w:tc>
          <w:tcPr>
            <w:tcW w:w="3640" w:type="dxa"/>
            <w:tcBorders>
              <w:top w:val="single" w:sz="12" w:space="0" w:color="BFBFBF" w:themeColor="background1" w:themeShade="BF"/>
              <w:left w:val="nil"/>
              <w:bottom w:val="single" w:sz="18" w:space="0" w:color="7F7F7F" w:themeColor="text1" w:themeTint="80"/>
              <w:right w:val="nil"/>
            </w:tcBorders>
          </w:tcPr>
          <w:p w14:paraId="2C138E71"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tetranemus – </w:t>
            </w:r>
            <w:r w:rsidRPr="00D4671D">
              <w:rPr>
                <w:rFonts w:ascii="Times New Roman" w:hAnsi="Times New Roman" w:cs="Times New Roman"/>
                <w:b/>
                <w:bCs/>
                <w:color w:val="000000" w:themeColor="text1"/>
                <w:sz w:val="20"/>
                <w:szCs w:val="20"/>
              </w:rPr>
              <w:t>4 groups</w:t>
            </w:r>
          </w:p>
          <w:p w14:paraId="054C61AB"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Gulf of California </w:t>
            </w:r>
          </w:p>
          <w:p w14:paraId="5E4B7DB7"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sidRPr="00D4671D">
              <w:rPr>
                <w:rFonts w:ascii="Times New Roman" w:hAnsi="Times New Roman" w:cs="Times New Roman"/>
                <w:color w:val="000000" w:themeColor="text1"/>
                <w:sz w:val="20"/>
                <w:szCs w:val="20"/>
              </w:rPr>
              <w:t>Mexico</w:t>
            </w:r>
          </w:p>
          <w:p w14:paraId="1122AFD9"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C: </w:t>
            </w:r>
            <w:r w:rsidRPr="00D4671D">
              <w:rPr>
                <w:rFonts w:ascii="Times New Roman" w:hAnsi="Times New Roman" w:cs="Times New Roman"/>
                <w:color w:val="000000" w:themeColor="text1"/>
                <w:sz w:val="20"/>
                <w:szCs w:val="20"/>
              </w:rPr>
              <w:t>South America</w:t>
            </w:r>
          </w:p>
          <w:p w14:paraId="7AC0CD8D"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D: </w:t>
            </w:r>
            <w:r w:rsidRPr="00D4671D">
              <w:rPr>
                <w:rFonts w:ascii="Times New Roman" w:hAnsi="Times New Roman" w:cs="Times New Roman"/>
                <w:color w:val="000000" w:themeColor="text1"/>
                <w:sz w:val="20"/>
                <w:szCs w:val="20"/>
              </w:rPr>
              <w:t>Galapagos</w:t>
            </w:r>
          </w:p>
        </w:tc>
        <w:tc>
          <w:tcPr>
            <w:tcW w:w="3198" w:type="dxa"/>
            <w:tcBorders>
              <w:top w:val="single" w:sz="12" w:space="0" w:color="BFBFBF" w:themeColor="background1" w:themeShade="BF"/>
              <w:left w:val="nil"/>
              <w:bottom w:val="single" w:sz="18" w:space="0" w:color="7F7F7F" w:themeColor="text1" w:themeTint="80"/>
              <w:right w:val="nil"/>
            </w:tcBorders>
            <w:vAlign w:val="center"/>
          </w:tcPr>
          <w:p w14:paraId="519AA37E"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347EE99F"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03D5523B"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bottom w:val="single" w:sz="18" w:space="0" w:color="7F7F7F" w:themeColor="text1" w:themeTint="80"/>
              <w:right w:val="nil"/>
            </w:tcBorders>
            <w:vAlign w:val="center"/>
          </w:tcPr>
          <w:p w14:paraId="29C05044"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2209.72</w:t>
            </w:r>
          </w:p>
          <w:p w14:paraId="51D40855"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3063.17</w:t>
            </w:r>
          </w:p>
          <w:p w14:paraId="4E509798"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11860.75</w:t>
            </w:r>
          </w:p>
        </w:tc>
        <w:tc>
          <w:tcPr>
            <w:tcW w:w="889" w:type="dxa"/>
            <w:tcBorders>
              <w:top w:val="single" w:sz="12" w:space="0" w:color="BFBFBF" w:themeColor="background1" w:themeShade="BF"/>
              <w:left w:val="nil"/>
              <w:bottom w:val="single" w:sz="18" w:space="0" w:color="7F7F7F" w:themeColor="text1" w:themeTint="80"/>
              <w:right w:val="nil"/>
            </w:tcBorders>
            <w:vAlign w:val="center"/>
          </w:tcPr>
          <w:p w14:paraId="04D47F95"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11.60</w:t>
            </w:r>
          </w:p>
          <w:p w14:paraId="672F370A"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0.82</w:t>
            </w:r>
          </w:p>
          <w:p w14:paraId="195F7884"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87.57</w:t>
            </w:r>
          </w:p>
        </w:tc>
        <w:tc>
          <w:tcPr>
            <w:tcW w:w="666" w:type="dxa"/>
            <w:tcBorders>
              <w:top w:val="single" w:sz="12" w:space="0" w:color="BFBFBF" w:themeColor="background1" w:themeShade="BF"/>
              <w:left w:val="nil"/>
              <w:bottom w:val="single" w:sz="18" w:space="0" w:color="7F7F7F" w:themeColor="text1" w:themeTint="80"/>
              <w:right w:val="nil"/>
            </w:tcBorders>
            <w:vAlign w:val="center"/>
          </w:tcPr>
          <w:p w14:paraId="7E9F196B"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0.12*</w:t>
            </w:r>
          </w:p>
          <w:p w14:paraId="389F2A4A"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0.01</w:t>
            </w:r>
          </w:p>
          <w:p w14:paraId="4D261BA5"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0.11*</w:t>
            </w:r>
          </w:p>
        </w:tc>
      </w:tr>
      <w:tr w:rsidR="000F310A" w:rsidRPr="00D4671D" w14:paraId="4D23EE95" w14:textId="77777777" w:rsidTr="00031031">
        <w:tc>
          <w:tcPr>
            <w:tcW w:w="3640" w:type="dxa"/>
            <w:vMerge w:val="restart"/>
            <w:tcBorders>
              <w:top w:val="single" w:sz="18" w:space="0" w:color="7F7F7F" w:themeColor="text1" w:themeTint="80"/>
              <w:left w:val="nil"/>
              <w:bottom w:val="single" w:sz="12" w:space="0" w:color="BFBFBF" w:themeColor="background1" w:themeShade="BF"/>
              <w:right w:val="nil"/>
            </w:tcBorders>
            <w:vAlign w:val="center"/>
          </w:tcPr>
          <w:p w14:paraId="64948ECD"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sudensis – </w:t>
            </w:r>
            <w:r w:rsidRPr="00D4671D">
              <w:rPr>
                <w:rFonts w:ascii="Times New Roman" w:hAnsi="Times New Roman" w:cs="Times New Roman"/>
                <w:b/>
                <w:bCs/>
                <w:color w:val="000000" w:themeColor="text1"/>
                <w:sz w:val="20"/>
                <w:szCs w:val="20"/>
              </w:rPr>
              <w:t>2 groups</w:t>
            </w:r>
          </w:p>
          <w:p w14:paraId="323742C3"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Continental Ecuador </w:t>
            </w:r>
          </w:p>
          <w:p w14:paraId="0D090916"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sidRPr="00D4671D">
              <w:rPr>
                <w:rFonts w:ascii="Times New Roman" w:hAnsi="Times New Roman" w:cs="Times New Roman"/>
                <w:color w:val="000000" w:themeColor="text1"/>
                <w:sz w:val="20"/>
                <w:szCs w:val="20"/>
              </w:rPr>
              <w:t>South America</w:t>
            </w:r>
          </w:p>
        </w:tc>
        <w:tc>
          <w:tcPr>
            <w:tcW w:w="3198" w:type="dxa"/>
            <w:tcBorders>
              <w:top w:val="single" w:sz="18" w:space="0" w:color="7F7F7F" w:themeColor="text1" w:themeTint="80"/>
              <w:left w:val="nil"/>
              <w:bottom w:val="nil"/>
              <w:right w:val="nil"/>
            </w:tcBorders>
          </w:tcPr>
          <w:p w14:paraId="2EAE4718"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tc>
        <w:tc>
          <w:tcPr>
            <w:tcW w:w="967" w:type="dxa"/>
            <w:tcBorders>
              <w:top w:val="single" w:sz="18" w:space="0" w:color="7F7F7F" w:themeColor="text1" w:themeTint="80"/>
              <w:left w:val="nil"/>
              <w:bottom w:val="nil"/>
              <w:right w:val="nil"/>
            </w:tcBorders>
          </w:tcPr>
          <w:p w14:paraId="6EEA1CBD"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1549.45</w:t>
            </w:r>
          </w:p>
        </w:tc>
        <w:tc>
          <w:tcPr>
            <w:tcW w:w="889" w:type="dxa"/>
            <w:tcBorders>
              <w:top w:val="single" w:sz="18" w:space="0" w:color="7F7F7F" w:themeColor="text1" w:themeTint="80"/>
              <w:left w:val="nil"/>
              <w:bottom w:val="nil"/>
              <w:right w:val="nil"/>
            </w:tcBorders>
          </w:tcPr>
          <w:p w14:paraId="265D6145"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17.02</w:t>
            </w:r>
          </w:p>
        </w:tc>
        <w:tc>
          <w:tcPr>
            <w:tcW w:w="666" w:type="dxa"/>
            <w:tcBorders>
              <w:top w:val="single" w:sz="18" w:space="0" w:color="7F7F7F" w:themeColor="text1" w:themeTint="80"/>
              <w:left w:val="nil"/>
              <w:bottom w:val="nil"/>
              <w:right w:val="nil"/>
            </w:tcBorders>
          </w:tcPr>
          <w:p w14:paraId="6769490A"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0.24*</w:t>
            </w:r>
          </w:p>
        </w:tc>
      </w:tr>
      <w:tr w:rsidR="000F310A" w:rsidRPr="00D4671D" w14:paraId="38607359" w14:textId="77777777" w:rsidTr="00031031">
        <w:tc>
          <w:tcPr>
            <w:tcW w:w="3640" w:type="dxa"/>
            <w:vMerge/>
            <w:tcBorders>
              <w:top w:val="single" w:sz="12" w:space="0" w:color="BFBFBF" w:themeColor="background1" w:themeShade="BF"/>
              <w:left w:val="nil"/>
              <w:bottom w:val="single" w:sz="12" w:space="0" w:color="BFBFBF" w:themeColor="background1" w:themeShade="BF"/>
              <w:right w:val="nil"/>
            </w:tcBorders>
          </w:tcPr>
          <w:p w14:paraId="76849DD2" w14:textId="77777777" w:rsidR="000F310A" w:rsidRPr="00D4671D" w:rsidRDefault="000F310A" w:rsidP="00031031">
            <w:pPr>
              <w:rPr>
                <w:rFonts w:ascii="Times New Roman" w:hAnsi="Times New Roman" w:cs="Times New Roman"/>
                <w:color w:val="000000" w:themeColor="text1"/>
                <w:sz w:val="20"/>
                <w:szCs w:val="20"/>
              </w:rPr>
            </w:pPr>
          </w:p>
        </w:tc>
        <w:tc>
          <w:tcPr>
            <w:tcW w:w="3198" w:type="dxa"/>
            <w:tcBorders>
              <w:top w:val="nil"/>
              <w:left w:val="nil"/>
              <w:bottom w:val="nil"/>
              <w:right w:val="nil"/>
            </w:tcBorders>
          </w:tcPr>
          <w:p w14:paraId="58A77D5E"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tc>
        <w:tc>
          <w:tcPr>
            <w:tcW w:w="967" w:type="dxa"/>
            <w:tcBorders>
              <w:top w:val="nil"/>
              <w:left w:val="nil"/>
              <w:bottom w:val="nil"/>
              <w:right w:val="nil"/>
            </w:tcBorders>
          </w:tcPr>
          <w:p w14:paraId="2C81778F"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2007.22</w:t>
            </w:r>
          </w:p>
        </w:tc>
        <w:tc>
          <w:tcPr>
            <w:tcW w:w="889" w:type="dxa"/>
            <w:tcBorders>
              <w:top w:val="nil"/>
              <w:left w:val="nil"/>
              <w:bottom w:val="nil"/>
              <w:right w:val="nil"/>
            </w:tcBorders>
          </w:tcPr>
          <w:p w14:paraId="7DD47ED0"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7.80</w:t>
            </w:r>
          </w:p>
        </w:tc>
        <w:tc>
          <w:tcPr>
            <w:tcW w:w="666" w:type="dxa"/>
            <w:tcBorders>
              <w:top w:val="nil"/>
              <w:left w:val="nil"/>
              <w:bottom w:val="nil"/>
              <w:right w:val="nil"/>
            </w:tcBorders>
          </w:tcPr>
          <w:p w14:paraId="5C11F7E8"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0.09*</w:t>
            </w:r>
          </w:p>
        </w:tc>
      </w:tr>
      <w:tr w:rsidR="000F310A" w:rsidRPr="00D4671D" w14:paraId="3D1EA255" w14:textId="77777777" w:rsidTr="00031031">
        <w:tc>
          <w:tcPr>
            <w:tcW w:w="3640" w:type="dxa"/>
            <w:vMerge/>
            <w:tcBorders>
              <w:top w:val="single" w:sz="12" w:space="0" w:color="BFBFBF" w:themeColor="background1" w:themeShade="BF"/>
              <w:left w:val="nil"/>
              <w:bottom w:val="single" w:sz="12" w:space="0" w:color="BFBFBF" w:themeColor="background1" w:themeShade="BF"/>
              <w:right w:val="nil"/>
            </w:tcBorders>
          </w:tcPr>
          <w:p w14:paraId="6735DEAB" w14:textId="77777777" w:rsidR="000F310A" w:rsidRPr="00D4671D" w:rsidRDefault="000F310A" w:rsidP="00031031">
            <w:pPr>
              <w:rPr>
                <w:rFonts w:ascii="Times New Roman" w:hAnsi="Times New Roman" w:cs="Times New Roman"/>
                <w:color w:val="000000" w:themeColor="text1"/>
                <w:sz w:val="20"/>
                <w:szCs w:val="20"/>
              </w:rPr>
            </w:pPr>
          </w:p>
        </w:tc>
        <w:tc>
          <w:tcPr>
            <w:tcW w:w="3198" w:type="dxa"/>
            <w:tcBorders>
              <w:top w:val="nil"/>
              <w:left w:val="nil"/>
              <w:bottom w:val="single" w:sz="12" w:space="0" w:color="BFBFBF" w:themeColor="background1" w:themeShade="BF"/>
              <w:right w:val="nil"/>
            </w:tcBorders>
          </w:tcPr>
          <w:p w14:paraId="18AC2EF3"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nil"/>
              <w:left w:val="nil"/>
              <w:bottom w:val="single" w:sz="12" w:space="0" w:color="BFBFBF" w:themeColor="background1" w:themeShade="BF"/>
              <w:right w:val="nil"/>
            </w:tcBorders>
          </w:tcPr>
          <w:p w14:paraId="2091D82D"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8686.30</w:t>
            </w:r>
          </w:p>
        </w:tc>
        <w:tc>
          <w:tcPr>
            <w:tcW w:w="889" w:type="dxa"/>
            <w:tcBorders>
              <w:top w:val="nil"/>
              <w:left w:val="nil"/>
              <w:bottom w:val="single" w:sz="12" w:space="0" w:color="BFBFBF" w:themeColor="background1" w:themeShade="BF"/>
              <w:right w:val="nil"/>
            </w:tcBorders>
          </w:tcPr>
          <w:p w14:paraId="161EFD28"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75.18</w:t>
            </w:r>
          </w:p>
        </w:tc>
        <w:tc>
          <w:tcPr>
            <w:tcW w:w="666" w:type="dxa"/>
            <w:tcBorders>
              <w:top w:val="nil"/>
              <w:left w:val="nil"/>
              <w:bottom w:val="single" w:sz="12" w:space="0" w:color="BFBFBF" w:themeColor="background1" w:themeShade="BF"/>
              <w:right w:val="nil"/>
            </w:tcBorders>
          </w:tcPr>
          <w:p w14:paraId="3DE2B3F5"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0.17*</w:t>
            </w:r>
          </w:p>
        </w:tc>
      </w:tr>
      <w:tr w:rsidR="000F310A" w:rsidRPr="00D4671D" w14:paraId="310A5229" w14:textId="77777777" w:rsidTr="00031031">
        <w:trPr>
          <w:trHeight w:val="1101"/>
        </w:trPr>
        <w:tc>
          <w:tcPr>
            <w:tcW w:w="3640" w:type="dxa"/>
            <w:tcBorders>
              <w:top w:val="single" w:sz="12" w:space="0" w:color="BFBFBF" w:themeColor="background1" w:themeShade="BF"/>
              <w:left w:val="nil"/>
              <w:bottom w:val="single" w:sz="18" w:space="0" w:color="767171" w:themeColor="background2" w:themeShade="80"/>
              <w:right w:val="nil"/>
            </w:tcBorders>
          </w:tcPr>
          <w:p w14:paraId="5B467909"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sudensis – </w:t>
            </w:r>
            <w:r w:rsidRPr="00D4671D">
              <w:rPr>
                <w:rFonts w:ascii="Times New Roman" w:hAnsi="Times New Roman" w:cs="Times New Roman"/>
                <w:b/>
                <w:bCs/>
                <w:color w:val="000000" w:themeColor="text1"/>
                <w:sz w:val="20"/>
                <w:szCs w:val="20"/>
              </w:rPr>
              <w:t>4 groups</w:t>
            </w:r>
          </w:p>
          <w:p w14:paraId="399E2629"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Costa Rica and El Salvador </w:t>
            </w:r>
          </w:p>
          <w:p w14:paraId="032ACF36"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sidRPr="00D4671D">
              <w:rPr>
                <w:rFonts w:ascii="Times New Roman" w:hAnsi="Times New Roman" w:cs="Times New Roman"/>
                <w:color w:val="000000" w:themeColor="text1"/>
                <w:sz w:val="20"/>
                <w:szCs w:val="20"/>
              </w:rPr>
              <w:t>Continental Panama</w:t>
            </w:r>
          </w:p>
          <w:p w14:paraId="1C5BF5B4"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C: </w:t>
            </w:r>
            <w:r w:rsidRPr="00D4671D">
              <w:rPr>
                <w:rFonts w:ascii="Times New Roman" w:hAnsi="Times New Roman" w:cs="Times New Roman"/>
                <w:color w:val="000000" w:themeColor="text1"/>
                <w:sz w:val="20"/>
                <w:szCs w:val="20"/>
              </w:rPr>
              <w:t>Continental Ecuador</w:t>
            </w:r>
          </w:p>
          <w:p w14:paraId="0EEDBEE1"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D: </w:t>
            </w:r>
            <w:r w:rsidRPr="00D4671D">
              <w:rPr>
                <w:rFonts w:ascii="Times New Roman" w:hAnsi="Times New Roman" w:cs="Times New Roman"/>
                <w:color w:val="000000" w:themeColor="text1"/>
                <w:sz w:val="20"/>
                <w:szCs w:val="20"/>
              </w:rPr>
              <w:t>Panama Islands and Colombia</w:t>
            </w:r>
          </w:p>
        </w:tc>
        <w:tc>
          <w:tcPr>
            <w:tcW w:w="3198" w:type="dxa"/>
            <w:tcBorders>
              <w:top w:val="single" w:sz="12" w:space="0" w:color="BFBFBF" w:themeColor="background1" w:themeShade="BF"/>
              <w:left w:val="nil"/>
              <w:bottom w:val="single" w:sz="18" w:space="0" w:color="767171" w:themeColor="background2" w:themeShade="80"/>
              <w:right w:val="nil"/>
            </w:tcBorders>
            <w:vAlign w:val="center"/>
          </w:tcPr>
          <w:p w14:paraId="51C088F7"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625353A7"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31BD2B66"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bottom w:val="single" w:sz="18" w:space="0" w:color="767171" w:themeColor="background2" w:themeShade="80"/>
              <w:right w:val="nil"/>
            </w:tcBorders>
            <w:vAlign w:val="center"/>
          </w:tcPr>
          <w:p w14:paraId="4136B9F4"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2710.92</w:t>
            </w:r>
          </w:p>
          <w:p w14:paraId="6B888D92"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845.75</w:t>
            </w:r>
          </w:p>
          <w:p w14:paraId="70AC0243"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8686.30</w:t>
            </w:r>
          </w:p>
        </w:tc>
        <w:tc>
          <w:tcPr>
            <w:tcW w:w="889" w:type="dxa"/>
            <w:tcBorders>
              <w:top w:val="single" w:sz="12" w:space="0" w:color="BFBFBF" w:themeColor="background1" w:themeShade="BF"/>
              <w:left w:val="nil"/>
              <w:bottom w:val="single" w:sz="18" w:space="0" w:color="767171" w:themeColor="background2" w:themeShade="80"/>
              <w:right w:val="nil"/>
            </w:tcBorders>
            <w:vAlign w:val="center"/>
          </w:tcPr>
          <w:p w14:paraId="11DFB7A8"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13.67</w:t>
            </w:r>
          </w:p>
          <w:p w14:paraId="4E95707D"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4.93</w:t>
            </w:r>
          </w:p>
          <w:p w14:paraId="560937B0"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81.40</w:t>
            </w:r>
          </w:p>
        </w:tc>
        <w:tc>
          <w:tcPr>
            <w:tcW w:w="666" w:type="dxa"/>
            <w:tcBorders>
              <w:top w:val="single" w:sz="12" w:space="0" w:color="BFBFBF" w:themeColor="background1" w:themeShade="BF"/>
              <w:left w:val="nil"/>
              <w:bottom w:val="single" w:sz="18" w:space="0" w:color="767171" w:themeColor="background2" w:themeShade="80"/>
              <w:right w:val="nil"/>
            </w:tcBorders>
            <w:vAlign w:val="center"/>
          </w:tcPr>
          <w:p w14:paraId="3AAA3155"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0.19</w:t>
            </w:r>
          </w:p>
          <w:p w14:paraId="2E334DEA"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0.05*</w:t>
            </w:r>
          </w:p>
          <w:p w14:paraId="0140E127" w14:textId="77777777" w:rsidR="000F310A" w:rsidRPr="00D4671D" w:rsidRDefault="000F310A" w:rsidP="00031031">
            <w:pPr>
              <w:jc w:val="cente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0.13*</w:t>
            </w:r>
          </w:p>
        </w:tc>
      </w:tr>
      <w:tr w:rsidR="000F310A" w:rsidRPr="00D4671D" w14:paraId="33A853C9" w14:textId="77777777" w:rsidTr="00031031">
        <w:trPr>
          <w:trHeight w:val="846"/>
        </w:trPr>
        <w:tc>
          <w:tcPr>
            <w:tcW w:w="3640" w:type="dxa"/>
            <w:tcBorders>
              <w:top w:val="single" w:sz="12" w:space="0" w:color="BFBFBF" w:themeColor="background1" w:themeShade="BF"/>
              <w:left w:val="nil"/>
              <w:right w:val="nil"/>
            </w:tcBorders>
          </w:tcPr>
          <w:p w14:paraId="73FEC330"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erdmani</w:t>
            </w:r>
            <w:r w:rsidRPr="00D4671D">
              <w:rPr>
                <w:rFonts w:ascii="Times New Roman" w:hAnsi="Times New Roman" w:cs="Times New Roman"/>
                <w:b/>
                <w:bCs/>
                <w:i/>
                <w:iCs/>
                <w:color w:val="000000" w:themeColor="text1"/>
                <w:sz w:val="20"/>
                <w:szCs w:val="20"/>
              </w:rPr>
              <w:t xml:space="preserve"> – </w:t>
            </w:r>
            <w:r w:rsidRPr="00D4671D">
              <w:rPr>
                <w:rFonts w:ascii="Times New Roman" w:hAnsi="Times New Roman" w:cs="Times New Roman"/>
                <w:b/>
                <w:bCs/>
                <w:color w:val="000000" w:themeColor="text1"/>
                <w:sz w:val="20"/>
                <w:szCs w:val="20"/>
              </w:rPr>
              <w:t>2 groups</w:t>
            </w:r>
          </w:p>
          <w:p w14:paraId="0F92FB0B"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Eastern Caribbean</w:t>
            </w:r>
          </w:p>
          <w:p w14:paraId="14B594C3"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 xml:space="preserve">Group B: </w:t>
            </w:r>
            <w:r w:rsidRPr="000D54C1">
              <w:rPr>
                <w:rFonts w:ascii="Times New Roman" w:hAnsi="Times New Roman" w:cs="Times New Roman"/>
                <w:color w:val="000000" w:themeColor="text1"/>
                <w:sz w:val="20"/>
                <w:szCs w:val="20"/>
              </w:rPr>
              <w:t>Western Caribbean</w:t>
            </w:r>
          </w:p>
        </w:tc>
        <w:tc>
          <w:tcPr>
            <w:tcW w:w="3198" w:type="dxa"/>
            <w:tcBorders>
              <w:top w:val="single" w:sz="12" w:space="0" w:color="BFBFBF" w:themeColor="background1" w:themeShade="BF"/>
              <w:left w:val="nil"/>
              <w:right w:val="nil"/>
            </w:tcBorders>
          </w:tcPr>
          <w:p w14:paraId="1518C66C"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7280DEF2"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54F5CF37"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right w:val="nil"/>
            </w:tcBorders>
            <w:vAlign w:val="center"/>
          </w:tcPr>
          <w:p w14:paraId="751B60FF" w14:textId="77777777" w:rsidR="000F310A" w:rsidRDefault="000F310A" w:rsidP="00031031">
            <w:pPr>
              <w:jc w:val="center"/>
              <w:rPr>
                <w:rFonts w:ascii="Times New Roman" w:hAnsi="Times New Roman" w:cs="Times New Roman"/>
                <w:color w:val="000000" w:themeColor="text1"/>
                <w:sz w:val="20"/>
                <w:szCs w:val="20"/>
              </w:rPr>
            </w:pPr>
            <w:r w:rsidRPr="0015728C">
              <w:rPr>
                <w:rFonts w:ascii="Times New Roman" w:hAnsi="Times New Roman" w:cs="Times New Roman"/>
                <w:color w:val="000000" w:themeColor="text1"/>
                <w:sz w:val="20"/>
                <w:szCs w:val="20"/>
              </w:rPr>
              <w:t>720.7</w:t>
            </w:r>
            <w:r>
              <w:rPr>
                <w:rFonts w:ascii="Times New Roman" w:hAnsi="Times New Roman" w:cs="Times New Roman"/>
                <w:color w:val="000000" w:themeColor="text1"/>
                <w:sz w:val="20"/>
                <w:szCs w:val="20"/>
              </w:rPr>
              <w:t>4</w:t>
            </w:r>
          </w:p>
          <w:p w14:paraId="366505AE" w14:textId="77777777" w:rsidR="000F310A" w:rsidRDefault="000F310A" w:rsidP="00031031">
            <w:pPr>
              <w:jc w:val="center"/>
              <w:rPr>
                <w:rFonts w:ascii="Times New Roman" w:hAnsi="Times New Roman" w:cs="Times New Roman"/>
                <w:color w:val="000000" w:themeColor="text1"/>
                <w:sz w:val="20"/>
                <w:szCs w:val="20"/>
              </w:rPr>
            </w:pPr>
            <w:r w:rsidRPr="0015728C">
              <w:rPr>
                <w:rFonts w:ascii="Times New Roman" w:hAnsi="Times New Roman" w:cs="Times New Roman"/>
                <w:color w:val="000000" w:themeColor="text1"/>
                <w:sz w:val="20"/>
                <w:szCs w:val="20"/>
              </w:rPr>
              <w:t>2033.37</w:t>
            </w:r>
          </w:p>
          <w:p w14:paraId="5C97C58B" w14:textId="77777777" w:rsidR="000F310A" w:rsidRPr="00D4671D" w:rsidRDefault="000F310A" w:rsidP="00031031">
            <w:pPr>
              <w:jc w:val="center"/>
              <w:rPr>
                <w:rFonts w:ascii="Times New Roman" w:hAnsi="Times New Roman" w:cs="Times New Roman"/>
                <w:color w:val="000000" w:themeColor="text1"/>
                <w:sz w:val="20"/>
                <w:szCs w:val="20"/>
              </w:rPr>
            </w:pPr>
            <w:r w:rsidRPr="009738F1">
              <w:rPr>
                <w:rFonts w:ascii="Times New Roman" w:hAnsi="Times New Roman" w:cs="Times New Roman"/>
                <w:color w:val="000000" w:themeColor="text1"/>
                <w:sz w:val="20"/>
                <w:szCs w:val="20"/>
              </w:rPr>
              <w:t>3843.64</w:t>
            </w:r>
          </w:p>
        </w:tc>
        <w:tc>
          <w:tcPr>
            <w:tcW w:w="889" w:type="dxa"/>
            <w:tcBorders>
              <w:top w:val="single" w:sz="12" w:space="0" w:color="BFBFBF" w:themeColor="background1" w:themeShade="BF"/>
              <w:left w:val="nil"/>
              <w:right w:val="nil"/>
            </w:tcBorders>
            <w:vAlign w:val="center"/>
          </w:tcPr>
          <w:p w14:paraId="45823D76" w14:textId="77777777" w:rsidR="000F310A" w:rsidRDefault="000F310A" w:rsidP="00031031">
            <w:pPr>
              <w:jc w:val="center"/>
              <w:rPr>
                <w:rFonts w:ascii="Times New Roman" w:hAnsi="Times New Roman" w:cs="Times New Roman"/>
                <w:color w:val="000000" w:themeColor="text1"/>
                <w:sz w:val="20"/>
                <w:szCs w:val="20"/>
              </w:rPr>
            </w:pPr>
            <w:r w:rsidRPr="00257A8E">
              <w:rPr>
                <w:rFonts w:ascii="Times New Roman" w:hAnsi="Times New Roman" w:cs="Times New Roman"/>
                <w:color w:val="000000" w:themeColor="text1"/>
                <w:sz w:val="20"/>
                <w:szCs w:val="20"/>
              </w:rPr>
              <w:t>13.94</w:t>
            </w:r>
          </w:p>
          <w:p w14:paraId="307CBB26" w14:textId="77777777" w:rsidR="000F310A" w:rsidRDefault="000F310A" w:rsidP="00031031">
            <w:pPr>
              <w:jc w:val="center"/>
              <w:rPr>
                <w:rFonts w:ascii="Times New Roman" w:hAnsi="Times New Roman" w:cs="Times New Roman"/>
                <w:color w:val="000000" w:themeColor="text1"/>
                <w:sz w:val="20"/>
                <w:szCs w:val="20"/>
              </w:rPr>
            </w:pPr>
            <w:r w:rsidRPr="00257A8E">
              <w:rPr>
                <w:rFonts w:ascii="Times New Roman" w:hAnsi="Times New Roman" w:cs="Times New Roman"/>
                <w:color w:val="000000" w:themeColor="text1"/>
                <w:sz w:val="20"/>
                <w:szCs w:val="20"/>
              </w:rPr>
              <w:t>11.1</w:t>
            </w:r>
            <w:r>
              <w:rPr>
                <w:rFonts w:ascii="Times New Roman" w:hAnsi="Times New Roman" w:cs="Times New Roman"/>
                <w:color w:val="000000" w:themeColor="text1"/>
                <w:sz w:val="20"/>
                <w:szCs w:val="20"/>
              </w:rPr>
              <w:t>6</w:t>
            </w:r>
          </w:p>
          <w:p w14:paraId="3C246E22" w14:textId="77777777" w:rsidR="000F310A" w:rsidRPr="00D4671D" w:rsidRDefault="000F310A" w:rsidP="00031031">
            <w:pPr>
              <w:jc w:val="center"/>
              <w:rPr>
                <w:rFonts w:ascii="Times New Roman" w:hAnsi="Times New Roman" w:cs="Times New Roman"/>
                <w:color w:val="000000" w:themeColor="text1"/>
                <w:sz w:val="20"/>
                <w:szCs w:val="20"/>
              </w:rPr>
            </w:pPr>
            <w:r w:rsidRPr="00257A8E">
              <w:rPr>
                <w:rFonts w:ascii="Times New Roman" w:hAnsi="Times New Roman" w:cs="Times New Roman"/>
                <w:color w:val="000000" w:themeColor="text1"/>
                <w:sz w:val="20"/>
                <w:szCs w:val="20"/>
              </w:rPr>
              <w:t>74.90</w:t>
            </w:r>
          </w:p>
        </w:tc>
        <w:tc>
          <w:tcPr>
            <w:tcW w:w="666" w:type="dxa"/>
            <w:tcBorders>
              <w:top w:val="single" w:sz="12" w:space="0" w:color="BFBFBF" w:themeColor="background1" w:themeShade="BF"/>
              <w:left w:val="nil"/>
              <w:right w:val="nil"/>
            </w:tcBorders>
            <w:vAlign w:val="center"/>
          </w:tcPr>
          <w:p w14:paraId="5CA1D336" w14:textId="77777777" w:rsidR="000F310A" w:rsidRDefault="000F310A" w:rsidP="00031031">
            <w:pPr>
              <w:jc w:val="center"/>
              <w:rPr>
                <w:rFonts w:ascii="Times New Roman" w:hAnsi="Times New Roman" w:cs="Times New Roman"/>
                <w:color w:val="000000" w:themeColor="text1"/>
                <w:sz w:val="20"/>
                <w:szCs w:val="20"/>
              </w:rPr>
            </w:pPr>
            <w:r w:rsidRPr="009738F1">
              <w:rPr>
                <w:rFonts w:ascii="Times New Roman" w:hAnsi="Times New Roman" w:cs="Times New Roman"/>
                <w:color w:val="000000" w:themeColor="text1"/>
                <w:sz w:val="20"/>
                <w:szCs w:val="20"/>
              </w:rPr>
              <w:t>0.25</w:t>
            </w:r>
            <w:r>
              <w:rPr>
                <w:rFonts w:ascii="Times New Roman" w:hAnsi="Times New Roman" w:cs="Times New Roman"/>
                <w:color w:val="000000" w:themeColor="text1"/>
                <w:sz w:val="20"/>
                <w:szCs w:val="20"/>
              </w:rPr>
              <w:t>*</w:t>
            </w:r>
          </w:p>
          <w:p w14:paraId="473095AF" w14:textId="77777777" w:rsidR="000F310A" w:rsidRDefault="000F310A" w:rsidP="00031031">
            <w:pPr>
              <w:jc w:val="center"/>
              <w:rPr>
                <w:rFonts w:ascii="Times New Roman" w:hAnsi="Times New Roman" w:cs="Times New Roman"/>
                <w:color w:val="000000" w:themeColor="text1"/>
                <w:sz w:val="20"/>
                <w:szCs w:val="20"/>
              </w:rPr>
            </w:pPr>
            <w:r w:rsidRPr="009738F1">
              <w:rPr>
                <w:rFonts w:ascii="Times New Roman" w:hAnsi="Times New Roman" w:cs="Times New Roman"/>
                <w:color w:val="000000" w:themeColor="text1"/>
                <w:sz w:val="20"/>
                <w:szCs w:val="20"/>
              </w:rPr>
              <w:t>0.1</w:t>
            </w:r>
            <w:r>
              <w:rPr>
                <w:rFonts w:ascii="Times New Roman" w:hAnsi="Times New Roman" w:cs="Times New Roman"/>
                <w:color w:val="000000" w:themeColor="text1"/>
                <w:sz w:val="20"/>
                <w:szCs w:val="20"/>
              </w:rPr>
              <w:t>3*</w:t>
            </w:r>
          </w:p>
          <w:p w14:paraId="2DEB36F6" w14:textId="77777777" w:rsidR="000F310A" w:rsidRPr="00D4671D" w:rsidRDefault="000F310A" w:rsidP="00031031">
            <w:pPr>
              <w:jc w:val="center"/>
              <w:rPr>
                <w:rFonts w:ascii="Times New Roman" w:hAnsi="Times New Roman" w:cs="Times New Roman"/>
                <w:color w:val="000000" w:themeColor="text1"/>
                <w:sz w:val="20"/>
                <w:szCs w:val="20"/>
              </w:rPr>
            </w:pPr>
            <w:r w:rsidRPr="009738F1">
              <w:rPr>
                <w:rFonts w:ascii="Times New Roman" w:hAnsi="Times New Roman" w:cs="Times New Roman"/>
                <w:color w:val="000000" w:themeColor="text1"/>
                <w:sz w:val="20"/>
                <w:szCs w:val="20"/>
              </w:rPr>
              <w:t>0.1</w:t>
            </w:r>
            <w:r>
              <w:rPr>
                <w:rFonts w:ascii="Times New Roman" w:hAnsi="Times New Roman" w:cs="Times New Roman"/>
                <w:color w:val="000000" w:themeColor="text1"/>
                <w:sz w:val="20"/>
                <w:szCs w:val="20"/>
              </w:rPr>
              <w:t>4</w:t>
            </w:r>
          </w:p>
        </w:tc>
      </w:tr>
      <w:tr w:rsidR="000F310A" w:rsidRPr="00D4671D" w14:paraId="39E27DC6" w14:textId="77777777" w:rsidTr="00031031">
        <w:trPr>
          <w:trHeight w:val="969"/>
        </w:trPr>
        <w:tc>
          <w:tcPr>
            <w:tcW w:w="3640" w:type="dxa"/>
            <w:tcBorders>
              <w:top w:val="single" w:sz="12" w:space="0" w:color="BFBFBF" w:themeColor="background1" w:themeShade="BF"/>
              <w:left w:val="nil"/>
              <w:right w:val="nil"/>
            </w:tcBorders>
          </w:tcPr>
          <w:p w14:paraId="5BA30662"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erdmani</w:t>
            </w:r>
            <w:r w:rsidRPr="00D4671D">
              <w:rPr>
                <w:rFonts w:ascii="Times New Roman" w:hAnsi="Times New Roman" w:cs="Times New Roman"/>
                <w:b/>
                <w:bCs/>
                <w:i/>
                <w:iCs/>
                <w:color w:val="000000" w:themeColor="text1"/>
                <w:sz w:val="20"/>
                <w:szCs w:val="20"/>
              </w:rPr>
              <w:t xml:space="preserve"> – </w:t>
            </w:r>
            <w:r w:rsidRPr="00D4671D">
              <w:rPr>
                <w:rFonts w:ascii="Times New Roman" w:hAnsi="Times New Roman" w:cs="Times New Roman"/>
                <w:b/>
                <w:bCs/>
                <w:color w:val="000000" w:themeColor="text1"/>
                <w:sz w:val="20"/>
                <w:szCs w:val="20"/>
              </w:rPr>
              <w:t>3 groups</w:t>
            </w:r>
          </w:p>
          <w:p w14:paraId="1838B891"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Eastern Caribbean</w:t>
            </w:r>
            <w:r w:rsidRPr="00D4671D">
              <w:rPr>
                <w:rFonts w:ascii="Times New Roman" w:hAnsi="Times New Roman" w:cs="Times New Roman"/>
                <w:color w:val="000000" w:themeColor="text1"/>
                <w:sz w:val="20"/>
                <w:szCs w:val="20"/>
              </w:rPr>
              <w:t xml:space="preserve"> </w:t>
            </w:r>
          </w:p>
          <w:p w14:paraId="530D59C8"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Pr>
                <w:rFonts w:ascii="Times New Roman" w:hAnsi="Times New Roman" w:cs="Times New Roman"/>
                <w:color w:val="000000" w:themeColor="text1"/>
                <w:sz w:val="20"/>
                <w:szCs w:val="20"/>
              </w:rPr>
              <w:t>Puerto Rico</w:t>
            </w:r>
          </w:p>
          <w:p w14:paraId="423A35F5"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 xml:space="preserve">Group C: </w:t>
            </w:r>
            <w:r>
              <w:rPr>
                <w:rFonts w:ascii="Times New Roman" w:hAnsi="Times New Roman" w:cs="Times New Roman"/>
                <w:color w:val="000000" w:themeColor="text1"/>
                <w:sz w:val="20"/>
                <w:szCs w:val="20"/>
              </w:rPr>
              <w:t>Dominica</w:t>
            </w:r>
          </w:p>
        </w:tc>
        <w:tc>
          <w:tcPr>
            <w:tcW w:w="3198" w:type="dxa"/>
            <w:tcBorders>
              <w:top w:val="single" w:sz="12" w:space="0" w:color="BFBFBF" w:themeColor="background1" w:themeShade="BF"/>
              <w:left w:val="nil"/>
              <w:right w:val="nil"/>
            </w:tcBorders>
          </w:tcPr>
          <w:p w14:paraId="4E34CBD9"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5A7D277C"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0E60B038"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right w:val="nil"/>
            </w:tcBorders>
            <w:vAlign w:val="center"/>
          </w:tcPr>
          <w:p w14:paraId="2E550499" w14:textId="77777777" w:rsidR="000F310A" w:rsidRDefault="000F310A" w:rsidP="00031031">
            <w:pPr>
              <w:jc w:val="center"/>
              <w:rPr>
                <w:rFonts w:ascii="Times New Roman" w:hAnsi="Times New Roman" w:cs="Times New Roman"/>
                <w:color w:val="000000" w:themeColor="text1"/>
                <w:sz w:val="20"/>
                <w:szCs w:val="20"/>
              </w:rPr>
            </w:pPr>
            <w:r w:rsidRPr="00EF19B3">
              <w:rPr>
                <w:rFonts w:ascii="Times New Roman" w:hAnsi="Times New Roman" w:cs="Times New Roman"/>
                <w:color w:val="000000" w:themeColor="text1"/>
                <w:sz w:val="20"/>
                <w:szCs w:val="20"/>
              </w:rPr>
              <w:t>1110.76</w:t>
            </w:r>
          </w:p>
          <w:p w14:paraId="0E9E3A86" w14:textId="77777777" w:rsidR="000F310A" w:rsidRDefault="000F310A" w:rsidP="00031031">
            <w:pPr>
              <w:jc w:val="center"/>
              <w:rPr>
                <w:rFonts w:ascii="Times New Roman" w:hAnsi="Times New Roman" w:cs="Times New Roman"/>
                <w:color w:val="000000" w:themeColor="text1"/>
                <w:sz w:val="20"/>
                <w:szCs w:val="20"/>
              </w:rPr>
            </w:pPr>
            <w:r w:rsidRPr="00EF19B3">
              <w:rPr>
                <w:rFonts w:ascii="Times New Roman" w:hAnsi="Times New Roman" w:cs="Times New Roman"/>
                <w:color w:val="000000" w:themeColor="text1"/>
                <w:sz w:val="20"/>
                <w:szCs w:val="20"/>
              </w:rPr>
              <w:t>1643.3</w:t>
            </w:r>
            <w:r>
              <w:rPr>
                <w:rFonts w:ascii="Times New Roman" w:hAnsi="Times New Roman" w:cs="Times New Roman"/>
                <w:color w:val="000000" w:themeColor="text1"/>
                <w:sz w:val="20"/>
                <w:szCs w:val="20"/>
              </w:rPr>
              <w:t>5</w:t>
            </w:r>
          </w:p>
          <w:p w14:paraId="6737F175" w14:textId="77777777" w:rsidR="000F310A" w:rsidRPr="00D4671D" w:rsidRDefault="000F310A" w:rsidP="00031031">
            <w:pPr>
              <w:jc w:val="center"/>
              <w:rPr>
                <w:rFonts w:ascii="Times New Roman" w:hAnsi="Times New Roman" w:cs="Times New Roman"/>
                <w:color w:val="000000" w:themeColor="text1"/>
                <w:sz w:val="20"/>
                <w:szCs w:val="20"/>
              </w:rPr>
            </w:pPr>
            <w:r w:rsidRPr="00EF19B3">
              <w:rPr>
                <w:rFonts w:ascii="Times New Roman" w:hAnsi="Times New Roman" w:cs="Times New Roman"/>
                <w:color w:val="000000" w:themeColor="text1"/>
                <w:sz w:val="20"/>
                <w:szCs w:val="20"/>
              </w:rPr>
              <w:t>3843.6</w:t>
            </w:r>
            <w:r>
              <w:rPr>
                <w:rFonts w:ascii="Times New Roman" w:hAnsi="Times New Roman" w:cs="Times New Roman"/>
                <w:color w:val="000000" w:themeColor="text1"/>
                <w:sz w:val="20"/>
                <w:szCs w:val="20"/>
              </w:rPr>
              <w:t>5</w:t>
            </w:r>
          </w:p>
        </w:tc>
        <w:tc>
          <w:tcPr>
            <w:tcW w:w="889" w:type="dxa"/>
            <w:tcBorders>
              <w:top w:val="single" w:sz="12" w:space="0" w:color="BFBFBF" w:themeColor="background1" w:themeShade="BF"/>
              <w:left w:val="nil"/>
              <w:right w:val="nil"/>
            </w:tcBorders>
            <w:vAlign w:val="center"/>
          </w:tcPr>
          <w:p w14:paraId="6836F9FB" w14:textId="77777777" w:rsidR="000F310A" w:rsidRDefault="000F310A" w:rsidP="00031031">
            <w:pPr>
              <w:jc w:val="center"/>
              <w:rPr>
                <w:rFonts w:ascii="Times New Roman" w:hAnsi="Times New Roman" w:cs="Times New Roman"/>
                <w:color w:val="000000" w:themeColor="text1"/>
                <w:sz w:val="20"/>
                <w:szCs w:val="20"/>
              </w:rPr>
            </w:pPr>
            <w:r w:rsidRPr="00257A8E">
              <w:rPr>
                <w:rFonts w:ascii="Times New Roman" w:hAnsi="Times New Roman" w:cs="Times New Roman"/>
                <w:color w:val="000000" w:themeColor="text1"/>
                <w:sz w:val="20"/>
                <w:szCs w:val="20"/>
              </w:rPr>
              <w:t>17.6</w:t>
            </w:r>
            <w:r>
              <w:rPr>
                <w:rFonts w:ascii="Times New Roman" w:hAnsi="Times New Roman" w:cs="Times New Roman"/>
                <w:color w:val="000000" w:themeColor="text1"/>
                <w:sz w:val="20"/>
                <w:szCs w:val="20"/>
              </w:rPr>
              <w:t>9</w:t>
            </w:r>
          </w:p>
          <w:p w14:paraId="20210247" w14:textId="77777777" w:rsidR="000F310A" w:rsidRDefault="000F310A" w:rsidP="00031031">
            <w:pPr>
              <w:jc w:val="center"/>
              <w:rPr>
                <w:rFonts w:ascii="Times New Roman" w:hAnsi="Times New Roman" w:cs="Times New Roman"/>
                <w:color w:val="000000" w:themeColor="text1"/>
                <w:sz w:val="20"/>
                <w:szCs w:val="20"/>
              </w:rPr>
            </w:pPr>
            <w:r w:rsidRPr="00257A8E">
              <w:rPr>
                <w:rFonts w:ascii="Times New Roman" w:hAnsi="Times New Roman" w:cs="Times New Roman"/>
                <w:color w:val="000000" w:themeColor="text1"/>
                <w:sz w:val="20"/>
                <w:szCs w:val="20"/>
              </w:rPr>
              <w:t>9.02</w:t>
            </w:r>
          </w:p>
          <w:p w14:paraId="2D612D71" w14:textId="77777777" w:rsidR="000F310A" w:rsidRPr="00D4671D" w:rsidRDefault="000F310A" w:rsidP="00031031">
            <w:pPr>
              <w:jc w:val="center"/>
              <w:rPr>
                <w:rFonts w:ascii="Times New Roman" w:hAnsi="Times New Roman" w:cs="Times New Roman"/>
                <w:color w:val="000000" w:themeColor="text1"/>
                <w:sz w:val="20"/>
                <w:szCs w:val="20"/>
              </w:rPr>
            </w:pPr>
            <w:r w:rsidRPr="00257A8E">
              <w:rPr>
                <w:rFonts w:ascii="Times New Roman" w:hAnsi="Times New Roman" w:cs="Times New Roman"/>
                <w:color w:val="000000" w:themeColor="text1"/>
                <w:sz w:val="20"/>
                <w:szCs w:val="20"/>
              </w:rPr>
              <w:t>73.2</w:t>
            </w:r>
            <w:r>
              <w:rPr>
                <w:rFonts w:ascii="Times New Roman" w:hAnsi="Times New Roman" w:cs="Times New Roman"/>
                <w:color w:val="000000" w:themeColor="text1"/>
                <w:sz w:val="20"/>
                <w:szCs w:val="20"/>
              </w:rPr>
              <w:t>9</w:t>
            </w:r>
          </w:p>
        </w:tc>
        <w:tc>
          <w:tcPr>
            <w:tcW w:w="666" w:type="dxa"/>
            <w:tcBorders>
              <w:top w:val="single" w:sz="12" w:space="0" w:color="BFBFBF" w:themeColor="background1" w:themeShade="BF"/>
              <w:left w:val="nil"/>
              <w:right w:val="nil"/>
            </w:tcBorders>
            <w:vAlign w:val="center"/>
          </w:tcPr>
          <w:p w14:paraId="0419251E" w14:textId="77777777" w:rsidR="000F310A" w:rsidRDefault="000F310A" w:rsidP="00031031">
            <w:pPr>
              <w:jc w:val="center"/>
              <w:rPr>
                <w:rFonts w:ascii="Times New Roman" w:hAnsi="Times New Roman" w:cs="Times New Roman"/>
                <w:color w:val="000000" w:themeColor="text1"/>
                <w:sz w:val="20"/>
                <w:szCs w:val="20"/>
              </w:rPr>
            </w:pPr>
            <w:r w:rsidRPr="00EF19B3">
              <w:rPr>
                <w:rFonts w:ascii="Times New Roman" w:hAnsi="Times New Roman" w:cs="Times New Roman"/>
                <w:color w:val="000000" w:themeColor="text1"/>
                <w:sz w:val="20"/>
                <w:szCs w:val="20"/>
              </w:rPr>
              <w:t>0.26</w:t>
            </w:r>
            <w:r>
              <w:rPr>
                <w:rFonts w:ascii="Times New Roman" w:hAnsi="Times New Roman" w:cs="Times New Roman"/>
                <w:color w:val="000000" w:themeColor="text1"/>
                <w:sz w:val="20"/>
                <w:szCs w:val="20"/>
              </w:rPr>
              <w:t>*</w:t>
            </w:r>
          </w:p>
          <w:p w14:paraId="53B193F0" w14:textId="77777777" w:rsidR="000F310A"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0.11*</w:t>
            </w:r>
          </w:p>
          <w:p w14:paraId="5E854630" w14:textId="77777777" w:rsidR="000F310A" w:rsidRPr="00D4671D"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0.17</w:t>
            </w:r>
          </w:p>
        </w:tc>
      </w:tr>
      <w:tr w:rsidR="000F310A" w:rsidRPr="00D4671D" w14:paraId="2AF4F9A1" w14:textId="77777777" w:rsidTr="00031031">
        <w:trPr>
          <w:trHeight w:val="330"/>
        </w:trPr>
        <w:tc>
          <w:tcPr>
            <w:tcW w:w="3640" w:type="dxa"/>
            <w:tcBorders>
              <w:top w:val="single" w:sz="12" w:space="0" w:color="BFBFBF" w:themeColor="background1" w:themeShade="BF"/>
              <w:left w:val="nil"/>
              <w:bottom w:val="single" w:sz="18" w:space="0" w:color="767171" w:themeColor="background2" w:themeShade="80"/>
              <w:right w:val="nil"/>
            </w:tcBorders>
          </w:tcPr>
          <w:p w14:paraId="40FFE2B5"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erdmani</w:t>
            </w:r>
            <w:r w:rsidRPr="00D4671D">
              <w:rPr>
                <w:rFonts w:ascii="Times New Roman" w:hAnsi="Times New Roman" w:cs="Times New Roman"/>
                <w:b/>
                <w:bCs/>
                <w:i/>
                <w:iCs/>
                <w:color w:val="000000" w:themeColor="text1"/>
                <w:sz w:val="20"/>
                <w:szCs w:val="20"/>
              </w:rPr>
              <w:t xml:space="preserve"> – </w:t>
            </w:r>
            <w:r w:rsidRPr="00D4671D">
              <w:rPr>
                <w:rFonts w:ascii="Times New Roman" w:hAnsi="Times New Roman" w:cs="Times New Roman"/>
                <w:b/>
                <w:bCs/>
                <w:color w:val="000000" w:themeColor="text1"/>
                <w:sz w:val="20"/>
                <w:szCs w:val="20"/>
              </w:rPr>
              <w:t>4 groups</w:t>
            </w:r>
          </w:p>
          <w:p w14:paraId="33A90210"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Belize, Honduras, Yucatán</w:t>
            </w:r>
            <w:r w:rsidRPr="00D4671D">
              <w:rPr>
                <w:rFonts w:ascii="Times New Roman" w:hAnsi="Times New Roman" w:cs="Times New Roman"/>
                <w:color w:val="000000" w:themeColor="text1"/>
                <w:sz w:val="20"/>
                <w:szCs w:val="20"/>
              </w:rPr>
              <w:t xml:space="preserve"> </w:t>
            </w:r>
          </w:p>
          <w:p w14:paraId="75C0DE26"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Pr>
                <w:rFonts w:ascii="Times New Roman" w:hAnsi="Times New Roman" w:cs="Times New Roman"/>
                <w:color w:val="000000" w:themeColor="text1"/>
                <w:sz w:val="20"/>
                <w:szCs w:val="20"/>
              </w:rPr>
              <w:t>San Andrés Island</w:t>
            </w:r>
          </w:p>
          <w:p w14:paraId="03175CCE" w14:textId="77777777" w:rsidR="000F310A" w:rsidRPr="007B4C8F"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C: </w:t>
            </w:r>
            <w:r>
              <w:rPr>
                <w:rFonts w:ascii="Times New Roman" w:hAnsi="Times New Roman" w:cs="Times New Roman"/>
                <w:color w:val="000000" w:themeColor="text1"/>
                <w:sz w:val="20"/>
                <w:szCs w:val="20"/>
              </w:rPr>
              <w:t>Bahamas and Cayman Islands</w:t>
            </w:r>
          </w:p>
          <w:p w14:paraId="32500E33"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lastRenderedPageBreak/>
              <w:t xml:space="preserve">Group D: </w:t>
            </w:r>
            <w:r w:rsidRPr="007B4C8F">
              <w:rPr>
                <w:rFonts w:ascii="Times New Roman" w:hAnsi="Times New Roman" w:cs="Times New Roman"/>
                <w:color w:val="000000" w:themeColor="text1"/>
                <w:sz w:val="20"/>
                <w:szCs w:val="20"/>
              </w:rPr>
              <w:t>Puerto Rico and</w:t>
            </w:r>
            <w:r>
              <w:rPr>
                <w:rFonts w:ascii="Times New Roman" w:hAnsi="Times New Roman" w:cs="Times New Roman"/>
                <w:b/>
                <w:bCs/>
                <w:color w:val="000000" w:themeColor="text1"/>
                <w:sz w:val="20"/>
                <w:szCs w:val="20"/>
              </w:rPr>
              <w:t xml:space="preserve"> </w:t>
            </w:r>
            <w:r>
              <w:rPr>
                <w:rFonts w:ascii="Times New Roman" w:hAnsi="Times New Roman" w:cs="Times New Roman"/>
                <w:color w:val="000000" w:themeColor="text1"/>
                <w:sz w:val="20"/>
                <w:szCs w:val="20"/>
              </w:rPr>
              <w:t>Dominica</w:t>
            </w:r>
          </w:p>
        </w:tc>
        <w:tc>
          <w:tcPr>
            <w:tcW w:w="3198" w:type="dxa"/>
            <w:tcBorders>
              <w:top w:val="single" w:sz="12" w:space="0" w:color="BFBFBF" w:themeColor="background1" w:themeShade="BF"/>
              <w:left w:val="nil"/>
              <w:bottom w:val="single" w:sz="18" w:space="0" w:color="767171" w:themeColor="background2" w:themeShade="80"/>
              <w:right w:val="nil"/>
            </w:tcBorders>
          </w:tcPr>
          <w:p w14:paraId="443D7952" w14:textId="77777777" w:rsidR="000F310A" w:rsidRDefault="000F310A" w:rsidP="00031031">
            <w:pPr>
              <w:rPr>
                <w:rFonts w:ascii="Times New Roman" w:hAnsi="Times New Roman" w:cs="Times New Roman"/>
                <w:color w:val="000000" w:themeColor="text1"/>
                <w:sz w:val="20"/>
                <w:szCs w:val="20"/>
              </w:rPr>
            </w:pPr>
          </w:p>
          <w:p w14:paraId="05641184"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6B009672"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109874AD"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bottom w:val="single" w:sz="18" w:space="0" w:color="767171" w:themeColor="background2" w:themeShade="80"/>
              <w:right w:val="nil"/>
            </w:tcBorders>
            <w:vAlign w:val="center"/>
          </w:tcPr>
          <w:p w14:paraId="43C0BBA2" w14:textId="77777777" w:rsidR="000F310A" w:rsidRDefault="000F310A" w:rsidP="00031031">
            <w:pPr>
              <w:jc w:val="center"/>
              <w:rPr>
                <w:rFonts w:ascii="Times New Roman" w:hAnsi="Times New Roman" w:cs="Times New Roman"/>
                <w:color w:val="000000" w:themeColor="text1"/>
                <w:sz w:val="20"/>
                <w:szCs w:val="20"/>
              </w:rPr>
            </w:pPr>
            <w:r w:rsidRPr="005300D7">
              <w:rPr>
                <w:rFonts w:ascii="Times New Roman" w:hAnsi="Times New Roman" w:cs="Times New Roman"/>
                <w:color w:val="000000" w:themeColor="text1"/>
                <w:sz w:val="20"/>
                <w:szCs w:val="20"/>
              </w:rPr>
              <w:t>1541.57</w:t>
            </w:r>
          </w:p>
          <w:p w14:paraId="53EB04D3" w14:textId="77777777" w:rsidR="000F310A" w:rsidRDefault="000F310A" w:rsidP="00031031">
            <w:pPr>
              <w:jc w:val="center"/>
              <w:rPr>
                <w:rFonts w:ascii="Times New Roman" w:hAnsi="Times New Roman" w:cs="Times New Roman"/>
                <w:color w:val="000000" w:themeColor="text1"/>
                <w:sz w:val="20"/>
                <w:szCs w:val="20"/>
              </w:rPr>
            </w:pPr>
            <w:r w:rsidRPr="005300D7">
              <w:rPr>
                <w:rFonts w:ascii="Times New Roman" w:hAnsi="Times New Roman" w:cs="Times New Roman"/>
                <w:color w:val="000000" w:themeColor="text1"/>
                <w:sz w:val="20"/>
                <w:szCs w:val="20"/>
              </w:rPr>
              <w:t>1212.5</w:t>
            </w:r>
            <w:r>
              <w:rPr>
                <w:rFonts w:ascii="Times New Roman" w:hAnsi="Times New Roman" w:cs="Times New Roman"/>
                <w:color w:val="000000" w:themeColor="text1"/>
                <w:sz w:val="20"/>
                <w:szCs w:val="20"/>
              </w:rPr>
              <w:t>4</w:t>
            </w:r>
          </w:p>
          <w:p w14:paraId="7A24FDB9" w14:textId="77777777" w:rsidR="000F310A" w:rsidRPr="00D4671D" w:rsidRDefault="000F310A" w:rsidP="00031031">
            <w:pPr>
              <w:jc w:val="center"/>
              <w:rPr>
                <w:rFonts w:ascii="Times New Roman" w:hAnsi="Times New Roman" w:cs="Times New Roman"/>
                <w:color w:val="000000" w:themeColor="text1"/>
                <w:sz w:val="20"/>
                <w:szCs w:val="20"/>
              </w:rPr>
            </w:pPr>
            <w:r w:rsidRPr="005300D7">
              <w:rPr>
                <w:rFonts w:ascii="Times New Roman" w:hAnsi="Times New Roman" w:cs="Times New Roman"/>
                <w:color w:val="000000" w:themeColor="text1"/>
                <w:sz w:val="20"/>
                <w:szCs w:val="20"/>
              </w:rPr>
              <w:t>3843.6</w:t>
            </w:r>
            <w:r>
              <w:rPr>
                <w:rFonts w:ascii="Times New Roman" w:hAnsi="Times New Roman" w:cs="Times New Roman"/>
                <w:color w:val="000000" w:themeColor="text1"/>
                <w:sz w:val="20"/>
                <w:szCs w:val="20"/>
              </w:rPr>
              <w:t>5</w:t>
            </w:r>
          </w:p>
        </w:tc>
        <w:tc>
          <w:tcPr>
            <w:tcW w:w="889" w:type="dxa"/>
            <w:tcBorders>
              <w:top w:val="single" w:sz="12" w:space="0" w:color="BFBFBF" w:themeColor="background1" w:themeShade="BF"/>
              <w:left w:val="nil"/>
              <w:bottom w:val="single" w:sz="18" w:space="0" w:color="767171" w:themeColor="background2" w:themeShade="80"/>
              <w:right w:val="nil"/>
            </w:tcBorders>
            <w:vAlign w:val="center"/>
          </w:tcPr>
          <w:p w14:paraId="782691B2" w14:textId="77777777" w:rsidR="000F310A" w:rsidRDefault="000F310A" w:rsidP="00031031">
            <w:pPr>
              <w:jc w:val="center"/>
              <w:rPr>
                <w:rFonts w:ascii="Times New Roman" w:hAnsi="Times New Roman" w:cs="Times New Roman"/>
                <w:color w:val="000000" w:themeColor="text1"/>
                <w:sz w:val="20"/>
                <w:szCs w:val="20"/>
              </w:rPr>
            </w:pPr>
            <w:r w:rsidRPr="00A77DE7">
              <w:rPr>
                <w:rFonts w:ascii="Times New Roman" w:hAnsi="Times New Roman" w:cs="Times New Roman"/>
                <w:color w:val="000000" w:themeColor="text1"/>
                <w:sz w:val="20"/>
                <w:szCs w:val="20"/>
              </w:rPr>
              <w:t>9.14</w:t>
            </w:r>
          </w:p>
          <w:p w14:paraId="7AB064A7" w14:textId="77777777" w:rsidR="000F310A" w:rsidRDefault="000F310A" w:rsidP="00031031">
            <w:pPr>
              <w:jc w:val="center"/>
              <w:rPr>
                <w:rFonts w:ascii="Times New Roman" w:hAnsi="Times New Roman" w:cs="Times New Roman"/>
                <w:color w:val="000000" w:themeColor="text1"/>
                <w:sz w:val="20"/>
                <w:szCs w:val="20"/>
              </w:rPr>
            </w:pPr>
            <w:r w:rsidRPr="00A77DE7">
              <w:rPr>
                <w:rFonts w:ascii="Times New Roman" w:hAnsi="Times New Roman" w:cs="Times New Roman"/>
                <w:color w:val="000000" w:themeColor="text1"/>
                <w:sz w:val="20"/>
                <w:szCs w:val="20"/>
              </w:rPr>
              <w:t>9.9</w:t>
            </w:r>
            <w:r>
              <w:rPr>
                <w:rFonts w:ascii="Times New Roman" w:hAnsi="Times New Roman" w:cs="Times New Roman"/>
                <w:color w:val="000000" w:themeColor="text1"/>
                <w:sz w:val="20"/>
                <w:szCs w:val="20"/>
              </w:rPr>
              <w:t>8</w:t>
            </w:r>
          </w:p>
          <w:p w14:paraId="5C1258C5" w14:textId="77777777" w:rsidR="000F310A" w:rsidRPr="00D4671D" w:rsidRDefault="000F310A" w:rsidP="00031031">
            <w:pPr>
              <w:jc w:val="center"/>
              <w:rPr>
                <w:rFonts w:ascii="Times New Roman" w:hAnsi="Times New Roman" w:cs="Times New Roman"/>
                <w:color w:val="000000" w:themeColor="text1"/>
                <w:sz w:val="20"/>
                <w:szCs w:val="20"/>
              </w:rPr>
            </w:pPr>
            <w:r w:rsidRPr="00A77DE7">
              <w:rPr>
                <w:rFonts w:ascii="Times New Roman" w:hAnsi="Times New Roman" w:cs="Times New Roman"/>
                <w:color w:val="000000" w:themeColor="text1"/>
                <w:sz w:val="20"/>
                <w:szCs w:val="20"/>
              </w:rPr>
              <w:t>80.88</w:t>
            </w:r>
          </w:p>
        </w:tc>
        <w:tc>
          <w:tcPr>
            <w:tcW w:w="666" w:type="dxa"/>
            <w:tcBorders>
              <w:top w:val="single" w:sz="12" w:space="0" w:color="BFBFBF" w:themeColor="background1" w:themeShade="BF"/>
              <w:left w:val="nil"/>
              <w:bottom w:val="single" w:sz="18" w:space="0" w:color="767171" w:themeColor="background2" w:themeShade="80"/>
              <w:right w:val="nil"/>
            </w:tcBorders>
            <w:vAlign w:val="center"/>
          </w:tcPr>
          <w:p w14:paraId="46E47261" w14:textId="77777777" w:rsidR="000F310A" w:rsidRDefault="000F310A" w:rsidP="00031031">
            <w:pPr>
              <w:jc w:val="center"/>
              <w:rPr>
                <w:rFonts w:ascii="Times New Roman" w:hAnsi="Times New Roman" w:cs="Times New Roman"/>
                <w:color w:val="000000" w:themeColor="text1"/>
                <w:sz w:val="20"/>
                <w:szCs w:val="20"/>
              </w:rPr>
            </w:pPr>
            <w:r w:rsidRPr="005300D7">
              <w:rPr>
                <w:rFonts w:ascii="Times New Roman" w:hAnsi="Times New Roman" w:cs="Times New Roman"/>
                <w:color w:val="000000" w:themeColor="text1"/>
                <w:sz w:val="20"/>
                <w:szCs w:val="20"/>
              </w:rPr>
              <w:t>0.19</w:t>
            </w:r>
            <w:r>
              <w:rPr>
                <w:rFonts w:ascii="Times New Roman" w:hAnsi="Times New Roman" w:cs="Times New Roman"/>
                <w:color w:val="000000" w:themeColor="text1"/>
                <w:sz w:val="20"/>
                <w:szCs w:val="20"/>
              </w:rPr>
              <w:t>*</w:t>
            </w:r>
          </w:p>
          <w:p w14:paraId="4504D3E5" w14:textId="77777777" w:rsidR="000F310A"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0.11</w:t>
            </w:r>
          </w:p>
          <w:p w14:paraId="6541DE2B" w14:textId="77777777" w:rsidR="000F310A" w:rsidRPr="00D4671D"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0.09</w:t>
            </w:r>
          </w:p>
        </w:tc>
      </w:tr>
      <w:tr w:rsidR="000F310A" w:rsidRPr="00D4671D" w14:paraId="0FEF0FAB" w14:textId="77777777" w:rsidTr="00031031">
        <w:trPr>
          <w:trHeight w:val="762"/>
        </w:trPr>
        <w:tc>
          <w:tcPr>
            <w:tcW w:w="3640" w:type="dxa"/>
            <w:tcBorders>
              <w:top w:val="single" w:sz="18" w:space="0" w:color="767171" w:themeColor="background2" w:themeShade="80"/>
              <w:left w:val="nil"/>
              <w:bottom w:val="single" w:sz="12" w:space="0" w:color="BFBFBF" w:themeColor="background1" w:themeShade="BF"/>
              <w:right w:val="nil"/>
            </w:tcBorders>
          </w:tcPr>
          <w:p w14:paraId="13195F72"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gilli</w:t>
            </w:r>
            <w:r w:rsidRPr="00D4671D">
              <w:rPr>
                <w:rFonts w:ascii="Times New Roman" w:hAnsi="Times New Roman" w:cs="Times New Roman"/>
                <w:b/>
                <w:bCs/>
                <w:i/>
                <w:iCs/>
                <w:color w:val="000000" w:themeColor="text1"/>
                <w:sz w:val="20"/>
                <w:szCs w:val="20"/>
              </w:rPr>
              <w:t xml:space="preserve"> – </w:t>
            </w:r>
            <w:r w:rsidRPr="00D4671D">
              <w:rPr>
                <w:rFonts w:ascii="Times New Roman" w:hAnsi="Times New Roman" w:cs="Times New Roman"/>
                <w:b/>
                <w:bCs/>
                <w:color w:val="000000" w:themeColor="text1"/>
                <w:sz w:val="20"/>
                <w:szCs w:val="20"/>
              </w:rPr>
              <w:t>2 groups</w:t>
            </w:r>
          </w:p>
          <w:p w14:paraId="4F6F569B"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Eastern Caribbean</w:t>
            </w:r>
          </w:p>
          <w:p w14:paraId="7D5A4901" w14:textId="77777777" w:rsidR="000F310A" w:rsidRPr="00DF0B1A" w:rsidRDefault="000F310A" w:rsidP="00031031">
            <w:pPr>
              <w:rPr>
                <w:rFonts w:ascii="Times New Roman" w:hAnsi="Times New Roman" w:cs="Times New Roman"/>
                <w:i/>
                <w:iCs/>
                <w:color w:val="000000" w:themeColor="text1"/>
                <w:sz w:val="20"/>
                <w:szCs w:val="20"/>
              </w:rPr>
            </w:pPr>
            <w:r w:rsidRPr="00D4671D">
              <w:rPr>
                <w:rFonts w:ascii="Times New Roman" w:hAnsi="Times New Roman" w:cs="Times New Roman"/>
                <w:b/>
                <w:bCs/>
                <w:color w:val="000000" w:themeColor="text1"/>
                <w:sz w:val="20"/>
                <w:szCs w:val="20"/>
              </w:rPr>
              <w:t xml:space="preserve">Group B: </w:t>
            </w:r>
            <w:r>
              <w:rPr>
                <w:rFonts w:ascii="Times New Roman" w:hAnsi="Times New Roman" w:cs="Times New Roman"/>
                <w:color w:val="000000" w:themeColor="text1"/>
                <w:sz w:val="20"/>
                <w:szCs w:val="20"/>
              </w:rPr>
              <w:t>Dominica and Trinidad and Tobago</w:t>
            </w:r>
          </w:p>
        </w:tc>
        <w:tc>
          <w:tcPr>
            <w:tcW w:w="3198" w:type="dxa"/>
            <w:tcBorders>
              <w:top w:val="single" w:sz="18" w:space="0" w:color="767171" w:themeColor="background2" w:themeShade="80"/>
              <w:left w:val="nil"/>
              <w:bottom w:val="single" w:sz="12" w:space="0" w:color="BFBFBF" w:themeColor="background1" w:themeShade="BF"/>
              <w:right w:val="nil"/>
            </w:tcBorders>
            <w:vAlign w:val="center"/>
          </w:tcPr>
          <w:p w14:paraId="0BAF9D42"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6B30A40C"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44124D9B"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8" w:space="0" w:color="767171" w:themeColor="background2" w:themeShade="80"/>
              <w:left w:val="nil"/>
              <w:bottom w:val="single" w:sz="12" w:space="0" w:color="BFBFBF" w:themeColor="background1" w:themeShade="BF"/>
              <w:right w:val="nil"/>
            </w:tcBorders>
            <w:vAlign w:val="center"/>
          </w:tcPr>
          <w:p w14:paraId="0D3806DB" w14:textId="77777777" w:rsidR="000F310A" w:rsidRDefault="000F310A" w:rsidP="00031031">
            <w:pPr>
              <w:jc w:val="center"/>
              <w:rPr>
                <w:rFonts w:ascii="Times New Roman" w:hAnsi="Times New Roman" w:cs="Times New Roman"/>
                <w:color w:val="000000" w:themeColor="text1"/>
                <w:sz w:val="20"/>
                <w:szCs w:val="20"/>
              </w:rPr>
            </w:pPr>
            <w:r w:rsidRPr="00B37B54">
              <w:rPr>
                <w:rFonts w:ascii="Times New Roman" w:hAnsi="Times New Roman" w:cs="Times New Roman"/>
                <w:color w:val="000000" w:themeColor="text1"/>
                <w:sz w:val="20"/>
                <w:szCs w:val="20"/>
              </w:rPr>
              <w:t>13696.62</w:t>
            </w:r>
          </w:p>
          <w:p w14:paraId="396BC757" w14:textId="77777777" w:rsidR="000F310A" w:rsidRDefault="000F310A" w:rsidP="00031031">
            <w:pPr>
              <w:jc w:val="center"/>
              <w:rPr>
                <w:rFonts w:ascii="Times New Roman" w:hAnsi="Times New Roman" w:cs="Times New Roman"/>
                <w:color w:val="000000" w:themeColor="text1"/>
                <w:sz w:val="20"/>
                <w:szCs w:val="20"/>
              </w:rPr>
            </w:pPr>
            <w:r w:rsidRPr="00B37B54">
              <w:rPr>
                <w:rFonts w:ascii="Times New Roman" w:hAnsi="Times New Roman" w:cs="Times New Roman"/>
                <w:color w:val="000000" w:themeColor="text1"/>
                <w:sz w:val="20"/>
                <w:szCs w:val="20"/>
              </w:rPr>
              <w:t>367</w:t>
            </w:r>
            <w:r>
              <w:rPr>
                <w:rFonts w:ascii="Times New Roman" w:hAnsi="Times New Roman" w:cs="Times New Roman"/>
                <w:color w:val="000000" w:themeColor="text1"/>
                <w:sz w:val="20"/>
                <w:szCs w:val="20"/>
              </w:rPr>
              <w:t>4.00</w:t>
            </w:r>
          </w:p>
          <w:p w14:paraId="76CB2EE4" w14:textId="77777777" w:rsidR="000F310A" w:rsidRPr="00D4671D" w:rsidRDefault="000F310A" w:rsidP="00031031">
            <w:pPr>
              <w:jc w:val="center"/>
              <w:rPr>
                <w:rFonts w:ascii="Times New Roman" w:hAnsi="Times New Roman" w:cs="Times New Roman"/>
                <w:color w:val="000000" w:themeColor="text1"/>
                <w:sz w:val="20"/>
                <w:szCs w:val="20"/>
              </w:rPr>
            </w:pPr>
            <w:r w:rsidRPr="00B37B54">
              <w:rPr>
                <w:rFonts w:ascii="Times New Roman" w:hAnsi="Times New Roman" w:cs="Times New Roman"/>
                <w:color w:val="000000" w:themeColor="text1"/>
                <w:sz w:val="20"/>
                <w:szCs w:val="20"/>
              </w:rPr>
              <w:t>4214.46</w:t>
            </w:r>
          </w:p>
        </w:tc>
        <w:tc>
          <w:tcPr>
            <w:tcW w:w="889" w:type="dxa"/>
            <w:tcBorders>
              <w:top w:val="single" w:sz="18" w:space="0" w:color="767171" w:themeColor="background2" w:themeShade="80"/>
              <w:left w:val="nil"/>
              <w:bottom w:val="single" w:sz="12" w:space="0" w:color="BFBFBF" w:themeColor="background1" w:themeShade="BF"/>
              <w:right w:val="nil"/>
            </w:tcBorders>
            <w:vAlign w:val="center"/>
          </w:tcPr>
          <w:p w14:paraId="6BD2DC4F" w14:textId="77777777" w:rsidR="000F310A" w:rsidRDefault="000F310A" w:rsidP="00031031">
            <w:pPr>
              <w:jc w:val="center"/>
              <w:rPr>
                <w:rFonts w:ascii="Times New Roman" w:hAnsi="Times New Roman" w:cs="Times New Roman"/>
                <w:color w:val="000000" w:themeColor="text1"/>
                <w:sz w:val="20"/>
                <w:szCs w:val="20"/>
              </w:rPr>
            </w:pPr>
            <w:r w:rsidRPr="00E577A8">
              <w:rPr>
                <w:rFonts w:ascii="Times New Roman" w:hAnsi="Times New Roman" w:cs="Times New Roman"/>
                <w:color w:val="000000" w:themeColor="text1"/>
                <w:sz w:val="20"/>
                <w:szCs w:val="20"/>
              </w:rPr>
              <w:t>76.57</w:t>
            </w:r>
          </w:p>
          <w:p w14:paraId="135AA9BB" w14:textId="77777777" w:rsidR="000F310A" w:rsidRDefault="000F310A" w:rsidP="00031031">
            <w:pPr>
              <w:jc w:val="center"/>
              <w:rPr>
                <w:rFonts w:ascii="Times New Roman" w:hAnsi="Times New Roman" w:cs="Times New Roman"/>
                <w:color w:val="000000" w:themeColor="text1"/>
                <w:sz w:val="20"/>
                <w:szCs w:val="20"/>
              </w:rPr>
            </w:pPr>
            <w:r w:rsidRPr="00E577A8">
              <w:rPr>
                <w:rFonts w:ascii="Times New Roman" w:hAnsi="Times New Roman" w:cs="Times New Roman"/>
                <w:color w:val="000000" w:themeColor="text1"/>
                <w:sz w:val="20"/>
                <w:szCs w:val="20"/>
              </w:rPr>
              <w:t>7.9</w:t>
            </w:r>
            <w:r>
              <w:rPr>
                <w:rFonts w:ascii="Times New Roman" w:hAnsi="Times New Roman" w:cs="Times New Roman"/>
                <w:color w:val="000000" w:themeColor="text1"/>
                <w:sz w:val="20"/>
                <w:szCs w:val="20"/>
              </w:rPr>
              <w:t>3</w:t>
            </w:r>
          </w:p>
          <w:p w14:paraId="182E151F" w14:textId="77777777" w:rsidR="000F310A" w:rsidRPr="00D4671D" w:rsidRDefault="000F310A" w:rsidP="00031031">
            <w:pPr>
              <w:jc w:val="center"/>
              <w:rPr>
                <w:rFonts w:ascii="Times New Roman" w:hAnsi="Times New Roman" w:cs="Times New Roman"/>
                <w:color w:val="000000" w:themeColor="text1"/>
                <w:sz w:val="20"/>
                <w:szCs w:val="20"/>
              </w:rPr>
            </w:pPr>
            <w:r w:rsidRPr="00E577A8">
              <w:rPr>
                <w:rFonts w:ascii="Times New Roman" w:hAnsi="Times New Roman" w:cs="Times New Roman"/>
                <w:color w:val="000000" w:themeColor="text1"/>
                <w:sz w:val="20"/>
                <w:szCs w:val="20"/>
              </w:rPr>
              <w:t>15.50</w:t>
            </w:r>
          </w:p>
        </w:tc>
        <w:tc>
          <w:tcPr>
            <w:tcW w:w="666" w:type="dxa"/>
            <w:tcBorders>
              <w:top w:val="single" w:sz="18" w:space="0" w:color="767171" w:themeColor="background2" w:themeShade="80"/>
              <w:left w:val="nil"/>
              <w:bottom w:val="single" w:sz="12" w:space="0" w:color="BFBFBF" w:themeColor="background1" w:themeShade="BF"/>
              <w:right w:val="nil"/>
            </w:tcBorders>
            <w:vAlign w:val="center"/>
          </w:tcPr>
          <w:p w14:paraId="3AED03DA" w14:textId="77777777" w:rsidR="000F310A" w:rsidRDefault="000F310A" w:rsidP="00031031">
            <w:pPr>
              <w:jc w:val="center"/>
              <w:rPr>
                <w:rFonts w:ascii="Times New Roman" w:hAnsi="Times New Roman" w:cs="Times New Roman"/>
                <w:color w:val="000000" w:themeColor="text1"/>
                <w:sz w:val="20"/>
                <w:szCs w:val="20"/>
              </w:rPr>
            </w:pPr>
            <w:r w:rsidRPr="00081940">
              <w:rPr>
                <w:rFonts w:ascii="Times New Roman" w:hAnsi="Times New Roman" w:cs="Times New Roman"/>
                <w:color w:val="000000" w:themeColor="text1"/>
                <w:sz w:val="20"/>
                <w:szCs w:val="20"/>
              </w:rPr>
              <w:t>0.8</w:t>
            </w:r>
            <w:r>
              <w:rPr>
                <w:rFonts w:ascii="Times New Roman" w:hAnsi="Times New Roman" w:cs="Times New Roman"/>
                <w:color w:val="000000" w:themeColor="text1"/>
                <w:sz w:val="20"/>
                <w:szCs w:val="20"/>
              </w:rPr>
              <w:t>5*</w:t>
            </w:r>
          </w:p>
          <w:p w14:paraId="31B9A7E0" w14:textId="77777777" w:rsidR="000F310A"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0.34*</w:t>
            </w:r>
          </w:p>
          <w:p w14:paraId="3A6A0282" w14:textId="77777777" w:rsidR="000F310A" w:rsidRPr="00D4671D"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0.77</w:t>
            </w:r>
          </w:p>
        </w:tc>
      </w:tr>
      <w:tr w:rsidR="000F310A" w:rsidRPr="00D4671D" w14:paraId="1AFE16D4" w14:textId="77777777" w:rsidTr="00031031">
        <w:trPr>
          <w:trHeight w:val="951"/>
        </w:trPr>
        <w:tc>
          <w:tcPr>
            <w:tcW w:w="3640" w:type="dxa"/>
            <w:tcBorders>
              <w:top w:val="single" w:sz="12" w:space="0" w:color="BFBFBF" w:themeColor="background1" w:themeShade="BF"/>
              <w:left w:val="nil"/>
              <w:bottom w:val="single" w:sz="18" w:space="0" w:color="767171" w:themeColor="background2" w:themeShade="80"/>
              <w:right w:val="nil"/>
            </w:tcBorders>
          </w:tcPr>
          <w:p w14:paraId="6138CFD0"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gilli</w:t>
            </w:r>
            <w:r w:rsidRPr="00D4671D">
              <w:rPr>
                <w:rFonts w:ascii="Times New Roman" w:hAnsi="Times New Roman" w:cs="Times New Roman"/>
                <w:b/>
                <w:bCs/>
                <w:i/>
                <w:iCs/>
                <w:color w:val="000000" w:themeColor="text1"/>
                <w:sz w:val="20"/>
                <w:szCs w:val="20"/>
              </w:rPr>
              <w:t xml:space="preserve"> – </w:t>
            </w:r>
            <w:r w:rsidRPr="00D4671D">
              <w:rPr>
                <w:rFonts w:ascii="Times New Roman" w:hAnsi="Times New Roman" w:cs="Times New Roman"/>
                <w:b/>
                <w:bCs/>
                <w:color w:val="000000" w:themeColor="text1"/>
                <w:sz w:val="20"/>
                <w:szCs w:val="20"/>
              </w:rPr>
              <w:t>3 groups</w:t>
            </w:r>
          </w:p>
          <w:p w14:paraId="5B893D58"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Eastern Caribbean</w:t>
            </w:r>
            <w:r w:rsidRPr="00D4671D">
              <w:rPr>
                <w:rFonts w:ascii="Times New Roman" w:hAnsi="Times New Roman" w:cs="Times New Roman"/>
                <w:color w:val="000000" w:themeColor="text1"/>
                <w:sz w:val="20"/>
                <w:szCs w:val="20"/>
              </w:rPr>
              <w:t xml:space="preserve"> </w:t>
            </w:r>
          </w:p>
          <w:p w14:paraId="3B03508E"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Pr>
                <w:rFonts w:ascii="Times New Roman" w:hAnsi="Times New Roman" w:cs="Times New Roman"/>
                <w:color w:val="000000" w:themeColor="text1"/>
                <w:sz w:val="20"/>
                <w:szCs w:val="20"/>
              </w:rPr>
              <w:t>Puerto Rico</w:t>
            </w:r>
          </w:p>
          <w:p w14:paraId="09362D88"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 xml:space="preserve">Group C: </w:t>
            </w:r>
            <w:r>
              <w:rPr>
                <w:rFonts w:ascii="Times New Roman" w:hAnsi="Times New Roman" w:cs="Times New Roman"/>
                <w:color w:val="000000" w:themeColor="text1"/>
                <w:sz w:val="20"/>
                <w:szCs w:val="20"/>
              </w:rPr>
              <w:t>Dominica and Trinidad and Tobago</w:t>
            </w:r>
          </w:p>
        </w:tc>
        <w:tc>
          <w:tcPr>
            <w:tcW w:w="3198" w:type="dxa"/>
            <w:tcBorders>
              <w:top w:val="single" w:sz="12" w:space="0" w:color="BFBFBF" w:themeColor="background1" w:themeShade="BF"/>
              <w:left w:val="nil"/>
              <w:bottom w:val="single" w:sz="18" w:space="0" w:color="767171" w:themeColor="background2" w:themeShade="80"/>
              <w:right w:val="nil"/>
            </w:tcBorders>
            <w:vAlign w:val="center"/>
          </w:tcPr>
          <w:p w14:paraId="7E7D7AFE"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2EE45225"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08301044"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bottom w:val="single" w:sz="18" w:space="0" w:color="767171" w:themeColor="background2" w:themeShade="80"/>
              <w:right w:val="nil"/>
            </w:tcBorders>
            <w:vAlign w:val="center"/>
          </w:tcPr>
          <w:p w14:paraId="36ECA45F" w14:textId="77777777" w:rsidR="000F310A" w:rsidRDefault="000F310A" w:rsidP="00031031">
            <w:pPr>
              <w:jc w:val="center"/>
              <w:rPr>
                <w:rFonts w:ascii="Times New Roman" w:hAnsi="Times New Roman" w:cs="Times New Roman"/>
                <w:color w:val="000000" w:themeColor="text1"/>
                <w:sz w:val="20"/>
                <w:szCs w:val="20"/>
              </w:rPr>
            </w:pPr>
            <w:r w:rsidRPr="00674803">
              <w:rPr>
                <w:rFonts w:ascii="Times New Roman" w:hAnsi="Times New Roman" w:cs="Times New Roman"/>
                <w:color w:val="000000" w:themeColor="text1"/>
                <w:sz w:val="20"/>
                <w:szCs w:val="20"/>
              </w:rPr>
              <w:t>15329.11</w:t>
            </w:r>
          </w:p>
          <w:p w14:paraId="2F6A95AC" w14:textId="77777777" w:rsidR="000F310A" w:rsidRDefault="000F310A" w:rsidP="00031031">
            <w:pPr>
              <w:jc w:val="center"/>
              <w:rPr>
                <w:rFonts w:ascii="Times New Roman" w:hAnsi="Times New Roman" w:cs="Times New Roman"/>
                <w:color w:val="000000" w:themeColor="text1"/>
                <w:sz w:val="20"/>
                <w:szCs w:val="20"/>
              </w:rPr>
            </w:pPr>
            <w:r w:rsidRPr="00674803">
              <w:rPr>
                <w:rFonts w:ascii="Times New Roman" w:hAnsi="Times New Roman" w:cs="Times New Roman"/>
                <w:color w:val="000000" w:themeColor="text1"/>
                <w:sz w:val="20"/>
                <w:szCs w:val="20"/>
              </w:rPr>
              <w:t>2041.5</w:t>
            </w:r>
            <w:r>
              <w:rPr>
                <w:rFonts w:ascii="Times New Roman" w:hAnsi="Times New Roman" w:cs="Times New Roman"/>
                <w:color w:val="000000" w:themeColor="text1"/>
                <w:sz w:val="20"/>
                <w:szCs w:val="20"/>
              </w:rPr>
              <w:t>1</w:t>
            </w:r>
          </w:p>
          <w:p w14:paraId="26FCB410" w14:textId="77777777" w:rsidR="000F310A" w:rsidRPr="00D4671D" w:rsidRDefault="000F310A" w:rsidP="00031031">
            <w:pPr>
              <w:jc w:val="center"/>
              <w:rPr>
                <w:rFonts w:ascii="Times New Roman" w:hAnsi="Times New Roman" w:cs="Times New Roman"/>
                <w:color w:val="000000" w:themeColor="text1"/>
                <w:sz w:val="20"/>
                <w:szCs w:val="20"/>
              </w:rPr>
            </w:pPr>
            <w:r w:rsidRPr="00674803">
              <w:rPr>
                <w:rFonts w:ascii="Times New Roman" w:hAnsi="Times New Roman" w:cs="Times New Roman"/>
                <w:color w:val="000000" w:themeColor="text1"/>
                <w:sz w:val="20"/>
                <w:szCs w:val="20"/>
              </w:rPr>
              <w:t>4214.46</w:t>
            </w:r>
          </w:p>
        </w:tc>
        <w:tc>
          <w:tcPr>
            <w:tcW w:w="889" w:type="dxa"/>
            <w:tcBorders>
              <w:top w:val="single" w:sz="12" w:space="0" w:color="BFBFBF" w:themeColor="background1" w:themeShade="BF"/>
              <w:left w:val="nil"/>
              <w:bottom w:val="single" w:sz="18" w:space="0" w:color="767171" w:themeColor="background2" w:themeShade="80"/>
              <w:right w:val="nil"/>
            </w:tcBorders>
            <w:vAlign w:val="center"/>
          </w:tcPr>
          <w:p w14:paraId="479495B7" w14:textId="77777777" w:rsidR="000F310A" w:rsidRDefault="000F310A" w:rsidP="00031031">
            <w:pPr>
              <w:jc w:val="center"/>
              <w:rPr>
                <w:rFonts w:ascii="Times New Roman" w:hAnsi="Times New Roman" w:cs="Times New Roman"/>
                <w:color w:val="000000" w:themeColor="text1"/>
                <w:sz w:val="20"/>
                <w:szCs w:val="20"/>
              </w:rPr>
            </w:pPr>
            <w:r w:rsidRPr="00EA50A9">
              <w:rPr>
                <w:rFonts w:ascii="Times New Roman" w:hAnsi="Times New Roman" w:cs="Times New Roman"/>
                <w:color w:val="000000" w:themeColor="text1"/>
                <w:sz w:val="20"/>
                <w:szCs w:val="20"/>
              </w:rPr>
              <w:t>76.8</w:t>
            </w:r>
            <w:r>
              <w:rPr>
                <w:rFonts w:ascii="Times New Roman" w:hAnsi="Times New Roman" w:cs="Times New Roman"/>
                <w:color w:val="000000" w:themeColor="text1"/>
                <w:sz w:val="20"/>
                <w:szCs w:val="20"/>
              </w:rPr>
              <w:t>2</w:t>
            </w:r>
          </w:p>
          <w:p w14:paraId="2A406765" w14:textId="77777777" w:rsidR="000F310A" w:rsidRDefault="000F310A" w:rsidP="00031031">
            <w:pPr>
              <w:jc w:val="center"/>
              <w:rPr>
                <w:rFonts w:ascii="Times New Roman" w:hAnsi="Times New Roman" w:cs="Times New Roman"/>
                <w:color w:val="000000" w:themeColor="text1"/>
                <w:sz w:val="20"/>
                <w:szCs w:val="20"/>
              </w:rPr>
            </w:pPr>
            <w:r w:rsidRPr="00EA50A9">
              <w:rPr>
                <w:rFonts w:ascii="Times New Roman" w:hAnsi="Times New Roman" w:cs="Times New Roman"/>
                <w:color w:val="000000" w:themeColor="text1"/>
                <w:sz w:val="20"/>
                <w:szCs w:val="20"/>
              </w:rPr>
              <w:t>4.28</w:t>
            </w:r>
          </w:p>
          <w:p w14:paraId="03CB6656" w14:textId="77777777" w:rsidR="000F310A" w:rsidRPr="00D4671D" w:rsidRDefault="000F310A" w:rsidP="00031031">
            <w:pPr>
              <w:jc w:val="center"/>
              <w:rPr>
                <w:rFonts w:ascii="Times New Roman" w:hAnsi="Times New Roman" w:cs="Times New Roman"/>
                <w:color w:val="000000" w:themeColor="text1"/>
                <w:sz w:val="20"/>
                <w:szCs w:val="20"/>
              </w:rPr>
            </w:pPr>
            <w:r w:rsidRPr="00EA50A9">
              <w:rPr>
                <w:rFonts w:ascii="Times New Roman" w:hAnsi="Times New Roman" w:cs="Times New Roman"/>
                <w:color w:val="000000" w:themeColor="text1"/>
                <w:sz w:val="20"/>
                <w:szCs w:val="20"/>
              </w:rPr>
              <w:t>18.90</w:t>
            </w:r>
          </w:p>
        </w:tc>
        <w:tc>
          <w:tcPr>
            <w:tcW w:w="666" w:type="dxa"/>
            <w:tcBorders>
              <w:top w:val="single" w:sz="12" w:space="0" w:color="BFBFBF" w:themeColor="background1" w:themeShade="BF"/>
              <w:left w:val="nil"/>
              <w:bottom w:val="single" w:sz="18" w:space="0" w:color="767171" w:themeColor="background2" w:themeShade="80"/>
              <w:right w:val="nil"/>
            </w:tcBorders>
            <w:vAlign w:val="center"/>
          </w:tcPr>
          <w:p w14:paraId="2D21A026" w14:textId="77777777" w:rsidR="000F310A" w:rsidRDefault="000F310A" w:rsidP="00031031">
            <w:pPr>
              <w:jc w:val="center"/>
              <w:rPr>
                <w:rFonts w:ascii="Times New Roman" w:hAnsi="Times New Roman" w:cs="Times New Roman"/>
                <w:color w:val="000000" w:themeColor="text1"/>
                <w:sz w:val="20"/>
                <w:szCs w:val="20"/>
              </w:rPr>
            </w:pPr>
            <w:r w:rsidRPr="00674803">
              <w:rPr>
                <w:rFonts w:ascii="Times New Roman" w:hAnsi="Times New Roman" w:cs="Times New Roman"/>
                <w:color w:val="000000" w:themeColor="text1"/>
                <w:sz w:val="20"/>
                <w:szCs w:val="20"/>
              </w:rPr>
              <w:t>0.81</w:t>
            </w:r>
            <w:r>
              <w:rPr>
                <w:rFonts w:ascii="Times New Roman" w:hAnsi="Times New Roman" w:cs="Times New Roman"/>
                <w:color w:val="000000" w:themeColor="text1"/>
                <w:sz w:val="20"/>
                <w:szCs w:val="20"/>
              </w:rPr>
              <w:t>*</w:t>
            </w:r>
          </w:p>
          <w:p w14:paraId="7E09A067" w14:textId="77777777" w:rsidR="000F310A" w:rsidRDefault="000F310A" w:rsidP="00031031">
            <w:pPr>
              <w:jc w:val="center"/>
              <w:rPr>
                <w:rFonts w:ascii="Times New Roman" w:hAnsi="Times New Roman" w:cs="Times New Roman"/>
                <w:color w:val="000000" w:themeColor="text1"/>
                <w:sz w:val="20"/>
                <w:szCs w:val="20"/>
              </w:rPr>
            </w:pPr>
            <w:r w:rsidRPr="00674803">
              <w:rPr>
                <w:rFonts w:ascii="Times New Roman" w:hAnsi="Times New Roman" w:cs="Times New Roman"/>
                <w:color w:val="000000" w:themeColor="text1"/>
                <w:sz w:val="20"/>
                <w:szCs w:val="20"/>
              </w:rPr>
              <w:t>0.18</w:t>
            </w:r>
            <w:r>
              <w:rPr>
                <w:rFonts w:ascii="Times New Roman" w:hAnsi="Times New Roman" w:cs="Times New Roman"/>
                <w:color w:val="000000" w:themeColor="text1"/>
                <w:sz w:val="20"/>
                <w:szCs w:val="20"/>
              </w:rPr>
              <w:t>*</w:t>
            </w:r>
          </w:p>
          <w:p w14:paraId="525B7E03" w14:textId="77777777" w:rsidR="000F310A" w:rsidRPr="00D4671D" w:rsidRDefault="000F310A" w:rsidP="00031031">
            <w:pPr>
              <w:jc w:val="center"/>
              <w:rPr>
                <w:rFonts w:ascii="Times New Roman" w:hAnsi="Times New Roman" w:cs="Times New Roman"/>
                <w:color w:val="000000" w:themeColor="text1"/>
                <w:sz w:val="20"/>
                <w:szCs w:val="20"/>
              </w:rPr>
            </w:pPr>
            <w:r w:rsidRPr="00674803">
              <w:rPr>
                <w:rFonts w:ascii="Times New Roman" w:hAnsi="Times New Roman" w:cs="Times New Roman"/>
                <w:color w:val="000000" w:themeColor="text1"/>
                <w:sz w:val="20"/>
                <w:szCs w:val="20"/>
              </w:rPr>
              <w:t>0.7</w:t>
            </w:r>
            <w:r>
              <w:rPr>
                <w:rFonts w:ascii="Times New Roman" w:hAnsi="Times New Roman" w:cs="Times New Roman"/>
                <w:color w:val="000000" w:themeColor="text1"/>
                <w:sz w:val="20"/>
                <w:szCs w:val="20"/>
              </w:rPr>
              <w:t>7</w:t>
            </w:r>
          </w:p>
        </w:tc>
      </w:tr>
      <w:tr w:rsidR="000F310A" w:rsidRPr="00D4671D" w14:paraId="14D0C197" w14:textId="77777777" w:rsidTr="00031031">
        <w:trPr>
          <w:trHeight w:val="756"/>
        </w:trPr>
        <w:tc>
          <w:tcPr>
            <w:tcW w:w="3640" w:type="dxa"/>
            <w:tcBorders>
              <w:top w:val="single" w:sz="18" w:space="0" w:color="767171" w:themeColor="background2" w:themeShade="80"/>
              <w:left w:val="nil"/>
              <w:bottom w:val="single" w:sz="12" w:space="0" w:color="BFBFBF" w:themeColor="background1" w:themeShade="BF"/>
              <w:right w:val="nil"/>
            </w:tcBorders>
          </w:tcPr>
          <w:p w14:paraId="20BE7F69"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macropus</w:t>
            </w:r>
            <w:r w:rsidRPr="00D4671D">
              <w:rPr>
                <w:rFonts w:ascii="Times New Roman" w:hAnsi="Times New Roman" w:cs="Times New Roman"/>
                <w:b/>
                <w:bCs/>
                <w:i/>
                <w:iCs/>
                <w:color w:val="000000" w:themeColor="text1"/>
                <w:sz w:val="20"/>
                <w:szCs w:val="20"/>
              </w:rPr>
              <w:t xml:space="preserve"> – </w:t>
            </w:r>
            <w:r w:rsidRPr="00D4671D">
              <w:rPr>
                <w:rFonts w:ascii="Times New Roman" w:hAnsi="Times New Roman" w:cs="Times New Roman"/>
                <w:b/>
                <w:bCs/>
                <w:color w:val="000000" w:themeColor="text1"/>
                <w:sz w:val="20"/>
                <w:szCs w:val="20"/>
              </w:rPr>
              <w:t>2 groups</w:t>
            </w:r>
          </w:p>
          <w:p w14:paraId="472AA20E"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Eastern Caribbean</w:t>
            </w:r>
          </w:p>
          <w:p w14:paraId="4997D4CB"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 xml:space="preserve">Group B: </w:t>
            </w:r>
            <w:r>
              <w:rPr>
                <w:rFonts w:ascii="Times New Roman" w:hAnsi="Times New Roman" w:cs="Times New Roman"/>
                <w:color w:val="000000" w:themeColor="text1"/>
                <w:sz w:val="20"/>
                <w:szCs w:val="20"/>
              </w:rPr>
              <w:t>Western Caribbean</w:t>
            </w:r>
          </w:p>
        </w:tc>
        <w:tc>
          <w:tcPr>
            <w:tcW w:w="3198" w:type="dxa"/>
            <w:tcBorders>
              <w:top w:val="single" w:sz="18" w:space="0" w:color="767171" w:themeColor="background2" w:themeShade="80"/>
              <w:left w:val="nil"/>
              <w:bottom w:val="single" w:sz="12" w:space="0" w:color="BFBFBF" w:themeColor="background1" w:themeShade="BF"/>
              <w:right w:val="nil"/>
            </w:tcBorders>
            <w:vAlign w:val="center"/>
          </w:tcPr>
          <w:p w14:paraId="60CB4430"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7103DA79"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3BE14985"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8" w:space="0" w:color="767171" w:themeColor="background2" w:themeShade="80"/>
              <w:left w:val="nil"/>
              <w:bottom w:val="single" w:sz="12" w:space="0" w:color="BFBFBF" w:themeColor="background1" w:themeShade="BF"/>
              <w:right w:val="nil"/>
            </w:tcBorders>
            <w:vAlign w:val="center"/>
          </w:tcPr>
          <w:p w14:paraId="4CCE4D01" w14:textId="77777777" w:rsidR="000F310A" w:rsidRDefault="000F310A" w:rsidP="00031031">
            <w:pPr>
              <w:jc w:val="center"/>
              <w:rPr>
                <w:rFonts w:ascii="Times New Roman" w:hAnsi="Times New Roman" w:cs="Times New Roman"/>
                <w:color w:val="000000" w:themeColor="text1"/>
                <w:sz w:val="20"/>
                <w:szCs w:val="20"/>
              </w:rPr>
            </w:pPr>
            <w:r w:rsidRPr="00F9364F">
              <w:rPr>
                <w:rFonts w:ascii="Times New Roman" w:hAnsi="Times New Roman" w:cs="Times New Roman"/>
                <w:color w:val="000000" w:themeColor="text1"/>
                <w:sz w:val="20"/>
                <w:szCs w:val="20"/>
              </w:rPr>
              <w:t>741.9</w:t>
            </w:r>
            <w:r>
              <w:rPr>
                <w:rFonts w:ascii="Times New Roman" w:hAnsi="Times New Roman" w:cs="Times New Roman"/>
                <w:color w:val="000000" w:themeColor="text1"/>
                <w:sz w:val="20"/>
                <w:szCs w:val="20"/>
              </w:rPr>
              <w:t>9</w:t>
            </w:r>
          </w:p>
          <w:p w14:paraId="216D0977" w14:textId="77777777" w:rsidR="000F310A" w:rsidRDefault="000F310A" w:rsidP="00031031">
            <w:pPr>
              <w:jc w:val="center"/>
              <w:rPr>
                <w:rFonts w:ascii="Times New Roman" w:hAnsi="Times New Roman" w:cs="Times New Roman"/>
                <w:color w:val="000000" w:themeColor="text1"/>
                <w:sz w:val="20"/>
                <w:szCs w:val="20"/>
              </w:rPr>
            </w:pPr>
            <w:r w:rsidRPr="00F9364F">
              <w:rPr>
                <w:rFonts w:ascii="Times New Roman" w:hAnsi="Times New Roman" w:cs="Times New Roman"/>
                <w:color w:val="000000" w:themeColor="text1"/>
                <w:sz w:val="20"/>
                <w:szCs w:val="20"/>
              </w:rPr>
              <w:t>1085.89</w:t>
            </w:r>
          </w:p>
          <w:p w14:paraId="6F10D57F" w14:textId="77777777" w:rsidR="000F310A" w:rsidRPr="00D4671D" w:rsidRDefault="000F310A" w:rsidP="00031031">
            <w:pPr>
              <w:jc w:val="center"/>
              <w:rPr>
                <w:rFonts w:ascii="Times New Roman" w:hAnsi="Times New Roman" w:cs="Times New Roman"/>
                <w:color w:val="000000" w:themeColor="text1"/>
                <w:sz w:val="20"/>
                <w:szCs w:val="20"/>
              </w:rPr>
            </w:pPr>
            <w:r w:rsidRPr="00F9364F">
              <w:rPr>
                <w:rFonts w:ascii="Times New Roman" w:hAnsi="Times New Roman" w:cs="Times New Roman"/>
                <w:color w:val="000000" w:themeColor="text1"/>
                <w:sz w:val="20"/>
                <w:szCs w:val="20"/>
              </w:rPr>
              <w:t>2337.9</w:t>
            </w:r>
            <w:r>
              <w:rPr>
                <w:rFonts w:ascii="Times New Roman" w:hAnsi="Times New Roman" w:cs="Times New Roman"/>
                <w:color w:val="000000" w:themeColor="text1"/>
                <w:sz w:val="20"/>
                <w:szCs w:val="20"/>
              </w:rPr>
              <w:t>9</w:t>
            </w:r>
          </w:p>
        </w:tc>
        <w:tc>
          <w:tcPr>
            <w:tcW w:w="889" w:type="dxa"/>
            <w:tcBorders>
              <w:top w:val="single" w:sz="18" w:space="0" w:color="767171" w:themeColor="background2" w:themeShade="80"/>
              <w:left w:val="nil"/>
              <w:bottom w:val="single" w:sz="12" w:space="0" w:color="BFBFBF" w:themeColor="background1" w:themeShade="BF"/>
              <w:right w:val="nil"/>
            </w:tcBorders>
            <w:vAlign w:val="center"/>
          </w:tcPr>
          <w:p w14:paraId="73DB5CF9" w14:textId="77777777" w:rsidR="000F310A" w:rsidRDefault="000F310A" w:rsidP="00031031">
            <w:pPr>
              <w:jc w:val="center"/>
              <w:rPr>
                <w:rFonts w:ascii="Times New Roman" w:hAnsi="Times New Roman" w:cs="Times New Roman"/>
                <w:color w:val="000000" w:themeColor="text1"/>
                <w:sz w:val="20"/>
                <w:szCs w:val="20"/>
              </w:rPr>
            </w:pPr>
            <w:r w:rsidRPr="000C361A">
              <w:rPr>
                <w:rFonts w:ascii="Times New Roman" w:hAnsi="Times New Roman" w:cs="Times New Roman"/>
                <w:color w:val="000000" w:themeColor="text1"/>
                <w:sz w:val="20"/>
                <w:szCs w:val="20"/>
              </w:rPr>
              <w:t>34.2</w:t>
            </w:r>
            <w:r>
              <w:rPr>
                <w:rFonts w:ascii="Times New Roman" w:hAnsi="Times New Roman" w:cs="Times New Roman"/>
                <w:color w:val="000000" w:themeColor="text1"/>
                <w:sz w:val="20"/>
                <w:szCs w:val="20"/>
              </w:rPr>
              <w:t>7</w:t>
            </w:r>
          </w:p>
          <w:p w14:paraId="418AB5C4" w14:textId="77777777" w:rsidR="000F310A" w:rsidRDefault="000F310A" w:rsidP="00031031">
            <w:pPr>
              <w:jc w:val="center"/>
              <w:rPr>
                <w:rFonts w:ascii="Times New Roman" w:hAnsi="Times New Roman" w:cs="Times New Roman"/>
                <w:color w:val="000000" w:themeColor="text1"/>
                <w:sz w:val="20"/>
                <w:szCs w:val="20"/>
              </w:rPr>
            </w:pPr>
            <w:r w:rsidRPr="000C361A">
              <w:rPr>
                <w:rFonts w:ascii="Times New Roman" w:hAnsi="Times New Roman" w:cs="Times New Roman"/>
                <w:color w:val="000000" w:themeColor="text1"/>
                <w:sz w:val="20"/>
                <w:szCs w:val="20"/>
              </w:rPr>
              <w:t>4.0</w:t>
            </w:r>
            <w:r>
              <w:rPr>
                <w:rFonts w:ascii="Times New Roman" w:hAnsi="Times New Roman" w:cs="Times New Roman"/>
                <w:color w:val="000000" w:themeColor="text1"/>
                <w:sz w:val="20"/>
                <w:szCs w:val="20"/>
              </w:rPr>
              <w:t>6</w:t>
            </w:r>
          </w:p>
          <w:p w14:paraId="016BFD0B" w14:textId="77777777" w:rsidR="000F310A" w:rsidRPr="00D4671D" w:rsidRDefault="000F310A" w:rsidP="00031031">
            <w:pPr>
              <w:jc w:val="center"/>
              <w:rPr>
                <w:rFonts w:ascii="Times New Roman" w:hAnsi="Times New Roman" w:cs="Times New Roman"/>
                <w:color w:val="000000" w:themeColor="text1"/>
                <w:sz w:val="20"/>
                <w:szCs w:val="20"/>
              </w:rPr>
            </w:pPr>
            <w:r w:rsidRPr="000C361A">
              <w:rPr>
                <w:rFonts w:ascii="Times New Roman" w:hAnsi="Times New Roman" w:cs="Times New Roman"/>
                <w:color w:val="000000" w:themeColor="text1"/>
                <w:sz w:val="20"/>
                <w:szCs w:val="20"/>
              </w:rPr>
              <w:t>61.6</w:t>
            </w:r>
            <w:r>
              <w:rPr>
                <w:rFonts w:ascii="Times New Roman" w:hAnsi="Times New Roman" w:cs="Times New Roman"/>
                <w:color w:val="000000" w:themeColor="text1"/>
                <w:sz w:val="20"/>
                <w:szCs w:val="20"/>
              </w:rPr>
              <w:t>8</w:t>
            </w:r>
          </w:p>
        </w:tc>
        <w:tc>
          <w:tcPr>
            <w:tcW w:w="666" w:type="dxa"/>
            <w:tcBorders>
              <w:top w:val="single" w:sz="18" w:space="0" w:color="767171" w:themeColor="background2" w:themeShade="80"/>
              <w:left w:val="nil"/>
              <w:bottom w:val="single" w:sz="12" w:space="0" w:color="BFBFBF" w:themeColor="background1" w:themeShade="BF"/>
              <w:right w:val="nil"/>
            </w:tcBorders>
            <w:vAlign w:val="center"/>
          </w:tcPr>
          <w:p w14:paraId="26D7447F" w14:textId="77777777" w:rsidR="000F310A" w:rsidRDefault="000F310A" w:rsidP="00031031">
            <w:pPr>
              <w:jc w:val="center"/>
              <w:rPr>
                <w:rFonts w:ascii="Times New Roman" w:hAnsi="Times New Roman" w:cs="Times New Roman"/>
                <w:color w:val="000000" w:themeColor="text1"/>
                <w:sz w:val="20"/>
                <w:szCs w:val="20"/>
              </w:rPr>
            </w:pPr>
            <w:r w:rsidRPr="00F9364F">
              <w:rPr>
                <w:rFonts w:ascii="Times New Roman" w:hAnsi="Times New Roman" w:cs="Times New Roman"/>
                <w:color w:val="000000" w:themeColor="text1"/>
                <w:sz w:val="20"/>
                <w:szCs w:val="20"/>
              </w:rPr>
              <w:t>0.38</w:t>
            </w:r>
            <w:r>
              <w:rPr>
                <w:rFonts w:ascii="Times New Roman" w:hAnsi="Times New Roman" w:cs="Times New Roman"/>
                <w:color w:val="000000" w:themeColor="text1"/>
                <w:sz w:val="20"/>
                <w:szCs w:val="20"/>
              </w:rPr>
              <w:t>*</w:t>
            </w:r>
          </w:p>
          <w:p w14:paraId="2B6B8A24" w14:textId="77777777" w:rsidR="000F310A" w:rsidRDefault="000F310A" w:rsidP="00031031">
            <w:pPr>
              <w:jc w:val="center"/>
              <w:rPr>
                <w:rFonts w:ascii="Times New Roman" w:hAnsi="Times New Roman" w:cs="Times New Roman"/>
                <w:color w:val="000000" w:themeColor="text1"/>
                <w:sz w:val="20"/>
                <w:szCs w:val="20"/>
              </w:rPr>
            </w:pPr>
            <w:r w:rsidRPr="00F9364F">
              <w:rPr>
                <w:rFonts w:ascii="Times New Roman" w:hAnsi="Times New Roman" w:cs="Times New Roman"/>
                <w:color w:val="000000" w:themeColor="text1"/>
                <w:sz w:val="20"/>
                <w:szCs w:val="20"/>
              </w:rPr>
              <w:t>0.06</w:t>
            </w:r>
            <w:r>
              <w:rPr>
                <w:rFonts w:ascii="Times New Roman" w:hAnsi="Times New Roman" w:cs="Times New Roman"/>
                <w:color w:val="000000" w:themeColor="text1"/>
                <w:sz w:val="20"/>
                <w:szCs w:val="20"/>
              </w:rPr>
              <w:t>*</w:t>
            </w:r>
          </w:p>
          <w:p w14:paraId="579F496D" w14:textId="77777777" w:rsidR="000F310A" w:rsidRPr="00D4671D" w:rsidRDefault="000F310A" w:rsidP="00031031">
            <w:pPr>
              <w:jc w:val="center"/>
              <w:rPr>
                <w:rFonts w:ascii="Times New Roman" w:hAnsi="Times New Roman" w:cs="Times New Roman"/>
                <w:color w:val="000000" w:themeColor="text1"/>
                <w:sz w:val="20"/>
                <w:szCs w:val="20"/>
              </w:rPr>
            </w:pPr>
            <w:r w:rsidRPr="00F9364F">
              <w:rPr>
                <w:rFonts w:ascii="Times New Roman" w:hAnsi="Times New Roman" w:cs="Times New Roman"/>
                <w:color w:val="000000" w:themeColor="text1"/>
                <w:sz w:val="20"/>
                <w:szCs w:val="20"/>
              </w:rPr>
              <w:t>0.34</w:t>
            </w:r>
          </w:p>
        </w:tc>
      </w:tr>
      <w:tr w:rsidR="000F310A" w:rsidRPr="00D4671D" w14:paraId="4FD0E9CD" w14:textId="77777777" w:rsidTr="00031031">
        <w:trPr>
          <w:trHeight w:val="960"/>
        </w:trPr>
        <w:tc>
          <w:tcPr>
            <w:tcW w:w="3640" w:type="dxa"/>
            <w:tcBorders>
              <w:top w:val="single" w:sz="12" w:space="0" w:color="BFBFBF" w:themeColor="background1" w:themeShade="BF"/>
              <w:left w:val="nil"/>
              <w:right w:val="nil"/>
            </w:tcBorders>
          </w:tcPr>
          <w:p w14:paraId="279F77B4"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macropus</w:t>
            </w:r>
            <w:r w:rsidRPr="00D4671D">
              <w:rPr>
                <w:rFonts w:ascii="Times New Roman" w:hAnsi="Times New Roman" w:cs="Times New Roman"/>
                <w:b/>
                <w:bCs/>
                <w:i/>
                <w:iCs/>
                <w:color w:val="000000" w:themeColor="text1"/>
                <w:sz w:val="20"/>
                <w:szCs w:val="20"/>
              </w:rPr>
              <w:t xml:space="preserve"> – </w:t>
            </w:r>
            <w:r w:rsidRPr="00D4671D">
              <w:rPr>
                <w:rFonts w:ascii="Times New Roman" w:hAnsi="Times New Roman" w:cs="Times New Roman"/>
                <w:b/>
                <w:bCs/>
                <w:color w:val="000000" w:themeColor="text1"/>
                <w:sz w:val="20"/>
                <w:szCs w:val="20"/>
              </w:rPr>
              <w:t>3 groups</w:t>
            </w:r>
            <w:r>
              <w:rPr>
                <w:rFonts w:ascii="Times New Roman" w:hAnsi="Times New Roman" w:cs="Times New Roman"/>
                <w:b/>
                <w:bCs/>
                <w:color w:val="000000" w:themeColor="text1"/>
                <w:sz w:val="20"/>
                <w:szCs w:val="20"/>
              </w:rPr>
              <w:t>-PAN</w:t>
            </w:r>
          </w:p>
          <w:p w14:paraId="2BBFF08F"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Eastern Caribbean</w:t>
            </w:r>
            <w:r w:rsidRPr="00D4671D">
              <w:rPr>
                <w:rFonts w:ascii="Times New Roman" w:hAnsi="Times New Roman" w:cs="Times New Roman"/>
                <w:color w:val="000000" w:themeColor="text1"/>
                <w:sz w:val="20"/>
                <w:szCs w:val="20"/>
              </w:rPr>
              <w:t xml:space="preserve"> </w:t>
            </w:r>
          </w:p>
          <w:p w14:paraId="7D7C7251"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Pr>
                <w:rFonts w:ascii="Times New Roman" w:hAnsi="Times New Roman" w:cs="Times New Roman"/>
                <w:color w:val="000000" w:themeColor="text1"/>
                <w:sz w:val="20"/>
                <w:szCs w:val="20"/>
              </w:rPr>
              <w:t>Western Caribbean</w:t>
            </w:r>
          </w:p>
          <w:p w14:paraId="2A3A7B7F"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 xml:space="preserve">Group C: </w:t>
            </w:r>
            <w:r>
              <w:rPr>
                <w:rFonts w:ascii="Times New Roman" w:hAnsi="Times New Roman" w:cs="Times New Roman"/>
                <w:color w:val="000000" w:themeColor="text1"/>
                <w:sz w:val="20"/>
                <w:szCs w:val="20"/>
              </w:rPr>
              <w:t>Panama</w:t>
            </w:r>
          </w:p>
        </w:tc>
        <w:tc>
          <w:tcPr>
            <w:tcW w:w="3198" w:type="dxa"/>
            <w:tcBorders>
              <w:top w:val="single" w:sz="12" w:space="0" w:color="BFBFBF" w:themeColor="background1" w:themeShade="BF"/>
              <w:left w:val="nil"/>
              <w:right w:val="nil"/>
            </w:tcBorders>
            <w:vAlign w:val="center"/>
          </w:tcPr>
          <w:p w14:paraId="20A08A89"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49EF639D"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7FCD6090"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right w:val="nil"/>
            </w:tcBorders>
            <w:vAlign w:val="center"/>
          </w:tcPr>
          <w:p w14:paraId="04FE6F0D" w14:textId="77777777" w:rsidR="000F310A" w:rsidRDefault="000F310A" w:rsidP="00031031">
            <w:pPr>
              <w:jc w:val="center"/>
              <w:rPr>
                <w:rFonts w:ascii="Times New Roman" w:hAnsi="Times New Roman" w:cs="Times New Roman"/>
                <w:color w:val="000000" w:themeColor="text1"/>
                <w:sz w:val="20"/>
                <w:szCs w:val="20"/>
              </w:rPr>
            </w:pPr>
            <w:r w:rsidRPr="007165F6">
              <w:rPr>
                <w:rFonts w:ascii="Times New Roman" w:hAnsi="Times New Roman" w:cs="Times New Roman"/>
                <w:color w:val="000000" w:themeColor="text1"/>
                <w:sz w:val="20"/>
                <w:szCs w:val="20"/>
              </w:rPr>
              <w:t>925.71</w:t>
            </w:r>
          </w:p>
          <w:p w14:paraId="2FF6E738" w14:textId="77777777" w:rsidR="000F310A" w:rsidRDefault="000F310A" w:rsidP="00031031">
            <w:pPr>
              <w:jc w:val="center"/>
              <w:rPr>
                <w:rFonts w:ascii="Times New Roman" w:hAnsi="Times New Roman" w:cs="Times New Roman"/>
                <w:color w:val="000000" w:themeColor="text1"/>
                <w:sz w:val="20"/>
                <w:szCs w:val="20"/>
              </w:rPr>
            </w:pPr>
            <w:r w:rsidRPr="007165F6">
              <w:rPr>
                <w:rFonts w:ascii="Times New Roman" w:hAnsi="Times New Roman" w:cs="Times New Roman"/>
                <w:color w:val="000000" w:themeColor="text1"/>
                <w:sz w:val="20"/>
                <w:szCs w:val="20"/>
              </w:rPr>
              <w:t>1020.8</w:t>
            </w:r>
            <w:r>
              <w:rPr>
                <w:rFonts w:ascii="Times New Roman" w:hAnsi="Times New Roman" w:cs="Times New Roman"/>
                <w:color w:val="000000" w:themeColor="text1"/>
                <w:sz w:val="20"/>
                <w:szCs w:val="20"/>
              </w:rPr>
              <w:t>9</w:t>
            </w:r>
          </w:p>
          <w:p w14:paraId="2E110A3D" w14:textId="77777777" w:rsidR="000F310A" w:rsidRPr="00D4671D" w:rsidRDefault="000F310A" w:rsidP="00031031">
            <w:pPr>
              <w:jc w:val="center"/>
              <w:rPr>
                <w:rFonts w:ascii="Times New Roman" w:hAnsi="Times New Roman" w:cs="Times New Roman"/>
                <w:color w:val="000000" w:themeColor="text1"/>
                <w:sz w:val="20"/>
                <w:szCs w:val="20"/>
              </w:rPr>
            </w:pPr>
            <w:r w:rsidRPr="007165F6">
              <w:rPr>
                <w:rFonts w:ascii="Times New Roman" w:hAnsi="Times New Roman" w:cs="Times New Roman"/>
                <w:color w:val="000000" w:themeColor="text1"/>
                <w:sz w:val="20"/>
                <w:szCs w:val="20"/>
              </w:rPr>
              <w:t>2219.2</w:t>
            </w:r>
            <w:r>
              <w:rPr>
                <w:rFonts w:ascii="Times New Roman" w:hAnsi="Times New Roman" w:cs="Times New Roman"/>
                <w:color w:val="000000" w:themeColor="text1"/>
                <w:sz w:val="20"/>
                <w:szCs w:val="20"/>
              </w:rPr>
              <w:t>7</w:t>
            </w:r>
          </w:p>
        </w:tc>
        <w:tc>
          <w:tcPr>
            <w:tcW w:w="889" w:type="dxa"/>
            <w:tcBorders>
              <w:top w:val="single" w:sz="12" w:space="0" w:color="BFBFBF" w:themeColor="background1" w:themeShade="BF"/>
              <w:left w:val="nil"/>
              <w:right w:val="nil"/>
            </w:tcBorders>
            <w:vAlign w:val="center"/>
          </w:tcPr>
          <w:p w14:paraId="5EC29728" w14:textId="77777777" w:rsidR="000F310A" w:rsidRDefault="000F310A" w:rsidP="00031031">
            <w:pPr>
              <w:jc w:val="center"/>
              <w:rPr>
                <w:rFonts w:ascii="Times New Roman" w:hAnsi="Times New Roman" w:cs="Times New Roman"/>
                <w:color w:val="000000" w:themeColor="text1"/>
                <w:sz w:val="20"/>
                <w:szCs w:val="20"/>
              </w:rPr>
            </w:pPr>
            <w:r w:rsidRPr="000C361A">
              <w:rPr>
                <w:rFonts w:ascii="Times New Roman" w:hAnsi="Times New Roman" w:cs="Times New Roman"/>
                <w:color w:val="000000" w:themeColor="text1"/>
                <w:sz w:val="20"/>
                <w:szCs w:val="20"/>
              </w:rPr>
              <w:t>25.2</w:t>
            </w:r>
            <w:r>
              <w:rPr>
                <w:rFonts w:ascii="Times New Roman" w:hAnsi="Times New Roman" w:cs="Times New Roman"/>
                <w:color w:val="000000" w:themeColor="text1"/>
                <w:sz w:val="20"/>
                <w:szCs w:val="20"/>
              </w:rPr>
              <w:t>7</w:t>
            </w:r>
          </w:p>
          <w:p w14:paraId="6A2DC0EE" w14:textId="77777777" w:rsidR="000F310A" w:rsidRDefault="000F310A" w:rsidP="00031031">
            <w:pPr>
              <w:jc w:val="center"/>
              <w:rPr>
                <w:rFonts w:ascii="Times New Roman" w:hAnsi="Times New Roman" w:cs="Times New Roman"/>
                <w:color w:val="000000" w:themeColor="text1"/>
                <w:sz w:val="20"/>
                <w:szCs w:val="20"/>
              </w:rPr>
            </w:pPr>
            <w:r w:rsidRPr="000C361A">
              <w:rPr>
                <w:rFonts w:ascii="Times New Roman" w:hAnsi="Times New Roman" w:cs="Times New Roman"/>
                <w:color w:val="000000" w:themeColor="text1"/>
                <w:sz w:val="20"/>
                <w:szCs w:val="20"/>
              </w:rPr>
              <w:t>3.4</w:t>
            </w:r>
            <w:r>
              <w:rPr>
                <w:rFonts w:ascii="Times New Roman" w:hAnsi="Times New Roman" w:cs="Times New Roman"/>
                <w:color w:val="000000" w:themeColor="text1"/>
                <w:sz w:val="20"/>
                <w:szCs w:val="20"/>
              </w:rPr>
              <w:t>1</w:t>
            </w:r>
          </w:p>
          <w:p w14:paraId="784F5DC6" w14:textId="77777777" w:rsidR="000F310A" w:rsidRPr="00D4671D" w:rsidRDefault="000F310A" w:rsidP="00031031">
            <w:pPr>
              <w:jc w:val="center"/>
              <w:rPr>
                <w:rFonts w:ascii="Times New Roman" w:hAnsi="Times New Roman" w:cs="Times New Roman"/>
                <w:color w:val="000000" w:themeColor="text1"/>
                <w:sz w:val="20"/>
                <w:szCs w:val="20"/>
              </w:rPr>
            </w:pPr>
            <w:r w:rsidRPr="000C361A">
              <w:rPr>
                <w:rFonts w:ascii="Times New Roman" w:hAnsi="Times New Roman" w:cs="Times New Roman"/>
                <w:color w:val="000000" w:themeColor="text1"/>
                <w:sz w:val="20"/>
                <w:szCs w:val="20"/>
              </w:rPr>
              <w:t>71.3</w:t>
            </w:r>
            <w:r>
              <w:rPr>
                <w:rFonts w:ascii="Times New Roman" w:hAnsi="Times New Roman" w:cs="Times New Roman"/>
                <w:color w:val="000000" w:themeColor="text1"/>
                <w:sz w:val="20"/>
                <w:szCs w:val="20"/>
              </w:rPr>
              <w:t>3</w:t>
            </w:r>
          </w:p>
        </w:tc>
        <w:tc>
          <w:tcPr>
            <w:tcW w:w="666" w:type="dxa"/>
            <w:tcBorders>
              <w:top w:val="single" w:sz="12" w:space="0" w:color="BFBFBF" w:themeColor="background1" w:themeShade="BF"/>
              <w:left w:val="nil"/>
              <w:right w:val="nil"/>
            </w:tcBorders>
            <w:vAlign w:val="center"/>
          </w:tcPr>
          <w:p w14:paraId="17CD63AD" w14:textId="77777777" w:rsidR="000F310A" w:rsidRDefault="000F310A" w:rsidP="00031031">
            <w:pPr>
              <w:jc w:val="center"/>
              <w:rPr>
                <w:rFonts w:ascii="Times New Roman" w:hAnsi="Times New Roman" w:cs="Times New Roman"/>
                <w:color w:val="000000" w:themeColor="text1"/>
                <w:sz w:val="20"/>
                <w:szCs w:val="20"/>
              </w:rPr>
            </w:pPr>
            <w:r w:rsidRPr="007165F6">
              <w:rPr>
                <w:rFonts w:ascii="Times New Roman" w:hAnsi="Times New Roman" w:cs="Times New Roman"/>
                <w:color w:val="000000" w:themeColor="text1"/>
                <w:sz w:val="20"/>
                <w:szCs w:val="20"/>
              </w:rPr>
              <w:t>0.2</w:t>
            </w:r>
            <w:r>
              <w:rPr>
                <w:rFonts w:ascii="Times New Roman" w:hAnsi="Times New Roman" w:cs="Times New Roman"/>
                <w:color w:val="000000" w:themeColor="text1"/>
                <w:sz w:val="20"/>
                <w:szCs w:val="20"/>
              </w:rPr>
              <w:t>9*</w:t>
            </w:r>
          </w:p>
          <w:p w14:paraId="3D75A94F" w14:textId="77777777" w:rsidR="000F310A"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0.05</w:t>
            </w:r>
          </w:p>
          <w:p w14:paraId="65ECFDC9" w14:textId="77777777" w:rsidR="000F310A" w:rsidRPr="00D4671D"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0.25</w:t>
            </w:r>
          </w:p>
        </w:tc>
      </w:tr>
      <w:tr w:rsidR="000F310A" w:rsidRPr="00D4671D" w14:paraId="1E8E2F11" w14:textId="77777777" w:rsidTr="00031031">
        <w:trPr>
          <w:trHeight w:val="960"/>
        </w:trPr>
        <w:tc>
          <w:tcPr>
            <w:tcW w:w="3640" w:type="dxa"/>
            <w:tcBorders>
              <w:top w:val="single" w:sz="12" w:space="0" w:color="BFBFBF" w:themeColor="background1" w:themeShade="BF"/>
              <w:left w:val="nil"/>
              <w:bottom w:val="single" w:sz="18" w:space="0" w:color="767171" w:themeColor="background2" w:themeShade="80"/>
              <w:right w:val="nil"/>
            </w:tcBorders>
          </w:tcPr>
          <w:p w14:paraId="1CA638E3"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macropus</w:t>
            </w:r>
            <w:r w:rsidRPr="00D4671D">
              <w:rPr>
                <w:rFonts w:ascii="Times New Roman" w:hAnsi="Times New Roman" w:cs="Times New Roman"/>
                <w:b/>
                <w:bCs/>
                <w:i/>
                <w:iCs/>
                <w:color w:val="000000" w:themeColor="text1"/>
                <w:sz w:val="20"/>
                <w:szCs w:val="20"/>
              </w:rPr>
              <w:t xml:space="preserve"> – </w:t>
            </w:r>
            <w:r w:rsidRPr="00D4671D">
              <w:rPr>
                <w:rFonts w:ascii="Times New Roman" w:hAnsi="Times New Roman" w:cs="Times New Roman"/>
                <w:b/>
                <w:bCs/>
                <w:color w:val="000000" w:themeColor="text1"/>
                <w:sz w:val="20"/>
                <w:szCs w:val="20"/>
              </w:rPr>
              <w:t>3 groups</w:t>
            </w:r>
            <w:r>
              <w:rPr>
                <w:rFonts w:ascii="Times New Roman" w:hAnsi="Times New Roman" w:cs="Times New Roman"/>
                <w:b/>
                <w:bCs/>
                <w:color w:val="000000" w:themeColor="text1"/>
                <w:sz w:val="20"/>
                <w:szCs w:val="20"/>
              </w:rPr>
              <w:t>-FLO</w:t>
            </w:r>
          </w:p>
          <w:p w14:paraId="2FE12705"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Eastern Caribbean</w:t>
            </w:r>
            <w:r w:rsidRPr="00D4671D">
              <w:rPr>
                <w:rFonts w:ascii="Times New Roman" w:hAnsi="Times New Roman" w:cs="Times New Roman"/>
                <w:color w:val="000000" w:themeColor="text1"/>
                <w:sz w:val="20"/>
                <w:szCs w:val="20"/>
              </w:rPr>
              <w:t xml:space="preserve"> </w:t>
            </w:r>
          </w:p>
          <w:p w14:paraId="6BA2BA63"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Pr>
                <w:rFonts w:ascii="Times New Roman" w:hAnsi="Times New Roman" w:cs="Times New Roman"/>
                <w:color w:val="000000" w:themeColor="text1"/>
                <w:sz w:val="20"/>
                <w:szCs w:val="20"/>
              </w:rPr>
              <w:t>Western Caribbean</w:t>
            </w:r>
          </w:p>
          <w:p w14:paraId="5CD5646B"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 xml:space="preserve">Group C: </w:t>
            </w:r>
            <w:r>
              <w:rPr>
                <w:rFonts w:ascii="Times New Roman" w:hAnsi="Times New Roman" w:cs="Times New Roman"/>
                <w:color w:val="000000" w:themeColor="text1"/>
                <w:sz w:val="20"/>
                <w:szCs w:val="20"/>
              </w:rPr>
              <w:t>Florida</w:t>
            </w:r>
          </w:p>
        </w:tc>
        <w:tc>
          <w:tcPr>
            <w:tcW w:w="3198" w:type="dxa"/>
            <w:tcBorders>
              <w:top w:val="single" w:sz="12" w:space="0" w:color="BFBFBF" w:themeColor="background1" w:themeShade="BF"/>
              <w:left w:val="nil"/>
              <w:bottom w:val="single" w:sz="18" w:space="0" w:color="767171" w:themeColor="background2" w:themeShade="80"/>
              <w:right w:val="nil"/>
            </w:tcBorders>
            <w:vAlign w:val="center"/>
          </w:tcPr>
          <w:p w14:paraId="017A51D7"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4CA246F9"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08899C32"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bottom w:val="single" w:sz="18" w:space="0" w:color="767171" w:themeColor="background2" w:themeShade="80"/>
              <w:right w:val="nil"/>
            </w:tcBorders>
            <w:vAlign w:val="center"/>
          </w:tcPr>
          <w:p w14:paraId="2239F206" w14:textId="77777777" w:rsidR="000F310A" w:rsidRDefault="000F310A" w:rsidP="00031031">
            <w:pPr>
              <w:jc w:val="center"/>
              <w:rPr>
                <w:rFonts w:ascii="Times New Roman" w:hAnsi="Times New Roman" w:cs="Times New Roman"/>
                <w:color w:val="000000" w:themeColor="text1"/>
                <w:sz w:val="20"/>
                <w:szCs w:val="20"/>
              </w:rPr>
            </w:pPr>
            <w:r w:rsidRPr="00A0330B">
              <w:rPr>
                <w:rFonts w:ascii="Times New Roman" w:hAnsi="Times New Roman" w:cs="Times New Roman"/>
                <w:color w:val="000000" w:themeColor="text1"/>
                <w:sz w:val="20"/>
                <w:szCs w:val="20"/>
              </w:rPr>
              <w:t>923.1</w:t>
            </w:r>
            <w:r>
              <w:rPr>
                <w:rFonts w:ascii="Times New Roman" w:hAnsi="Times New Roman" w:cs="Times New Roman"/>
                <w:color w:val="000000" w:themeColor="text1"/>
                <w:sz w:val="20"/>
                <w:szCs w:val="20"/>
              </w:rPr>
              <w:t>1</w:t>
            </w:r>
          </w:p>
          <w:p w14:paraId="24068B13" w14:textId="77777777" w:rsidR="000F310A" w:rsidRDefault="000F310A" w:rsidP="00031031">
            <w:pPr>
              <w:jc w:val="center"/>
              <w:rPr>
                <w:rFonts w:ascii="Times New Roman" w:hAnsi="Times New Roman" w:cs="Times New Roman"/>
                <w:color w:val="000000" w:themeColor="text1"/>
                <w:sz w:val="20"/>
                <w:szCs w:val="20"/>
              </w:rPr>
            </w:pPr>
            <w:r w:rsidRPr="00A0330B">
              <w:rPr>
                <w:rFonts w:ascii="Times New Roman" w:hAnsi="Times New Roman" w:cs="Times New Roman"/>
                <w:color w:val="000000" w:themeColor="text1"/>
                <w:sz w:val="20"/>
                <w:szCs w:val="20"/>
              </w:rPr>
              <w:t>904.77</w:t>
            </w:r>
          </w:p>
          <w:p w14:paraId="2A1228E7" w14:textId="77777777" w:rsidR="000F310A" w:rsidRPr="00D4671D" w:rsidRDefault="000F310A" w:rsidP="00031031">
            <w:pPr>
              <w:jc w:val="center"/>
              <w:rPr>
                <w:rFonts w:ascii="Times New Roman" w:hAnsi="Times New Roman" w:cs="Times New Roman"/>
                <w:color w:val="000000" w:themeColor="text1"/>
                <w:sz w:val="20"/>
                <w:szCs w:val="20"/>
              </w:rPr>
            </w:pPr>
            <w:r w:rsidRPr="00A0330B">
              <w:rPr>
                <w:rFonts w:ascii="Times New Roman" w:hAnsi="Times New Roman" w:cs="Times New Roman"/>
                <w:color w:val="000000" w:themeColor="text1"/>
                <w:sz w:val="20"/>
                <w:szCs w:val="20"/>
              </w:rPr>
              <w:t>2337.9</w:t>
            </w:r>
            <w:r>
              <w:rPr>
                <w:rFonts w:ascii="Times New Roman" w:hAnsi="Times New Roman" w:cs="Times New Roman"/>
                <w:color w:val="000000" w:themeColor="text1"/>
                <w:sz w:val="20"/>
                <w:szCs w:val="20"/>
              </w:rPr>
              <w:t>9</w:t>
            </w:r>
          </w:p>
        </w:tc>
        <w:tc>
          <w:tcPr>
            <w:tcW w:w="889" w:type="dxa"/>
            <w:tcBorders>
              <w:top w:val="single" w:sz="12" w:space="0" w:color="BFBFBF" w:themeColor="background1" w:themeShade="BF"/>
              <w:left w:val="nil"/>
              <w:bottom w:val="single" w:sz="18" w:space="0" w:color="767171" w:themeColor="background2" w:themeShade="80"/>
              <w:right w:val="nil"/>
            </w:tcBorders>
            <w:vAlign w:val="center"/>
          </w:tcPr>
          <w:p w14:paraId="15B7E6F5" w14:textId="77777777" w:rsidR="000F310A" w:rsidRDefault="000F310A" w:rsidP="00031031">
            <w:pPr>
              <w:jc w:val="center"/>
              <w:rPr>
                <w:rFonts w:ascii="Times New Roman" w:hAnsi="Times New Roman" w:cs="Times New Roman"/>
                <w:color w:val="000000" w:themeColor="text1"/>
                <w:sz w:val="20"/>
                <w:szCs w:val="20"/>
              </w:rPr>
            </w:pPr>
            <w:r w:rsidRPr="00233E73">
              <w:rPr>
                <w:rFonts w:ascii="Times New Roman" w:hAnsi="Times New Roman" w:cs="Times New Roman"/>
                <w:color w:val="000000" w:themeColor="text1"/>
                <w:sz w:val="20"/>
                <w:szCs w:val="20"/>
              </w:rPr>
              <w:t>29.3</w:t>
            </w:r>
            <w:r>
              <w:rPr>
                <w:rFonts w:ascii="Times New Roman" w:hAnsi="Times New Roman" w:cs="Times New Roman"/>
                <w:color w:val="000000" w:themeColor="text1"/>
                <w:sz w:val="20"/>
                <w:szCs w:val="20"/>
              </w:rPr>
              <w:t>1</w:t>
            </w:r>
          </w:p>
          <w:p w14:paraId="4B2411F4" w14:textId="77777777" w:rsidR="000F310A" w:rsidRDefault="000F310A" w:rsidP="00031031">
            <w:pPr>
              <w:jc w:val="center"/>
              <w:rPr>
                <w:rFonts w:ascii="Times New Roman" w:hAnsi="Times New Roman" w:cs="Times New Roman"/>
                <w:color w:val="000000" w:themeColor="text1"/>
                <w:sz w:val="20"/>
                <w:szCs w:val="20"/>
              </w:rPr>
            </w:pPr>
            <w:r w:rsidRPr="00233E73">
              <w:rPr>
                <w:rFonts w:ascii="Times New Roman" w:hAnsi="Times New Roman" w:cs="Times New Roman"/>
                <w:color w:val="000000" w:themeColor="text1"/>
                <w:sz w:val="20"/>
                <w:szCs w:val="20"/>
              </w:rPr>
              <w:t>3.5</w:t>
            </w:r>
            <w:r>
              <w:rPr>
                <w:rFonts w:ascii="Times New Roman" w:hAnsi="Times New Roman" w:cs="Times New Roman"/>
                <w:color w:val="000000" w:themeColor="text1"/>
                <w:sz w:val="20"/>
                <w:szCs w:val="20"/>
              </w:rPr>
              <w:t>1</w:t>
            </w:r>
          </w:p>
          <w:p w14:paraId="41D1AC63" w14:textId="77777777" w:rsidR="000F310A" w:rsidRPr="00D4671D" w:rsidRDefault="000F310A" w:rsidP="00031031">
            <w:pPr>
              <w:jc w:val="center"/>
              <w:rPr>
                <w:rFonts w:ascii="Times New Roman" w:hAnsi="Times New Roman" w:cs="Times New Roman"/>
                <w:color w:val="000000" w:themeColor="text1"/>
                <w:sz w:val="20"/>
                <w:szCs w:val="20"/>
              </w:rPr>
            </w:pPr>
            <w:r w:rsidRPr="00233E73">
              <w:rPr>
                <w:rFonts w:ascii="Times New Roman" w:hAnsi="Times New Roman" w:cs="Times New Roman"/>
                <w:color w:val="000000" w:themeColor="text1"/>
                <w:sz w:val="20"/>
                <w:szCs w:val="20"/>
              </w:rPr>
              <w:t>67.1</w:t>
            </w:r>
            <w:r>
              <w:rPr>
                <w:rFonts w:ascii="Times New Roman" w:hAnsi="Times New Roman" w:cs="Times New Roman"/>
                <w:color w:val="000000" w:themeColor="text1"/>
                <w:sz w:val="20"/>
                <w:szCs w:val="20"/>
              </w:rPr>
              <w:t>9</w:t>
            </w:r>
          </w:p>
        </w:tc>
        <w:tc>
          <w:tcPr>
            <w:tcW w:w="666" w:type="dxa"/>
            <w:tcBorders>
              <w:top w:val="single" w:sz="12" w:space="0" w:color="BFBFBF" w:themeColor="background1" w:themeShade="BF"/>
              <w:left w:val="nil"/>
              <w:bottom w:val="single" w:sz="18" w:space="0" w:color="767171" w:themeColor="background2" w:themeShade="80"/>
              <w:right w:val="nil"/>
            </w:tcBorders>
            <w:vAlign w:val="center"/>
          </w:tcPr>
          <w:p w14:paraId="23CF1747" w14:textId="77777777" w:rsidR="000F310A"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0.33*</w:t>
            </w:r>
          </w:p>
          <w:p w14:paraId="5ABCB2F1" w14:textId="77777777" w:rsidR="000F310A"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0.05</w:t>
            </w:r>
          </w:p>
          <w:p w14:paraId="1429B194" w14:textId="77777777" w:rsidR="000F310A" w:rsidRPr="00D4671D"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0.29</w:t>
            </w:r>
          </w:p>
        </w:tc>
      </w:tr>
      <w:tr w:rsidR="000F310A" w:rsidRPr="00D4671D" w14:paraId="62EA4AA3" w14:textId="77777777" w:rsidTr="00031031">
        <w:trPr>
          <w:trHeight w:val="972"/>
        </w:trPr>
        <w:tc>
          <w:tcPr>
            <w:tcW w:w="3640" w:type="dxa"/>
            <w:tcBorders>
              <w:top w:val="single" w:sz="18" w:space="0" w:color="767171" w:themeColor="background2" w:themeShade="80"/>
              <w:left w:val="nil"/>
              <w:bottom w:val="single" w:sz="12" w:space="0" w:color="BFBFBF" w:themeColor="background1" w:themeShade="BF"/>
              <w:right w:val="nil"/>
            </w:tcBorders>
          </w:tcPr>
          <w:p w14:paraId="4FB070C6"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triangulatus-M. lianae</w:t>
            </w:r>
            <w:r w:rsidRPr="00D4671D">
              <w:rPr>
                <w:rFonts w:ascii="Times New Roman" w:hAnsi="Times New Roman" w:cs="Times New Roman"/>
                <w:b/>
                <w:bCs/>
                <w:i/>
                <w:iCs/>
                <w:color w:val="000000" w:themeColor="text1"/>
                <w:sz w:val="20"/>
                <w:szCs w:val="20"/>
              </w:rPr>
              <w:t xml:space="preserve"> – </w:t>
            </w:r>
            <w:r w:rsidRPr="00D4671D">
              <w:rPr>
                <w:rFonts w:ascii="Times New Roman" w:hAnsi="Times New Roman" w:cs="Times New Roman"/>
                <w:b/>
                <w:bCs/>
                <w:color w:val="000000" w:themeColor="text1"/>
                <w:sz w:val="20"/>
                <w:szCs w:val="20"/>
              </w:rPr>
              <w:t>2 groups</w:t>
            </w:r>
          </w:p>
          <w:p w14:paraId="3EE32E5A" w14:textId="77777777" w:rsidR="000F310A" w:rsidRPr="006B4B90"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sidRPr="006B4B90">
              <w:rPr>
                <w:rFonts w:ascii="Times New Roman" w:hAnsi="Times New Roman" w:cs="Times New Roman"/>
                <w:i/>
                <w:iCs/>
                <w:color w:val="000000" w:themeColor="text1"/>
                <w:sz w:val="20"/>
                <w:szCs w:val="20"/>
              </w:rPr>
              <w:t>M. triangulatus</w:t>
            </w:r>
          </w:p>
          <w:p w14:paraId="2C76050B" w14:textId="77777777" w:rsidR="000F310A" w:rsidRPr="006B4B90"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color w:val="000000" w:themeColor="text1"/>
                <w:sz w:val="20"/>
                <w:szCs w:val="20"/>
              </w:rPr>
              <w:t xml:space="preserve">Group B: </w:t>
            </w:r>
            <w:r w:rsidRPr="006B4B90">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 xml:space="preserve"> (TRT) and </w:t>
            </w:r>
            <w:r w:rsidRPr="006B4B90">
              <w:rPr>
                <w:rFonts w:ascii="Times New Roman" w:hAnsi="Times New Roman" w:cs="Times New Roman"/>
                <w:i/>
                <w:iCs/>
                <w:color w:val="000000" w:themeColor="text1"/>
                <w:sz w:val="20"/>
                <w:szCs w:val="20"/>
              </w:rPr>
              <w:t>M. lianae</w:t>
            </w:r>
          </w:p>
        </w:tc>
        <w:tc>
          <w:tcPr>
            <w:tcW w:w="3198" w:type="dxa"/>
            <w:tcBorders>
              <w:top w:val="single" w:sz="18" w:space="0" w:color="767171" w:themeColor="background2" w:themeShade="80"/>
              <w:left w:val="nil"/>
              <w:bottom w:val="single" w:sz="12" w:space="0" w:color="BFBFBF" w:themeColor="background1" w:themeShade="BF"/>
              <w:right w:val="nil"/>
            </w:tcBorders>
            <w:vAlign w:val="center"/>
          </w:tcPr>
          <w:p w14:paraId="46AC4260"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597B2C5F"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65622DFF"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8" w:space="0" w:color="767171" w:themeColor="background2" w:themeShade="80"/>
              <w:left w:val="nil"/>
              <w:bottom w:val="single" w:sz="12" w:space="0" w:color="BFBFBF" w:themeColor="background1" w:themeShade="BF"/>
              <w:right w:val="nil"/>
            </w:tcBorders>
            <w:vAlign w:val="center"/>
          </w:tcPr>
          <w:p w14:paraId="028B88A6" w14:textId="77777777" w:rsidR="000F310A" w:rsidRDefault="000F310A" w:rsidP="00031031">
            <w:pPr>
              <w:jc w:val="center"/>
              <w:rPr>
                <w:rFonts w:ascii="Times New Roman" w:hAnsi="Times New Roman" w:cs="Times New Roman"/>
                <w:color w:val="000000" w:themeColor="text1"/>
                <w:sz w:val="20"/>
                <w:szCs w:val="20"/>
              </w:rPr>
            </w:pPr>
            <w:r w:rsidRPr="006B69F2">
              <w:rPr>
                <w:rFonts w:ascii="Times New Roman" w:hAnsi="Times New Roman" w:cs="Times New Roman"/>
                <w:color w:val="000000" w:themeColor="text1"/>
                <w:sz w:val="20"/>
                <w:szCs w:val="20"/>
              </w:rPr>
              <w:t>107.55</w:t>
            </w:r>
          </w:p>
          <w:p w14:paraId="3E060931" w14:textId="77777777" w:rsidR="000F310A" w:rsidRDefault="000F310A" w:rsidP="00031031">
            <w:pPr>
              <w:jc w:val="center"/>
              <w:rPr>
                <w:rFonts w:ascii="Times New Roman" w:hAnsi="Times New Roman" w:cs="Times New Roman"/>
                <w:color w:val="000000" w:themeColor="text1"/>
                <w:sz w:val="20"/>
                <w:szCs w:val="20"/>
              </w:rPr>
            </w:pPr>
            <w:r w:rsidRPr="006B69F2">
              <w:rPr>
                <w:rFonts w:ascii="Times New Roman" w:hAnsi="Times New Roman" w:cs="Times New Roman"/>
                <w:color w:val="000000" w:themeColor="text1"/>
                <w:sz w:val="20"/>
                <w:szCs w:val="20"/>
              </w:rPr>
              <w:t>46.44</w:t>
            </w:r>
          </w:p>
          <w:p w14:paraId="089B822F" w14:textId="77777777" w:rsidR="000F310A" w:rsidRPr="00D4671D" w:rsidRDefault="000F310A" w:rsidP="00031031">
            <w:pPr>
              <w:jc w:val="center"/>
              <w:rPr>
                <w:rFonts w:ascii="Times New Roman" w:hAnsi="Times New Roman" w:cs="Times New Roman"/>
                <w:color w:val="000000" w:themeColor="text1"/>
                <w:sz w:val="20"/>
                <w:szCs w:val="20"/>
              </w:rPr>
            </w:pPr>
            <w:r w:rsidRPr="006B69F2">
              <w:rPr>
                <w:rFonts w:ascii="Times New Roman" w:hAnsi="Times New Roman" w:cs="Times New Roman"/>
                <w:color w:val="000000" w:themeColor="text1"/>
                <w:sz w:val="20"/>
                <w:szCs w:val="20"/>
              </w:rPr>
              <w:t>60.34</w:t>
            </w:r>
          </w:p>
        </w:tc>
        <w:tc>
          <w:tcPr>
            <w:tcW w:w="889" w:type="dxa"/>
            <w:tcBorders>
              <w:top w:val="single" w:sz="18" w:space="0" w:color="767171" w:themeColor="background2" w:themeShade="80"/>
              <w:left w:val="nil"/>
              <w:bottom w:val="single" w:sz="12" w:space="0" w:color="BFBFBF" w:themeColor="background1" w:themeShade="BF"/>
              <w:right w:val="nil"/>
            </w:tcBorders>
            <w:vAlign w:val="center"/>
          </w:tcPr>
          <w:p w14:paraId="50DE0656" w14:textId="77777777" w:rsidR="000F310A" w:rsidRDefault="000F310A" w:rsidP="00031031">
            <w:pPr>
              <w:jc w:val="center"/>
              <w:rPr>
                <w:rFonts w:ascii="Times New Roman" w:hAnsi="Times New Roman" w:cs="Times New Roman"/>
                <w:color w:val="000000" w:themeColor="text1"/>
                <w:sz w:val="20"/>
                <w:szCs w:val="20"/>
              </w:rPr>
            </w:pPr>
            <w:r w:rsidRPr="00E6633B">
              <w:rPr>
                <w:rFonts w:ascii="Times New Roman" w:hAnsi="Times New Roman" w:cs="Times New Roman"/>
                <w:color w:val="000000" w:themeColor="text1"/>
                <w:sz w:val="20"/>
                <w:szCs w:val="20"/>
              </w:rPr>
              <w:t>50.1</w:t>
            </w:r>
            <w:r>
              <w:rPr>
                <w:rFonts w:ascii="Times New Roman" w:hAnsi="Times New Roman" w:cs="Times New Roman"/>
                <w:color w:val="000000" w:themeColor="text1"/>
                <w:sz w:val="20"/>
                <w:szCs w:val="20"/>
              </w:rPr>
              <w:t>8</w:t>
            </w:r>
          </w:p>
          <w:p w14:paraId="70A5F319" w14:textId="77777777" w:rsidR="000F310A" w:rsidRDefault="000F310A" w:rsidP="00031031">
            <w:pPr>
              <w:jc w:val="center"/>
              <w:rPr>
                <w:rFonts w:ascii="Times New Roman" w:hAnsi="Times New Roman" w:cs="Times New Roman"/>
                <w:color w:val="000000" w:themeColor="text1"/>
                <w:sz w:val="20"/>
                <w:szCs w:val="20"/>
              </w:rPr>
            </w:pPr>
            <w:r w:rsidRPr="00E6633B">
              <w:rPr>
                <w:rFonts w:ascii="Times New Roman" w:hAnsi="Times New Roman" w:cs="Times New Roman"/>
                <w:color w:val="000000" w:themeColor="text1"/>
                <w:sz w:val="20"/>
                <w:szCs w:val="20"/>
              </w:rPr>
              <w:t>21.6</w:t>
            </w:r>
            <w:r>
              <w:rPr>
                <w:rFonts w:ascii="Times New Roman" w:hAnsi="Times New Roman" w:cs="Times New Roman"/>
                <w:color w:val="000000" w:themeColor="text1"/>
                <w:sz w:val="20"/>
                <w:szCs w:val="20"/>
              </w:rPr>
              <w:t>9</w:t>
            </w:r>
          </w:p>
          <w:p w14:paraId="296BE877" w14:textId="77777777" w:rsidR="000F310A" w:rsidRPr="00D4671D" w:rsidRDefault="000F310A" w:rsidP="00031031">
            <w:pPr>
              <w:jc w:val="center"/>
              <w:rPr>
                <w:rFonts w:ascii="Times New Roman" w:hAnsi="Times New Roman" w:cs="Times New Roman"/>
                <w:color w:val="000000" w:themeColor="text1"/>
                <w:sz w:val="20"/>
                <w:szCs w:val="20"/>
              </w:rPr>
            </w:pPr>
            <w:r w:rsidRPr="00E6633B">
              <w:rPr>
                <w:rFonts w:ascii="Times New Roman" w:hAnsi="Times New Roman" w:cs="Times New Roman"/>
                <w:color w:val="000000" w:themeColor="text1"/>
                <w:sz w:val="20"/>
                <w:szCs w:val="20"/>
              </w:rPr>
              <w:t>28.15</w:t>
            </w:r>
          </w:p>
        </w:tc>
        <w:tc>
          <w:tcPr>
            <w:tcW w:w="666" w:type="dxa"/>
            <w:tcBorders>
              <w:top w:val="single" w:sz="18" w:space="0" w:color="767171" w:themeColor="background2" w:themeShade="80"/>
              <w:left w:val="nil"/>
              <w:bottom w:val="single" w:sz="12" w:space="0" w:color="BFBFBF" w:themeColor="background1" w:themeShade="BF"/>
              <w:right w:val="nil"/>
            </w:tcBorders>
            <w:vAlign w:val="center"/>
          </w:tcPr>
          <w:p w14:paraId="2BC1E3BD" w14:textId="77777777" w:rsidR="000F310A" w:rsidRDefault="000F310A" w:rsidP="00031031">
            <w:pPr>
              <w:jc w:val="center"/>
              <w:rPr>
                <w:rFonts w:ascii="Times New Roman" w:hAnsi="Times New Roman" w:cs="Times New Roman"/>
                <w:color w:val="000000" w:themeColor="text1"/>
                <w:sz w:val="20"/>
                <w:szCs w:val="20"/>
              </w:rPr>
            </w:pPr>
            <w:r w:rsidRPr="006B69F2">
              <w:rPr>
                <w:rFonts w:ascii="Times New Roman" w:hAnsi="Times New Roman" w:cs="Times New Roman"/>
                <w:color w:val="000000" w:themeColor="text1"/>
                <w:sz w:val="20"/>
                <w:szCs w:val="20"/>
              </w:rPr>
              <w:t>0.7</w:t>
            </w:r>
            <w:r>
              <w:rPr>
                <w:rFonts w:ascii="Times New Roman" w:hAnsi="Times New Roman" w:cs="Times New Roman"/>
                <w:color w:val="000000" w:themeColor="text1"/>
                <w:sz w:val="20"/>
                <w:szCs w:val="20"/>
              </w:rPr>
              <w:t>2*</w:t>
            </w:r>
          </w:p>
          <w:p w14:paraId="484AA094" w14:textId="77777777" w:rsidR="000F310A" w:rsidRDefault="000F310A" w:rsidP="00031031">
            <w:pPr>
              <w:jc w:val="center"/>
              <w:rPr>
                <w:rFonts w:ascii="Times New Roman" w:hAnsi="Times New Roman" w:cs="Times New Roman"/>
                <w:color w:val="000000" w:themeColor="text1"/>
                <w:sz w:val="20"/>
                <w:szCs w:val="20"/>
              </w:rPr>
            </w:pPr>
            <w:r w:rsidRPr="006B69F2">
              <w:rPr>
                <w:rFonts w:ascii="Times New Roman" w:hAnsi="Times New Roman" w:cs="Times New Roman"/>
                <w:color w:val="000000" w:themeColor="text1"/>
                <w:sz w:val="20"/>
                <w:szCs w:val="20"/>
              </w:rPr>
              <w:t>0.4</w:t>
            </w:r>
            <w:r>
              <w:rPr>
                <w:rFonts w:ascii="Times New Roman" w:hAnsi="Times New Roman" w:cs="Times New Roman"/>
                <w:color w:val="000000" w:themeColor="text1"/>
                <w:sz w:val="20"/>
                <w:szCs w:val="20"/>
              </w:rPr>
              <w:t>4*</w:t>
            </w:r>
          </w:p>
          <w:p w14:paraId="71FF1C36" w14:textId="77777777" w:rsidR="000F310A" w:rsidRPr="00D4671D" w:rsidRDefault="000F310A" w:rsidP="00031031">
            <w:pPr>
              <w:jc w:val="center"/>
              <w:rPr>
                <w:rFonts w:ascii="Times New Roman" w:hAnsi="Times New Roman" w:cs="Times New Roman"/>
                <w:color w:val="000000" w:themeColor="text1"/>
                <w:sz w:val="20"/>
                <w:szCs w:val="20"/>
              </w:rPr>
            </w:pPr>
            <w:r w:rsidRPr="006B69F2">
              <w:rPr>
                <w:rFonts w:ascii="Times New Roman" w:hAnsi="Times New Roman" w:cs="Times New Roman"/>
                <w:color w:val="000000" w:themeColor="text1"/>
                <w:sz w:val="20"/>
                <w:szCs w:val="20"/>
              </w:rPr>
              <w:t>0.50</w:t>
            </w:r>
          </w:p>
        </w:tc>
      </w:tr>
      <w:tr w:rsidR="000F310A" w:rsidRPr="00D4671D" w14:paraId="77EDA699" w14:textId="77777777" w:rsidTr="00031031">
        <w:trPr>
          <w:trHeight w:val="960"/>
        </w:trPr>
        <w:tc>
          <w:tcPr>
            <w:tcW w:w="3640" w:type="dxa"/>
            <w:tcBorders>
              <w:top w:val="single" w:sz="12" w:space="0" w:color="BFBFBF" w:themeColor="background1" w:themeShade="BF"/>
              <w:left w:val="nil"/>
              <w:right w:val="nil"/>
            </w:tcBorders>
          </w:tcPr>
          <w:p w14:paraId="513E3557"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triangulatus-M. lianae</w:t>
            </w:r>
            <w:r w:rsidRPr="00D4671D">
              <w:rPr>
                <w:rFonts w:ascii="Times New Roman" w:hAnsi="Times New Roman" w:cs="Times New Roman"/>
                <w:b/>
                <w:bCs/>
                <w:i/>
                <w:iCs/>
                <w:color w:val="000000" w:themeColor="text1"/>
                <w:sz w:val="20"/>
                <w:szCs w:val="20"/>
              </w:rPr>
              <w:t xml:space="preserve"> – </w:t>
            </w:r>
            <w:r w:rsidRPr="006B4B90">
              <w:rPr>
                <w:rFonts w:ascii="Times New Roman" w:hAnsi="Times New Roman" w:cs="Times New Roman"/>
                <w:b/>
                <w:bCs/>
                <w:color w:val="000000" w:themeColor="text1"/>
                <w:sz w:val="20"/>
                <w:szCs w:val="20"/>
              </w:rPr>
              <w:t>3</w:t>
            </w:r>
            <w:r w:rsidRPr="00D4671D">
              <w:rPr>
                <w:rFonts w:ascii="Times New Roman" w:hAnsi="Times New Roman" w:cs="Times New Roman"/>
                <w:b/>
                <w:bCs/>
                <w:color w:val="000000" w:themeColor="text1"/>
                <w:sz w:val="20"/>
                <w:szCs w:val="20"/>
              </w:rPr>
              <w:t xml:space="preserve"> groups</w:t>
            </w:r>
          </w:p>
          <w:p w14:paraId="5A913A8C" w14:textId="77777777" w:rsidR="000F310A" w:rsidRPr="006B4B90"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sidRPr="006B4B90">
              <w:rPr>
                <w:rFonts w:ascii="Times New Roman" w:hAnsi="Times New Roman" w:cs="Times New Roman"/>
                <w:i/>
                <w:iCs/>
                <w:color w:val="000000" w:themeColor="text1"/>
                <w:sz w:val="20"/>
                <w:szCs w:val="20"/>
              </w:rPr>
              <w:t>M. triangulatus</w:t>
            </w:r>
          </w:p>
          <w:p w14:paraId="107FF4F0" w14:textId="77777777" w:rsidR="000F310A" w:rsidRDefault="000F310A" w:rsidP="00031031">
            <w:pPr>
              <w:rPr>
                <w:rFonts w:ascii="Times New Roman" w:hAnsi="Times New Roman" w:cs="Times New Roman"/>
                <w:i/>
                <w:iCs/>
                <w:color w:val="000000" w:themeColor="text1"/>
                <w:sz w:val="20"/>
                <w:szCs w:val="20"/>
              </w:rPr>
            </w:pPr>
            <w:r w:rsidRPr="00D4671D">
              <w:rPr>
                <w:rFonts w:ascii="Times New Roman" w:hAnsi="Times New Roman" w:cs="Times New Roman"/>
                <w:b/>
                <w:bCs/>
                <w:color w:val="000000" w:themeColor="text1"/>
                <w:sz w:val="20"/>
                <w:szCs w:val="20"/>
              </w:rPr>
              <w:t xml:space="preserve">Group B: </w:t>
            </w:r>
            <w:r w:rsidRPr="006B4B90">
              <w:rPr>
                <w:rFonts w:ascii="Times New Roman" w:hAnsi="Times New Roman" w:cs="Times New Roman"/>
                <w:i/>
                <w:iCs/>
                <w:color w:val="000000" w:themeColor="text1"/>
                <w:sz w:val="20"/>
                <w:szCs w:val="20"/>
              </w:rPr>
              <w:t>M. lianae</w:t>
            </w:r>
          </w:p>
          <w:p w14:paraId="17E45A21"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 xml:space="preserve">Group C: </w:t>
            </w:r>
            <w:r w:rsidRPr="006B4B90">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 xml:space="preserve"> (TRT)</w:t>
            </w:r>
          </w:p>
        </w:tc>
        <w:tc>
          <w:tcPr>
            <w:tcW w:w="3198" w:type="dxa"/>
            <w:tcBorders>
              <w:top w:val="single" w:sz="12" w:space="0" w:color="BFBFBF" w:themeColor="background1" w:themeShade="BF"/>
              <w:left w:val="nil"/>
              <w:right w:val="nil"/>
            </w:tcBorders>
            <w:vAlign w:val="center"/>
          </w:tcPr>
          <w:p w14:paraId="2E626DA5"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11151BA0"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71D183F1"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right w:val="nil"/>
            </w:tcBorders>
            <w:vAlign w:val="center"/>
          </w:tcPr>
          <w:p w14:paraId="0DBFA4F2" w14:textId="77777777" w:rsidR="000F310A" w:rsidRDefault="000F310A" w:rsidP="00031031">
            <w:pPr>
              <w:jc w:val="center"/>
              <w:rPr>
                <w:rFonts w:ascii="Times New Roman" w:hAnsi="Times New Roman" w:cs="Times New Roman"/>
                <w:color w:val="000000" w:themeColor="text1"/>
                <w:sz w:val="20"/>
                <w:szCs w:val="20"/>
              </w:rPr>
            </w:pPr>
            <w:r w:rsidRPr="0012490A">
              <w:rPr>
                <w:rFonts w:ascii="Times New Roman" w:hAnsi="Times New Roman" w:cs="Times New Roman"/>
                <w:color w:val="000000" w:themeColor="text1"/>
                <w:sz w:val="20"/>
                <w:szCs w:val="20"/>
              </w:rPr>
              <w:t>3033.8</w:t>
            </w:r>
            <w:r>
              <w:rPr>
                <w:rFonts w:ascii="Times New Roman" w:hAnsi="Times New Roman" w:cs="Times New Roman"/>
                <w:color w:val="000000" w:themeColor="text1"/>
                <w:sz w:val="20"/>
                <w:szCs w:val="20"/>
              </w:rPr>
              <w:t>2</w:t>
            </w:r>
          </w:p>
          <w:p w14:paraId="0C279D14" w14:textId="77777777" w:rsidR="000F310A" w:rsidRDefault="000F310A" w:rsidP="00031031">
            <w:pPr>
              <w:jc w:val="center"/>
              <w:rPr>
                <w:rFonts w:ascii="Times New Roman" w:hAnsi="Times New Roman" w:cs="Times New Roman"/>
                <w:color w:val="000000" w:themeColor="text1"/>
                <w:sz w:val="20"/>
                <w:szCs w:val="20"/>
              </w:rPr>
            </w:pPr>
            <w:r w:rsidRPr="0012490A">
              <w:rPr>
                <w:rFonts w:ascii="Times New Roman" w:hAnsi="Times New Roman" w:cs="Times New Roman"/>
                <w:color w:val="000000" w:themeColor="text1"/>
                <w:sz w:val="20"/>
                <w:szCs w:val="20"/>
              </w:rPr>
              <w:t>4018.1</w:t>
            </w:r>
            <w:r>
              <w:rPr>
                <w:rFonts w:ascii="Times New Roman" w:hAnsi="Times New Roman" w:cs="Times New Roman"/>
                <w:color w:val="000000" w:themeColor="text1"/>
                <w:sz w:val="20"/>
                <w:szCs w:val="20"/>
              </w:rPr>
              <w:t>5</w:t>
            </w:r>
          </w:p>
          <w:p w14:paraId="66C1AE7A" w14:textId="77777777" w:rsidR="000F310A" w:rsidRPr="00D4671D" w:rsidRDefault="000F310A" w:rsidP="00031031">
            <w:pPr>
              <w:jc w:val="center"/>
              <w:rPr>
                <w:rFonts w:ascii="Times New Roman" w:hAnsi="Times New Roman" w:cs="Times New Roman"/>
                <w:color w:val="000000" w:themeColor="text1"/>
                <w:sz w:val="20"/>
                <w:szCs w:val="20"/>
              </w:rPr>
            </w:pPr>
            <w:r w:rsidRPr="0012490A">
              <w:rPr>
                <w:rFonts w:ascii="Times New Roman" w:hAnsi="Times New Roman" w:cs="Times New Roman"/>
                <w:color w:val="000000" w:themeColor="text1"/>
                <w:sz w:val="20"/>
                <w:szCs w:val="20"/>
              </w:rPr>
              <w:t>4344.66</w:t>
            </w:r>
          </w:p>
        </w:tc>
        <w:tc>
          <w:tcPr>
            <w:tcW w:w="889" w:type="dxa"/>
            <w:tcBorders>
              <w:top w:val="single" w:sz="12" w:space="0" w:color="BFBFBF" w:themeColor="background1" w:themeShade="BF"/>
              <w:left w:val="nil"/>
              <w:right w:val="nil"/>
            </w:tcBorders>
            <w:vAlign w:val="center"/>
          </w:tcPr>
          <w:p w14:paraId="2F4F7096" w14:textId="77777777" w:rsidR="000F310A" w:rsidRDefault="000F310A" w:rsidP="00031031">
            <w:pPr>
              <w:jc w:val="center"/>
              <w:rPr>
                <w:rFonts w:ascii="Times New Roman" w:hAnsi="Times New Roman" w:cs="Times New Roman"/>
                <w:color w:val="000000" w:themeColor="text1"/>
                <w:sz w:val="20"/>
                <w:szCs w:val="20"/>
              </w:rPr>
            </w:pPr>
            <w:r w:rsidRPr="00E6633B">
              <w:rPr>
                <w:rFonts w:ascii="Times New Roman" w:hAnsi="Times New Roman" w:cs="Times New Roman"/>
                <w:color w:val="000000" w:themeColor="text1"/>
                <w:sz w:val="20"/>
                <w:szCs w:val="20"/>
              </w:rPr>
              <w:t>51.5</w:t>
            </w:r>
            <w:r>
              <w:rPr>
                <w:rFonts w:ascii="Times New Roman" w:hAnsi="Times New Roman" w:cs="Times New Roman"/>
                <w:color w:val="000000" w:themeColor="text1"/>
                <w:sz w:val="20"/>
                <w:szCs w:val="20"/>
              </w:rPr>
              <w:t>8</w:t>
            </w:r>
          </w:p>
          <w:p w14:paraId="159F0469" w14:textId="77777777" w:rsidR="000F310A" w:rsidRDefault="000F310A" w:rsidP="00031031">
            <w:pPr>
              <w:jc w:val="center"/>
              <w:rPr>
                <w:rFonts w:ascii="Times New Roman" w:hAnsi="Times New Roman" w:cs="Times New Roman"/>
                <w:color w:val="000000" w:themeColor="text1"/>
                <w:sz w:val="20"/>
                <w:szCs w:val="20"/>
              </w:rPr>
            </w:pPr>
            <w:r w:rsidRPr="00E6633B">
              <w:rPr>
                <w:rFonts w:ascii="Times New Roman" w:hAnsi="Times New Roman" w:cs="Times New Roman"/>
                <w:color w:val="000000" w:themeColor="text1"/>
                <w:sz w:val="20"/>
                <w:szCs w:val="20"/>
              </w:rPr>
              <w:t>20.57</w:t>
            </w:r>
          </w:p>
          <w:p w14:paraId="1078E26D" w14:textId="77777777" w:rsidR="000F310A" w:rsidRPr="00D4671D" w:rsidRDefault="000F310A" w:rsidP="00031031">
            <w:pPr>
              <w:jc w:val="center"/>
              <w:rPr>
                <w:rFonts w:ascii="Times New Roman" w:hAnsi="Times New Roman" w:cs="Times New Roman"/>
                <w:color w:val="000000" w:themeColor="text1"/>
                <w:sz w:val="20"/>
                <w:szCs w:val="20"/>
              </w:rPr>
            </w:pPr>
            <w:r w:rsidRPr="00E6633B">
              <w:rPr>
                <w:rFonts w:ascii="Times New Roman" w:hAnsi="Times New Roman" w:cs="Times New Roman"/>
                <w:color w:val="000000" w:themeColor="text1"/>
                <w:sz w:val="20"/>
                <w:szCs w:val="20"/>
              </w:rPr>
              <w:t>27.8</w:t>
            </w:r>
            <w:r>
              <w:rPr>
                <w:rFonts w:ascii="Times New Roman" w:hAnsi="Times New Roman" w:cs="Times New Roman"/>
                <w:color w:val="000000" w:themeColor="text1"/>
                <w:sz w:val="20"/>
                <w:szCs w:val="20"/>
              </w:rPr>
              <w:t>5</w:t>
            </w:r>
          </w:p>
        </w:tc>
        <w:tc>
          <w:tcPr>
            <w:tcW w:w="666" w:type="dxa"/>
            <w:tcBorders>
              <w:top w:val="single" w:sz="12" w:space="0" w:color="BFBFBF" w:themeColor="background1" w:themeShade="BF"/>
              <w:left w:val="nil"/>
              <w:right w:val="nil"/>
            </w:tcBorders>
            <w:vAlign w:val="center"/>
          </w:tcPr>
          <w:p w14:paraId="08931E82" w14:textId="77777777" w:rsidR="000F310A" w:rsidRDefault="000F310A" w:rsidP="00031031">
            <w:pPr>
              <w:jc w:val="center"/>
              <w:rPr>
                <w:rFonts w:ascii="Times New Roman" w:hAnsi="Times New Roman" w:cs="Times New Roman"/>
                <w:color w:val="000000" w:themeColor="text1"/>
                <w:sz w:val="20"/>
                <w:szCs w:val="20"/>
              </w:rPr>
            </w:pPr>
            <w:r w:rsidRPr="0012490A">
              <w:rPr>
                <w:rFonts w:ascii="Times New Roman" w:hAnsi="Times New Roman" w:cs="Times New Roman"/>
                <w:color w:val="000000" w:themeColor="text1"/>
                <w:sz w:val="20"/>
                <w:szCs w:val="20"/>
              </w:rPr>
              <w:t>0.72</w:t>
            </w:r>
            <w:r>
              <w:rPr>
                <w:rFonts w:ascii="Times New Roman" w:hAnsi="Times New Roman" w:cs="Times New Roman"/>
                <w:color w:val="000000" w:themeColor="text1"/>
                <w:sz w:val="20"/>
                <w:szCs w:val="20"/>
              </w:rPr>
              <w:t>*</w:t>
            </w:r>
          </w:p>
          <w:p w14:paraId="0F060977" w14:textId="77777777" w:rsidR="000F310A"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0.42*</w:t>
            </w:r>
          </w:p>
          <w:p w14:paraId="75A5E275" w14:textId="77777777" w:rsidR="000F310A" w:rsidRPr="00D4671D"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0.52</w:t>
            </w:r>
          </w:p>
        </w:tc>
      </w:tr>
      <w:tr w:rsidR="000F310A" w:rsidRPr="00D4671D" w14:paraId="502FE894" w14:textId="77777777" w:rsidTr="00031031">
        <w:trPr>
          <w:trHeight w:val="600"/>
        </w:trPr>
        <w:tc>
          <w:tcPr>
            <w:tcW w:w="3640" w:type="dxa"/>
            <w:tcBorders>
              <w:top w:val="single" w:sz="12" w:space="0" w:color="BFBFBF" w:themeColor="background1" w:themeShade="BF"/>
              <w:left w:val="nil"/>
              <w:right w:val="nil"/>
            </w:tcBorders>
          </w:tcPr>
          <w:p w14:paraId="731D44C6"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triangulatus-M. lianae</w:t>
            </w:r>
            <w:r w:rsidRPr="00D4671D">
              <w:rPr>
                <w:rFonts w:ascii="Times New Roman" w:hAnsi="Times New Roman" w:cs="Times New Roman"/>
                <w:b/>
                <w:bCs/>
                <w:i/>
                <w:iCs/>
                <w:color w:val="000000" w:themeColor="text1"/>
                <w:sz w:val="20"/>
                <w:szCs w:val="20"/>
              </w:rPr>
              <w:t xml:space="preserve"> – </w:t>
            </w:r>
            <w:r w:rsidRPr="00DD64CA">
              <w:rPr>
                <w:rFonts w:ascii="Times New Roman" w:hAnsi="Times New Roman" w:cs="Times New Roman"/>
                <w:b/>
                <w:bCs/>
                <w:color w:val="000000" w:themeColor="text1"/>
                <w:sz w:val="20"/>
                <w:szCs w:val="20"/>
              </w:rPr>
              <w:t>6</w:t>
            </w:r>
            <w:r w:rsidRPr="00D4671D">
              <w:rPr>
                <w:rFonts w:ascii="Times New Roman" w:hAnsi="Times New Roman" w:cs="Times New Roman"/>
                <w:b/>
                <w:bCs/>
                <w:color w:val="000000" w:themeColor="text1"/>
                <w:sz w:val="20"/>
                <w:szCs w:val="20"/>
              </w:rPr>
              <w:t xml:space="preserve"> groups</w:t>
            </w:r>
          </w:p>
          <w:p w14:paraId="44E4503F" w14:textId="77777777" w:rsidR="000F310A" w:rsidRPr="00DD64C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sidRPr="006B4B90">
              <w:rPr>
                <w:rFonts w:ascii="Times New Roman" w:hAnsi="Times New Roman" w:cs="Times New Roman"/>
                <w:i/>
                <w:iCs/>
                <w:color w:val="000000" w:themeColor="text1"/>
                <w:sz w:val="20"/>
                <w:szCs w:val="20"/>
              </w:rPr>
              <w:t>M. lianae</w:t>
            </w:r>
            <w:r>
              <w:rPr>
                <w:rFonts w:ascii="Times New Roman" w:hAnsi="Times New Roman" w:cs="Times New Roman"/>
                <w:color w:val="000000" w:themeColor="text1"/>
                <w:sz w:val="20"/>
                <w:szCs w:val="20"/>
              </w:rPr>
              <w:t xml:space="preserve"> and </w:t>
            </w:r>
            <w:r w:rsidRPr="006B4B90">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 xml:space="preserve"> (TRT)</w:t>
            </w:r>
          </w:p>
          <w:p w14:paraId="05E76585" w14:textId="77777777" w:rsidR="000F310A" w:rsidRPr="00DD64C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Pr>
                <w:rFonts w:ascii="Times New Roman" w:hAnsi="Times New Roman" w:cs="Times New Roman"/>
                <w:color w:val="000000" w:themeColor="text1"/>
                <w:sz w:val="20"/>
                <w:szCs w:val="20"/>
              </w:rPr>
              <w:t>CUR, DOM</w:t>
            </w:r>
          </w:p>
          <w:p w14:paraId="192E509F" w14:textId="77777777" w:rsidR="000F310A" w:rsidRPr="00DD64C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C: </w:t>
            </w:r>
            <w:r>
              <w:rPr>
                <w:rFonts w:ascii="Times New Roman" w:hAnsi="Times New Roman" w:cs="Times New Roman"/>
                <w:color w:val="000000" w:themeColor="text1"/>
                <w:sz w:val="20"/>
                <w:szCs w:val="20"/>
              </w:rPr>
              <w:t>BAH, CAY, MON, PRI, VIR</w:t>
            </w:r>
          </w:p>
          <w:p w14:paraId="20D7AB2C" w14:textId="77777777" w:rsidR="000F310A" w:rsidRPr="006B4B90"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 xml:space="preserve">Group </w:t>
            </w:r>
            <w:r>
              <w:rPr>
                <w:rFonts w:ascii="Times New Roman" w:hAnsi="Times New Roman" w:cs="Times New Roman"/>
                <w:b/>
                <w:bCs/>
                <w:color w:val="000000" w:themeColor="text1"/>
                <w:sz w:val="20"/>
                <w:szCs w:val="20"/>
              </w:rPr>
              <w:t>D</w:t>
            </w:r>
            <w:r w:rsidRPr="00D4671D">
              <w:rPr>
                <w:rFonts w:ascii="Times New Roman" w:hAnsi="Times New Roman" w:cs="Times New Roman"/>
                <w:b/>
                <w:bCs/>
                <w:color w:val="000000" w:themeColor="text1"/>
                <w:sz w:val="20"/>
                <w:szCs w:val="20"/>
              </w:rPr>
              <w:t>:</w:t>
            </w:r>
            <w:r>
              <w:rPr>
                <w:rFonts w:ascii="Times New Roman" w:hAnsi="Times New Roman" w:cs="Times New Roman"/>
                <w:color w:val="000000" w:themeColor="text1"/>
                <w:sz w:val="20"/>
                <w:szCs w:val="20"/>
              </w:rPr>
              <w:t xml:space="preserve"> San Andrés</w:t>
            </w:r>
          </w:p>
          <w:p w14:paraId="0CCE6E6F" w14:textId="77777777" w:rsidR="000F310A" w:rsidRPr="00DD64C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w:t>
            </w:r>
            <w:r>
              <w:rPr>
                <w:rFonts w:ascii="Times New Roman" w:hAnsi="Times New Roman" w:cs="Times New Roman"/>
                <w:b/>
                <w:bCs/>
                <w:color w:val="000000" w:themeColor="text1"/>
                <w:sz w:val="20"/>
                <w:szCs w:val="20"/>
              </w:rPr>
              <w:t>E</w:t>
            </w:r>
            <w:r w:rsidRPr="00D4671D">
              <w:rPr>
                <w:rFonts w:ascii="Times New Roman" w:hAnsi="Times New Roman" w:cs="Times New Roman"/>
                <w:b/>
                <w:bCs/>
                <w:color w:val="000000" w:themeColor="text1"/>
                <w:sz w:val="20"/>
                <w:szCs w:val="20"/>
              </w:rPr>
              <w:t xml:space="preserve">: </w:t>
            </w:r>
            <w:r w:rsidRPr="00DD64CA">
              <w:rPr>
                <w:rFonts w:ascii="Times New Roman" w:hAnsi="Times New Roman" w:cs="Times New Roman"/>
                <w:color w:val="000000" w:themeColor="text1"/>
                <w:sz w:val="20"/>
                <w:szCs w:val="20"/>
              </w:rPr>
              <w:t>Western Caribbean</w:t>
            </w:r>
          </w:p>
          <w:p w14:paraId="666F5BAF" w14:textId="77777777" w:rsidR="000F310A" w:rsidRPr="00D4671D"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 xml:space="preserve">Group </w:t>
            </w:r>
            <w:r>
              <w:rPr>
                <w:rFonts w:ascii="Times New Roman" w:hAnsi="Times New Roman" w:cs="Times New Roman"/>
                <w:b/>
                <w:bCs/>
                <w:color w:val="000000" w:themeColor="text1"/>
                <w:sz w:val="20"/>
                <w:szCs w:val="20"/>
              </w:rPr>
              <w:t>F</w:t>
            </w:r>
            <w:r w:rsidRPr="00D4671D">
              <w:rPr>
                <w:rFonts w:ascii="Times New Roman" w:hAnsi="Times New Roman" w:cs="Times New Roman"/>
                <w:b/>
                <w:bCs/>
                <w:color w:val="000000" w:themeColor="text1"/>
                <w:sz w:val="20"/>
                <w:szCs w:val="20"/>
              </w:rPr>
              <w:t>:</w:t>
            </w:r>
            <w:r>
              <w:rPr>
                <w:rFonts w:ascii="Times New Roman" w:hAnsi="Times New Roman" w:cs="Times New Roman"/>
                <w:b/>
                <w:bCs/>
                <w:color w:val="000000" w:themeColor="text1"/>
                <w:sz w:val="20"/>
                <w:szCs w:val="20"/>
              </w:rPr>
              <w:t xml:space="preserve"> </w:t>
            </w:r>
            <w:r w:rsidRPr="00DD64CA">
              <w:rPr>
                <w:rFonts w:ascii="Times New Roman" w:hAnsi="Times New Roman" w:cs="Times New Roman"/>
                <w:color w:val="000000" w:themeColor="text1"/>
                <w:sz w:val="20"/>
                <w:szCs w:val="20"/>
              </w:rPr>
              <w:t>Gulf of Mexico</w:t>
            </w:r>
          </w:p>
        </w:tc>
        <w:tc>
          <w:tcPr>
            <w:tcW w:w="3198" w:type="dxa"/>
            <w:tcBorders>
              <w:top w:val="single" w:sz="12" w:space="0" w:color="BFBFBF" w:themeColor="background1" w:themeShade="BF"/>
              <w:left w:val="nil"/>
              <w:right w:val="nil"/>
            </w:tcBorders>
            <w:vAlign w:val="center"/>
          </w:tcPr>
          <w:p w14:paraId="591D2DBA"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4F701AA7"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1ABB4998"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right w:val="nil"/>
            </w:tcBorders>
            <w:vAlign w:val="center"/>
          </w:tcPr>
          <w:p w14:paraId="1E03064A" w14:textId="77777777" w:rsidR="000F310A" w:rsidRDefault="000F310A" w:rsidP="00031031">
            <w:pPr>
              <w:jc w:val="center"/>
              <w:rPr>
                <w:rFonts w:ascii="Times New Roman" w:hAnsi="Times New Roman" w:cs="Times New Roman"/>
                <w:color w:val="000000" w:themeColor="text1"/>
                <w:sz w:val="20"/>
                <w:szCs w:val="20"/>
              </w:rPr>
            </w:pPr>
            <w:r w:rsidRPr="00470A1E">
              <w:rPr>
                <w:rFonts w:ascii="Times New Roman" w:hAnsi="Times New Roman" w:cs="Times New Roman"/>
                <w:color w:val="000000" w:themeColor="text1"/>
                <w:sz w:val="20"/>
                <w:szCs w:val="20"/>
              </w:rPr>
              <w:t>5330.0</w:t>
            </w:r>
            <w:r>
              <w:rPr>
                <w:rFonts w:ascii="Times New Roman" w:hAnsi="Times New Roman" w:cs="Times New Roman"/>
                <w:color w:val="000000" w:themeColor="text1"/>
                <w:sz w:val="20"/>
                <w:szCs w:val="20"/>
              </w:rPr>
              <w:t>7</w:t>
            </w:r>
          </w:p>
          <w:p w14:paraId="751515F4" w14:textId="77777777" w:rsidR="000F310A" w:rsidRDefault="000F310A" w:rsidP="00031031">
            <w:pPr>
              <w:jc w:val="center"/>
              <w:rPr>
                <w:rFonts w:ascii="Times New Roman" w:hAnsi="Times New Roman" w:cs="Times New Roman"/>
                <w:color w:val="000000" w:themeColor="text1"/>
                <w:sz w:val="20"/>
                <w:szCs w:val="20"/>
              </w:rPr>
            </w:pPr>
            <w:r w:rsidRPr="00470A1E">
              <w:rPr>
                <w:rFonts w:ascii="Times New Roman" w:hAnsi="Times New Roman" w:cs="Times New Roman"/>
                <w:color w:val="000000" w:themeColor="text1"/>
                <w:sz w:val="20"/>
                <w:szCs w:val="20"/>
              </w:rPr>
              <w:t>1721.</w:t>
            </w:r>
            <w:r>
              <w:rPr>
                <w:rFonts w:ascii="Times New Roman" w:hAnsi="Times New Roman" w:cs="Times New Roman"/>
                <w:color w:val="000000" w:themeColor="text1"/>
                <w:sz w:val="20"/>
                <w:szCs w:val="20"/>
              </w:rPr>
              <w:t>90</w:t>
            </w:r>
          </w:p>
          <w:p w14:paraId="44F82003" w14:textId="77777777" w:rsidR="000F310A" w:rsidRPr="00D4671D" w:rsidRDefault="000F310A" w:rsidP="00031031">
            <w:pPr>
              <w:jc w:val="center"/>
              <w:rPr>
                <w:rFonts w:ascii="Times New Roman" w:hAnsi="Times New Roman" w:cs="Times New Roman"/>
                <w:color w:val="000000" w:themeColor="text1"/>
                <w:sz w:val="20"/>
                <w:szCs w:val="20"/>
              </w:rPr>
            </w:pPr>
            <w:r w:rsidRPr="00470A1E">
              <w:rPr>
                <w:rFonts w:ascii="Times New Roman" w:hAnsi="Times New Roman" w:cs="Times New Roman"/>
                <w:color w:val="000000" w:themeColor="text1"/>
                <w:sz w:val="20"/>
                <w:szCs w:val="20"/>
              </w:rPr>
              <w:t>4344.66</w:t>
            </w:r>
          </w:p>
        </w:tc>
        <w:tc>
          <w:tcPr>
            <w:tcW w:w="889" w:type="dxa"/>
            <w:tcBorders>
              <w:top w:val="single" w:sz="12" w:space="0" w:color="BFBFBF" w:themeColor="background1" w:themeShade="BF"/>
              <w:left w:val="nil"/>
              <w:right w:val="nil"/>
            </w:tcBorders>
            <w:vAlign w:val="center"/>
          </w:tcPr>
          <w:p w14:paraId="7DF0DBFE" w14:textId="77777777" w:rsidR="000F310A" w:rsidRDefault="000F310A" w:rsidP="00031031">
            <w:pPr>
              <w:jc w:val="center"/>
              <w:rPr>
                <w:rFonts w:ascii="Times New Roman" w:hAnsi="Times New Roman" w:cs="Times New Roman"/>
                <w:color w:val="000000" w:themeColor="text1"/>
                <w:sz w:val="20"/>
                <w:szCs w:val="20"/>
              </w:rPr>
            </w:pPr>
            <w:r w:rsidRPr="00470A1E">
              <w:rPr>
                <w:rFonts w:ascii="Times New Roman" w:hAnsi="Times New Roman" w:cs="Times New Roman"/>
                <w:color w:val="000000" w:themeColor="text1"/>
                <w:sz w:val="20"/>
                <w:szCs w:val="20"/>
              </w:rPr>
              <w:t>44.4</w:t>
            </w:r>
            <w:r>
              <w:rPr>
                <w:rFonts w:ascii="Times New Roman" w:hAnsi="Times New Roman" w:cs="Times New Roman"/>
                <w:color w:val="000000" w:themeColor="text1"/>
                <w:sz w:val="20"/>
                <w:szCs w:val="20"/>
              </w:rPr>
              <w:t>7</w:t>
            </w:r>
          </w:p>
          <w:p w14:paraId="1C34955D" w14:textId="77777777" w:rsidR="000F310A" w:rsidRDefault="000F310A" w:rsidP="00031031">
            <w:pPr>
              <w:jc w:val="center"/>
              <w:rPr>
                <w:rFonts w:ascii="Times New Roman" w:hAnsi="Times New Roman" w:cs="Times New Roman"/>
                <w:color w:val="000000" w:themeColor="text1"/>
                <w:sz w:val="20"/>
                <w:szCs w:val="20"/>
              </w:rPr>
            </w:pPr>
            <w:r w:rsidRPr="00470A1E">
              <w:rPr>
                <w:rFonts w:ascii="Times New Roman" w:hAnsi="Times New Roman" w:cs="Times New Roman"/>
                <w:color w:val="000000" w:themeColor="text1"/>
                <w:sz w:val="20"/>
                <w:szCs w:val="20"/>
              </w:rPr>
              <w:t>13.58</w:t>
            </w:r>
          </w:p>
          <w:p w14:paraId="2852CE74" w14:textId="77777777" w:rsidR="000F310A" w:rsidRPr="00D4671D" w:rsidRDefault="000F310A" w:rsidP="00031031">
            <w:pPr>
              <w:jc w:val="center"/>
              <w:rPr>
                <w:rFonts w:ascii="Times New Roman" w:hAnsi="Times New Roman" w:cs="Times New Roman"/>
                <w:color w:val="000000" w:themeColor="text1"/>
                <w:sz w:val="20"/>
                <w:szCs w:val="20"/>
              </w:rPr>
            </w:pPr>
            <w:r w:rsidRPr="00470A1E">
              <w:rPr>
                <w:rFonts w:ascii="Times New Roman" w:hAnsi="Times New Roman" w:cs="Times New Roman"/>
                <w:color w:val="000000" w:themeColor="text1"/>
                <w:sz w:val="20"/>
                <w:szCs w:val="20"/>
              </w:rPr>
              <w:t>41.95</w:t>
            </w:r>
          </w:p>
        </w:tc>
        <w:tc>
          <w:tcPr>
            <w:tcW w:w="666" w:type="dxa"/>
            <w:tcBorders>
              <w:top w:val="single" w:sz="12" w:space="0" w:color="BFBFBF" w:themeColor="background1" w:themeShade="BF"/>
              <w:left w:val="nil"/>
              <w:right w:val="nil"/>
            </w:tcBorders>
            <w:vAlign w:val="center"/>
          </w:tcPr>
          <w:p w14:paraId="0BC6FE6D" w14:textId="77777777" w:rsidR="000F310A" w:rsidRDefault="000F310A" w:rsidP="00031031">
            <w:pPr>
              <w:jc w:val="center"/>
              <w:rPr>
                <w:rFonts w:ascii="Times New Roman" w:hAnsi="Times New Roman" w:cs="Times New Roman"/>
                <w:color w:val="000000" w:themeColor="text1"/>
                <w:sz w:val="20"/>
                <w:szCs w:val="20"/>
              </w:rPr>
            </w:pPr>
            <w:r w:rsidRPr="00470A1E">
              <w:rPr>
                <w:rFonts w:ascii="Times New Roman" w:hAnsi="Times New Roman" w:cs="Times New Roman"/>
                <w:color w:val="000000" w:themeColor="text1"/>
                <w:sz w:val="20"/>
                <w:szCs w:val="20"/>
              </w:rPr>
              <w:t>0.58</w:t>
            </w:r>
            <w:r>
              <w:rPr>
                <w:rFonts w:ascii="Times New Roman" w:hAnsi="Times New Roman" w:cs="Times New Roman"/>
                <w:color w:val="000000" w:themeColor="text1"/>
                <w:sz w:val="20"/>
                <w:szCs w:val="20"/>
              </w:rPr>
              <w:t>*</w:t>
            </w:r>
          </w:p>
          <w:p w14:paraId="6C1B5D9B" w14:textId="77777777" w:rsidR="000F310A"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0.24*</w:t>
            </w:r>
          </w:p>
          <w:p w14:paraId="70E3047B" w14:textId="77777777" w:rsidR="000F310A" w:rsidRPr="00D4671D"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0.44*</w:t>
            </w:r>
          </w:p>
        </w:tc>
      </w:tr>
      <w:tr w:rsidR="000F310A" w:rsidRPr="00D4671D" w14:paraId="1452FA53" w14:textId="77777777" w:rsidTr="00031031">
        <w:trPr>
          <w:trHeight w:val="1101"/>
        </w:trPr>
        <w:tc>
          <w:tcPr>
            <w:tcW w:w="3640" w:type="dxa"/>
            <w:tcBorders>
              <w:top w:val="single" w:sz="12" w:space="0" w:color="BFBFBF" w:themeColor="background1" w:themeShade="BF"/>
              <w:left w:val="nil"/>
              <w:right w:val="nil"/>
            </w:tcBorders>
          </w:tcPr>
          <w:p w14:paraId="58FA6662" w14:textId="77777777" w:rsidR="000F310A" w:rsidRPr="00D4671D" w:rsidRDefault="000F310A" w:rsidP="00031031">
            <w:pPr>
              <w:rPr>
                <w:rFonts w:ascii="Times New Roman" w:hAnsi="Times New Roman" w:cs="Times New Roman"/>
                <w:b/>
                <w:bCs/>
                <w:color w:val="000000" w:themeColor="text1"/>
                <w:sz w:val="20"/>
                <w:szCs w:val="20"/>
              </w:rPr>
            </w:pPr>
            <w:r w:rsidRPr="00D4671D">
              <w:rPr>
                <w:rFonts w:ascii="Times New Roman" w:hAnsi="Times New Roman" w:cs="Times New Roman"/>
                <w:b/>
                <w:bCs/>
                <w:i/>
                <w:iCs/>
                <w:color w:val="000000" w:themeColor="text1"/>
                <w:sz w:val="20"/>
                <w:szCs w:val="20"/>
              </w:rPr>
              <w:t xml:space="preserve">M. </w:t>
            </w:r>
            <w:r>
              <w:rPr>
                <w:rFonts w:ascii="Times New Roman" w:hAnsi="Times New Roman" w:cs="Times New Roman"/>
                <w:b/>
                <w:bCs/>
                <w:i/>
                <w:iCs/>
                <w:color w:val="000000" w:themeColor="text1"/>
                <w:sz w:val="20"/>
                <w:szCs w:val="20"/>
              </w:rPr>
              <w:t>triangulatus-M. lianae</w:t>
            </w:r>
            <w:r w:rsidRPr="00D4671D">
              <w:rPr>
                <w:rFonts w:ascii="Times New Roman" w:hAnsi="Times New Roman" w:cs="Times New Roman"/>
                <w:b/>
                <w:bCs/>
                <w:i/>
                <w:iCs/>
                <w:color w:val="000000" w:themeColor="text1"/>
                <w:sz w:val="20"/>
                <w:szCs w:val="20"/>
              </w:rPr>
              <w:t xml:space="preserve"> – </w:t>
            </w:r>
            <w:r w:rsidRPr="001312C1">
              <w:rPr>
                <w:rFonts w:ascii="Times New Roman" w:hAnsi="Times New Roman" w:cs="Times New Roman"/>
                <w:b/>
                <w:bCs/>
                <w:color w:val="000000" w:themeColor="text1"/>
                <w:sz w:val="20"/>
                <w:szCs w:val="20"/>
              </w:rPr>
              <w:t>9</w:t>
            </w:r>
            <w:r w:rsidRPr="00D4671D">
              <w:rPr>
                <w:rFonts w:ascii="Times New Roman" w:hAnsi="Times New Roman" w:cs="Times New Roman"/>
                <w:b/>
                <w:bCs/>
                <w:color w:val="000000" w:themeColor="text1"/>
                <w:sz w:val="20"/>
                <w:szCs w:val="20"/>
              </w:rPr>
              <w:t xml:space="preserve"> groups</w:t>
            </w:r>
          </w:p>
          <w:p w14:paraId="193697AB" w14:textId="77777777" w:rsidR="000F310A" w:rsidRPr="00DD64C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Group A:</w:t>
            </w:r>
            <w:r w:rsidRPr="00D4671D">
              <w:rPr>
                <w:rFonts w:ascii="Times New Roman" w:hAnsi="Times New Roman" w:cs="Times New Roman"/>
                <w:color w:val="000000" w:themeColor="text1"/>
                <w:sz w:val="20"/>
                <w:szCs w:val="20"/>
              </w:rPr>
              <w:t xml:space="preserve"> </w:t>
            </w:r>
            <w:r w:rsidRPr="006B4B90">
              <w:rPr>
                <w:rFonts w:ascii="Times New Roman" w:hAnsi="Times New Roman" w:cs="Times New Roman"/>
                <w:i/>
                <w:iCs/>
                <w:color w:val="000000" w:themeColor="text1"/>
                <w:sz w:val="20"/>
                <w:szCs w:val="20"/>
              </w:rPr>
              <w:t>M. lianae</w:t>
            </w:r>
            <w:r>
              <w:rPr>
                <w:rFonts w:ascii="Times New Roman" w:hAnsi="Times New Roman" w:cs="Times New Roman"/>
                <w:color w:val="000000" w:themeColor="text1"/>
                <w:sz w:val="20"/>
                <w:szCs w:val="20"/>
              </w:rPr>
              <w:t xml:space="preserve"> </w:t>
            </w:r>
          </w:p>
          <w:p w14:paraId="5E653B55" w14:textId="77777777" w:rsidR="000F310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B: </w:t>
            </w:r>
            <w:r w:rsidRPr="006B4B90">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 xml:space="preserve"> (TRT)</w:t>
            </w:r>
          </w:p>
          <w:p w14:paraId="6CA21F44" w14:textId="77777777" w:rsidR="000F310A" w:rsidRPr="00DD64C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C: </w:t>
            </w:r>
            <w:r>
              <w:rPr>
                <w:rFonts w:ascii="Times New Roman" w:hAnsi="Times New Roman" w:cs="Times New Roman"/>
                <w:color w:val="000000" w:themeColor="text1"/>
                <w:sz w:val="20"/>
                <w:szCs w:val="20"/>
              </w:rPr>
              <w:t>TRT hybrids</w:t>
            </w:r>
          </w:p>
          <w:p w14:paraId="2296696B" w14:textId="77777777" w:rsidR="000F310A" w:rsidRPr="006B4B90" w:rsidRDefault="000F310A" w:rsidP="00031031">
            <w:pPr>
              <w:rPr>
                <w:rFonts w:ascii="Times New Roman" w:hAnsi="Times New Roman" w:cs="Times New Roman"/>
                <w:b/>
                <w:bCs/>
                <w:i/>
                <w:iCs/>
                <w:color w:val="000000" w:themeColor="text1"/>
                <w:sz w:val="20"/>
                <w:szCs w:val="20"/>
              </w:rPr>
            </w:pPr>
            <w:r w:rsidRPr="00D4671D">
              <w:rPr>
                <w:rFonts w:ascii="Times New Roman" w:hAnsi="Times New Roman" w:cs="Times New Roman"/>
                <w:b/>
                <w:bCs/>
                <w:color w:val="000000" w:themeColor="text1"/>
                <w:sz w:val="20"/>
                <w:szCs w:val="20"/>
              </w:rPr>
              <w:t xml:space="preserve">Group </w:t>
            </w:r>
            <w:r>
              <w:rPr>
                <w:rFonts w:ascii="Times New Roman" w:hAnsi="Times New Roman" w:cs="Times New Roman"/>
                <w:b/>
                <w:bCs/>
                <w:color w:val="000000" w:themeColor="text1"/>
                <w:sz w:val="20"/>
                <w:szCs w:val="20"/>
              </w:rPr>
              <w:t>D</w:t>
            </w:r>
            <w:r w:rsidRPr="00D4671D">
              <w:rPr>
                <w:rFonts w:ascii="Times New Roman" w:hAnsi="Times New Roman" w:cs="Times New Roman"/>
                <w:b/>
                <w:bCs/>
                <w:color w:val="000000" w:themeColor="text1"/>
                <w:sz w:val="20"/>
                <w:szCs w:val="20"/>
              </w:rPr>
              <w:t>:</w:t>
            </w:r>
            <w:r>
              <w:rPr>
                <w:rFonts w:ascii="Times New Roman" w:hAnsi="Times New Roman" w:cs="Times New Roman"/>
                <w:color w:val="000000" w:themeColor="text1"/>
                <w:sz w:val="20"/>
                <w:szCs w:val="20"/>
              </w:rPr>
              <w:t xml:space="preserve"> San Andrés</w:t>
            </w:r>
          </w:p>
          <w:p w14:paraId="7F56EF21" w14:textId="77777777" w:rsidR="000F310A" w:rsidRPr="00DD64C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w:t>
            </w:r>
            <w:r>
              <w:rPr>
                <w:rFonts w:ascii="Times New Roman" w:hAnsi="Times New Roman" w:cs="Times New Roman"/>
                <w:b/>
                <w:bCs/>
                <w:color w:val="000000" w:themeColor="text1"/>
                <w:sz w:val="20"/>
                <w:szCs w:val="20"/>
              </w:rPr>
              <w:t>E</w:t>
            </w:r>
            <w:r w:rsidRPr="00D4671D">
              <w:rPr>
                <w:rFonts w:ascii="Times New Roman" w:hAnsi="Times New Roman" w:cs="Times New Roman"/>
                <w:b/>
                <w:bCs/>
                <w:color w:val="000000" w:themeColor="text1"/>
                <w:sz w:val="20"/>
                <w:szCs w:val="20"/>
              </w:rPr>
              <w:t xml:space="preserve">: </w:t>
            </w:r>
            <w:r>
              <w:rPr>
                <w:rFonts w:ascii="Times New Roman" w:hAnsi="Times New Roman" w:cs="Times New Roman"/>
                <w:color w:val="000000" w:themeColor="text1"/>
                <w:sz w:val="20"/>
                <w:szCs w:val="20"/>
              </w:rPr>
              <w:t>BAH, CAY, MON</w:t>
            </w:r>
          </w:p>
          <w:p w14:paraId="4520CD35" w14:textId="77777777" w:rsidR="000F310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w:t>
            </w:r>
            <w:r>
              <w:rPr>
                <w:rFonts w:ascii="Times New Roman" w:hAnsi="Times New Roman" w:cs="Times New Roman"/>
                <w:b/>
                <w:bCs/>
                <w:color w:val="000000" w:themeColor="text1"/>
                <w:sz w:val="20"/>
                <w:szCs w:val="20"/>
              </w:rPr>
              <w:t>F</w:t>
            </w:r>
            <w:r w:rsidRPr="00D4671D">
              <w:rPr>
                <w:rFonts w:ascii="Times New Roman" w:hAnsi="Times New Roman" w:cs="Times New Roman"/>
                <w:b/>
                <w:bCs/>
                <w:color w:val="000000" w:themeColor="text1"/>
                <w:sz w:val="20"/>
                <w:szCs w:val="20"/>
              </w:rPr>
              <w:t>:</w:t>
            </w:r>
            <w:r>
              <w:rPr>
                <w:rFonts w:ascii="Times New Roman" w:hAnsi="Times New Roman" w:cs="Times New Roman"/>
                <w:b/>
                <w:bCs/>
                <w:color w:val="000000" w:themeColor="text1"/>
                <w:sz w:val="20"/>
                <w:szCs w:val="20"/>
              </w:rPr>
              <w:t xml:space="preserve"> </w:t>
            </w:r>
            <w:r>
              <w:rPr>
                <w:rFonts w:ascii="Times New Roman" w:hAnsi="Times New Roman" w:cs="Times New Roman"/>
                <w:color w:val="000000" w:themeColor="text1"/>
                <w:sz w:val="20"/>
                <w:szCs w:val="20"/>
              </w:rPr>
              <w:t>FLO, VER</w:t>
            </w:r>
          </w:p>
          <w:p w14:paraId="166D4CCA" w14:textId="77777777" w:rsidR="000F310A" w:rsidRPr="00DD64C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w:t>
            </w:r>
            <w:r>
              <w:rPr>
                <w:rFonts w:ascii="Times New Roman" w:hAnsi="Times New Roman" w:cs="Times New Roman"/>
                <w:b/>
                <w:bCs/>
                <w:color w:val="000000" w:themeColor="text1"/>
                <w:sz w:val="20"/>
                <w:szCs w:val="20"/>
              </w:rPr>
              <w:t>G</w:t>
            </w:r>
            <w:r w:rsidRPr="00D4671D">
              <w:rPr>
                <w:rFonts w:ascii="Times New Roman" w:hAnsi="Times New Roman" w:cs="Times New Roman"/>
                <w:b/>
                <w:bCs/>
                <w:color w:val="000000" w:themeColor="text1"/>
                <w:sz w:val="20"/>
                <w:szCs w:val="20"/>
              </w:rPr>
              <w:t xml:space="preserve">: </w:t>
            </w:r>
            <w:r>
              <w:rPr>
                <w:rFonts w:ascii="Times New Roman" w:hAnsi="Times New Roman" w:cs="Times New Roman"/>
                <w:color w:val="000000" w:themeColor="text1"/>
                <w:sz w:val="20"/>
                <w:szCs w:val="20"/>
              </w:rPr>
              <w:t>PRI, VIR, DOM, CUR</w:t>
            </w:r>
          </w:p>
          <w:p w14:paraId="7A278F63" w14:textId="77777777" w:rsidR="000F310A"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b/>
                <w:bCs/>
                <w:color w:val="000000" w:themeColor="text1"/>
                <w:sz w:val="20"/>
                <w:szCs w:val="20"/>
              </w:rPr>
              <w:t xml:space="preserve">Group </w:t>
            </w:r>
            <w:r>
              <w:rPr>
                <w:rFonts w:ascii="Times New Roman" w:hAnsi="Times New Roman" w:cs="Times New Roman"/>
                <w:b/>
                <w:bCs/>
                <w:color w:val="000000" w:themeColor="text1"/>
                <w:sz w:val="20"/>
                <w:szCs w:val="20"/>
              </w:rPr>
              <w:t>H</w:t>
            </w:r>
            <w:r w:rsidRPr="00D4671D">
              <w:rPr>
                <w:rFonts w:ascii="Times New Roman" w:hAnsi="Times New Roman" w:cs="Times New Roman"/>
                <w:b/>
                <w:bCs/>
                <w:color w:val="000000" w:themeColor="text1"/>
                <w:sz w:val="20"/>
                <w:szCs w:val="20"/>
              </w:rPr>
              <w:t>:</w:t>
            </w:r>
            <w:r>
              <w:rPr>
                <w:rFonts w:ascii="Times New Roman" w:hAnsi="Times New Roman" w:cs="Times New Roman"/>
                <w:b/>
                <w:bCs/>
                <w:color w:val="000000" w:themeColor="text1"/>
                <w:sz w:val="20"/>
                <w:szCs w:val="20"/>
              </w:rPr>
              <w:t xml:space="preserve"> </w:t>
            </w:r>
            <w:r>
              <w:rPr>
                <w:rFonts w:ascii="Times New Roman" w:hAnsi="Times New Roman" w:cs="Times New Roman"/>
                <w:color w:val="000000" w:themeColor="text1"/>
                <w:sz w:val="20"/>
                <w:szCs w:val="20"/>
              </w:rPr>
              <w:t>PAN, LIM, TAY</w:t>
            </w:r>
          </w:p>
          <w:p w14:paraId="5AB4B709" w14:textId="77777777" w:rsidR="000F310A" w:rsidRPr="00734448" w:rsidRDefault="000F310A" w:rsidP="00031031">
            <w:pPr>
              <w:rPr>
                <w:rFonts w:ascii="Times New Roman" w:hAnsi="Times New Roman" w:cs="Times New Roman"/>
                <w:i/>
                <w:iCs/>
                <w:color w:val="000000" w:themeColor="text1"/>
                <w:sz w:val="20"/>
                <w:szCs w:val="20"/>
              </w:rPr>
            </w:pPr>
            <w:r w:rsidRPr="00D4671D">
              <w:rPr>
                <w:rFonts w:ascii="Times New Roman" w:hAnsi="Times New Roman" w:cs="Times New Roman"/>
                <w:b/>
                <w:bCs/>
                <w:color w:val="000000" w:themeColor="text1"/>
                <w:sz w:val="20"/>
                <w:szCs w:val="20"/>
              </w:rPr>
              <w:t xml:space="preserve">Group </w:t>
            </w:r>
            <w:r>
              <w:rPr>
                <w:rFonts w:ascii="Times New Roman" w:hAnsi="Times New Roman" w:cs="Times New Roman"/>
                <w:b/>
                <w:bCs/>
                <w:color w:val="000000" w:themeColor="text1"/>
                <w:sz w:val="20"/>
                <w:szCs w:val="20"/>
              </w:rPr>
              <w:t>I</w:t>
            </w:r>
            <w:r w:rsidRPr="00D4671D">
              <w:rPr>
                <w:rFonts w:ascii="Times New Roman" w:hAnsi="Times New Roman" w:cs="Times New Roman"/>
                <w:b/>
                <w:bCs/>
                <w:color w:val="000000" w:themeColor="text1"/>
                <w:sz w:val="20"/>
                <w:szCs w:val="20"/>
              </w:rPr>
              <w:t>:</w:t>
            </w:r>
            <w:r>
              <w:rPr>
                <w:rFonts w:ascii="Times New Roman" w:hAnsi="Times New Roman" w:cs="Times New Roman"/>
                <w:b/>
                <w:bCs/>
                <w:color w:val="000000" w:themeColor="text1"/>
                <w:sz w:val="20"/>
                <w:szCs w:val="20"/>
              </w:rPr>
              <w:t xml:space="preserve"> </w:t>
            </w:r>
            <w:r w:rsidRPr="001312C1">
              <w:rPr>
                <w:rFonts w:ascii="Times New Roman" w:hAnsi="Times New Roman" w:cs="Times New Roman"/>
                <w:color w:val="000000" w:themeColor="text1"/>
                <w:sz w:val="20"/>
                <w:szCs w:val="20"/>
              </w:rPr>
              <w:t>BLZ, YUC</w:t>
            </w:r>
          </w:p>
        </w:tc>
        <w:tc>
          <w:tcPr>
            <w:tcW w:w="3198" w:type="dxa"/>
            <w:tcBorders>
              <w:top w:val="single" w:sz="12" w:space="0" w:color="BFBFBF" w:themeColor="background1" w:themeShade="BF"/>
              <w:left w:val="nil"/>
              <w:right w:val="nil"/>
            </w:tcBorders>
            <w:vAlign w:val="center"/>
          </w:tcPr>
          <w:p w14:paraId="61DEA7AA"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groups</w:t>
            </w:r>
          </w:p>
          <w:p w14:paraId="35D304F7"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Between </w:t>
            </w:r>
            <w:r>
              <w:rPr>
                <w:rFonts w:ascii="Times New Roman" w:hAnsi="Times New Roman" w:cs="Times New Roman"/>
                <w:color w:val="000000" w:themeColor="text1"/>
                <w:sz w:val="20"/>
                <w:szCs w:val="20"/>
              </w:rPr>
              <w:t>individuals</w:t>
            </w:r>
            <w:r w:rsidRPr="00D4671D">
              <w:rPr>
                <w:rFonts w:ascii="Times New Roman" w:hAnsi="Times New Roman" w:cs="Times New Roman"/>
                <w:color w:val="000000" w:themeColor="text1"/>
                <w:sz w:val="20"/>
                <w:szCs w:val="20"/>
              </w:rPr>
              <w:t xml:space="preserve"> within </w:t>
            </w:r>
            <w:r>
              <w:rPr>
                <w:rFonts w:ascii="Times New Roman" w:hAnsi="Times New Roman" w:cs="Times New Roman"/>
                <w:color w:val="000000" w:themeColor="text1"/>
                <w:sz w:val="20"/>
                <w:szCs w:val="20"/>
              </w:rPr>
              <w:t>groups</w:t>
            </w:r>
          </w:p>
          <w:p w14:paraId="7B725A42"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color w:val="000000" w:themeColor="text1"/>
                <w:sz w:val="20"/>
                <w:szCs w:val="20"/>
              </w:rPr>
              <w:t xml:space="preserve">Within </w:t>
            </w:r>
            <w:r>
              <w:rPr>
                <w:rFonts w:ascii="Times New Roman" w:hAnsi="Times New Roman" w:cs="Times New Roman"/>
                <w:color w:val="000000" w:themeColor="text1"/>
                <w:sz w:val="20"/>
                <w:szCs w:val="20"/>
              </w:rPr>
              <w:t>individuals</w:t>
            </w:r>
          </w:p>
        </w:tc>
        <w:tc>
          <w:tcPr>
            <w:tcW w:w="967" w:type="dxa"/>
            <w:tcBorders>
              <w:top w:val="single" w:sz="12" w:space="0" w:color="BFBFBF" w:themeColor="background1" w:themeShade="BF"/>
              <w:left w:val="nil"/>
              <w:right w:val="nil"/>
            </w:tcBorders>
            <w:vAlign w:val="center"/>
          </w:tcPr>
          <w:p w14:paraId="6CFD90B5" w14:textId="77777777" w:rsidR="000F310A" w:rsidRDefault="000F310A" w:rsidP="00031031">
            <w:pPr>
              <w:jc w:val="center"/>
              <w:rPr>
                <w:rFonts w:ascii="Times New Roman" w:hAnsi="Times New Roman" w:cs="Times New Roman"/>
                <w:color w:val="000000" w:themeColor="text1"/>
                <w:sz w:val="20"/>
                <w:szCs w:val="20"/>
              </w:rPr>
            </w:pPr>
            <w:r w:rsidRPr="00937687">
              <w:rPr>
                <w:rFonts w:ascii="Times New Roman" w:hAnsi="Times New Roman" w:cs="Times New Roman"/>
                <w:color w:val="000000" w:themeColor="text1"/>
                <w:sz w:val="20"/>
                <w:szCs w:val="20"/>
              </w:rPr>
              <w:t>6942.4</w:t>
            </w:r>
            <w:r>
              <w:rPr>
                <w:rFonts w:ascii="Times New Roman" w:hAnsi="Times New Roman" w:cs="Times New Roman"/>
                <w:color w:val="000000" w:themeColor="text1"/>
                <w:sz w:val="20"/>
                <w:szCs w:val="20"/>
              </w:rPr>
              <w:t>6</w:t>
            </w:r>
          </w:p>
          <w:p w14:paraId="56A55DF9" w14:textId="77777777" w:rsidR="000F310A" w:rsidRDefault="000F310A" w:rsidP="00031031">
            <w:pPr>
              <w:jc w:val="center"/>
              <w:rPr>
                <w:rFonts w:ascii="Times New Roman" w:hAnsi="Times New Roman" w:cs="Times New Roman"/>
                <w:color w:val="000000" w:themeColor="text1"/>
                <w:sz w:val="20"/>
                <w:szCs w:val="20"/>
              </w:rPr>
            </w:pPr>
            <w:r w:rsidRPr="00937687">
              <w:rPr>
                <w:rFonts w:ascii="Times New Roman" w:hAnsi="Times New Roman" w:cs="Times New Roman"/>
                <w:color w:val="000000" w:themeColor="text1"/>
                <w:sz w:val="20"/>
                <w:szCs w:val="20"/>
              </w:rPr>
              <w:t>906.2</w:t>
            </w:r>
            <w:r>
              <w:rPr>
                <w:rFonts w:ascii="Times New Roman" w:hAnsi="Times New Roman" w:cs="Times New Roman"/>
                <w:color w:val="000000" w:themeColor="text1"/>
                <w:sz w:val="20"/>
                <w:szCs w:val="20"/>
              </w:rPr>
              <w:t>1</w:t>
            </w:r>
          </w:p>
          <w:p w14:paraId="2112FACB" w14:textId="77777777" w:rsidR="000F310A" w:rsidRPr="00D4671D" w:rsidRDefault="000F310A" w:rsidP="00031031">
            <w:pPr>
              <w:jc w:val="center"/>
              <w:rPr>
                <w:rFonts w:ascii="Times New Roman" w:hAnsi="Times New Roman" w:cs="Times New Roman"/>
                <w:color w:val="000000" w:themeColor="text1"/>
                <w:sz w:val="20"/>
                <w:szCs w:val="20"/>
              </w:rPr>
            </w:pPr>
            <w:r w:rsidRPr="00937687">
              <w:rPr>
                <w:rFonts w:ascii="Times New Roman" w:hAnsi="Times New Roman" w:cs="Times New Roman"/>
                <w:color w:val="000000" w:themeColor="text1"/>
                <w:sz w:val="20"/>
                <w:szCs w:val="20"/>
              </w:rPr>
              <w:t>3547.96</w:t>
            </w:r>
          </w:p>
        </w:tc>
        <w:tc>
          <w:tcPr>
            <w:tcW w:w="889" w:type="dxa"/>
            <w:tcBorders>
              <w:top w:val="single" w:sz="12" w:space="0" w:color="BFBFBF" w:themeColor="background1" w:themeShade="BF"/>
              <w:left w:val="nil"/>
              <w:right w:val="nil"/>
            </w:tcBorders>
            <w:vAlign w:val="center"/>
          </w:tcPr>
          <w:p w14:paraId="702BEF59" w14:textId="77777777" w:rsidR="000F310A" w:rsidRDefault="000F310A" w:rsidP="00031031">
            <w:pPr>
              <w:jc w:val="center"/>
              <w:rPr>
                <w:rFonts w:ascii="Times New Roman" w:hAnsi="Times New Roman" w:cs="Times New Roman"/>
                <w:color w:val="000000" w:themeColor="text1"/>
                <w:sz w:val="20"/>
                <w:szCs w:val="20"/>
              </w:rPr>
            </w:pPr>
            <w:r w:rsidRPr="00E63D0B">
              <w:rPr>
                <w:rFonts w:ascii="Times New Roman" w:hAnsi="Times New Roman" w:cs="Times New Roman"/>
                <w:color w:val="000000" w:themeColor="text1"/>
                <w:sz w:val="20"/>
                <w:szCs w:val="20"/>
              </w:rPr>
              <w:t>57.71</w:t>
            </w:r>
          </w:p>
          <w:p w14:paraId="608A0C9C" w14:textId="77777777" w:rsidR="000F310A" w:rsidRDefault="000F310A" w:rsidP="00031031">
            <w:pPr>
              <w:jc w:val="center"/>
              <w:rPr>
                <w:rFonts w:ascii="Times New Roman" w:hAnsi="Times New Roman" w:cs="Times New Roman"/>
                <w:color w:val="000000" w:themeColor="text1"/>
                <w:sz w:val="20"/>
                <w:szCs w:val="20"/>
              </w:rPr>
            </w:pPr>
            <w:r w:rsidRPr="00E63D0B">
              <w:rPr>
                <w:rFonts w:ascii="Times New Roman" w:hAnsi="Times New Roman" w:cs="Times New Roman"/>
                <w:color w:val="000000" w:themeColor="text1"/>
                <w:sz w:val="20"/>
                <w:szCs w:val="20"/>
              </w:rPr>
              <w:t>7.26</w:t>
            </w:r>
          </w:p>
          <w:p w14:paraId="2B12B070" w14:textId="77777777" w:rsidR="000F310A" w:rsidRPr="00D4671D" w:rsidRDefault="000F310A" w:rsidP="00031031">
            <w:pPr>
              <w:jc w:val="center"/>
              <w:rPr>
                <w:rFonts w:ascii="Times New Roman" w:hAnsi="Times New Roman" w:cs="Times New Roman"/>
                <w:color w:val="000000" w:themeColor="text1"/>
                <w:sz w:val="20"/>
                <w:szCs w:val="20"/>
              </w:rPr>
            </w:pPr>
            <w:r w:rsidRPr="00E63D0B">
              <w:rPr>
                <w:rFonts w:ascii="Times New Roman" w:hAnsi="Times New Roman" w:cs="Times New Roman"/>
                <w:color w:val="000000" w:themeColor="text1"/>
                <w:sz w:val="20"/>
                <w:szCs w:val="20"/>
              </w:rPr>
              <w:t>35.02</w:t>
            </w:r>
          </w:p>
        </w:tc>
        <w:tc>
          <w:tcPr>
            <w:tcW w:w="666" w:type="dxa"/>
            <w:tcBorders>
              <w:top w:val="single" w:sz="12" w:space="0" w:color="BFBFBF" w:themeColor="background1" w:themeShade="BF"/>
              <w:left w:val="nil"/>
              <w:right w:val="nil"/>
            </w:tcBorders>
            <w:vAlign w:val="center"/>
          </w:tcPr>
          <w:p w14:paraId="07078485" w14:textId="77777777" w:rsidR="000F310A"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p w14:paraId="46738EE6" w14:textId="77777777" w:rsidR="000F310A"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p w14:paraId="5A3DEA51" w14:textId="77777777" w:rsidR="000F310A" w:rsidRPr="00D4671D" w:rsidRDefault="000F310A" w:rsidP="0003103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0F310A" w:rsidRPr="00D4671D" w14:paraId="6B08E07A" w14:textId="77777777" w:rsidTr="00031031">
        <w:tc>
          <w:tcPr>
            <w:tcW w:w="9360" w:type="dxa"/>
            <w:gridSpan w:val="5"/>
            <w:tcBorders>
              <w:top w:val="single" w:sz="18" w:space="0" w:color="auto"/>
              <w:left w:val="nil"/>
              <w:bottom w:val="nil"/>
              <w:right w:val="nil"/>
            </w:tcBorders>
          </w:tcPr>
          <w:p w14:paraId="4E59EDE9" w14:textId="77777777" w:rsidR="000F310A" w:rsidRPr="00D4671D" w:rsidRDefault="000F310A" w:rsidP="00031031">
            <w:pPr>
              <w:rPr>
                <w:rFonts w:ascii="Times New Roman" w:hAnsi="Times New Roman" w:cs="Times New Roman"/>
                <w:color w:val="000000" w:themeColor="text1"/>
                <w:sz w:val="20"/>
                <w:szCs w:val="20"/>
              </w:rPr>
            </w:pPr>
            <w:r w:rsidRPr="00D4671D">
              <w:rPr>
                <w:rFonts w:ascii="Times New Roman" w:hAnsi="Times New Roman" w:cs="Times New Roman"/>
                <w:i/>
                <w:iCs/>
                <w:color w:val="000000" w:themeColor="text1"/>
                <w:sz w:val="20"/>
                <w:szCs w:val="20"/>
              </w:rPr>
              <w:t>p</w:t>
            </w:r>
            <w:r w:rsidRPr="00D4671D">
              <w:rPr>
                <w:rFonts w:ascii="Times New Roman" w:hAnsi="Times New Roman" w:cs="Times New Roman"/>
                <w:color w:val="000000" w:themeColor="text1"/>
                <w:sz w:val="20"/>
                <w:szCs w:val="20"/>
              </w:rPr>
              <w:t xml:space="preserve"> &lt; 0.001*</w:t>
            </w:r>
          </w:p>
        </w:tc>
      </w:tr>
    </w:tbl>
    <w:p w14:paraId="6A623D79" w14:textId="77777777" w:rsidR="005F36E0" w:rsidRDefault="005F36E0" w:rsidP="000F310A">
      <w:pPr>
        <w:rPr>
          <w:rFonts w:ascii="Times New Roman" w:hAnsi="Times New Roman" w:cs="Times New Roman"/>
          <w:sz w:val="24"/>
          <w:szCs w:val="24"/>
        </w:rPr>
      </w:pPr>
    </w:p>
    <w:p w14:paraId="27406C1A" w14:textId="77777777" w:rsidR="000F310A" w:rsidRDefault="000F310A" w:rsidP="005012C6">
      <w:pPr>
        <w:jc w:val="center"/>
        <w:rPr>
          <w:rFonts w:ascii="Times New Roman" w:hAnsi="Times New Roman" w:cs="Times New Roman"/>
          <w:sz w:val="24"/>
          <w:szCs w:val="24"/>
        </w:rPr>
      </w:pPr>
    </w:p>
    <w:p w14:paraId="603A03D0" w14:textId="77777777" w:rsidR="000F310A" w:rsidRDefault="000F310A" w:rsidP="005012C6">
      <w:pPr>
        <w:jc w:val="center"/>
        <w:rPr>
          <w:rFonts w:ascii="Times New Roman" w:hAnsi="Times New Roman" w:cs="Times New Roman"/>
          <w:sz w:val="24"/>
          <w:szCs w:val="24"/>
        </w:rPr>
      </w:pPr>
    </w:p>
    <w:p w14:paraId="2EC4B792" w14:textId="77777777" w:rsidR="000F310A" w:rsidRPr="000F310A" w:rsidRDefault="000F310A" w:rsidP="000F310A">
      <w:pPr>
        <w:jc w:val="both"/>
        <w:rPr>
          <w:rFonts w:ascii="Times New Roman" w:hAnsi="Times New Roman" w:cs="Times New Roman"/>
          <w:b/>
          <w:bCs/>
          <w:color w:val="000000" w:themeColor="text1"/>
          <w:sz w:val="24"/>
          <w:szCs w:val="24"/>
        </w:rPr>
      </w:pPr>
      <w:r w:rsidRPr="000F310A">
        <w:rPr>
          <w:rFonts w:ascii="Times New Roman" w:hAnsi="Times New Roman" w:cs="Times New Roman"/>
          <w:b/>
          <w:bCs/>
          <w:color w:val="000000" w:themeColor="text1"/>
          <w:sz w:val="24"/>
          <w:szCs w:val="24"/>
        </w:rPr>
        <w:lastRenderedPageBreak/>
        <w:t>PHENOTIPIC ANALYSES OF BODY SHAPE</w:t>
      </w:r>
    </w:p>
    <w:p w14:paraId="4BC33188" w14:textId="77777777" w:rsidR="000F310A" w:rsidRDefault="000F310A" w:rsidP="000F310A">
      <w:pPr>
        <w:rPr>
          <w:rFonts w:ascii="Times New Roman" w:hAnsi="Times New Roman" w:cs="Times New Roman"/>
        </w:rPr>
      </w:pPr>
      <w:r w:rsidRPr="00E23394">
        <w:rPr>
          <w:rFonts w:ascii="Times New Roman" w:hAnsi="Times New Roman" w:cs="Times New Roman"/>
          <w:noProof/>
        </w:rPr>
        <w:drawing>
          <wp:anchor distT="0" distB="0" distL="114300" distR="114300" simplePos="0" relativeHeight="251791360" behindDoc="0" locked="0" layoutInCell="1" allowOverlap="1" wp14:anchorId="0CCBF9E1" wp14:editId="083DE53D">
            <wp:simplePos x="0" y="0"/>
            <wp:positionH relativeFrom="column">
              <wp:posOffset>439713</wp:posOffset>
            </wp:positionH>
            <wp:positionV relativeFrom="paragraph">
              <wp:posOffset>177165</wp:posOffset>
            </wp:positionV>
            <wp:extent cx="4524375" cy="3703320"/>
            <wp:effectExtent l="0" t="0" r="0" b="5080"/>
            <wp:wrapNone/>
            <wp:docPr id="178875115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751153" name="Picture 1" descr="A screenshot of a graph&#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524375" cy="3703320"/>
                    </a:xfrm>
                    <a:prstGeom prst="rect">
                      <a:avLst/>
                    </a:prstGeom>
                  </pic:spPr>
                </pic:pic>
              </a:graphicData>
            </a:graphic>
            <wp14:sizeRelH relativeFrom="page">
              <wp14:pctWidth>0</wp14:pctWidth>
            </wp14:sizeRelH>
            <wp14:sizeRelV relativeFrom="page">
              <wp14:pctHeight>0</wp14:pctHeight>
            </wp14:sizeRelV>
          </wp:anchor>
        </w:drawing>
      </w:r>
    </w:p>
    <w:p w14:paraId="1A5011EA" w14:textId="77777777" w:rsidR="000F310A" w:rsidRDefault="000F310A" w:rsidP="000F310A">
      <w:pPr>
        <w:rPr>
          <w:rFonts w:ascii="Times New Roman" w:hAnsi="Times New Roman" w:cs="Times New Roman"/>
        </w:rPr>
      </w:pPr>
      <w:r w:rsidRPr="00802863">
        <w:rPr>
          <w:rFonts w:ascii="Helvetica" w:hAnsi="Helvetica"/>
          <w:noProof/>
        </w:rPr>
        <mc:AlternateContent>
          <mc:Choice Requires="wps">
            <w:drawing>
              <wp:anchor distT="0" distB="0" distL="114300" distR="114300" simplePos="0" relativeHeight="251792384" behindDoc="0" locked="0" layoutInCell="1" allowOverlap="1" wp14:anchorId="499006FD" wp14:editId="3568E9BC">
                <wp:simplePos x="0" y="0"/>
                <wp:positionH relativeFrom="column">
                  <wp:posOffset>16625</wp:posOffset>
                </wp:positionH>
                <wp:positionV relativeFrom="paragraph">
                  <wp:posOffset>3791931</wp:posOffset>
                </wp:positionV>
                <wp:extent cx="5926975" cy="574431"/>
                <wp:effectExtent l="0" t="0" r="0" b="0"/>
                <wp:wrapNone/>
                <wp:docPr id="1465657178" name="Text Box 2"/>
                <wp:cNvGraphicFramePr/>
                <a:graphic xmlns:a="http://schemas.openxmlformats.org/drawingml/2006/main">
                  <a:graphicData uri="http://schemas.microsoft.com/office/word/2010/wordprocessingShape">
                    <wps:wsp>
                      <wps:cNvSpPr txBox="1"/>
                      <wps:spPr>
                        <a:xfrm>
                          <a:off x="0" y="0"/>
                          <a:ext cx="5926975" cy="574431"/>
                        </a:xfrm>
                        <a:prstGeom prst="rect">
                          <a:avLst/>
                        </a:prstGeom>
                        <a:noFill/>
                        <a:ln w="6350">
                          <a:noFill/>
                        </a:ln>
                      </wps:spPr>
                      <wps:txbx>
                        <w:txbxContent>
                          <w:p w14:paraId="62ACDFEE" w14:textId="77777777" w:rsidR="000F310A" w:rsidRPr="00AC36DC" w:rsidRDefault="000F310A" w:rsidP="000F310A">
                            <w:pPr>
                              <w:jc w:val="both"/>
                              <w:rPr>
                                <w:rFonts w:ascii="Times New Roman" w:hAnsi="Times New Roman" w:cs="Times New Roman"/>
                                <w:color w:val="000000" w:themeColor="text1"/>
                                <w:sz w:val="20"/>
                                <w:szCs w:val="20"/>
                              </w:rPr>
                            </w:pPr>
                            <w:bookmarkStart w:id="26" w:name="FigS28"/>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28</w:t>
                            </w:r>
                            <w:bookmarkEnd w:id="26"/>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Geometric morphometric analyses of </w:t>
                            </w:r>
                            <w:r w:rsidRPr="00E23394">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A Scheme 1, landmarks and semi-landmarks, B) Landmarks only, C) head only, and D) anterior body shape.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006FD" id="_x0000_s1067" type="#_x0000_t202" style="position:absolute;margin-left:1.3pt;margin-top:298.6pt;width:466.7pt;height:45.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" filled="f" stroked="f" strokeweight=".5pt">
                <v:textbox>
                  <w:txbxContent>
                    <w:p w14:paraId="62ACDFEE" w14:textId="77777777" w:rsidR="000F310A" w:rsidRPr="00AC36DC" w:rsidRDefault="000F310A" w:rsidP="000F310A">
                      <w:pPr>
                        <w:jc w:val="both"/>
                        <w:rPr>
                          <w:rFonts w:ascii="Times New Roman" w:hAnsi="Times New Roman" w:cs="Times New Roman"/>
                          <w:color w:val="000000" w:themeColor="text1"/>
                          <w:sz w:val="20"/>
                          <w:szCs w:val="20"/>
                        </w:rPr>
                      </w:pPr>
                      <w:bookmarkStart w:id="44" w:name="FigS28"/>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28</w:t>
                      </w:r>
                      <w:bookmarkEnd w:id="44"/>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Geometric morphometric analyses of </w:t>
                      </w:r>
                      <w:r w:rsidRPr="00E23394">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A Scheme 1, landmarks and semi-landmarks, B) Landmarks only, C) head only, and D) anterior body shape.</w:t>
                      </w:r>
                    </w:p>
                  </w:txbxContent>
                </v:textbox>
              </v:shape>
            </w:pict>
          </mc:Fallback>
        </mc:AlternateContent>
      </w:r>
      <w:r>
        <w:rPr>
          <w:rFonts w:ascii="Times New Roman" w:hAnsi="Times New Roman" w:cs="Times New Roman"/>
        </w:rPr>
        <w:br w:type="page"/>
      </w:r>
    </w:p>
    <w:p w14:paraId="2441CE92" w14:textId="77B93027" w:rsidR="000F310A" w:rsidRDefault="000F310A" w:rsidP="000F310A">
      <w:pPr>
        <w:rPr>
          <w:rFonts w:ascii="Times New Roman" w:hAnsi="Times New Roman" w:cs="Times New Roman"/>
          <w:sz w:val="24"/>
          <w:szCs w:val="24"/>
        </w:rPr>
      </w:pPr>
      <w:r w:rsidRPr="0098333A">
        <w:rPr>
          <w:rFonts w:ascii="Times New Roman" w:hAnsi="Times New Roman" w:cs="Times New Roman"/>
          <w:noProof/>
        </w:rPr>
        <w:lastRenderedPageBreak/>
        <w:drawing>
          <wp:anchor distT="0" distB="0" distL="114300" distR="114300" simplePos="0" relativeHeight="251794432" behindDoc="0" locked="0" layoutInCell="1" allowOverlap="1" wp14:anchorId="3FD32A62" wp14:editId="28C80C6C">
            <wp:simplePos x="0" y="0"/>
            <wp:positionH relativeFrom="column">
              <wp:posOffset>506388</wp:posOffset>
            </wp:positionH>
            <wp:positionV relativeFrom="paragraph">
              <wp:posOffset>0</wp:posOffset>
            </wp:positionV>
            <wp:extent cx="4751070" cy="7495540"/>
            <wp:effectExtent l="0" t="0" r="0" b="0"/>
            <wp:wrapNone/>
            <wp:docPr id="152312517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25171" name="Picture 1" descr="A screenshot of a graph&#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751070" cy="7495540"/>
                    </a:xfrm>
                    <a:prstGeom prst="rect">
                      <a:avLst/>
                    </a:prstGeom>
                  </pic:spPr>
                </pic:pic>
              </a:graphicData>
            </a:graphic>
            <wp14:sizeRelH relativeFrom="page">
              <wp14:pctWidth>0</wp14:pctWidth>
            </wp14:sizeRelH>
            <wp14:sizeRelV relativeFrom="page">
              <wp14:pctHeight>0</wp14:pctHeight>
            </wp14:sizeRelV>
          </wp:anchor>
        </w:drawing>
      </w:r>
    </w:p>
    <w:p w14:paraId="5B123177" w14:textId="6E1476BA" w:rsidR="000F310A" w:rsidRDefault="000F310A" w:rsidP="005012C6">
      <w:pPr>
        <w:jc w:val="center"/>
        <w:rPr>
          <w:rFonts w:ascii="Times New Roman" w:hAnsi="Times New Roman" w:cs="Times New Roman"/>
          <w:sz w:val="24"/>
          <w:szCs w:val="24"/>
        </w:rPr>
      </w:pPr>
    </w:p>
    <w:p w14:paraId="01769249" w14:textId="77777777" w:rsidR="000F310A" w:rsidRDefault="000F310A" w:rsidP="005012C6">
      <w:pPr>
        <w:jc w:val="center"/>
        <w:rPr>
          <w:rFonts w:ascii="Times New Roman" w:hAnsi="Times New Roman" w:cs="Times New Roman"/>
          <w:sz w:val="24"/>
          <w:szCs w:val="24"/>
        </w:rPr>
      </w:pPr>
    </w:p>
    <w:p w14:paraId="112EB4B6" w14:textId="36AD5C4F" w:rsidR="000F310A" w:rsidRDefault="000F310A" w:rsidP="005012C6">
      <w:pPr>
        <w:jc w:val="center"/>
        <w:rPr>
          <w:rFonts w:ascii="Times New Roman" w:hAnsi="Times New Roman" w:cs="Times New Roman"/>
          <w:sz w:val="24"/>
          <w:szCs w:val="24"/>
        </w:rPr>
      </w:pPr>
    </w:p>
    <w:p w14:paraId="2E7BA761" w14:textId="77777777" w:rsidR="000F310A" w:rsidRDefault="000F310A" w:rsidP="005012C6">
      <w:pPr>
        <w:jc w:val="center"/>
        <w:rPr>
          <w:rFonts w:ascii="Times New Roman" w:hAnsi="Times New Roman" w:cs="Times New Roman"/>
          <w:sz w:val="24"/>
          <w:szCs w:val="24"/>
        </w:rPr>
      </w:pPr>
    </w:p>
    <w:p w14:paraId="66E50922" w14:textId="77777777" w:rsidR="000F310A" w:rsidRDefault="000F310A" w:rsidP="005012C6">
      <w:pPr>
        <w:jc w:val="center"/>
        <w:rPr>
          <w:rFonts w:ascii="Times New Roman" w:hAnsi="Times New Roman" w:cs="Times New Roman"/>
          <w:sz w:val="24"/>
          <w:szCs w:val="24"/>
        </w:rPr>
      </w:pPr>
    </w:p>
    <w:p w14:paraId="37ACCE8B" w14:textId="106561AA" w:rsidR="000F310A" w:rsidRDefault="000F310A" w:rsidP="005012C6">
      <w:pPr>
        <w:jc w:val="center"/>
        <w:rPr>
          <w:rFonts w:ascii="Times New Roman" w:hAnsi="Times New Roman" w:cs="Times New Roman"/>
          <w:sz w:val="24"/>
          <w:szCs w:val="24"/>
        </w:rPr>
      </w:pPr>
    </w:p>
    <w:p w14:paraId="740D1BFB" w14:textId="77777777" w:rsidR="000F310A" w:rsidRDefault="000F310A" w:rsidP="005012C6">
      <w:pPr>
        <w:jc w:val="center"/>
        <w:rPr>
          <w:rFonts w:ascii="Times New Roman" w:hAnsi="Times New Roman" w:cs="Times New Roman"/>
          <w:sz w:val="24"/>
          <w:szCs w:val="24"/>
        </w:rPr>
      </w:pPr>
    </w:p>
    <w:p w14:paraId="6BB6155F" w14:textId="6F659E46" w:rsidR="000F310A" w:rsidRDefault="000F310A" w:rsidP="005012C6">
      <w:pPr>
        <w:jc w:val="center"/>
        <w:rPr>
          <w:rFonts w:ascii="Times New Roman" w:hAnsi="Times New Roman" w:cs="Times New Roman"/>
          <w:sz w:val="24"/>
          <w:szCs w:val="24"/>
        </w:rPr>
      </w:pPr>
    </w:p>
    <w:p w14:paraId="2616CDB7" w14:textId="45AB9EC4" w:rsidR="000F310A" w:rsidRDefault="000F310A" w:rsidP="005012C6">
      <w:pPr>
        <w:jc w:val="center"/>
        <w:rPr>
          <w:rFonts w:ascii="Times New Roman" w:hAnsi="Times New Roman" w:cs="Times New Roman"/>
          <w:sz w:val="24"/>
          <w:szCs w:val="24"/>
        </w:rPr>
      </w:pPr>
    </w:p>
    <w:p w14:paraId="1F174FBD" w14:textId="6664044C" w:rsidR="000F310A" w:rsidRDefault="000F310A" w:rsidP="005012C6">
      <w:pPr>
        <w:jc w:val="center"/>
        <w:rPr>
          <w:rFonts w:ascii="Times New Roman" w:hAnsi="Times New Roman" w:cs="Times New Roman"/>
          <w:sz w:val="24"/>
          <w:szCs w:val="24"/>
        </w:rPr>
      </w:pPr>
    </w:p>
    <w:p w14:paraId="1F01AAF3" w14:textId="20474E42" w:rsidR="000F310A" w:rsidRDefault="000F310A" w:rsidP="005012C6">
      <w:pPr>
        <w:jc w:val="center"/>
        <w:rPr>
          <w:rFonts w:ascii="Times New Roman" w:hAnsi="Times New Roman" w:cs="Times New Roman"/>
          <w:sz w:val="24"/>
          <w:szCs w:val="24"/>
        </w:rPr>
      </w:pPr>
    </w:p>
    <w:p w14:paraId="329DB891" w14:textId="2325FE93" w:rsidR="000F310A" w:rsidRDefault="000F310A" w:rsidP="005012C6">
      <w:pPr>
        <w:jc w:val="center"/>
        <w:rPr>
          <w:rFonts w:ascii="Times New Roman" w:hAnsi="Times New Roman" w:cs="Times New Roman"/>
          <w:sz w:val="24"/>
          <w:szCs w:val="24"/>
        </w:rPr>
      </w:pPr>
    </w:p>
    <w:p w14:paraId="0CEBD16F" w14:textId="77777777" w:rsidR="000F310A" w:rsidRDefault="000F310A" w:rsidP="005012C6">
      <w:pPr>
        <w:jc w:val="center"/>
        <w:rPr>
          <w:rFonts w:ascii="Times New Roman" w:hAnsi="Times New Roman" w:cs="Times New Roman"/>
          <w:sz w:val="24"/>
          <w:szCs w:val="24"/>
        </w:rPr>
      </w:pPr>
    </w:p>
    <w:p w14:paraId="7D611E94" w14:textId="77777777" w:rsidR="000F310A" w:rsidRDefault="000F310A" w:rsidP="005012C6">
      <w:pPr>
        <w:jc w:val="center"/>
        <w:rPr>
          <w:rFonts w:ascii="Times New Roman" w:hAnsi="Times New Roman" w:cs="Times New Roman"/>
          <w:sz w:val="24"/>
          <w:szCs w:val="24"/>
        </w:rPr>
      </w:pPr>
    </w:p>
    <w:p w14:paraId="382D2A53" w14:textId="651EADD5" w:rsidR="000F310A" w:rsidRDefault="000F310A" w:rsidP="005012C6">
      <w:pPr>
        <w:jc w:val="center"/>
        <w:rPr>
          <w:rFonts w:ascii="Times New Roman" w:hAnsi="Times New Roman" w:cs="Times New Roman"/>
          <w:sz w:val="24"/>
          <w:szCs w:val="24"/>
        </w:rPr>
      </w:pPr>
    </w:p>
    <w:p w14:paraId="7BE195C3" w14:textId="40E57CAB" w:rsidR="000F310A" w:rsidRDefault="000F310A" w:rsidP="005012C6">
      <w:pPr>
        <w:jc w:val="center"/>
        <w:rPr>
          <w:rFonts w:ascii="Times New Roman" w:hAnsi="Times New Roman" w:cs="Times New Roman"/>
          <w:sz w:val="24"/>
          <w:szCs w:val="24"/>
        </w:rPr>
      </w:pPr>
    </w:p>
    <w:p w14:paraId="399AF6EB" w14:textId="77777777" w:rsidR="000F310A" w:rsidRDefault="000F310A" w:rsidP="005012C6">
      <w:pPr>
        <w:jc w:val="center"/>
        <w:rPr>
          <w:rFonts w:ascii="Times New Roman" w:hAnsi="Times New Roman" w:cs="Times New Roman"/>
          <w:sz w:val="24"/>
          <w:szCs w:val="24"/>
        </w:rPr>
      </w:pPr>
    </w:p>
    <w:p w14:paraId="46F90337" w14:textId="4951085F" w:rsidR="000F310A" w:rsidRDefault="000F310A" w:rsidP="005012C6">
      <w:pPr>
        <w:jc w:val="center"/>
        <w:rPr>
          <w:rFonts w:ascii="Times New Roman" w:hAnsi="Times New Roman" w:cs="Times New Roman"/>
          <w:sz w:val="24"/>
          <w:szCs w:val="24"/>
        </w:rPr>
      </w:pPr>
    </w:p>
    <w:p w14:paraId="62D44A9F" w14:textId="168C7EA5" w:rsidR="000F310A" w:rsidRDefault="000F310A" w:rsidP="005012C6">
      <w:pPr>
        <w:jc w:val="center"/>
        <w:rPr>
          <w:rFonts w:ascii="Times New Roman" w:hAnsi="Times New Roman" w:cs="Times New Roman"/>
          <w:sz w:val="24"/>
          <w:szCs w:val="24"/>
        </w:rPr>
      </w:pPr>
    </w:p>
    <w:p w14:paraId="73F8E728" w14:textId="14AC95F3" w:rsidR="000F310A" w:rsidRDefault="000F310A" w:rsidP="005012C6">
      <w:pPr>
        <w:jc w:val="center"/>
        <w:rPr>
          <w:rFonts w:ascii="Times New Roman" w:hAnsi="Times New Roman" w:cs="Times New Roman"/>
          <w:sz w:val="24"/>
          <w:szCs w:val="24"/>
        </w:rPr>
      </w:pPr>
    </w:p>
    <w:p w14:paraId="69C7A4FB" w14:textId="77777777" w:rsidR="000F310A" w:rsidRDefault="000F310A" w:rsidP="005012C6">
      <w:pPr>
        <w:jc w:val="center"/>
        <w:rPr>
          <w:rFonts w:ascii="Times New Roman" w:hAnsi="Times New Roman" w:cs="Times New Roman"/>
          <w:sz w:val="24"/>
          <w:szCs w:val="24"/>
        </w:rPr>
      </w:pPr>
    </w:p>
    <w:p w14:paraId="494246F2" w14:textId="045AFB09" w:rsidR="000F310A" w:rsidRDefault="000F310A" w:rsidP="005012C6">
      <w:pPr>
        <w:jc w:val="center"/>
        <w:rPr>
          <w:rFonts w:ascii="Times New Roman" w:hAnsi="Times New Roman" w:cs="Times New Roman"/>
          <w:sz w:val="24"/>
          <w:szCs w:val="24"/>
        </w:rPr>
      </w:pPr>
    </w:p>
    <w:p w14:paraId="71BBABA8" w14:textId="6E7B1A72" w:rsidR="000F310A" w:rsidRDefault="000F310A" w:rsidP="005012C6">
      <w:pPr>
        <w:jc w:val="center"/>
        <w:rPr>
          <w:rFonts w:ascii="Times New Roman" w:hAnsi="Times New Roman" w:cs="Times New Roman"/>
          <w:sz w:val="24"/>
          <w:szCs w:val="24"/>
        </w:rPr>
      </w:pPr>
    </w:p>
    <w:p w14:paraId="0D71B734" w14:textId="19029A2F" w:rsidR="000F310A" w:rsidRDefault="000F310A" w:rsidP="005012C6">
      <w:pPr>
        <w:jc w:val="center"/>
        <w:rPr>
          <w:rFonts w:ascii="Times New Roman" w:hAnsi="Times New Roman" w:cs="Times New Roman"/>
          <w:sz w:val="24"/>
          <w:szCs w:val="24"/>
        </w:rPr>
      </w:pPr>
    </w:p>
    <w:p w14:paraId="0AD1D83A" w14:textId="63997156" w:rsidR="000F310A" w:rsidRDefault="000F310A" w:rsidP="005012C6">
      <w:pPr>
        <w:jc w:val="center"/>
        <w:rPr>
          <w:rFonts w:ascii="Times New Roman" w:hAnsi="Times New Roman" w:cs="Times New Roman"/>
          <w:sz w:val="24"/>
          <w:szCs w:val="24"/>
        </w:rPr>
      </w:pPr>
    </w:p>
    <w:p w14:paraId="2F9B33D2" w14:textId="109DC91C" w:rsidR="000F310A" w:rsidRDefault="000F310A"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796480" behindDoc="0" locked="0" layoutInCell="1" allowOverlap="1" wp14:anchorId="50B3F792" wp14:editId="3F0BDF32">
                <wp:simplePos x="0" y="0"/>
                <wp:positionH relativeFrom="column">
                  <wp:posOffset>371182</wp:posOffset>
                </wp:positionH>
                <wp:positionV relativeFrom="paragraph">
                  <wp:posOffset>22860</wp:posOffset>
                </wp:positionV>
                <wp:extent cx="5321935" cy="410210"/>
                <wp:effectExtent l="0" t="0" r="0" b="0"/>
                <wp:wrapNone/>
                <wp:docPr id="706572104" name="Text Box 2"/>
                <wp:cNvGraphicFramePr/>
                <a:graphic xmlns:a="http://schemas.openxmlformats.org/drawingml/2006/main">
                  <a:graphicData uri="http://schemas.microsoft.com/office/word/2010/wordprocessingShape">
                    <wps:wsp>
                      <wps:cNvSpPr txBox="1"/>
                      <wps:spPr>
                        <a:xfrm>
                          <a:off x="0" y="0"/>
                          <a:ext cx="5321935" cy="410210"/>
                        </a:xfrm>
                        <a:prstGeom prst="rect">
                          <a:avLst/>
                        </a:prstGeom>
                        <a:noFill/>
                        <a:ln w="6350">
                          <a:noFill/>
                        </a:ln>
                      </wps:spPr>
                      <wps:txbx>
                        <w:txbxContent>
                          <w:p w14:paraId="0C29720D" w14:textId="77777777" w:rsidR="000F310A" w:rsidRPr="00AC36DC" w:rsidRDefault="000F310A" w:rsidP="000F310A">
                            <w:pPr>
                              <w:jc w:val="both"/>
                              <w:rPr>
                                <w:rFonts w:ascii="Times New Roman" w:hAnsi="Times New Roman" w:cs="Times New Roman"/>
                                <w:color w:val="000000" w:themeColor="text1"/>
                                <w:sz w:val="20"/>
                                <w:szCs w:val="20"/>
                              </w:rPr>
                            </w:pPr>
                            <w:bookmarkStart w:id="27" w:name="FigS29"/>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29</w:t>
                            </w:r>
                            <w:bookmarkEnd w:id="27"/>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Geometric morphometric analyses of </w:t>
                            </w:r>
                            <w:r w:rsidRPr="00E23394">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triangulatus</w:t>
                            </w:r>
                            <w:r>
                              <w:rPr>
                                <w:rFonts w:ascii="Times New Roman" w:hAnsi="Times New Roman" w:cs="Times New Roman"/>
                                <w:color w:val="000000" w:themeColor="text1"/>
                                <w:sz w:val="20"/>
                                <w:szCs w:val="20"/>
                              </w:rPr>
                              <w:t>. A Scheme 1, landmarks and semi-landmarks, B) Landmarks only, C) head only, and D) anterior body shape.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3F792" id="_x0000_s1068" type="#_x0000_t202" style="position:absolute;left:0;text-align:left;margin-left:29.25pt;margin-top:1.8pt;width:419.05pt;height:32.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" filled="f" stroked="f" strokeweight=".5pt">
                <v:textbox>
                  <w:txbxContent>
                    <w:p w14:paraId="0C29720D" w14:textId="77777777" w:rsidR="000F310A" w:rsidRPr="00AC36DC" w:rsidRDefault="000F310A" w:rsidP="000F310A">
                      <w:pPr>
                        <w:jc w:val="both"/>
                        <w:rPr>
                          <w:rFonts w:ascii="Times New Roman" w:hAnsi="Times New Roman" w:cs="Times New Roman"/>
                          <w:color w:val="000000" w:themeColor="text1"/>
                          <w:sz w:val="20"/>
                          <w:szCs w:val="20"/>
                        </w:rPr>
                      </w:pPr>
                      <w:bookmarkStart w:id="46" w:name="FigS29"/>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29</w:t>
                      </w:r>
                      <w:bookmarkEnd w:id="46"/>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Geometric morphometric analyses of </w:t>
                      </w:r>
                      <w:r w:rsidRPr="00E23394">
                        <w:rPr>
                          <w:rFonts w:ascii="Times New Roman" w:hAnsi="Times New Roman" w:cs="Times New Roman"/>
                          <w:i/>
                          <w:iCs/>
                          <w:color w:val="000000" w:themeColor="text1"/>
                          <w:sz w:val="20"/>
                          <w:szCs w:val="20"/>
                        </w:rPr>
                        <w:t xml:space="preserve">M. </w:t>
                      </w:r>
                      <w:r>
                        <w:rPr>
                          <w:rFonts w:ascii="Times New Roman" w:hAnsi="Times New Roman" w:cs="Times New Roman"/>
                          <w:i/>
                          <w:iCs/>
                          <w:color w:val="000000" w:themeColor="text1"/>
                          <w:sz w:val="20"/>
                          <w:szCs w:val="20"/>
                        </w:rPr>
                        <w:t>triangulatus</w:t>
                      </w:r>
                      <w:r>
                        <w:rPr>
                          <w:rFonts w:ascii="Times New Roman" w:hAnsi="Times New Roman" w:cs="Times New Roman"/>
                          <w:color w:val="000000" w:themeColor="text1"/>
                          <w:sz w:val="20"/>
                          <w:szCs w:val="20"/>
                        </w:rPr>
                        <w:t>. A Scheme 1, landmarks and semi-landmarks, B) Landmarks only, C) head only, and D) anterior body shape.</w:t>
                      </w:r>
                    </w:p>
                  </w:txbxContent>
                </v:textbox>
              </v:shape>
            </w:pict>
          </mc:Fallback>
        </mc:AlternateContent>
      </w:r>
    </w:p>
    <w:p w14:paraId="0EDCCF8E" w14:textId="77777777" w:rsidR="000F310A" w:rsidRDefault="000F310A" w:rsidP="005012C6">
      <w:pPr>
        <w:jc w:val="center"/>
        <w:rPr>
          <w:rFonts w:ascii="Times New Roman" w:hAnsi="Times New Roman" w:cs="Times New Roman"/>
          <w:sz w:val="24"/>
          <w:szCs w:val="24"/>
        </w:rPr>
      </w:pPr>
    </w:p>
    <w:p w14:paraId="22E0AD3A" w14:textId="4E5B4ED6" w:rsidR="000F310A" w:rsidRDefault="00007233" w:rsidP="005012C6">
      <w:pPr>
        <w:jc w:val="center"/>
        <w:rPr>
          <w:rFonts w:ascii="Times New Roman" w:hAnsi="Times New Roman" w:cs="Times New Roman"/>
          <w:sz w:val="24"/>
          <w:szCs w:val="24"/>
        </w:rPr>
      </w:pPr>
      <w:r w:rsidRPr="00802863">
        <w:rPr>
          <w:rFonts w:ascii="Helvetica" w:hAnsi="Helvetica"/>
          <w:noProof/>
        </w:rPr>
        <w:lastRenderedPageBreak/>
        <mc:AlternateContent>
          <mc:Choice Requires="wps">
            <w:drawing>
              <wp:anchor distT="0" distB="0" distL="114300" distR="114300" simplePos="0" relativeHeight="251798528" behindDoc="0" locked="0" layoutInCell="1" allowOverlap="1" wp14:anchorId="498AF832" wp14:editId="11F380F4">
                <wp:simplePos x="0" y="0"/>
                <wp:positionH relativeFrom="column">
                  <wp:posOffset>57443</wp:posOffset>
                </wp:positionH>
                <wp:positionV relativeFrom="paragraph">
                  <wp:posOffset>4184650</wp:posOffset>
                </wp:positionV>
                <wp:extent cx="5779477" cy="421640"/>
                <wp:effectExtent l="0" t="0" r="0" b="0"/>
                <wp:wrapNone/>
                <wp:docPr id="421976085" name="Text Box 2"/>
                <wp:cNvGraphicFramePr/>
                <a:graphic xmlns:a="http://schemas.openxmlformats.org/drawingml/2006/main">
                  <a:graphicData uri="http://schemas.microsoft.com/office/word/2010/wordprocessingShape">
                    <wps:wsp>
                      <wps:cNvSpPr txBox="1"/>
                      <wps:spPr>
                        <a:xfrm>
                          <a:off x="0" y="0"/>
                          <a:ext cx="5779477" cy="421640"/>
                        </a:xfrm>
                        <a:prstGeom prst="rect">
                          <a:avLst/>
                        </a:prstGeom>
                        <a:noFill/>
                        <a:ln w="6350">
                          <a:noFill/>
                        </a:ln>
                      </wps:spPr>
                      <wps:txbx>
                        <w:txbxContent>
                          <w:p w14:paraId="43F4BA39" w14:textId="77777777" w:rsidR="00841669" w:rsidRPr="00AC36DC" w:rsidRDefault="00841669" w:rsidP="00841669">
                            <w:pPr>
                              <w:jc w:val="both"/>
                              <w:rPr>
                                <w:rFonts w:ascii="Times New Roman" w:hAnsi="Times New Roman" w:cs="Times New Roman"/>
                                <w:color w:val="000000" w:themeColor="text1"/>
                                <w:sz w:val="20"/>
                                <w:szCs w:val="20"/>
                              </w:rPr>
                            </w:pPr>
                            <w:bookmarkStart w:id="28" w:name="FigS30"/>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30</w:t>
                            </w:r>
                            <w:bookmarkEnd w:id="28"/>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Geometric morphometric analyses of 20 </w:t>
                            </w:r>
                            <w:r w:rsidRPr="00E23394">
                              <w:rPr>
                                <w:rFonts w:ascii="Times New Roman" w:hAnsi="Times New Roman" w:cs="Times New Roman"/>
                                <w:i/>
                                <w:iCs/>
                                <w:color w:val="000000" w:themeColor="text1"/>
                                <w:sz w:val="20"/>
                                <w:szCs w:val="20"/>
                              </w:rPr>
                              <w:t>M</w:t>
                            </w:r>
                            <w:r>
                              <w:rPr>
                                <w:rFonts w:ascii="Times New Roman" w:hAnsi="Times New Roman" w:cs="Times New Roman"/>
                                <w:i/>
                                <w:iCs/>
                                <w:color w:val="000000" w:themeColor="text1"/>
                                <w:sz w:val="20"/>
                                <w:szCs w:val="20"/>
                              </w:rPr>
                              <w:t>alacoctenus</w:t>
                            </w:r>
                            <w:r>
                              <w:rPr>
                                <w:rFonts w:ascii="Times New Roman" w:hAnsi="Times New Roman" w:cs="Times New Roman"/>
                                <w:color w:val="000000" w:themeColor="text1"/>
                                <w:sz w:val="20"/>
                                <w:szCs w:val="20"/>
                              </w:rPr>
                              <w:t xml:space="preserve"> species. A Scheme 1, landmarks and semi-landmarks, B) Landmarks only, C) head only, and D) anterior body shape.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AF832" id="_x0000_s1069" type="#_x0000_t202" style="position:absolute;left:0;text-align:left;margin-left:4.5pt;margin-top:329.5pt;width:455.1pt;height:33.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" filled="f" stroked="f" strokeweight=".5pt">
                <v:textbox>
                  <w:txbxContent>
                    <w:p w14:paraId="43F4BA39" w14:textId="77777777" w:rsidR="00841669" w:rsidRPr="00AC36DC" w:rsidRDefault="00841669" w:rsidP="00841669">
                      <w:pPr>
                        <w:jc w:val="both"/>
                        <w:rPr>
                          <w:rFonts w:ascii="Times New Roman" w:hAnsi="Times New Roman" w:cs="Times New Roman"/>
                          <w:color w:val="000000" w:themeColor="text1"/>
                          <w:sz w:val="20"/>
                          <w:szCs w:val="20"/>
                        </w:rPr>
                      </w:pPr>
                      <w:bookmarkStart w:id="30" w:name="FigS30"/>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30</w:t>
                      </w:r>
                      <w:bookmarkEnd w:id="30"/>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Geometric morphometric analyses of</w:t>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20 </w:t>
                      </w:r>
                      <w:r w:rsidRPr="00E23394">
                        <w:rPr>
                          <w:rFonts w:ascii="Times New Roman" w:hAnsi="Times New Roman" w:cs="Times New Roman"/>
                          <w:i/>
                          <w:iCs/>
                          <w:color w:val="000000" w:themeColor="text1"/>
                          <w:sz w:val="20"/>
                          <w:szCs w:val="20"/>
                        </w:rPr>
                        <w:t>M</w:t>
                      </w:r>
                      <w:r>
                        <w:rPr>
                          <w:rFonts w:ascii="Times New Roman" w:hAnsi="Times New Roman" w:cs="Times New Roman"/>
                          <w:i/>
                          <w:iCs/>
                          <w:color w:val="000000" w:themeColor="text1"/>
                          <w:sz w:val="20"/>
                          <w:szCs w:val="20"/>
                        </w:rPr>
                        <w:t>alacoctenus</w:t>
                      </w:r>
                      <w:r>
                        <w:rPr>
                          <w:rFonts w:ascii="Times New Roman" w:hAnsi="Times New Roman" w:cs="Times New Roman"/>
                          <w:color w:val="000000" w:themeColor="text1"/>
                          <w:sz w:val="20"/>
                          <w:szCs w:val="20"/>
                        </w:rPr>
                        <w:t xml:space="preserve"> species. A Scheme 1, landmarks and semi-landmarks, B) Landmarks only, C) head only, and D) anterior body shape.</w:t>
                      </w:r>
                    </w:p>
                  </w:txbxContent>
                </v:textbox>
              </v:shape>
            </w:pict>
          </mc:Fallback>
        </mc:AlternateContent>
      </w:r>
      <w:r w:rsidR="00841669" w:rsidRPr="00DE0753">
        <w:rPr>
          <w:rFonts w:ascii="Times New Roman" w:hAnsi="Times New Roman" w:cs="Times New Roman"/>
          <w:noProof/>
        </w:rPr>
        <w:drawing>
          <wp:inline distT="0" distB="0" distL="0" distR="0" wp14:anchorId="478A3A37" wp14:editId="29A578E6">
            <wp:extent cx="5214649" cy="4161692"/>
            <wp:effectExtent l="0" t="0" r="5080" b="4445"/>
            <wp:docPr id="122432908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29085" name="Picture 1" descr="A screenshot of a graph&#10;&#10;Description automatically generated"/>
                    <pic:cNvPicPr/>
                  </pic:nvPicPr>
                  <pic:blipFill>
                    <a:blip r:embed="rId81"/>
                    <a:stretch>
                      <a:fillRect/>
                    </a:stretch>
                  </pic:blipFill>
                  <pic:spPr>
                    <a:xfrm>
                      <a:off x="0" y="0"/>
                      <a:ext cx="5247676" cy="4188050"/>
                    </a:xfrm>
                    <a:prstGeom prst="rect">
                      <a:avLst/>
                    </a:prstGeom>
                  </pic:spPr>
                </pic:pic>
              </a:graphicData>
            </a:graphic>
          </wp:inline>
        </w:drawing>
      </w:r>
    </w:p>
    <w:p w14:paraId="5193EFED" w14:textId="77777777" w:rsidR="00007233" w:rsidRDefault="00007233" w:rsidP="00007233">
      <w:pPr>
        <w:rPr>
          <w:rFonts w:ascii="Times New Roman" w:hAnsi="Times New Roman" w:cs="Times New Roman"/>
          <w:sz w:val="24"/>
          <w:szCs w:val="24"/>
        </w:rPr>
      </w:pPr>
    </w:p>
    <w:p w14:paraId="7A2E4D41" w14:textId="77777777" w:rsidR="00007233" w:rsidRDefault="00007233" w:rsidP="00007233">
      <w:pPr>
        <w:rPr>
          <w:rFonts w:ascii="Times New Roman" w:hAnsi="Times New Roman" w:cs="Times New Roman"/>
          <w:sz w:val="24"/>
          <w:szCs w:val="24"/>
        </w:rPr>
      </w:pPr>
    </w:p>
    <w:p w14:paraId="682398F6" w14:textId="4928B06B" w:rsidR="000F310A" w:rsidRDefault="00841669" w:rsidP="005012C6">
      <w:pPr>
        <w:jc w:val="center"/>
        <w:rPr>
          <w:rFonts w:ascii="Times New Roman" w:hAnsi="Times New Roman" w:cs="Times New Roman"/>
          <w:sz w:val="24"/>
          <w:szCs w:val="24"/>
        </w:rPr>
      </w:pPr>
      <w:r w:rsidRPr="00893887">
        <w:rPr>
          <w:rFonts w:ascii="Times New Roman" w:hAnsi="Times New Roman" w:cs="Times New Roman"/>
          <w:b/>
          <w:bCs/>
          <w:noProof/>
        </w:rPr>
        <w:drawing>
          <wp:anchor distT="0" distB="0" distL="114300" distR="114300" simplePos="0" relativeHeight="251800576" behindDoc="0" locked="0" layoutInCell="1" allowOverlap="1" wp14:anchorId="4804508C" wp14:editId="1320BECC">
            <wp:simplePos x="0" y="0"/>
            <wp:positionH relativeFrom="column">
              <wp:posOffset>209892</wp:posOffset>
            </wp:positionH>
            <wp:positionV relativeFrom="paragraph">
              <wp:posOffset>216535</wp:posOffset>
            </wp:positionV>
            <wp:extent cx="5404338" cy="2073973"/>
            <wp:effectExtent l="0" t="0" r="6350" b="0"/>
            <wp:wrapNone/>
            <wp:docPr id="835459299" name="Picture 1"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59299" name="Picture 1" descr="A graph of a number of numbers&#10;&#10;Description automatically generated with medium confidenc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404338" cy="2073973"/>
                    </a:xfrm>
                    <a:prstGeom prst="rect">
                      <a:avLst/>
                    </a:prstGeom>
                  </pic:spPr>
                </pic:pic>
              </a:graphicData>
            </a:graphic>
            <wp14:sizeRelH relativeFrom="page">
              <wp14:pctWidth>0</wp14:pctWidth>
            </wp14:sizeRelH>
            <wp14:sizeRelV relativeFrom="page">
              <wp14:pctHeight>0</wp14:pctHeight>
            </wp14:sizeRelV>
          </wp:anchor>
        </w:drawing>
      </w:r>
    </w:p>
    <w:p w14:paraId="52A07D18" w14:textId="54BBF166" w:rsidR="000F310A" w:rsidRDefault="000F310A" w:rsidP="005012C6">
      <w:pPr>
        <w:jc w:val="center"/>
        <w:rPr>
          <w:rFonts w:ascii="Times New Roman" w:hAnsi="Times New Roman" w:cs="Times New Roman"/>
          <w:sz w:val="24"/>
          <w:szCs w:val="24"/>
        </w:rPr>
      </w:pPr>
    </w:p>
    <w:p w14:paraId="02697692" w14:textId="4439FD7B" w:rsidR="000F310A" w:rsidRDefault="000F310A" w:rsidP="005012C6">
      <w:pPr>
        <w:jc w:val="center"/>
        <w:rPr>
          <w:rFonts w:ascii="Times New Roman" w:hAnsi="Times New Roman" w:cs="Times New Roman"/>
          <w:sz w:val="24"/>
          <w:szCs w:val="24"/>
        </w:rPr>
      </w:pPr>
    </w:p>
    <w:p w14:paraId="639F831C" w14:textId="390F0233" w:rsidR="000F310A" w:rsidRDefault="000F310A" w:rsidP="005012C6">
      <w:pPr>
        <w:jc w:val="center"/>
        <w:rPr>
          <w:rFonts w:ascii="Times New Roman" w:hAnsi="Times New Roman" w:cs="Times New Roman"/>
          <w:sz w:val="24"/>
          <w:szCs w:val="24"/>
        </w:rPr>
      </w:pPr>
    </w:p>
    <w:p w14:paraId="31E4514A" w14:textId="2F76C58B" w:rsidR="000F310A" w:rsidRDefault="000F310A" w:rsidP="005012C6">
      <w:pPr>
        <w:jc w:val="center"/>
        <w:rPr>
          <w:rFonts w:ascii="Times New Roman" w:hAnsi="Times New Roman" w:cs="Times New Roman"/>
          <w:sz w:val="24"/>
          <w:szCs w:val="24"/>
        </w:rPr>
      </w:pPr>
    </w:p>
    <w:p w14:paraId="277502F5" w14:textId="77777777" w:rsidR="000F310A" w:rsidRDefault="000F310A" w:rsidP="005012C6">
      <w:pPr>
        <w:jc w:val="center"/>
        <w:rPr>
          <w:rFonts w:ascii="Times New Roman" w:hAnsi="Times New Roman" w:cs="Times New Roman"/>
          <w:sz w:val="24"/>
          <w:szCs w:val="24"/>
        </w:rPr>
      </w:pPr>
    </w:p>
    <w:p w14:paraId="2DAB8E68" w14:textId="77777777" w:rsidR="000F310A" w:rsidRDefault="000F310A" w:rsidP="005012C6">
      <w:pPr>
        <w:jc w:val="center"/>
        <w:rPr>
          <w:rFonts w:ascii="Times New Roman" w:hAnsi="Times New Roman" w:cs="Times New Roman"/>
          <w:sz w:val="24"/>
          <w:szCs w:val="24"/>
        </w:rPr>
      </w:pPr>
    </w:p>
    <w:p w14:paraId="22C07355" w14:textId="77777777" w:rsidR="000F310A" w:rsidRDefault="000F310A" w:rsidP="005012C6">
      <w:pPr>
        <w:jc w:val="center"/>
        <w:rPr>
          <w:rFonts w:ascii="Times New Roman" w:hAnsi="Times New Roman" w:cs="Times New Roman"/>
          <w:sz w:val="24"/>
          <w:szCs w:val="24"/>
        </w:rPr>
      </w:pPr>
    </w:p>
    <w:p w14:paraId="67551492" w14:textId="6C7769F4" w:rsidR="000F310A" w:rsidRDefault="00841669"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802624" behindDoc="0" locked="0" layoutInCell="1" allowOverlap="1" wp14:anchorId="3C28B4F2" wp14:editId="00B272C6">
                <wp:simplePos x="0" y="0"/>
                <wp:positionH relativeFrom="column">
                  <wp:posOffset>0</wp:posOffset>
                </wp:positionH>
                <wp:positionV relativeFrom="paragraph">
                  <wp:posOffset>-635</wp:posOffset>
                </wp:positionV>
                <wp:extent cx="5926455" cy="696351"/>
                <wp:effectExtent l="0" t="0" r="0" b="0"/>
                <wp:wrapNone/>
                <wp:docPr id="1688745879" name="Text Box 2"/>
                <wp:cNvGraphicFramePr/>
                <a:graphic xmlns:a="http://schemas.openxmlformats.org/drawingml/2006/main">
                  <a:graphicData uri="http://schemas.microsoft.com/office/word/2010/wordprocessingShape">
                    <wps:wsp>
                      <wps:cNvSpPr txBox="1"/>
                      <wps:spPr>
                        <a:xfrm>
                          <a:off x="0" y="0"/>
                          <a:ext cx="5926455" cy="696351"/>
                        </a:xfrm>
                        <a:prstGeom prst="rect">
                          <a:avLst/>
                        </a:prstGeom>
                        <a:noFill/>
                        <a:ln w="6350">
                          <a:noFill/>
                        </a:ln>
                      </wps:spPr>
                      <wps:txbx>
                        <w:txbxContent>
                          <w:p w14:paraId="33C845A3" w14:textId="77777777" w:rsidR="00841669" w:rsidRPr="00FE768E" w:rsidRDefault="00841669" w:rsidP="00841669">
                            <w:pPr>
                              <w:jc w:val="both"/>
                              <w:rPr>
                                <w:rFonts w:ascii="Times New Roman" w:hAnsi="Times New Roman" w:cs="Times New Roman"/>
                                <w:color w:val="000000" w:themeColor="text1"/>
                                <w:sz w:val="20"/>
                                <w:szCs w:val="20"/>
                              </w:rPr>
                            </w:pPr>
                            <w:bookmarkStart w:id="29" w:name="FigS31"/>
                            <w:r w:rsidRPr="00FF0C20">
                              <w:rPr>
                                <w:rFonts w:ascii="Times New Roman" w:hAnsi="Times New Roman" w:cs="Times New Roman"/>
                                <w:b/>
                                <w:bCs/>
                                <w:color w:val="000000" w:themeColor="text1"/>
                                <w:sz w:val="20"/>
                                <w:szCs w:val="20"/>
                              </w:rPr>
                              <w:t>Figure S31</w:t>
                            </w:r>
                            <w:bookmarkEnd w:id="29"/>
                            <w:r w:rsidRPr="00FF0C20">
                              <w:rPr>
                                <w:rFonts w:ascii="Times New Roman" w:hAnsi="Times New Roman" w:cs="Times New Roman"/>
                                <w:color w:val="000000" w:themeColor="text1"/>
                                <w:sz w:val="20"/>
                                <w:szCs w:val="20"/>
                              </w:rPr>
                              <w:t xml:space="preserve">. Error rate </w:t>
                            </w:r>
                            <w:r>
                              <w:rPr>
                                <w:rFonts w:ascii="Times New Roman" w:hAnsi="Times New Roman" w:cs="Times New Roman"/>
                                <w:color w:val="000000" w:themeColor="text1"/>
                                <w:sz w:val="20"/>
                                <w:szCs w:val="20"/>
                              </w:rPr>
                              <w:t xml:space="preserve">of landmark digitization, measured using the centroid size from five replicates for each of five individuals of: A) </w:t>
                            </w:r>
                            <w:r w:rsidRPr="00DA7FA1">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xml:space="preserve"> and B) </w:t>
                            </w:r>
                            <w:r w:rsidRPr="00DA7FA1">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 xml:space="preserve">. Each plot displays centroid size values and the coefficient of variation (CV) for each individual. C and D) depict the morphospaces for </w:t>
                            </w:r>
                            <w:r w:rsidRPr="00DA7FA1">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xml:space="preserve"> and </w:t>
                            </w:r>
                            <w:r w:rsidRPr="00DA7FA1">
                              <w:rPr>
                                <w:rFonts w:ascii="Times New Roman" w:hAnsi="Times New Roman" w:cs="Times New Roman"/>
                                <w:i/>
                                <w:iCs/>
                                <w:color w:val="000000" w:themeColor="text1"/>
                                <w:sz w:val="20"/>
                                <w:szCs w:val="20"/>
                              </w:rPr>
                              <w:t>M. triangulatus</w:t>
                            </w:r>
                            <w:r>
                              <w:rPr>
                                <w:rFonts w:ascii="Times New Roman" w:hAnsi="Times New Roman" w:cs="Times New Roman"/>
                                <w:i/>
                                <w:iCs/>
                                <w:color w:val="000000" w:themeColor="text1"/>
                                <w:sz w:val="20"/>
                                <w:szCs w:val="20"/>
                              </w:rPr>
                              <w:t xml:space="preserve">, </w:t>
                            </w:r>
                            <w:r>
                              <w:rPr>
                                <w:rFonts w:ascii="Times New Roman" w:hAnsi="Times New Roman" w:cs="Times New Roman"/>
                                <w:color w:val="000000" w:themeColor="text1"/>
                                <w:sz w:val="20"/>
                                <w:szCs w:val="20"/>
                              </w:rPr>
                              <w:t xml:space="preserve">respectively. </w:t>
                            </w:r>
                          </w:p>
                          <w:p w14:paraId="25245283" w14:textId="77777777" w:rsidR="00841669" w:rsidRPr="00FF0C20" w:rsidRDefault="00841669" w:rsidP="00841669">
                            <w:pPr>
                              <w:jc w:val="both"/>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8B4F2" id="_x0000_s1070" type="#_x0000_t202" style="position:absolute;left:0;text-align:left;margin-left:0;margin-top:-.05pt;width:466.65pt;height:54.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" filled="f" stroked="f" strokeweight=".5pt">
                <v:textbox>
                  <w:txbxContent>
                    <w:p w14:paraId="33C845A3" w14:textId="77777777" w:rsidR="00841669" w:rsidRPr="00FE768E" w:rsidRDefault="00841669" w:rsidP="00841669">
                      <w:pPr>
                        <w:jc w:val="both"/>
                        <w:rPr>
                          <w:rFonts w:ascii="Times New Roman" w:hAnsi="Times New Roman" w:cs="Times New Roman"/>
                          <w:color w:val="000000" w:themeColor="text1"/>
                          <w:sz w:val="20"/>
                          <w:szCs w:val="20"/>
                        </w:rPr>
                      </w:pPr>
                      <w:bookmarkStart w:id="52" w:name="FigS31"/>
                      <w:r w:rsidRPr="00FF0C20">
                        <w:rPr>
                          <w:rFonts w:ascii="Times New Roman" w:hAnsi="Times New Roman" w:cs="Times New Roman"/>
                          <w:b/>
                          <w:bCs/>
                          <w:color w:val="000000" w:themeColor="text1"/>
                          <w:sz w:val="20"/>
                          <w:szCs w:val="20"/>
                        </w:rPr>
                        <w:t>Figure S31</w:t>
                      </w:r>
                      <w:bookmarkEnd w:id="52"/>
                      <w:r w:rsidRPr="00FF0C20">
                        <w:rPr>
                          <w:rFonts w:ascii="Times New Roman" w:hAnsi="Times New Roman" w:cs="Times New Roman"/>
                          <w:color w:val="000000" w:themeColor="text1"/>
                          <w:sz w:val="20"/>
                          <w:szCs w:val="20"/>
                        </w:rPr>
                        <w:t xml:space="preserve">. Error rate </w:t>
                      </w:r>
                      <w:r>
                        <w:rPr>
                          <w:rFonts w:ascii="Times New Roman" w:hAnsi="Times New Roman" w:cs="Times New Roman"/>
                          <w:color w:val="000000" w:themeColor="text1"/>
                          <w:sz w:val="20"/>
                          <w:szCs w:val="20"/>
                        </w:rPr>
                        <w:t xml:space="preserve">of landmark digitization, measured using the centroid size from five replicates for each of five individuals of: A) </w:t>
                      </w:r>
                      <w:r w:rsidRPr="00DA7FA1">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xml:space="preserve"> and B) </w:t>
                      </w:r>
                      <w:r w:rsidRPr="00DA7FA1">
                        <w:rPr>
                          <w:rFonts w:ascii="Times New Roman" w:hAnsi="Times New Roman" w:cs="Times New Roman"/>
                          <w:i/>
                          <w:iCs/>
                          <w:color w:val="000000" w:themeColor="text1"/>
                          <w:sz w:val="20"/>
                          <w:szCs w:val="20"/>
                        </w:rPr>
                        <w:t>M. triangulatus</w:t>
                      </w:r>
                      <w:r>
                        <w:rPr>
                          <w:rFonts w:ascii="Times New Roman" w:hAnsi="Times New Roman" w:cs="Times New Roman"/>
                          <w:color w:val="000000" w:themeColor="text1"/>
                          <w:sz w:val="20"/>
                          <w:szCs w:val="20"/>
                        </w:rPr>
                        <w:t xml:space="preserve">. Each plot displays centroid size values and the coefficient of variation (CV) for each individual. C and D) depict the morphospaces for </w:t>
                      </w:r>
                      <w:r w:rsidRPr="00DA7FA1">
                        <w:rPr>
                          <w:rFonts w:ascii="Times New Roman" w:hAnsi="Times New Roman" w:cs="Times New Roman"/>
                          <w:i/>
                          <w:iCs/>
                          <w:color w:val="000000" w:themeColor="text1"/>
                          <w:sz w:val="20"/>
                          <w:szCs w:val="20"/>
                        </w:rPr>
                        <w:t>M. tetranemus</w:t>
                      </w:r>
                      <w:r>
                        <w:rPr>
                          <w:rFonts w:ascii="Times New Roman" w:hAnsi="Times New Roman" w:cs="Times New Roman"/>
                          <w:color w:val="000000" w:themeColor="text1"/>
                          <w:sz w:val="20"/>
                          <w:szCs w:val="20"/>
                        </w:rPr>
                        <w:t xml:space="preserve"> and </w:t>
                      </w:r>
                      <w:r w:rsidRPr="00DA7FA1">
                        <w:rPr>
                          <w:rFonts w:ascii="Times New Roman" w:hAnsi="Times New Roman" w:cs="Times New Roman"/>
                          <w:i/>
                          <w:iCs/>
                          <w:color w:val="000000" w:themeColor="text1"/>
                          <w:sz w:val="20"/>
                          <w:szCs w:val="20"/>
                        </w:rPr>
                        <w:t>M. triangulatus</w:t>
                      </w:r>
                      <w:r>
                        <w:rPr>
                          <w:rFonts w:ascii="Times New Roman" w:hAnsi="Times New Roman" w:cs="Times New Roman"/>
                          <w:i/>
                          <w:iCs/>
                          <w:color w:val="000000" w:themeColor="text1"/>
                          <w:sz w:val="20"/>
                          <w:szCs w:val="20"/>
                        </w:rPr>
                        <w:t xml:space="preserve">, </w:t>
                      </w:r>
                      <w:r>
                        <w:rPr>
                          <w:rFonts w:ascii="Times New Roman" w:hAnsi="Times New Roman" w:cs="Times New Roman"/>
                          <w:color w:val="000000" w:themeColor="text1"/>
                          <w:sz w:val="20"/>
                          <w:szCs w:val="20"/>
                        </w:rPr>
                        <w:t xml:space="preserve">respectively. </w:t>
                      </w:r>
                    </w:p>
                    <w:p w14:paraId="25245283" w14:textId="77777777" w:rsidR="00841669" w:rsidRPr="00FF0C20" w:rsidRDefault="00841669" w:rsidP="00841669">
                      <w:pPr>
                        <w:jc w:val="both"/>
                        <w:rPr>
                          <w:rFonts w:ascii="Times New Roman" w:hAnsi="Times New Roman" w:cs="Times New Roman"/>
                          <w:color w:val="000000" w:themeColor="text1"/>
                          <w:sz w:val="20"/>
                          <w:szCs w:val="20"/>
                        </w:rPr>
                      </w:pPr>
                    </w:p>
                  </w:txbxContent>
                </v:textbox>
              </v:shape>
            </w:pict>
          </mc:Fallback>
        </mc:AlternateContent>
      </w:r>
    </w:p>
    <w:p w14:paraId="7E7132F4" w14:textId="77777777" w:rsidR="000F310A" w:rsidRDefault="000F310A" w:rsidP="005012C6">
      <w:pPr>
        <w:jc w:val="center"/>
        <w:rPr>
          <w:rFonts w:ascii="Times New Roman" w:hAnsi="Times New Roman" w:cs="Times New Roman"/>
          <w:sz w:val="24"/>
          <w:szCs w:val="24"/>
        </w:rPr>
      </w:pPr>
    </w:p>
    <w:p w14:paraId="6565109D" w14:textId="77777777" w:rsidR="000F310A" w:rsidRDefault="000F310A" w:rsidP="00007233">
      <w:pPr>
        <w:rPr>
          <w:rFonts w:ascii="Times New Roman" w:hAnsi="Times New Roman" w:cs="Times New Roman"/>
          <w:sz w:val="24"/>
          <w:szCs w:val="24"/>
        </w:rPr>
      </w:pPr>
    </w:p>
    <w:p w14:paraId="7AAF3317" w14:textId="77777777" w:rsidR="00007233" w:rsidRPr="00007233" w:rsidRDefault="00007233" w:rsidP="00007233">
      <w:pPr>
        <w:jc w:val="both"/>
        <w:rPr>
          <w:rFonts w:ascii="Times New Roman" w:hAnsi="Times New Roman" w:cs="Times New Roman"/>
          <w:b/>
          <w:bCs/>
          <w:sz w:val="24"/>
          <w:szCs w:val="24"/>
        </w:rPr>
      </w:pPr>
      <w:r w:rsidRPr="00007233">
        <w:rPr>
          <w:rFonts w:ascii="Times New Roman" w:hAnsi="Times New Roman" w:cs="Times New Roman"/>
          <w:b/>
          <w:bCs/>
          <w:sz w:val="24"/>
          <w:szCs w:val="24"/>
        </w:rPr>
        <w:lastRenderedPageBreak/>
        <w:t>SEASCAPE GENOMICS</w:t>
      </w:r>
    </w:p>
    <w:p w14:paraId="2B51C2E9" w14:textId="77777777" w:rsidR="00007233" w:rsidRDefault="00007233" w:rsidP="00007233">
      <w:pPr>
        <w:rPr>
          <w:rFonts w:ascii="Times New Roman" w:hAnsi="Times New Roman" w:cs="Times New Roman"/>
          <w:sz w:val="28"/>
          <w:szCs w:val="28"/>
        </w:rPr>
      </w:pPr>
    </w:p>
    <w:p w14:paraId="72BFD6A2" w14:textId="06ADD12E" w:rsidR="00007233" w:rsidRPr="00007233" w:rsidRDefault="00306E0C" w:rsidP="00007233">
      <w:pPr>
        <w:rPr>
          <w:rFonts w:ascii="Times New Roman" w:hAnsi="Times New Roman" w:cs="Times New Roman"/>
          <w:sz w:val="28"/>
          <w:szCs w:val="28"/>
        </w:rPr>
      </w:pPr>
      <w:r w:rsidRPr="00867DD3">
        <w:rPr>
          <w:rFonts w:ascii="Times New Roman" w:hAnsi="Times New Roman" w:cs="Times New Roman"/>
          <w:b/>
          <w:bCs/>
          <w:noProof/>
          <w:color w:val="000000" w:themeColor="text1"/>
        </w:rPr>
        <w:drawing>
          <wp:anchor distT="0" distB="0" distL="114300" distR="114300" simplePos="0" relativeHeight="251810816" behindDoc="0" locked="0" layoutInCell="1" allowOverlap="1" wp14:anchorId="553E9033" wp14:editId="5C2EE119">
            <wp:simplePos x="0" y="0"/>
            <wp:positionH relativeFrom="column">
              <wp:posOffset>0</wp:posOffset>
            </wp:positionH>
            <wp:positionV relativeFrom="paragraph">
              <wp:posOffset>0</wp:posOffset>
            </wp:positionV>
            <wp:extent cx="5680710" cy="2069960"/>
            <wp:effectExtent l="0" t="0" r="0" b="635"/>
            <wp:wrapNone/>
            <wp:docPr id="1766291287" name="Picture 1" descr="A map of th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91287" name="Picture 1" descr="A map of the ocean&#10;&#10;Description automatically generated"/>
                    <pic:cNvPicPr/>
                  </pic:nvPicPr>
                  <pic:blipFill rotWithShape="1">
                    <a:blip r:embed="rId83">
                      <a:extLst>
                        <a:ext uri="{28A0092B-C50C-407E-A947-70E740481C1C}">
                          <a14:useLocalDpi xmlns:a14="http://schemas.microsoft.com/office/drawing/2010/main" val="0"/>
                        </a:ext>
                      </a:extLst>
                    </a:blip>
                    <a:srcRect l="4396" t="11523" b="3674"/>
                    <a:stretch/>
                  </pic:blipFill>
                  <pic:spPr bwMode="auto">
                    <a:xfrm>
                      <a:off x="0" y="0"/>
                      <a:ext cx="5680710" cy="206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97268A" w14:textId="77777777" w:rsidR="000F310A" w:rsidRDefault="000F310A" w:rsidP="005012C6">
      <w:pPr>
        <w:jc w:val="center"/>
        <w:rPr>
          <w:rFonts w:ascii="Times New Roman" w:hAnsi="Times New Roman" w:cs="Times New Roman"/>
          <w:sz w:val="24"/>
          <w:szCs w:val="24"/>
        </w:rPr>
      </w:pPr>
    </w:p>
    <w:p w14:paraId="1A4E4662" w14:textId="77777777" w:rsidR="000F310A" w:rsidRDefault="000F310A" w:rsidP="005012C6">
      <w:pPr>
        <w:jc w:val="center"/>
        <w:rPr>
          <w:rFonts w:ascii="Times New Roman" w:hAnsi="Times New Roman" w:cs="Times New Roman"/>
          <w:sz w:val="24"/>
          <w:szCs w:val="24"/>
        </w:rPr>
      </w:pPr>
    </w:p>
    <w:p w14:paraId="2EF78807" w14:textId="77777777" w:rsidR="000F310A" w:rsidRDefault="000F310A" w:rsidP="005012C6">
      <w:pPr>
        <w:jc w:val="center"/>
        <w:rPr>
          <w:rFonts w:ascii="Times New Roman" w:hAnsi="Times New Roman" w:cs="Times New Roman"/>
          <w:sz w:val="24"/>
          <w:szCs w:val="24"/>
        </w:rPr>
      </w:pPr>
    </w:p>
    <w:p w14:paraId="136A812E" w14:textId="77777777" w:rsidR="000F310A" w:rsidRDefault="000F310A" w:rsidP="005012C6">
      <w:pPr>
        <w:jc w:val="center"/>
        <w:rPr>
          <w:rFonts w:ascii="Times New Roman" w:hAnsi="Times New Roman" w:cs="Times New Roman"/>
          <w:sz w:val="24"/>
          <w:szCs w:val="24"/>
        </w:rPr>
      </w:pPr>
    </w:p>
    <w:p w14:paraId="776DD1D1" w14:textId="77777777" w:rsidR="000F310A" w:rsidRDefault="000F310A" w:rsidP="005012C6">
      <w:pPr>
        <w:jc w:val="center"/>
        <w:rPr>
          <w:rFonts w:ascii="Times New Roman" w:hAnsi="Times New Roman" w:cs="Times New Roman"/>
          <w:sz w:val="24"/>
          <w:szCs w:val="24"/>
        </w:rPr>
      </w:pPr>
    </w:p>
    <w:p w14:paraId="2296D83A" w14:textId="77777777" w:rsidR="005F36E0" w:rsidRDefault="005F36E0" w:rsidP="005012C6">
      <w:pPr>
        <w:jc w:val="center"/>
        <w:rPr>
          <w:rFonts w:ascii="Times New Roman" w:hAnsi="Times New Roman" w:cs="Times New Roman"/>
          <w:sz w:val="24"/>
          <w:szCs w:val="24"/>
        </w:rPr>
      </w:pPr>
    </w:p>
    <w:p w14:paraId="7263AAC1" w14:textId="727F5F5E" w:rsidR="00007233" w:rsidRDefault="00007233" w:rsidP="00306E0C">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806720" behindDoc="0" locked="0" layoutInCell="1" allowOverlap="1" wp14:anchorId="080AE73B" wp14:editId="67F573D0">
                <wp:simplePos x="0" y="0"/>
                <wp:positionH relativeFrom="column">
                  <wp:posOffset>0</wp:posOffset>
                </wp:positionH>
                <wp:positionV relativeFrom="paragraph">
                  <wp:posOffset>74002</wp:posOffset>
                </wp:positionV>
                <wp:extent cx="5926455" cy="313690"/>
                <wp:effectExtent l="0" t="0" r="0" b="0"/>
                <wp:wrapNone/>
                <wp:docPr id="318846357" name="Text Box 2"/>
                <wp:cNvGraphicFramePr/>
                <a:graphic xmlns:a="http://schemas.openxmlformats.org/drawingml/2006/main">
                  <a:graphicData uri="http://schemas.microsoft.com/office/word/2010/wordprocessingShape">
                    <wps:wsp>
                      <wps:cNvSpPr txBox="1"/>
                      <wps:spPr>
                        <a:xfrm>
                          <a:off x="0" y="0"/>
                          <a:ext cx="5926455" cy="313690"/>
                        </a:xfrm>
                        <a:prstGeom prst="rect">
                          <a:avLst/>
                        </a:prstGeom>
                        <a:noFill/>
                        <a:ln w="6350">
                          <a:noFill/>
                        </a:ln>
                      </wps:spPr>
                      <wps:txbx>
                        <w:txbxContent>
                          <w:p w14:paraId="0637D683" w14:textId="77777777" w:rsidR="00007233" w:rsidRPr="00AC36DC" w:rsidRDefault="00007233" w:rsidP="00007233">
                            <w:pPr>
                              <w:jc w:val="both"/>
                              <w:rPr>
                                <w:rFonts w:ascii="Times New Roman" w:hAnsi="Times New Roman" w:cs="Times New Roman"/>
                                <w:color w:val="000000" w:themeColor="text1"/>
                                <w:sz w:val="20"/>
                                <w:szCs w:val="20"/>
                              </w:rPr>
                            </w:pPr>
                            <w:bookmarkStart w:id="30" w:name="FigS32"/>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32</w:t>
                            </w:r>
                            <w:bookmarkEnd w:id="30"/>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Environmental clusters of the sampling locations in the Tropical Eastern Pacific.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AE73B" id="_x0000_s1071" type="#_x0000_t202" style="position:absolute;left:0;text-align:left;margin-left:0;margin-top:5.85pt;width:466.65pt;height:24.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" filled="f" stroked="f" strokeweight=".5pt">
                <v:textbox>
                  <w:txbxContent>
                    <w:p w14:paraId="0637D683" w14:textId="77777777" w:rsidR="00007233" w:rsidRPr="00AC36DC" w:rsidRDefault="00007233" w:rsidP="00007233">
                      <w:pPr>
                        <w:jc w:val="both"/>
                        <w:rPr>
                          <w:rFonts w:ascii="Times New Roman" w:hAnsi="Times New Roman" w:cs="Times New Roman"/>
                          <w:color w:val="000000" w:themeColor="text1"/>
                          <w:sz w:val="20"/>
                          <w:szCs w:val="20"/>
                        </w:rPr>
                      </w:pPr>
                      <w:bookmarkStart w:id="54" w:name="FigS32"/>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32</w:t>
                      </w:r>
                      <w:bookmarkEnd w:id="54"/>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Environmental clusters of the sampling locations in the Tropical Eastern Pacific.</w:t>
                      </w:r>
                    </w:p>
                  </w:txbxContent>
                </v:textbox>
              </v:shape>
            </w:pict>
          </mc:Fallback>
        </mc:AlternateContent>
      </w:r>
    </w:p>
    <w:p w14:paraId="296AD4CF" w14:textId="77777777" w:rsidR="00007233" w:rsidRDefault="00007233" w:rsidP="005012C6">
      <w:pPr>
        <w:jc w:val="center"/>
        <w:rPr>
          <w:rFonts w:ascii="Times New Roman" w:hAnsi="Times New Roman" w:cs="Times New Roman"/>
          <w:sz w:val="24"/>
          <w:szCs w:val="24"/>
        </w:rPr>
      </w:pPr>
    </w:p>
    <w:p w14:paraId="0AB69CBE" w14:textId="195203EA" w:rsidR="00007233" w:rsidRDefault="00306E0C" w:rsidP="005012C6">
      <w:pPr>
        <w:jc w:val="center"/>
        <w:rPr>
          <w:rFonts w:ascii="Times New Roman" w:hAnsi="Times New Roman" w:cs="Times New Roman"/>
          <w:sz w:val="24"/>
          <w:szCs w:val="24"/>
        </w:rPr>
      </w:pPr>
      <w:r w:rsidRPr="00802863">
        <w:rPr>
          <w:rFonts w:ascii="Helvetica" w:hAnsi="Helvetica"/>
          <w:noProof/>
        </w:rPr>
        <mc:AlternateContent>
          <mc:Choice Requires="wps">
            <w:drawing>
              <wp:anchor distT="0" distB="0" distL="114300" distR="114300" simplePos="0" relativeHeight="251808768" behindDoc="0" locked="0" layoutInCell="1" allowOverlap="1" wp14:anchorId="31A70A91" wp14:editId="7F6D4F67">
                <wp:simplePos x="0" y="0"/>
                <wp:positionH relativeFrom="column">
                  <wp:posOffset>0</wp:posOffset>
                </wp:positionH>
                <wp:positionV relativeFrom="paragraph">
                  <wp:posOffset>2110447</wp:posOffset>
                </wp:positionV>
                <wp:extent cx="5926455" cy="421640"/>
                <wp:effectExtent l="0" t="0" r="0" b="0"/>
                <wp:wrapNone/>
                <wp:docPr id="1567586288" name="Text Box 2"/>
                <wp:cNvGraphicFramePr/>
                <a:graphic xmlns:a="http://schemas.openxmlformats.org/drawingml/2006/main">
                  <a:graphicData uri="http://schemas.microsoft.com/office/word/2010/wordprocessingShape">
                    <wps:wsp>
                      <wps:cNvSpPr txBox="1"/>
                      <wps:spPr>
                        <a:xfrm>
                          <a:off x="0" y="0"/>
                          <a:ext cx="5926455" cy="421640"/>
                        </a:xfrm>
                        <a:prstGeom prst="rect">
                          <a:avLst/>
                        </a:prstGeom>
                        <a:noFill/>
                        <a:ln w="6350">
                          <a:noFill/>
                        </a:ln>
                      </wps:spPr>
                      <wps:txbx>
                        <w:txbxContent>
                          <w:p w14:paraId="1CEA1348" w14:textId="77777777" w:rsidR="00007233" w:rsidRPr="00E34040" w:rsidRDefault="00007233" w:rsidP="00007233">
                            <w:pPr>
                              <w:jc w:val="both"/>
                              <w:rPr>
                                <w:rFonts w:ascii="Times New Roman" w:hAnsi="Times New Roman" w:cs="Times New Roman"/>
                                <w:color w:val="000000" w:themeColor="text1"/>
                                <w:sz w:val="20"/>
                                <w:szCs w:val="20"/>
                              </w:rPr>
                            </w:pPr>
                            <w:bookmarkStart w:id="31" w:name="FigS33"/>
                            <w:r w:rsidRPr="00E34040">
                              <w:rPr>
                                <w:rFonts w:ascii="Times New Roman" w:hAnsi="Times New Roman" w:cs="Times New Roman"/>
                                <w:b/>
                                <w:bCs/>
                                <w:color w:val="000000" w:themeColor="text1"/>
                                <w:sz w:val="20"/>
                                <w:szCs w:val="20"/>
                              </w:rPr>
                              <w:t>Figure S33</w:t>
                            </w:r>
                            <w:bookmarkEnd w:id="31"/>
                            <w:r w:rsidRPr="00E34040">
                              <w:rPr>
                                <w:rFonts w:ascii="Times New Roman" w:hAnsi="Times New Roman" w:cs="Times New Roman"/>
                                <w:color w:val="000000" w:themeColor="text1"/>
                                <w:sz w:val="20"/>
                                <w:szCs w:val="20"/>
                              </w:rPr>
                              <w:t>. Environmental clusters of the sampling locations in the Tropical Atlantic.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70A91" id="_x0000_s1072" type="#_x0000_t202" style="position:absolute;left:0;text-align:left;margin-left:0;margin-top:166.2pt;width:466.65pt;height: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" filled="f" stroked="f" strokeweight=".5pt">
                <v:textbox>
                  <w:txbxContent>
                    <w:p w14:paraId="1CEA1348" w14:textId="77777777" w:rsidR="00007233" w:rsidRPr="00E34040" w:rsidRDefault="00007233" w:rsidP="00007233">
                      <w:pPr>
                        <w:jc w:val="both"/>
                        <w:rPr>
                          <w:rFonts w:ascii="Times New Roman" w:hAnsi="Times New Roman" w:cs="Times New Roman"/>
                          <w:color w:val="000000" w:themeColor="text1"/>
                          <w:sz w:val="20"/>
                          <w:szCs w:val="20"/>
                        </w:rPr>
                      </w:pPr>
                      <w:bookmarkStart w:id="56" w:name="FigS33"/>
                      <w:r w:rsidRPr="00E34040">
                        <w:rPr>
                          <w:rFonts w:ascii="Times New Roman" w:hAnsi="Times New Roman" w:cs="Times New Roman"/>
                          <w:b/>
                          <w:bCs/>
                          <w:color w:val="000000" w:themeColor="text1"/>
                          <w:sz w:val="20"/>
                          <w:szCs w:val="20"/>
                        </w:rPr>
                        <w:t>Figure S33</w:t>
                      </w:r>
                      <w:bookmarkEnd w:id="56"/>
                      <w:r w:rsidRPr="00E34040">
                        <w:rPr>
                          <w:rFonts w:ascii="Times New Roman" w:hAnsi="Times New Roman" w:cs="Times New Roman"/>
                          <w:color w:val="000000" w:themeColor="text1"/>
                          <w:sz w:val="20"/>
                          <w:szCs w:val="20"/>
                        </w:rPr>
                        <w:t>. Environmental clusters of the sampling locations in the Tropical Atlantic.</w:t>
                      </w:r>
                    </w:p>
                  </w:txbxContent>
                </v:textbox>
              </v:shape>
            </w:pict>
          </mc:Fallback>
        </mc:AlternateContent>
      </w:r>
      <w:r w:rsidRPr="00E34040">
        <w:rPr>
          <w:rFonts w:ascii="Times New Roman" w:hAnsi="Times New Roman" w:cs="Times New Roman"/>
          <w:b/>
          <w:bCs/>
          <w:noProof/>
          <w:color w:val="000000" w:themeColor="text1"/>
        </w:rPr>
        <w:drawing>
          <wp:inline distT="0" distB="0" distL="0" distR="0" wp14:anchorId="565BAEBF" wp14:editId="164BBC31">
            <wp:extent cx="5771563" cy="2121408"/>
            <wp:effectExtent l="0" t="0" r="0" b="0"/>
            <wp:docPr id="1450902409" name="Picture 1" descr="A map of th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02409" name="Picture 1" descr="A map of the ocean&#10;&#10;Description automatically generated"/>
                    <pic:cNvPicPr/>
                  </pic:nvPicPr>
                  <pic:blipFill rotWithShape="1">
                    <a:blip r:embed="rId84"/>
                    <a:srcRect l="6529" t="12921" r="5955" b="6032"/>
                    <a:stretch/>
                  </pic:blipFill>
                  <pic:spPr bwMode="auto">
                    <a:xfrm>
                      <a:off x="0" y="0"/>
                      <a:ext cx="5771563" cy="2121408"/>
                    </a:xfrm>
                    <a:prstGeom prst="rect">
                      <a:avLst/>
                    </a:prstGeom>
                    <a:ln>
                      <a:noFill/>
                    </a:ln>
                    <a:extLst>
                      <a:ext uri="{53640926-AAD7-44D8-BBD7-CCE9431645EC}">
                        <a14:shadowObscured xmlns:a14="http://schemas.microsoft.com/office/drawing/2010/main"/>
                      </a:ext>
                    </a:extLst>
                  </pic:spPr>
                </pic:pic>
              </a:graphicData>
            </a:graphic>
          </wp:inline>
        </w:drawing>
      </w:r>
    </w:p>
    <w:p w14:paraId="33F011C1" w14:textId="40C3243D" w:rsidR="00007233" w:rsidRDefault="00007233" w:rsidP="005012C6">
      <w:pPr>
        <w:jc w:val="center"/>
        <w:rPr>
          <w:rFonts w:ascii="Times New Roman" w:hAnsi="Times New Roman" w:cs="Times New Roman"/>
          <w:sz w:val="24"/>
          <w:szCs w:val="24"/>
        </w:rPr>
      </w:pPr>
    </w:p>
    <w:p w14:paraId="24CB0E23" w14:textId="3711FD99" w:rsidR="00007233" w:rsidRDefault="00007233" w:rsidP="005012C6">
      <w:pPr>
        <w:jc w:val="center"/>
        <w:rPr>
          <w:rFonts w:ascii="Times New Roman" w:hAnsi="Times New Roman" w:cs="Times New Roman"/>
          <w:sz w:val="24"/>
          <w:szCs w:val="24"/>
        </w:rPr>
      </w:pPr>
    </w:p>
    <w:p w14:paraId="5EB01DEF" w14:textId="77777777" w:rsidR="00306E0C" w:rsidRPr="00306E0C" w:rsidRDefault="00306E0C" w:rsidP="00306E0C">
      <w:pPr>
        <w:jc w:val="both"/>
        <w:rPr>
          <w:rFonts w:ascii="Times New Roman" w:hAnsi="Times New Roman" w:cs="Times New Roman"/>
          <w:color w:val="000000" w:themeColor="text1"/>
          <w:sz w:val="24"/>
          <w:szCs w:val="24"/>
        </w:rPr>
      </w:pPr>
      <w:r w:rsidRPr="00306E0C">
        <w:rPr>
          <w:rFonts w:ascii="Times New Roman" w:hAnsi="Times New Roman" w:cs="Times New Roman"/>
          <w:b/>
          <w:bCs/>
          <w:color w:val="000000" w:themeColor="text1"/>
          <w:sz w:val="24"/>
          <w:szCs w:val="24"/>
        </w:rPr>
        <w:t>MACROEVOLUTIONARY ANALYSES, PHYLOGENOMIC INFERENCE AND BIOGEOGRAPHIC HISTORY</w:t>
      </w:r>
    </w:p>
    <w:p w14:paraId="25794F17" w14:textId="77777777" w:rsidR="00306E0C" w:rsidRPr="00306E0C" w:rsidRDefault="00306E0C" w:rsidP="00306E0C">
      <w:pPr>
        <w:rPr>
          <w:rFonts w:ascii="Times New Roman" w:hAnsi="Times New Roman" w:cs="Times New Roman"/>
          <w:sz w:val="24"/>
          <w:szCs w:val="24"/>
        </w:rPr>
      </w:pPr>
    </w:p>
    <w:p w14:paraId="43A40355" w14:textId="6F0D89F7" w:rsidR="00306E0C" w:rsidRPr="00306E0C" w:rsidRDefault="00306E0C" w:rsidP="00306E0C">
      <w:pPr>
        <w:jc w:val="both"/>
        <w:rPr>
          <w:rFonts w:ascii="Times New Roman" w:hAnsi="Times New Roman" w:cs="Times New Roman"/>
          <w:sz w:val="24"/>
          <w:szCs w:val="24"/>
        </w:rPr>
      </w:pPr>
      <w:r w:rsidRPr="00306E0C">
        <w:rPr>
          <w:rFonts w:ascii="Times New Roman" w:hAnsi="Times New Roman" w:cs="Times New Roman"/>
          <w:b/>
          <w:bCs/>
          <w:sz w:val="24"/>
          <w:szCs w:val="24"/>
        </w:rPr>
        <w:t xml:space="preserve">Phylogenomic inference and mito-nuclear discordance. </w:t>
      </w:r>
      <w:r w:rsidRPr="00306E0C">
        <w:rPr>
          <w:rFonts w:ascii="Times New Roman" w:hAnsi="Times New Roman" w:cs="Times New Roman"/>
          <w:sz w:val="24"/>
          <w:szCs w:val="24"/>
        </w:rPr>
        <w:t xml:space="preserve">Phylogenomic trees estimated using matrices assembled from </w:t>
      </w:r>
      <w:r w:rsidRPr="00306E0C">
        <w:rPr>
          <w:rFonts w:ascii="Times New Roman" w:hAnsi="Times New Roman" w:cs="Times New Roman"/>
          <w:i/>
          <w:iCs/>
          <w:sz w:val="24"/>
          <w:szCs w:val="24"/>
        </w:rPr>
        <w:t>de novo</w:t>
      </w:r>
      <w:r w:rsidRPr="00306E0C">
        <w:rPr>
          <w:rFonts w:ascii="Times New Roman" w:hAnsi="Times New Roman" w:cs="Times New Roman"/>
          <w:sz w:val="24"/>
          <w:szCs w:val="24"/>
        </w:rPr>
        <w:t xml:space="preserve">, </w:t>
      </w:r>
      <w:r w:rsidRPr="00306E0C">
        <w:rPr>
          <w:rFonts w:ascii="Times New Roman" w:hAnsi="Times New Roman" w:cs="Times New Roman"/>
          <w:i/>
          <w:iCs/>
          <w:sz w:val="24"/>
          <w:szCs w:val="24"/>
        </w:rPr>
        <w:t>quasi de novo</w:t>
      </w:r>
      <w:r w:rsidRPr="00306E0C">
        <w:rPr>
          <w:rFonts w:ascii="Times New Roman" w:hAnsi="Times New Roman" w:cs="Times New Roman"/>
          <w:sz w:val="24"/>
          <w:szCs w:val="24"/>
        </w:rPr>
        <w:t xml:space="preserve">, and reference-based approaches displayed similar phylogenetic relationships, with the exception of </w:t>
      </w:r>
      <w:r w:rsidRPr="00306E0C">
        <w:rPr>
          <w:rFonts w:ascii="Times New Roman" w:hAnsi="Times New Roman" w:cs="Times New Roman"/>
          <w:i/>
          <w:iCs/>
          <w:sz w:val="24"/>
          <w:szCs w:val="24"/>
        </w:rPr>
        <w:t>M. versicolor</w:t>
      </w:r>
      <w:r w:rsidRPr="00306E0C">
        <w:rPr>
          <w:rFonts w:ascii="Times New Roman" w:hAnsi="Times New Roman" w:cs="Times New Roman"/>
          <w:sz w:val="24"/>
          <w:szCs w:val="24"/>
        </w:rPr>
        <w:t xml:space="preserve">. However, the difference in the phylogenetic placement of this species—either as the basal lineage of the genus (in </w:t>
      </w:r>
      <w:r w:rsidRPr="00306E0C">
        <w:rPr>
          <w:rFonts w:ascii="Times New Roman" w:hAnsi="Times New Roman" w:cs="Times New Roman"/>
          <w:i/>
          <w:iCs/>
          <w:sz w:val="24"/>
          <w:szCs w:val="24"/>
        </w:rPr>
        <w:t>de novo</w:t>
      </w:r>
      <w:r w:rsidRPr="00306E0C">
        <w:rPr>
          <w:rFonts w:ascii="Times New Roman" w:hAnsi="Times New Roman" w:cs="Times New Roman"/>
          <w:sz w:val="24"/>
          <w:szCs w:val="24"/>
        </w:rPr>
        <w:t xml:space="preserve">, and </w:t>
      </w:r>
      <w:r w:rsidRPr="00306E0C">
        <w:rPr>
          <w:rFonts w:ascii="Times New Roman" w:hAnsi="Times New Roman" w:cs="Times New Roman"/>
          <w:i/>
          <w:iCs/>
          <w:sz w:val="24"/>
          <w:szCs w:val="24"/>
        </w:rPr>
        <w:t>quasi de novo</w:t>
      </w:r>
      <w:r w:rsidRPr="00306E0C">
        <w:rPr>
          <w:rFonts w:ascii="Times New Roman" w:hAnsi="Times New Roman" w:cs="Times New Roman"/>
          <w:sz w:val="24"/>
          <w:szCs w:val="24"/>
        </w:rPr>
        <w:t xml:space="preserve">) </w:t>
      </w:r>
      <w:r w:rsidRPr="00306E0C">
        <w:rPr>
          <w:rFonts w:ascii="Times New Roman" w:hAnsi="Times New Roman" w:cs="Times New Roman"/>
          <w:color w:val="000000" w:themeColor="text1"/>
          <w:sz w:val="24"/>
          <w:szCs w:val="24"/>
        </w:rPr>
        <w:t xml:space="preserve">or as the basal lineage of clade B (reference-based)—is  weakly supported in both scenarios (Fig. S34). Due to the large amount of missing data and the computationally </w:t>
      </w:r>
      <w:r w:rsidRPr="00306E0C">
        <w:rPr>
          <w:rFonts w:ascii="Times New Roman" w:hAnsi="Times New Roman" w:cs="Times New Roman"/>
          <w:color w:val="000000" w:themeColor="text1"/>
          <w:sz w:val="24"/>
          <w:szCs w:val="24"/>
        </w:rPr>
        <w:lastRenderedPageBreak/>
        <w:t xml:space="preserve">intensive nature of </w:t>
      </w:r>
      <w:r w:rsidRPr="00306E0C">
        <w:rPr>
          <w:rFonts w:ascii="Times New Roman" w:hAnsi="Times New Roman" w:cs="Times New Roman"/>
          <w:i/>
          <w:iCs/>
          <w:color w:val="000000" w:themeColor="text1"/>
          <w:sz w:val="24"/>
          <w:szCs w:val="24"/>
        </w:rPr>
        <w:t>de novo</w:t>
      </w:r>
      <w:r w:rsidRPr="00306E0C">
        <w:rPr>
          <w:rFonts w:ascii="Times New Roman" w:hAnsi="Times New Roman" w:cs="Times New Roman"/>
          <w:color w:val="000000" w:themeColor="text1"/>
          <w:sz w:val="24"/>
          <w:szCs w:val="24"/>
        </w:rPr>
        <w:t xml:space="preserve"> and </w:t>
      </w:r>
      <w:r w:rsidRPr="00306E0C">
        <w:rPr>
          <w:rFonts w:ascii="Times New Roman" w:hAnsi="Times New Roman" w:cs="Times New Roman"/>
          <w:i/>
          <w:iCs/>
          <w:color w:val="000000" w:themeColor="text1"/>
          <w:sz w:val="24"/>
          <w:szCs w:val="24"/>
        </w:rPr>
        <w:t>quasi de novo</w:t>
      </w:r>
      <w:r w:rsidRPr="00306E0C">
        <w:rPr>
          <w:rFonts w:ascii="Times New Roman" w:hAnsi="Times New Roman" w:cs="Times New Roman"/>
          <w:color w:val="000000" w:themeColor="text1"/>
          <w:sz w:val="24"/>
          <w:szCs w:val="24"/>
        </w:rPr>
        <w:t xml:space="preserve"> methods, phylogenetic inferences were carried out using the reference-based assembled </w:t>
      </w:r>
      <w:r w:rsidRPr="00306E0C">
        <w:rPr>
          <w:rFonts w:ascii="Times New Roman" w:hAnsi="Times New Roman" w:cs="Times New Roman"/>
          <w:sz w:val="24"/>
          <w:szCs w:val="24"/>
        </w:rPr>
        <w:t>matrix at different levels of missing data (see Methods).</w:t>
      </w:r>
    </w:p>
    <w:p w14:paraId="0620B823" w14:textId="13D857D9" w:rsidR="00306E0C" w:rsidRPr="00306E0C" w:rsidRDefault="00306E0C" w:rsidP="00306E0C">
      <w:pPr>
        <w:ind w:firstLine="720"/>
        <w:jc w:val="both"/>
        <w:rPr>
          <w:rFonts w:ascii="Times New Roman" w:hAnsi="Times New Roman" w:cs="Times New Roman"/>
          <w:color w:val="000000" w:themeColor="text1"/>
          <w:sz w:val="24"/>
          <w:szCs w:val="24"/>
        </w:rPr>
      </w:pPr>
      <w:r w:rsidRPr="00306E0C">
        <w:rPr>
          <w:rFonts w:ascii="Times New Roman" w:hAnsi="Times New Roman" w:cs="Times New Roman"/>
          <w:sz w:val="24"/>
          <w:szCs w:val="24"/>
        </w:rPr>
        <w:t xml:space="preserve">In these phylogenomic trees, </w:t>
      </w:r>
      <w:r w:rsidRPr="00306E0C">
        <w:rPr>
          <w:rFonts w:ascii="Times New Roman" w:hAnsi="Times New Roman" w:cs="Times New Roman"/>
          <w:i/>
          <w:iCs/>
          <w:sz w:val="24"/>
          <w:szCs w:val="24"/>
        </w:rPr>
        <w:t>M. versicolor</w:t>
      </w:r>
      <w:r w:rsidRPr="00306E0C">
        <w:rPr>
          <w:rFonts w:ascii="Times New Roman" w:hAnsi="Times New Roman" w:cs="Times New Roman"/>
          <w:sz w:val="24"/>
          <w:szCs w:val="24"/>
        </w:rPr>
        <w:t xml:space="preserve"> is placed as the basal lineage within the </w:t>
      </w:r>
      <w:r w:rsidRPr="00306E0C">
        <w:rPr>
          <w:rFonts w:ascii="Times New Roman" w:hAnsi="Times New Roman" w:cs="Times New Roman"/>
          <w:i/>
          <w:iCs/>
          <w:sz w:val="24"/>
          <w:szCs w:val="24"/>
        </w:rPr>
        <w:t>Malacoctenus</w:t>
      </w:r>
      <w:r w:rsidRPr="00306E0C">
        <w:rPr>
          <w:rFonts w:ascii="Times New Roman" w:hAnsi="Times New Roman" w:cs="Times New Roman"/>
          <w:sz w:val="24"/>
          <w:szCs w:val="24"/>
        </w:rPr>
        <w:t xml:space="preserve"> genus, except in the 28K </w:t>
      </w:r>
      <w:r w:rsidRPr="00306E0C">
        <w:rPr>
          <w:rFonts w:ascii="Times New Roman" w:hAnsi="Times New Roman" w:cs="Times New Roman"/>
          <w:color w:val="000000" w:themeColor="text1"/>
          <w:sz w:val="24"/>
          <w:szCs w:val="24"/>
        </w:rPr>
        <w:t xml:space="preserve">SNPs tree (Fig. S35). Unlike the comparison of assembly approaches in the previous case, every phylogenetic tree strongly supports this placement. All trees identify two main clades. Clade A consists of the species </w:t>
      </w:r>
      <w:r w:rsidRPr="00306E0C">
        <w:rPr>
          <w:rFonts w:ascii="Times New Roman" w:hAnsi="Times New Roman" w:cs="Times New Roman"/>
          <w:i/>
          <w:iCs/>
          <w:color w:val="000000" w:themeColor="text1"/>
          <w:sz w:val="24"/>
          <w:szCs w:val="24"/>
        </w:rPr>
        <w:t>M. aurolineatus</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gilli</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erdmani</w:t>
      </w:r>
      <w:r w:rsidRPr="00306E0C">
        <w:rPr>
          <w:rFonts w:ascii="Times New Roman" w:hAnsi="Times New Roman" w:cs="Times New Roman"/>
          <w:color w:val="000000" w:themeColor="text1"/>
          <w:sz w:val="24"/>
          <w:szCs w:val="24"/>
        </w:rPr>
        <w:t xml:space="preserve">, and </w:t>
      </w:r>
      <w:r w:rsidRPr="00306E0C">
        <w:rPr>
          <w:rFonts w:ascii="Times New Roman" w:hAnsi="Times New Roman" w:cs="Times New Roman"/>
          <w:i/>
          <w:iCs/>
          <w:color w:val="000000" w:themeColor="text1"/>
          <w:sz w:val="24"/>
          <w:szCs w:val="24"/>
        </w:rPr>
        <w:t>M. macropus</w:t>
      </w:r>
      <w:r w:rsidRPr="00306E0C">
        <w:rPr>
          <w:rFonts w:ascii="Times New Roman" w:hAnsi="Times New Roman" w:cs="Times New Roman"/>
          <w:color w:val="000000" w:themeColor="text1"/>
          <w:sz w:val="24"/>
          <w:szCs w:val="24"/>
        </w:rPr>
        <w:t xml:space="preserve">. Clade B1 comprises </w:t>
      </w:r>
      <w:r w:rsidRPr="00306E0C">
        <w:rPr>
          <w:rFonts w:ascii="Times New Roman" w:hAnsi="Times New Roman" w:cs="Times New Roman"/>
          <w:i/>
          <w:iCs/>
          <w:color w:val="000000" w:themeColor="text1"/>
          <w:sz w:val="24"/>
          <w:szCs w:val="24"/>
        </w:rPr>
        <w:t>M. costaricanus</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polyporosus</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hubbsi</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gigas</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zacae</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zonogaster</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zonifer</w:t>
      </w:r>
      <w:r w:rsidRPr="00306E0C">
        <w:rPr>
          <w:rFonts w:ascii="Times New Roman" w:hAnsi="Times New Roman" w:cs="Times New Roman"/>
          <w:color w:val="000000" w:themeColor="text1"/>
          <w:sz w:val="24"/>
          <w:szCs w:val="24"/>
        </w:rPr>
        <w:t xml:space="preserve">, and </w:t>
      </w:r>
      <w:r w:rsidRPr="00306E0C">
        <w:rPr>
          <w:rFonts w:ascii="Times New Roman" w:hAnsi="Times New Roman" w:cs="Times New Roman"/>
          <w:i/>
          <w:iCs/>
          <w:color w:val="000000" w:themeColor="text1"/>
          <w:sz w:val="24"/>
          <w:szCs w:val="24"/>
        </w:rPr>
        <w:t>M. sudensis</w:t>
      </w:r>
      <w:r w:rsidRPr="00306E0C">
        <w:rPr>
          <w:rFonts w:ascii="Times New Roman" w:hAnsi="Times New Roman" w:cs="Times New Roman"/>
          <w:color w:val="000000" w:themeColor="text1"/>
          <w:sz w:val="24"/>
          <w:szCs w:val="24"/>
        </w:rPr>
        <w:t xml:space="preserve">, while clade B2 includes </w:t>
      </w:r>
      <w:r w:rsidRPr="00306E0C">
        <w:rPr>
          <w:rFonts w:ascii="Times New Roman" w:hAnsi="Times New Roman" w:cs="Times New Roman"/>
          <w:i/>
          <w:iCs/>
          <w:color w:val="000000" w:themeColor="text1"/>
          <w:sz w:val="24"/>
          <w:szCs w:val="24"/>
        </w:rPr>
        <w:t>M. tetranemus</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delalandii</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margaritae</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mexicanus</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triangulatus</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brunoi</w:t>
      </w:r>
      <w:r w:rsidRPr="00306E0C">
        <w:rPr>
          <w:rFonts w:ascii="Times New Roman" w:hAnsi="Times New Roman" w:cs="Times New Roman"/>
          <w:color w:val="000000" w:themeColor="text1"/>
          <w:sz w:val="24"/>
          <w:szCs w:val="24"/>
        </w:rPr>
        <w:t xml:space="preserve">, and </w:t>
      </w:r>
      <w:r w:rsidRPr="00306E0C">
        <w:rPr>
          <w:rFonts w:ascii="Times New Roman" w:hAnsi="Times New Roman" w:cs="Times New Roman"/>
          <w:i/>
          <w:iCs/>
          <w:color w:val="000000" w:themeColor="text1"/>
          <w:sz w:val="24"/>
          <w:szCs w:val="24"/>
        </w:rPr>
        <w:t>M. lianae</w:t>
      </w:r>
      <w:r w:rsidRPr="00306E0C">
        <w:rPr>
          <w:rFonts w:ascii="Times New Roman" w:hAnsi="Times New Roman" w:cs="Times New Roman"/>
          <w:color w:val="000000" w:themeColor="text1"/>
          <w:sz w:val="24"/>
          <w:szCs w:val="24"/>
        </w:rPr>
        <w:t xml:space="preserve">, and </w:t>
      </w:r>
      <w:r w:rsidRPr="00306E0C">
        <w:rPr>
          <w:rFonts w:ascii="Times New Roman" w:hAnsi="Times New Roman" w:cs="Times New Roman"/>
          <w:i/>
          <w:iCs/>
          <w:color w:val="000000" w:themeColor="text1"/>
          <w:sz w:val="24"/>
          <w:szCs w:val="24"/>
        </w:rPr>
        <w:t>M. boehlkei</w:t>
      </w:r>
      <w:r w:rsidRPr="00306E0C">
        <w:rPr>
          <w:rFonts w:ascii="Times New Roman" w:hAnsi="Times New Roman" w:cs="Times New Roman"/>
          <w:color w:val="000000" w:themeColor="text1"/>
          <w:sz w:val="24"/>
          <w:szCs w:val="24"/>
        </w:rPr>
        <w:t xml:space="preserve"> as the basal lineage of clade B, except in the 28K SNPs tree. In general, all trees showed consistent phylogenetic relationships for clades A and B2. However, within clade B1, a significant discrepancy in clade B1 was noted considering the positions of </w:t>
      </w:r>
      <w:r w:rsidRPr="00306E0C">
        <w:rPr>
          <w:rFonts w:ascii="Times New Roman" w:hAnsi="Times New Roman" w:cs="Times New Roman"/>
          <w:i/>
          <w:iCs/>
          <w:color w:val="000000" w:themeColor="text1"/>
          <w:sz w:val="24"/>
          <w:szCs w:val="24"/>
        </w:rPr>
        <w:t>M. gigas</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zacae</w:t>
      </w:r>
      <w:r w:rsidRPr="00306E0C">
        <w:rPr>
          <w:rFonts w:ascii="Times New Roman" w:hAnsi="Times New Roman" w:cs="Times New Roman"/>
          <w:color w:val="000000" w:themeColor="text1"/>
          <w:sz w:val="24"/>
          <w:szCs w:val="24"/>
        </w:rPr>
        <w:t xml:space="preserve">, and the </w:t>
      </w:r>
      <w:r w:rsidRPr="00306E0C">
        <w:rPr>
          <w:rFonts w:ascii="Times New Roman" w:hAnsi="Times New Roman" w:cs="Times New Roman"/>
          <w:i/>
          <w:iCs/>
          <w:color w:val="000000" w:themeColor="text1"/>
          <w:sz w:val="24"/>
          <w:szCs w:val="24"/>
        </w:rPr>
        <w:t>M. hubbsi</w:t>
      </w:r>
      <w:r w:rsidRPr="00306E0C">
        <w:rPr>
          <w:rFonts w:ascii="Times New Roman" w:hAnsi="Times New Roman" w:cs="Times New Roman"/>
          <w:color w:val="000000" w:themeColor="text1"/>
          <w:sz w:val="24"/>
          <w:szCs w:val="24"/>
        </w:rPr>
        <w:t xml:space="preserve"> species complex. In most instances, </w:t>
      </w:r>
      <w:r w:rsidRPr="00306E0C">
        <w:rPr>
          <w:rFonts w:ascii="Times New Roman" w:hAnsi="Times New Roman" w:cs="Times New Roman"/>
          <w:i/>
          <w:iCs/>
          <w:color w:val="000000" w:themeColor="text1"/>
          <w:sz w:val="24"/>
          <w:szCs w:val="24"/>
        </w:rPr>
        <w:t>M. zacae</w:t>
      </w:r>
      <w:r w:rsidRPr="00306E0C">
        <w:rPr>
          <w:rFonts w:ascii="Times New Roman" w:hAnsi="Times New Roman" w:cs="Times New Roman"/>
          <w:color w:val="000000" w:themeColor="text1"/>
          <w:sz w:val="24"/>
          <w:szCs w:val="24"/>
        </w:rPr>
        <w:t xml:space="preserve"> represents the sister lineage to the </w:t>
      </w:r>
      <w:r w:rsidRPr="00306E0C">
        <w:rPr>
          <w:rFonts w:ascii="Times New Roman" w:hAnsi="Times New Roman" w:cs="Times New Roman"/>
          <w:i/>
          <w:iCs/>
          <w:color w:val="000000" w:themeColor="text1"/>
          <w:sz w:val="24"/>
          <w:szCs w:val="24"/>
        </w:rPr>
        <w:t>M. hubbsi</w:t>
      </w:r>
      <w:r w:rsidRPr="00306E0C">
        <w:rPr>
          <w:rFonts w:ascii="Times New Roman" w:hAnsi="Times New Roman" w:cs="Times New Roman"/>
          <w:color w:val="000000" w:themeColor="text1"/>
          <w:sz w:val="24"/>
          <w:szCs w:val="24"/>
        </w:rPr>
        <w:t xml:space="preserve"> species complex. Yet, in the 28K SNPs tree, </w:t>
      </w:r>
      <w:r w:rsidRPr="00306E0C">
        <w:rPr>
          <w:rFonts w:ascii="Times New Roman" w:hAnsi="Times New Roman" w:cs="Times New Roman"/>
          <w:i/>
          <w:iCs/>
          <w:color w:val="000000" w:themeColor="text1"/>
          <w:sz w:val="24"/>
          <w:szCs w:val="24"/>
        </w:rPr>
        <w:t>M. gigas</w:t>
      </w:r>
      <w:r w:rsidRPr="00306E0C">
        <w:rPr>
          <w:rFonts w:ascii="Times New Roman" w:hAnsi="Times New Roman" w:cs="Times New Roman"/>
          <w:color w:val="000000" w:themeColor="text1"/>
          <w:sz w:val="24"/>
          <w:szCs w:val="24"/>
        </w:rPr>
        <w:t xml:space="preserve"> appears as the sister lineage of the </w:t>
      </w:r>
      <w:r w:rsidRPr="00306E0C">
        <w:rPr>
          <w:rFonts w:ascii="Times New Roman" w:hAnsi="Times New Roman" w:cs="Times New Roman"/>
          <w:i/>
          <w:iCs/>
          <w:color w:val="000000" w:themeColor="text1"/>
          <w:sz w:val="24"/>
          <w:szCs w:val="24"/>
        </w:rPr>
        <w:t>M. hubbsi</w:t>
      </w:r>
      <w:r w:rsidRPr="00306E0C">
        <w:rPr>
          <w:rFonts w:ascii="Times New Roman" w:hAnsi="Times New Roman" w:cs="Times New Roman"/>
          <w:color w:val="000000" w:themeColor="text1"/>
          <w:sz w:val="24"/>
          <w:szCs w:val="24"/>
        </w:rPr>
        <w:t xml:space="preserve"> species complex.</w:t>
      </w:r>
    </w:p>
    <w:p w14:paraId="3044CB8A" w14:textId="77777777" w:rsidR="00306E0C" w:rsidRPr="00306E0C" w:rsidRDefault="00306E0C" w:rsidP="00306E0C">
      <w:pPr>
        <w:ind w:firstLine="720"/>
        <w:jc w:val="both"/>
        <w:rPr>
          <w:rFonts w:ascii="Times New Roman" w:hAnsi="Times New Roman" w:cs="Times New Roman"/>
          <w:color w:val="000000" w:themeColor="text1"/>
          <w:sz w:val="24"/>
          <w:szCs w:val="24"/>
        </w:rPr>
      </w:pPr>
      <w:r w:rsidRPr="00306E0C">
        <w:rPr>
          <w:rFonts w:ascii="Times New Roman" w:hAnsi="Times New Roman" w:cs="Times New Roman"/>
          <w:color w:val="000000" w:themeColor="text1"/>
          <w:sz w:val="24"/>
          <w:szCs w:val="24"/>
        </w:rPr>
        <w:t xml:space="preserve">All species trees (Fig. S36), estimated using reference-based assembled matrices, identify </w:t>
      </w:r>
      <w:r w:rsidRPr="00306E0C">
        <w:rPr>
          <w:rFonts w:ascii="Times New Roman" w:hAnsi="Times New Roman" w:cs="Times New Roman"/>
          <w:i/>
          <w:iCs/>
          <w:color w:val="000000" w:themeColor="text1"/>
          <w:sz w:val="24"/>
          <w:szCs w:val="24"/>
        </w:rPr>
        <w:t>M. versicolor</w:t>
      </w:r>
      <w:r w:rsidRPr="00306E0C">
        <w:rPr>
          <w:rFonts w:ascii="Times New Roman" w:hAnsi="Times New Roman" w:cs="Times New Roman"/>
          <w:color w:val="000000" w:themeColor="text1"/>
          <w:sz w:val="24"/>
          <w:szCs w:val="24"/>
        </w:rPr>
        <w:t xml:space="preserve"> as the basal lineage within the </w:t>
      </w:r>
      <w:r w:rsidRPr="00306E0C">
        <w:rPr>
          <w:rFonts w:ascii="Times New Roman" w:hAnsi="Times New Roman" w:cs="Times New Roman"/>
          <w:i/>
          <w:iCs/>
          <w:color w:val="000000" w:themeColor="text1"/>
          <w:sz w:val="24"/>
          <w:szCs w:val="24"/>
        </w:rPr>
        <w:t>Malacoctenus</w:t>
      </w:r>
      <w:r w:rsidRPr="00306E0C">
        <w:rPr>
          <w:rFonts w:ascii="Times New Roman" w:hAnsi="Times New Roman" w:cs="Times New Roman"/>
          <w:color w:val="000000" w:themeColor="text1"/>
          <w:sz w:val="24"/>
          <w:szCs w:val="24"/>
        </w:rPr>
        <w:t xml:space="preserve"> genus and </w:t>
      </w:r>
      <w:r w:rsidRPr="00306E0C">
        <w:rPr>
          <w:rFonts w:ascii="Times New Roman" w:hAnsi="Times New Roman" w:cs="Times New Roman"/>
          <w:i/>
          <w:iCs/>
          <w:color w:val="000000" w:themeColor="text1"/>
          <w:sz w:val="24"/>
          <w:szCs w:val="24"/>
        </w:rPr>
        <w:t>M. boehlkei</w:t>
      </w:r>
      <w:r w:rsidRPr="00306E0C">
        <w:rPr>
          <w:rFonts w:ascii="Times New Roman" w:hAnsi="Times New Roman" w:cs="Times New Roman"/>
          <w:color w:val="000000" w:themeColor="text1"/>
          <w:sz w:val="24"/>
          <w:szCs w:val="24"/>
        </w:rPr>
        <w:t xml:space="preserve"> as the oldest lineage in clade B. Contrary to the findings in phylogenetic trees, the geminate species pair (</w:t>
      </w:r>
      <w:r w:rsidRPr="00306E0C">
        <w:rPr>
          <w:rFonts w:ascii="Times New Roman" w:hAnsi="Times New Roman" w:cs="Times New Roman"/>
          <w:i/>
          <w:iCs/>
          <w:color w:val="000000" w:themeColor="text1"/>
          <w:sz w:val="24"/>
          <w:szCs w:val="24"/>
        </w:rPr>
        <w:t>M. tetranemus</w:t>
      </w:r>
      <w:r w:rsidRPr="00306E0C">
        <w:rPr>
          <w:rFonts w:ascii="Times New Roman" w:hAnsi="Times New Roman" w:cs="Times New Roman"/>
          <w:color w:val="000000" w:themeColor="text1"/>
          <w:sz w:val="24"/>
          <w:szCs w:val="24"/>
        </w:rPr>
        <w:t xml:space="preserve"> and </w:t>
      </w:r>
      <w:r w:rsidRPr="00306E0C">
        <w:rPr>
          <w:rFonts w:ascii="Times New Roman" w:hAnsi="Times New Roman" w:cs="Times New Roman"/>
          <w:i/>
          <w:iCs/>
          <w:color w:val="000000" w:themeColor="text1"/>
          <w:sz w:val="24"/>
          <w:szCs w:val="24"/>
        </w:rPr>
        <w:t>M. delalandii</w:t>
      </w:r>
      <w:r w:rsidRPr="00306E0C">
        <w:rPr>
          <w:rFonts w:ascii="Times New Roman" w:hAnsi="Times New Roman" w:cs="Times New Roman"/>
          <w:color w:val="000000" w:themeColor="text1"/>
          <w:sz w:val="24"/>
          <w:szCs w:val="24"/>
        </w:rPr>
        <w:t xml:space="preserve">) is presented as the basal lineage in clade B1. Nevertheless, we consistently observed a pattern where the sister species to the </w:t>
      </w:r>
      <w:r w:rsidRPr="00306E0C">
        <w:rPr>
          <w:rFonts w:ascii="Times New Roman" w:hAnsi="Times New Roman" w:cs="Times New Roman"/>
          <w:i/>
          <w:iCs/>
          <w:color w:val="000000" w:themeColor="text1"/>
          <w:sz w:val="24"/>
          <w:szCs w:val="24"/>
        </w:rPr>
        <w:t>M. hubbsi</w:t>
      </w:r>
      <w:r w:rsidRPr="00306E0C">
        <w:rPr>
          <w:rFonts w:ascii="Times New Roman" w:hAnsi="Times New Roman" w:cs="Times New Roman"/>
          <w:color w:val="000000" w:themeColor="text1"/>
          <w:sz w:val="24"/>
          <w:szCs w:val="24"/>
        </w:rPr>
        <w:t xml:space="preserve"> species complex is either </w:t>
      </w:r>
      <w:r w:rsidRPr="00306E0C">
        <w:rPr>
          <w:rFonts w:ascii="Times New Roman" w:hAnsi="Times New Roman" w:cs="Times New Roman"/>
          <w:i/>
          <w:iCs/>
          <w:color w:val="000000" w:themeColor="text1"/>
          <w:sz w:val="24"/>
          <w:szCs w:val="24"/>
        </w:rPr>
        <w:t>M. gigas</w:t>
      </w:r>
      <w:r w:rsidRPr="00306E0C">
        <w:rPr>
          <w:rFonts w:ascii="Times New Roman" w:hAnsi="Times New Roman" w:cs="Times New Roman"/>
          <w:color w:val="000000" w:themeColor="text1"/>
          <w:sz w:val="24"/>
          <w:szCs w:val="24"/>
        </w:rPr>
        <w:t xml:space="preserve"> or </w:t>
      </w:r>
      <w:r w:rsidRPr="00306E0C">
        <w:rPr>
          <w:rFonts w:ascii="Times New Roman" w:hAnsi="Times New Roman" w:cs="Times New Roman"/>
          <w:i/>
          <w:iCs/>
          <w:color w:val="000000" w:themeColor="text1"/>
          <w:sz w:val="24"/>
          <w:szCs w:val="24"/>
        </w:rPr>
        <w:t>M. zacae</w:t>
      </w:r>
      <w:r w:rsidRPr="00306E0C">
        <w:rPr>
          <w:rFonts w:ascii="Times New Roman" w:hAnsi="Times New Roman" w:cs="Times New Roman"/>
          <w:color w:val="000000" w:themeColor="text1"/>
          <w:sz w:val="24"/>
          <w:szCs w:val="24"/>
        </w:rPr>
        <w:t xml:space="preserve">. Notably, the species tree with the fewest SNPs (1891) showed the most discrepancies compared to the other trees. One such discrepancy is where </w:t>
      </w:r>
      <w:r w:rsidRPr="00306E0C">
        <w:rPr>
          <w:rFonts w:ascii="Times New Roman" w:hAnsi="Times New Roman" w:cs="Times New Roman"/>
          <w:i/>
          <w:iCs/>
          <w:color w:val="000000" w:themeColor="text1"/>
          <w:sz w:val="24"/>
          <w:szCs w:val="24"/>
        </w:rPr>
        <w:t>M. aurolineatus</w:t>
      </w:r>
      <w:r w:rsidRPr="00306E0C">
        <w:rPr>
          <w:rFonts w:ascii="Times New Roman" w:hAnsi="Times New Roman" w:cs="Times New Roman"/>
          <w:color w:val="000000" w:themeColor="text1"/>
          <w:sz w:val="24"/>
          <w:szCs w:val="24"/>
        </w:rPr>
        <w:t xml:space="preserve">, initially the basal lineage of </w:t>
      </w:r>
      <w:r w:rsidRPr="00306E0C">
        <w:rPr>
          <w:rFonts w:ascii="Times New Roman" w:hAnsi="Times New Roman" w:cs="Times New Roman"/>
          <w:i/>
          <w:iCs/>
          <w:color w:val="000000" w:themeColor="text1"/>
          <w:sz w:val="24"/>
          <w:szCs w:val="24"/>
        </w:rPr>
        <w:t>M. gilli</w:t>
      </w:r>
      <w:r w:rsidRPr="00306E0C">
        <w:rPr>
          <w:rFonts w:ascii="Times New Roman" w:hAnsi="Times New Roman" w:cs="Times New Roman"/>
          <w:color w:val="000000" w:themeColor="text1"/>
          <w:sz w:val="24"/>
          <w:szCs w:val="24"/>
        </w:rPr>
        <w:t xml:space="preserve">, </w:t>
      </w:r>
      <w:r w:rsidRPr="00306E0C">
        <w:rPr>
          <w:rFonts w:ascii="Times New Roman" w:hAnsi="Times New Roman" w:cs="Times New Roman"/>
          <w:i/>
          <w:iCs/>
          <w:color w:val="000000" w:themeColor="text1"/>
          <w:sz w:val="24"/>
          <w:szCs w:val="24"/>
        </w:rPr>
        <w:t>M. erdmani</w:t>
      </w:r>
      <w:r w:rsidRPr="00306E0C">
        <w:rPr>
          <w:rFonts w:ascii="Times New Roman" w:hAnsi="Times New Roman" w:cs="Times New Roman"/>
          <w:color w:val="000000" w:themeColor="text1"/>
          <w:sz w:val="24"/>
          <w:szCs w:val="24"/>
        </w:rPr>
        <w:t xml:space="preserve">, and </w:t>
      </w:r>
      <w:r w:rsidRPr="00306E0C">
        <w:rPr>
          <w:rFonts w:ascii="Times New Roman" w:hAnsi="Times New Roman" w:cs="Times New Roman"/>
          <w:i/>
          <w:iCs/>
          <w:color w:val="000000" w:themeColor="text1"/>
          <w:sz w:val="24"/>
          <w:szCs w:val="24"/>
        </w:rPr>
        <w:t>M. macropus</w:t>
      </w:r>
      <w:r w:rsidRPr="00306E0C">
        <w:rPr>
          <w:rFonts w:ascii="Times New Roman" w:hAnsi="Times New Roman" w:cs="Times New Roman"/>
          <w:color w:val="000000" w:themeColor="text1"/>
          <w:sz w:val="24"/>
          <w:szCs w:val="24"/>
        </w:rPr>
        <w:t xml:space="preserve">, appears as the sister species to </w:t>
      </w:r>
      <w:r w:rsidRPr="00306E0C">
        <w:rPr>
          <w:rFonts w:ascii="Times New Roman" w:hAnsi="Times New Roman" w:cs="Times New Roman"/>
          <w:i/>
          <w:iCs/>
          <w:color w:val="000000" w:themeColor="text1"/>
          <w:sz w:val="24"/>
          <w:szCs w:val="24"/>
        </w:rPr>
        <w:t>M. gilli</w:t>
      </w:r>
      <w:r w:rsidRPr="00306E0C">
        <w:rPr>
          <w:rFonts w:ascii="Times New Roman" w:hAnsi="Times New Roman" w:cs="Times New Roman"/>
          <w:color w:val="000000" w:themeColor="text1"/>
          <w:sz w:val="24"/>
          <w:szCs w:val="24"/>
        </w:rPr>
        <w:t>.</w:t>
      </w:r>
    </w:p>
    <w:p w14:paraId="159FEC62" w14:textId="7572ADA8" w:rsidR="00306E0C" w:rsidRPr="00306E0C" w:rsidRDefault="00306E0C" w:rsidP="00306E0C">
      <w:pPr>
        <w:jc w:val="both"/>
        <w:rPr>
          <w:rFonts w:ascii="Times New Roman" w:hAnsi="Times New Roman" w:cs="Times New Roman"/>
          <w:color w:val="000000" w:themeColor="text1"/>
          <w:sz w:val="24"/>
          <w:szCs w:val="24"/>
        </w:rPr>
      </w:pPr>
      <w:r w:rsidRPr="00306E0C">
        <w:rPr>
          <w:rFonts w:ascii="Times New Roman" w:hAnsi="Times New Roman" w:cs="Times New Roman"/>
          <w:color w:val="000000" w:themeColor="text1"/>
          <w:sz w:val="24"/>
          <w:szCs w:val="24"/>
        </w:rPr>
        <w:tab/>
        <w:t xml:space="preserve">The mitochondrial tree depicts </w:t>
      </w:r>
      <w:r w:rsidRPr="00306E0C">
        <w:rPr>
          <w:rFonts w:ascii="Times New Roman" w:hAnsi="Times New Roman" w:cs="Times New Roman"/>
          <w:i/>
          <w:iCs/>
          <w:color w:val="000000" w:themeColor="text1"/>
          <w:sz w:val="24"/>
          <w:szCs w:val="24"/>
        </w:rPr>
        <w:t>M. boehlkei</w:t>
      </w:r>
      <w:r w:rsidRPr="00306E0C">
        <w:rPr>
          <w:rFonts w:ascii="Times New Roman" w:hAnsi="Times New Roman" w:cs="Times New Roman"/>
          <w:color w:val="000000" w:themeColor="text1"/>
          <w:sz w:val="24"/>
          <w:szCs w:val="24"/>
        </w:rPr>
        <w:t xml:space="preserve"> as the basal lineage of the </w:t>
      </w:r>
      <w:r w:rsidRPr="00306E0C">
        <w:rPr>
          <w:rFonts w:ascii="Times New Roman" w:hAnsi="Times New Roman" w:cs="Times New Roman"/>
          <w:i/>
          <w:iCs/>
          <w:color w:val="000000" w:themeColor="text1"/>
          <w:sz w:val="24"/>
          <w:szCs w:val="24"/>
        </w:rPr>
        <w:t>Malacoctenus</w:t>
      </w:r>
      <w:r w:rsidRPr="00306E0C">
        <w:rPr>
          <w:rFonts w:ascii="Times New Roman" w:hAnsi="Times New Roman" w:cs="Times New Roman"/>
          <w:color w:val="000000" w:themeColor="text1"/>
          <w:sz w:val="24"/>
          <w:szCs w:val="24"/>
        </w:rPr>
        <w:t xml:space="preserve"> genus, mirroring the 28K SNPs phylogenomic tree (Fig. S37). Mitochondrial inferences suggest </w:t>
      </w:r>
      <w:r w:rsidRPr="00306E0C">
        <w:rPr>
          <w:rFonts w:ascii="Times New Roman" w:hAnsi="Times New Roman" w:cs="Times New Roman"/>
          <w:i/>
          <w:iCs/>
          <w:color w:val="000000" w:themeColor="text1"/>
          <w:sz w:val="24"/>
          <w:szCs w:val="24"/>
        </w:rPr>
        <w:t>M. versicolor</w:t>
      </w:r>
      <w:r w:rsidRPr="00306E0C">
        <w:rPr>
          <w:rFonts w:ascii="Times New Roman" w:hAnsi="Times New Roman" w:cs="Times New Roman"/>
          <w:color w:val="000000" w:themeColor="text1"/>
          <w:sz w:val="24"/>
          <w:szCs w:val="24"/>
        </w:rPr>
        <w:t xml:space="preserve"> is the sister species of </w:t>
      </w:r>
      <w:r w:rsidRPr="00306E0C">
        <w:rPr>
          <w:rFonts w:ascii="Times New Roman" w:hAnsi="Times New Roman" w:cs="Times New Roman"/>
          <w:i/>
          <w:iCs/>
          <w:color w:val="000000" w:themeColor="text1"/>
          <w:sz w:val="24"/>
          <w:szCs w:val="24"/>
        </w:rPr>
        <w:t>M. aurolineatus</w:t>
      </w:r>
      <w:r w:rsidRPr="00306E0C">
        <w:rPr>
          <w:rFonts w:ascii="Times New Roman" w:hAnsi="Times New Roman" w:cs="Times New Roman"/>
          <w:color w:val="000000" w:themeColor="text1"/>
          <w:sz w:val="24"/>
          <w:szCs w:val="24"/>
        </w:rPr>
        <w:t xml:space="preserve">, though this relationship has low support. Minimal genetic variation was observed between </w:t>
      </w:r>
      <w:r w:rsidRPr="00306E0C">
        <w:rPr>
          <w:rFonts w:ascii="Times New Roman" w:hAnsi="Times New Roman" w:cs="Times New Roman"/>
          <w:i/>
          <w:iCs/>
          <w:color w:val="000000" w:themeColor="text1"/>
          <w:sz w:val="24"/>
          <w:szCs w:val="24"/>
        </w:rPr>
        <w:t>M. macropus</w:t>
      </w:r>
      <w:r w:rsidRPr="00306E0C">
        <w:rPr>
          <w:rFonts w:ascii="Times New Roman" w:hAnsi="Times New Roman" w:cs="Times New Roman"/>
          <w:color w:val="000000" w:themeColor="text1"/>
          <w:sz w:val="24"/>
          <w:szCs w:val="24"/>
        </w:rPr>
        <w:t xml:space="preserve"> and </w:t>
      </w:r>
      <w:r w:rsidRPr="00306E0C">
        <w:rPr>
          <w:rFonts w:ascii="Times New Roman" w:hAnsi="Times New Roman" w:cs="Times New Roman"/>
          <w:i/>
          <w:iCs/>
          <w:color w:val="000000" w:themeColor="text1"/>
          <w:sz w:val="24"/>
          <w:szCs w:val="24"/>
        </w:rPr>
        <w:t>M. gilli</w:t>
      </w:r>
      <w:r w:rsidRPr="00306E0C">
        <w:rPr>
          <w:rFonts w:ascii="Times New Roman" w:hAnsi="Times New Roman" w:cs="Times New Roman"/>
          <w:color w:val="000000" w:themeColor="text1"/>
          <w:sz w:val="24"/>
          <w:szCs w:val="24"/>
        </w:rPr>
        <w:t xml:space="preserve">, which appear as sister species. Notably, </w:t>
      </w:r>
      <w:r w:rsidRPr="00306E0C">
        <w:rPr>
          <w:rFonts w:ascii="Times New Roman" w:hAnsi="Times New Roman" w:cs="Times New Roman"/>
          <w:i/>
          <w:iCs/>
          <w:color w:val="000000" w:themeColor="text1"/>
          <w:sz w:val="24"/>
          <w:szCs w:val="24"/>
        </w:rPr>
        <w:t>M. erdmani</w:t>
      </w:r>
      <w:r w:rsidRPr="00306E0C">
        <w:rPr>
          <w:rFonts w:ascii="Times New Roman" w:hAnsi="Times New Roman" w:cs="Times New Roman"/>
          <w:color w:val="000000" w:themeColor="text1"/>
          <w:sz w:val="24"/>
          <w:szCs w:val="24"/>
        </w:rPr>
        <w:t xml:space="preserve">, the sister species of </w:t>
      </w:r>
      <w:r w:rsidRPr="00306E0C">
        <w:rPr>
          <w:rFonts w:ascii="Times New Roman" w:hAnsi="Times New Roman" w:cs="Times New Roman"/>
          <w:i/>
          <w:iCs/>
          <w:color w:val="000000" w:themeColor="text1"/>
          <w:sz w:val="24"/>
          <w:szCs w:val="24"/>
        </w:rPr>
        <w:t>M. macropus</w:t>
      </w:r>
      <w:r w:rsidRPr="00306E0C">
        <w:rPr>
          <w:rFonts w:ascii="Times New Roman" w:hAnsi="Times New Roman" w:cs="Times New Roman"/>
          <w:color w:val="000000" w:themeColor="text1"/>
          <w:sz w:val="24"/>
          <w:szCs w:val="24"/>
        </w:rPr>
        <w:t xml:space="preserve"> based on phylogenomic inferences, was not assessed using mitochondrial data. Despite the low support for relationships among the basal lineages, the mitochondrial tree still distinguishes clades B1 and B2. It’s worth highlighting that </w:t>
      </w:r>
      <w:r w:rsidRPr="00306E0C">
        <w:rPr>
          <w:rFonts w:ascii="Times New Roman" w:hAnsi="Times New Roman" w:cs="Times New Roman"/>
          <w:i/>
          <w:iCs/>
          <w:color w:val="000000" w:themeColor="text1"/>
          <w:sz w:val="24"/>
          <w:szCs w:val="24"/>
        </w:rPr>
        <w:t>M. gigas</w:t>
      </w:r>
      <w:r w:rsidRPr="00306E0C">
        <w:rPr>
          <w:rFonts w:ascii="Times New Roman" w:hAnsi="Times New Roman" w:cs="Times New Roman"/>
          <w:color w:val="000000" w:themeColor="text1"/>
          <w:sz w:val="24"/>
          <w:szCs w:val="24"/>
        </w:rPr>
        <w:t xml:space="preserve"> represents the sister species of </w:t>
      </w:r>
      <w:r w:rsidRPr="00306E0C">
        <w:rPr>
          <w:rFonts w:ascii="Times New Roman" w:hAnsi="Times New Roman" w:cs="Times New Roman"/>
          <w:i/>
          <w:iCs/>
          <w:color w:val="000000" w:themeColor="text1"/>
          <w:sz w:val="24"/>
          <w:szCs w:val="24"/>
        </w:rPr>
        <w:t>M. zacae</w:t>
      </w:r>
      <w:r w:rsidRPr="00306E0C">
        <w:rPr>
          <w:rFonts w:ascii="Times New Roman" w:hAnsi="Times New Roman" w:cs="Times New Roman"/>
          <w:color w:val="000000" w:themeColor="text1"/>
          <w:sz w:val="24"/>
          <w:szCs w:val="24"/>
        </w:rPr>
        <w:t>, a finding also supported by some phylogenomic trees (Fig. S35</w:t>
      </w:r>
      <w:r w:rsidRPr="00306E0C">
        <w:rPr>
          <w:rFonts w:ascii="Times New Roman" w:hAnsi="Times New Roman" w:cs="Times New Roman"/>
          <w:noProof/>
          <w:color w:val="000000" w:themeColor="text1"/>
          <w:sz w:val="24"/>
          <w:szCs w:val="24"/>
        </w:rPr>
        <w:t>–</w:t>
      </w:r>
      <w:r w:rsidRPr="00306E0C">
        <w:rPr>
          <w:rFonts w:ascii="Times New Roman" w:hAnsi="Times New Roman" w:cs="Times New Roman"/>
          <w:color w:val="000000" w:themeColor="text1"/>
          <w:sz w:val="24"/>
          <w:szCs w:val="24"/>
        </w:rPr>
        <w:t xml:space="preserve">S37). </w:t>
      </w:r>
    </w:p>
    <w:p w14:paraId="333C1A35" w14:textId="77777777" w:rsidR="00306E0C" w:rsidRPr="00306E0C" w:rsidRDefault="00306E0C" w:rsidP="00306E0C">
      <w:pPr>
        <w:jc w:val="both"/>
        <w:rPr>
          <w:rFonts w:ascii="Times New Roman" w:hAnsi="Times New Roman" w:cs="Times New Roman"/>
          <w:sz w:val="24"/>
          <w:szCs w:val="24"/>
        </w:rPr>
      </w:pPr>
      <w:r w:rsidRPr="00306E0C">
        <w:rPr>
          <w:rFonts w:ascii="Times New Roman" w:hAnsi="Times New Roman" w:cs="Times New Roman"/>
          <w:b/>
          <w:bCs/>
          <w:color w:val="000000" w:themeColor="text1"/>
          <w:sz w:val="24"/>
          <w:szCs w:val="24"/>
        </w:rPr>
        <w:t xml:space="preserve">Test for shared events of divergence. </w:t>
      </w:r>
      <w:r w:rsidRPr="00306E0C">
        <w:rPr>
          <w:rFonts w:ascii="Times New Roman" w:hAnsi="Times New Roman" w:cs="Times New Roman"/>
          <w:color w:val="000000" w:themeColor="text1"/>
          <w:sz w:val="24"/>
          <w:szCs w:val="24"/>
        </w:rPr>
        <w:t xml:space="preserve">Results from the test of synchronous cladogenetic events triggered by the rise of the Isthmus of Panama, conducted using ecoevolity, supported a model with no shared divergent events across trans-isthmic clades (Fig. S38). This finding was consistent in analyses that included both </w:t>
      </w:r>
      <w:r w:rsidRPr="00306E0C">
        <w:rPr>
          <w:rFonts w:ascii="Times New Roman" w:hAnsi="Times New Roman" w:cs="Times New Roman"/>
          <w:i/>
          <w:iCs/>
          <w:color w:val="000000" w:themeColor="text1"/>
          <w:sz w:val="24"/>
          <w:szCs w:val="24"/>
        </w:rPr>
        <w:t>ca.</w:t>
      </w:r>
      <w:r w:rsidRPr="00306E0C">
        <w:rPr>
          <w:rFonts w:ascii="Times New Roman" w:hAnsi="Times New Roman" w:cs="Times New Roman"/>
          <w:color w:val="000000" w:themeColor="text1"/>
          <w:sz w:val="24"/>
          <w:szCs w:val="24"/>
        </w:rPr>
        <w:t xml:space="preserve"> 200K and more than 1000K bp. These results align with the divergence times among trans-isthmic clades estimated in the time-calibrated species tree (Fig. 4).</w:t>
      </w:r>
    </w:p>
    <w:p w14:paraId="23C63C58" w14:textId="77777777" w:rsidR="00306E0C" w:rsidRDefault="00306E0C" w:rsidP="00306E0C">
      <w:pPr>
        <w:rPr>
          <w:rFonts w:ascii="Times New Roman" w:hAnsi="Times New Roman" w:cs="Times New Roman"/>
        </w:rPr>
      </w:pPr>
    </w:p>
    <w:p w14:paraId="3A39593A" w14:textId="77777777" w:rsidR="00BA51BC" w:rsidRDefault="00BA51BC" w:rsidP="00306E0C">
      <w:pPr>
        <w:rPr>
          <w:rFonts w:ascii="Times New Roman" w:hAnsi="Times New Roman" w:cs="Times New Roman"/>
        </w:rPr>
      </w:pPr>
    </w:p>
    <w:p w14:paraId="16E7BA17" w14:textId="77777777" w:rsidR="00BA51BC" w:rsidRDefault="00BA51BC" w:rsidP="00306E0C">
      <w:pPr>
        <w:rPr>
          <w:rFonts w:ascii="Times New Roman" w:hAnsi="Times New Roman" w:cs="Times New Roman"/>
        </w:rPr>
      </w:pPr>
    </w:p>
    <w:p w14:paraId="2D15C92E" w14:textId="77777777" w:rsidR="00BA51BC" w:rsidRDefault="00BA51BC" w:rsidP="00306E0C">
      <w:pPr>
        <w:rPr>
          <w:rFonts w:ascii="Times New Roman" w:hAnsi="Times New Roman" w:cs="Times New Roman"/>
        </w:rPr>
      </w:pPr>
    </w:p>
    <w:p w14:paraId="4FE84214" w14:textId="77777777" w:rsidR="00BA51BC" w:rsidRDefault="00BA51BC" w:rsidP="00306E0C">
      <w:pPr>
        <w:rPr>
          <w:rFonts w:ascii="Times New Roman" w:hAnsi="Times New Roman" w:cs="Times New Roman"/>
        </w:rPr>
      </w:pPr>
    </w:p>
    <w:p w14:paraId="3E8E9F70" w14:textId="77777777" w:rsidR="00BA51BC" w:rsidRDefault="00BA51BC" w:rsidP="00306E0C">
      <w:pPr>
        <w:rPr>
          <w:rFonts w:ascii="Times New Roman" w:hAnsi="Times New Roman" w:cs="Times New Roman"/>
        </w:rPr>
      </w:pPr>
    </w:p>
    <w:p w14:paraId="6426AB09" w14:textId="77777777" w:rsidR="00BA51BC" w:rsidRPr="00764AED" w:rsidRDefault="00BA51BC" w:rsidP="00306E0C">
      <w:pPr>
        <w:rPr>
          <w:rFonts w:ascii="Times New Roman" w:hAnsi="Times New Roman" w:cs="Times New Roman"/>
        </w:rPr>
      </w:pPr>
    </w:p>
    <w:p w14:paraId="5B118728" w14:textId="77777777" w:rsidR="00306E0C" w:rsidRDefault="00306E0C" w:rsidP="00306E0C">
      <w:pPr>
        <w:rPr>
          <w:rFonts w:ascii="Times New Roman" w:hAnsi="Times New Roman" w:cs="Times New Roman"/>
        </w:rPr>
      </w:pPr>
    </w:p>
    <w:p w14:paraId="4A7AFE0B" w14:textId="49D63B0E" w:rsidR="00306E0C" w:rsidRDefault="00306E0C" w:rsidP="00306E0C">
      <w:pPr>
        <w:rPr>
          <w:rFonts w:ascii="Times New Roman" w:hAnsi="Times New Roman" w:cs="Times New Roman"/>
        </w:rPr>
      </w:pPr>
      <w:r w:rsidRPr="00C608AE">
        <w:rPr>
          <w:rFonts w:ascii="Times New Roman" w:hAnsi="Times New Roman" w:cs="Times New Roman"/>
          <w:noProof/>
        </w:rPr>
        <w:drawing>
          <wp:inline distT="0" distB="0" distL="0" distR="0" wp14:anchorId="41441C0E" wp14:editId="4E64BD3F">
            <wp:extent cx="5943600" cy="2613025"/>
            <wp:effectExtent l="0" t="0" r="0" b="3175"/>
            <wp:docPr id="490052441"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52441" name="Picture 1" descr="A diagram of a diagram&#10;&#10;Description automatically generated with medium confidence"/>
                    <pic:cNvPicPr/>
                  </pic:nvPicPr>
                  <pic:blipFill>
                    <a:blip r:embed="rId85"/>
                    <a:stretch>
                      <a:fillRect/>
                    </a:stretch>
                  </pic:blipFill>
                  <pic:spPr>
                    <a:xfrm>
                      <a:off x="0" y="0"/>
                      <a:ext cx="5943600" cy="2613025"/>
                    </a:xfrm>
                    <a:prstGeom prst="rect">
                      <a:avLst/>
                    </a:prstGeom>
                  </pic:spPr>
                </pic:pic>
              </a:graphicData>
            </a:graphic>
          </wp:inline>
        </w:drawing>
      </w:r>
    </w:p>
    <w:p w14:paraId="46BD2CE9" w14:textId="32ABDE8B" w:rsidR="00306E0C" w:rsidRDefault="00BA51BC" w:rsidP="00306E0C">
      <w:pPr>
        <w:rPr>
          <w:rFonts w:ascii="Times New Roman" w:hAnsi="Times New Roman" w:cs="Times New Roman"/>
        </w:rPr>
      </w:pPr>
      <w:r w:rsidRPr="00802863">
        <w:rPr>
          <w:rFonts w:ascii="Helvetica" w:hAnsi="Helvetica"/>
          <w:noProof/>
        </w:rPr>
        <mc:AlternateContent>
          <mc:Choice Requires="wps">
            <w:drawing>
              <wp:anchor distT="0" distB="0" distL="114300" distR="114300" simplePos="0" relativeHeight="251812864" behindDoc="0" locked="0" layoutInCell="1" allowOverlap="1" wp14:anchorId="65AC6D41" wp14:editId="22F2D286">
                <wp:simplePos x="0" y="0"/>
                <wp:positionH relativeFrom="column">
                  <wp:posOffset>-31750</wp:posOffset>
                </wp:positionH>
                <wp:positionV relativeFrom="paragraph">
                  <wp:posOffset>189621</wp:posOffset>
                </wp:positionV>
                <wp:extent cx="5926455" cy="421640"/>
                <wp:effectExtent l="0" t="0" r="0" b="0"/>
                <wp:wrapNone/>
                <wp:docPr id="1070916012" name="Text Box 2"/>
                <wp:cNvGraphicFramePr/>
                <a:graphic xmlns:a="http://schemas.openxmlformats.org/drawingml/2006/main">
                  <a:graphicData uri="http://schemas.microsoft.com/office/word/2010/wordprocessingShape">
                    <wps:wsp>
                      <wps:cNvSpPr txBox="1"/>
                      <wps:spPr>
                        <a:xfrm>
                          <a:off x="0" y="0"/>
                          <a:ext cx="5926455" cy="421640"/>
                        </a:xfrm>
                        <a:prstGeom prst="rect">
                          <a:avLst/>
                        </a:prstGeom>
                        <a:noFill/>
                        <a:ln w="6350">
                          <a:noFill/>
                        </a:ln>
                      </wps:spPr>
                      <wps:txbx>
                        <w:txbxContent>
                          <w:p w14:paraId="5C586487" w14:textId="77777777" w:rsidR="00306E0C" w:rsidRPr="00FD6479" w:rsidRDefault="00306E0C" w:rsidP="00306E0C">
                            <w:pPr>
                              <w:jc w:val="both"/>
                              <w:rPr>
                                <w:rFonts w:ascii="Times New Roman" w:hAnsi="Times New Roman" w:cs="Times New Roman"/>
                                <w:color w:val="000000" w:themeColor="text1"/>
                                <w:sz w:val="20"/>
                                <w:szCs w:val="20"/>
                              </w:rPr>
                            </w:pPr>
                            <w:bookmarkStart w:id="32" w:name="FigS34"/>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34</w:t>
                            </w:r>
                            <w:bookmarkEnd w:id="32"/>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Maximum-likelihood trees estimated with matrices generated by different approaches. A) </w:t>
                            </w:r>
                            <w:r w:rsidRPr="00FD6479">
                              <w:rPr>
                                <w:rFonts w:ascii="Times New Roman" w:hAnsi="Times New Roman" w:cs="Times New Roman"/>
                                <w:i/>
                                <w:iCs/>
                                <w:color w:val="000000" w:themeColor="text1"/>
                                <w:sz w:val="20"/>
                                <w:szCs w:val="20"/>
                              </w:rPr>
                              <w:t>De novo</w:t>
                            </w:r>
                            <w:r>
                              <w:rPr>
                                <w:rFonts w:ascii="Times New Roman" w:hAnsi="Times New Roman" w:cs="Times New Roman"/>
                                <w:color w:val="000000" w:themeColor="text1"/>
                                <w:sz w:val="20"/>
                                <w:szCs w:val="20"/>
                              </w:rPr>
                              <w:t xml:space="preserve">, B) Reference-based, and C) </w:t>
                            </w:r>
                            <w:r w:rsidRPr="00FD6479">
                              <w:rPr>
                                <w:rFonts w:ascii="Times New Roman" w:hAnsi="Times New Roman" w:cs="Times New Roman"/>
                                <w:i/>
                                <w:iCs/>
                                <w:color w:val="000000" w:themeColor="text1"/>
                                <w:sz w:val="20"/>
                                <w:szCs w:val="20"/>
                              </w:rPr>
                              <w:t>Quasi de novo</w:t>
                            </w:r>
                            <w:r>
                              <w:rPr>
                                <w:rFonts w:ascii="Times New Roman" w:hAnsi="Times New Roman" w:cs="Times New Roman"/>
                                <w:color w:val="000000" w:themeColor="text1"/>
                                <w:sz w:val="20"/>
                                <w:szCs w:val="20"/>
                              </w:rPr>
                              <w:t xml:space="preserve"> assemblies.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C6D41" id="_x0000_s1073" type="#_x0000_t202" style="position:absolute;margin-left:-2.5pt;margin-top:14.95pt;width:466.65pt;height:33.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" filled="f" stroked="f" strokeweight=".5pt">
                <v:textbox>
                  <w:txbxContent>
                    <w:p w14:paraId="5C586487" w14:textId="77777777" w:rsidR="00306E0C" w:rsidRPr="00FD6479" w:rsidRDefault="00306E0C" w:rsidP="00306E0C">
                      <w:pPr>
                        <w:jc w:val="both"/>
                        <w:rPr>
                          <w:rFonts w:ascii="Times New Roman" w:hAnsi="Times New Roman" w:cs="Times New Roman"/>
                          <w:color w:val="000000" w:themeColor="text1"/>
                          <w:sz w:val="20"/>
                          <w:szCs w:val="20"/>
                        </w:rPr>
                      </w:pPr>
                      <w:bookmarkStart w:id="58" w:name="FigS34"/>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34</w:t>
                      </w:r>
                      <w:bookmarkEnd w:id="58"/>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Maximum-likelihood trees estimated with matrices generated by different approaches. A) </w:t>
                      </w:r>
                      <w:r w:rsidRPr="00FD6479">
                        <w:rPr>
                          <w:rFonts w:ascii="Times New Roman" w:hAnsi="Times New Roman" w:cs="Times New Roman"/>
                          <w:i/>
                          <w:iCs/>
                          <w:color w:val="000000" w:themeColor="text1"/>
                          <w:sz w:val="20"/>
                          <w:szCs w:val="20"/>
                        </w:rPr>
                        <w:t>De novo</w:t>
                      </w:r>
                      <w:r>
                        <w:rPr>
                          <w:rFonts w:ascii="Times New Roman" w:hAnsi="Times New Roman" w:cs="Times New Roman"/>
                          <w:color w:val="000000" w:themeColor="text1"/>
                          <w:sz w:val="20"/>
                          <w:szCs w:val="20"/>
                        </w:rPr>
                        <w:t xml:space="preserve">, B) Reference-based, and C) </w:t>
                      </w:r>
                      <w:r w:rsidRPr="00FD6479">
                        <w:rPr>
                          <w:rFonts w:ascii="Times New Roman" w:hAnsi="Times New Roman" w:cs="Times New Roman"/>
                          <w:i/>
                          <w:iCs/>
                          <w:color w:val="000000" w:themeColor="text1"/>
                          <w:sz w:val="20"/>
                          <w:szCs w:val="20"/>
                        </w:rPr>
                        <w:t>Quasi de novo</w:t>
                      </w:r>
                      <w:r>
                        <w:rPr>
                          <w:rFonts w:ascii="Times New Roman" w:hAnsi="Times New Roman" w:cs="Times New Roman"/>
                          <w:color w:val="000000" w:themeColor="text1"/>
                          <w:sz w:val="20"/>
                          <w:szCs w:val="20"/>
                        </w:rPr>
                        <w:t xml:space="preserve"> assemblies.</w:t>
                      </w:r>
                    </w:p>
                  </w:txbxContent>
                </v:textbox>
              </v:shape>
            </w:pict>
          </mc:Fallback>
        </mc:AlternateContent>
      </w:r>
    </w:p>
    <w:p w14:paraId="6270C7D3" w14:textId="77777777" w:rsidR="00306E0C" w:rsidRDefault="00306E0C" w:rsidP="00306E0C">
      <w:pPr>
        <w:rPr>
          <w:rFonts w:ascii="Times New Roman" w:hAnsi="Times New Roman" w:cs="Times New Roman"/>
        </w:rPr>
      </w:pPr>
    </w:p>
    <w:p w14:paraId="1BAEDA0C" w14:textId="77777777" w:rsidR="00306E0C" w:rsidRDefault="00306E0C" w:rsidP="00306E0C">
      <w:pPr>
        <w:rPr>
          <w:rFonts w:ascii="Times New Roman" w:hAnsi="Times New Roman" w:cs="Times New Roman"/>
        </w:rPr>
      </w:pPr>
    </w:p>
    <w:p w14:paraId="1DEFC385" w14:textId="77777777" w:rsidR="00306E0C" w:rsidRDefault="00306E0C" w:rsidP="00306E0C">
      <w:pPr>
        <w:rPr>
          <w:rFonts w:ascii="Times New Roman" w:hAnsi="Times New Roman" w:cs="Times New Roman"/>
        </w:rPr>
      </w:pPr>
    </w:p>
    <w:p w14:paraId="122C91E5" w14:textId="77777777" w:rsidR="00306E0C" w:rsidRDefault="00306E0C" w:rsidP="00306E0C">
      <w:pPr>
        <w:rPr>
          <w:rFonts w:ascii="Times New Roman" w:hAnsi="Times New Roman" w:cs="Times New Roman"/>
        </w:rPr>
      </w:pPr>
    </w:p>
    <w:p w14:paraId="52E5CA18" w14:textId="77777777" w:rsidR="00306E0C" w:rsidRDefault="00306E0C" w:rsidP="00306E0C">
      <w:pPr>
        <w:rPr>
          <w:rFonts w:ascii="Times New Roman" w:hAnsi="Times New Roman" w:cs="Times New Roman"/>
        </w:rPr>
      </w:pPr>
    </w:p>
    <w:p w14:paraId="5486D4A2" w14:textId="77777777" w:rsidR="00306E0C" w:rsidRDefault="00306E0C" w:rsidP="00306E0C">
      <w:pPr>
        <w:rPr>
          <w:rFonts w:ascii="Times New Roman" w:hAnsi="Times New Roman" w:cs="Times New Roman"/>
        </w:rPr>
      </w:pPr>
    </w:p>
    <w:p w14:paraId="5398237E" w14:textId="77777777" w:rsidR="00306E0C" w:rsidRDefault="00306E0C" w:rsidP="00306E0C">
      <w:pPr>
        <w:rPr>
          <w:rFonts w:ascii="Times New Roman" w:hAnsi="Times New Roman" w:cs="Times New Roman"/>
        </w:rPr>
      </w:pPr>
    </w:p>
    <w:p w14:paraId="0E966E0C" w14:textId="77777777" w:rsidR="00306E0C" w:rsidRDefault="00306E0C" w:rsidP="00306E0C">
      <w:pPr>
        <w:rPr>
          <w:rFonts w:ascii="Times New Roman" w:hAnsi="Times New Roman" w:cs="Times New Roman"/>
        </w:rPr>
      </w:pPr>
    </w:p>
    <w:p w14:paraId="4EB475D1" w14:textId="77777777" w:rsidR="00BA51BC" w:rsidRDefault="00BA51BC" w:rsidP="00306E0C">
      <w:pPr>
        <w:rPr>
          <w:rFonts w:ascii="Times New Roman" w:hAnsi="Times New Roman" w:cs="Times New Roman"/>
        </w:rPr>
      </w:pPr>
    </w:p>
    <w:p w14:paraId="58F674E4" w14:textId="77777777" w:rsidR="00BA51BC" w:rsidRDefault="00BA51BC" w:rsidP="00306E0C">
      <w:pPr>
        <w:rPr>
          <w:rFonts w:ascii="Times New Roman" w:hAnsi="Times New Roman" w:cs="Times New Roman"/>
        </w:rPr>
      </w:pPr>
    </w:p>
    <w:p w14:paraId="52B24EDB" w14:textId="77777777" w:rsidR="00BA51BC" w:rsidRDefault="00BA51BC" w:rsidP="00306E0C">
      <w:pPr>
        <w:rPr>
          <w:rFonts w:ascii="Times New Roman" w:hAnsi="Times New Roman" w:cs="Times New Roman"/>
        </w:rPr>
      </w:pPr>
    </w:p>
    <w:p w14:paraId="0787B944" w14:textId="77777777" w:rsidR="00BA51BC" w:rsidRDefault="00BA51BC" w:rsidP="00306E0C">
      <w:pPr>
        <w:rPr>
          <w:rFonts w:ascii="Times New Roman" w:hAnsi="Times New Roman" w:cs="Times New Roman"/>
        </w:rPr>
      </w:pPr>
    </w:p>
    <w:p w14:paraId="3C086A99" w14:textId="77777777" w:rsidR="00306E0C" w:rsidRDefault="00306E0C" w:rsidP="00306E0C">
      <w:pPr>
        <w:rPr>
          <w:rFonts w:ascii="Times New Roman" w:hAnsi="Times New Roman" w:cs="Times New Roman"/>
        </w:rPr>
      </w:pPr>
    </w:p>
    <w:p w14:paraId="29EE37D1" w14:textId="77777777" w:rsidR="00306E0C" w:rsidRDefault="00306E0C" w:rsidP="00306E0C">
      <w:pPr>
        <w:rPr>
          <w:rFonts w:ascii="Times New Roman" w:hAnsi="Times New Roman" w:cs="Times New Roman"/>
        </w:rPr>
      </w:pPr>
    </w:p>
    <w:p w14:paraId="5618A6E5" w14:textId="13D1D458" w:rsidR="00BA51BC" w:rsidRDefault="00BA51BC" w:rsidP="00306E0C">
      <w:pPr>
        <w:rPr>
          <w:rFonts w:ascii="Times New Roman" w:hAnsi="Times New Roman" w:cs="Times New Roman"/>
        </w:rPr>
      </w:pPr>
      <w:r w:rsidRPr="00120F32">
        <w:rPr>
          <w:rFonts w:ascii="Times New Roman" w:hAnsi="Times New Roman" w:cs="Times New Roman"/>
          <w:noProof/>
        </w:rPr>
        <w:lastRenderedPageBreak/>
        <w:drawing>
          <wp:anchor distT="0" distB="0" distL="114300" distR="114300" simplePos="0" relativeHeight="251822080" behindDoc="0" locked="0" layoutInCell="1" allowOverlap="1" wp14:anchorId="73CBE259" wp14:editId="6FB75AE1">
            <wp:simplePos x="0" y="0"/>
            <wp:positionH relativeFrom="column">
              <wp:posOffset>0</wp:posOffset>
            </wp:positionH>
            <wp:positionV relativeFrom="paragraph">
              <wp:posOffset>0</wp:posOffset>
            </wp:positionV>
            <wp:extent cx="5941695" cy="4909820"/>
            <wp:effectExtent l="0" t="0" r="1905" b="5080"/>
            <wp:wrapNone/>
            <wp:docPr id="1426805708" name="Picture 1" descr="A diagram of a gene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05708" name="Picture 1" descr="A diagram of a gene tree&#10;&#10;Description automatically generated with medium confidenc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1695" cy="4909820"/>
                    </a:xfrm>
                    <a:prstGeom prst="rect">
                      <a:avLst/>
                    </a:prstGeom>
                  </pic:spPr>
                </pic:pic>
              </a:graphicData>
            </a:graphic>
            <wp14:sizeRelH relativeFrom="page">
              <wp14:pctWidth>0</wp14:pctWidth>
            </wp14:sizeRelH>
            <wp14:sizeRelV relativeFrom="page">
              <wp14:pctHeight>0</wp14:pctHeight>
            </wp14:sizeRelV>
          </wp:anchor>
        </w:drawing>
      </w:r>
    </w:p>
    <w:p w14:paraId="207E04F6" w14:textId="77777777" w:rsidR="00BA51BC" w:rsidRDefault="00BA51BC" w:rsidP="00306E0C">
      <w:pPr>
        <w:rPr>
          <w:rFonts w:ascii="Times New Roman" w:hAnsi="Times New Roman" w:cs="Times New Roman"/>
        </w:rPr>
      </w:pPr>
    </w:p>
    <w:p w14:paraId="61FD46E9" w14:textId="77777777" w:rsidR="00BA51BC" w:rsidRDefault="00BA51BC" w:rsidP="00306E0C">
      <w:pPr>
        <w:rPr>
          <w:rFonts w:ascii="Times New Roman" w:hAnsi="Times New Roman" w:cs="Times New Roman"/>
        </w:rPr>
      </w:pPr>
    </w:p>
    <w:p w14:paraId="3D31E1A5" w14:textId="77777777" w:rsidR="00BA51BC" w:rsidRDefault="00BA51BC" w:rsidP="00306E0C">
      <w:pPr>
        <w:rPr>
          <w:rFonts w:ascii="Times New Roman" w:hAnsi="Times New Roman" w:cs="Times New Roman"/>
        </w:rPr>
      </w:pPr>
    </w:p>
    <w:p w14:paraId="494321D4" w14:textId="77777777" w:rsidR="00BA51BC" w:rsidRDefault="00BA51BC" w:rsidP="00306E0C">
      <w:pPr>
        <w:rPr>
          <w:rFonts w:ascii="Times New Roman" w:hAnsi="Times New Roman" w:cs="Times New Roman"/>
        </w:rPr>
      </w:pPr>
    </w:p>
    <w:p w14:paraId="4F2AE3BF" w14:textId="77777777" w:rsidR="00BA51BC" w:rsidRDefault="00BA51BC" w:rsidP="00306E0C">
      <w:pPr>
        <w:rPr>
          <w:rFonts w:ascii="Times New Roman" w:hAnsi="Times New Roman" w:cs="Times New Roman"/>
        </w:rPr>
      </w:pPr>
    </w:p>
    <w:p w14:paraId="50207596" w14:textId="77777777" w:rsidR="00BA51BC" w:rsidRDefault="00BA51BC" w:rsidP="00306E0C">
      <w:pPr>
        <w:rPr>
          <w:rFonts w:ascii="Times New Roman" w:hAnsi="Times New Roman" w:cs="Times New Roman"/>
        </w:rPr>
      </w:pPr>
    </w:p>
    <w:p w14:paraId="62495845" w14:textId="77777777" w:rsidR="00BA51BC" w:rsidRDefault="00BA51BC" w:rsidP="00306E0C">
      <w:pPr>
        <w:rPr>
          <w:rFonts w:ascii="Times New Roman" w:hAnsi="Times New Roman" w:cs="Times New Roman"/>
        </w:rPr>
      </w:pPr>
    </w:p>
    <w:p w14:paraId="610A32C2" w14:textId="77777777" w:rsidR="00BA51BC" w:rsidRDefault="00BA51BC" w:rsidP="00306E0C">
      <w:pPr>
        <w:rPr>
          <w:rFonts w:ascii="Times New Roman" w:hAnsi="Times New Roman" w:cs="Times New Roman"/>
        </w:rPr>
      </w:pPr>
    </w:p>
    <w:p w14:paraId="38E7EBDB" w14:textId="77777777" w:rsidR="00BA51BC" w:rsidRDefault="00BA51BC" w:rsidP="00306E0C">
      <w:pPr>
        <w:rPr>
          <w:rFonts w:ascii="Times New Roman" w:hAnsi="Times New Roman" w:cs="Times New Roman"/>
        </w:rPr>
      </w:pPr>
    </w:p>
    <w:p w14:paraId="7D837E89" w14:textId="77777777" w:rsidR="00BA51BC" w:rsidRDefault="00BA51BC" w:rsidP="00306E0C">
      <w:pPr>
        <w:rPr>
          <w:rFonts w:ascii="Times New Roman" w:hAnsi="Times New Roman" w:cs="Times New Roman"/>
        </w:rPr>
      </w:pPr>
    </w:p>
    <w:p w14:paraId="0FC2BCD5" w14:textId="77777777" w:rsidR="00BA51BC" w:rsidRDefault="00BA51BC" w:rsidP="00306E0C">
      <w:pPr>
        <w:rPr>
          <w:rFonts w:ascii="Times New Roman" w:hAnsi="Times New Roman" w:cs="Times New Roman"/>
        </w:rPr>
      </w:pPr>
    </w:p>
    <w:p w14:paraId="031B3EA4" w14:textId="77777777" w:rsidR="00BA51BC" w:rsidRDefault="00BA51BC" w:rsidP="00306E0C">
      <w:pPr>
        <w:rPr>
          <w:rFonts w:ascii="Times New Roman" w:hAnsi="Times New Roman" w:cs="Times New Roman"/>
        </w:rPr>
      </w:pPr>
    </w:p>
    <w:p w14:paraId="4C7BE438" w14:textId="77777777" w:rsidR="00BA51BC" w:rsidRDefault="00BA51BC" w:rsidP="00306E0C">
      <w:pPr>
        <w:rPr>
          <w:rFonts w:ascii="Times New Roman" w:hAnsi="Times New Roman" w:cs="Times New Roman"/>
        </w:rPr>
      </w:pPr>
    </w:p>
    <w:p w14:paraId="3CC40247" w14:textId="77777777" w:rsidR="00BA51BC" w:rsidRDefault="00BA51BC" w:rsidP="00306E0C">
      <w:pPr>
        <w:rPr>
          <w:rFonts w:ascii="Times New Roman" w:hAnsi="Times New Roman" w:cs="Times New Roman"/>
        </w:rPr>
      </w:pPr>
    </w:p>
    <w:p w14:paraId="56DAA7B2" w14:textId="77777777" w:rsidR="00BA51BC" w:rsidRDefault="00BA51BC" w:rsidP="00306E0C">
      <w:pPr>
        <w:rPr>
          <w:rFonts w:ascii="Times New Roman" w:hAnsi="Times New Roman" w:cs="Times New Roman"/>
        </w:rPr>
      </w:pPr>
    </w:p>
    <w:p w14:paraId="12A20223" w14:textId="77777777" w:rsidR="00BA51BC" w:rsidRDefault="00BA51BC" w:rsidP="00306E0C">
      <w:pPr>
        <w:rPr>
          <w:rFonts w:ascii="Times New Roman" w:hAnsi="Times New Roman" w:cs="Times New Roman"/>
        </w:rPr>
      </w:pPr>
    </w:p>
    <w:p w14:paraId="54EDA893" w14:textId="77777777" w:rsidR="00BA51BC" w:rsidRDefault="00BA51BC" w:rsidP="00306E0C">
      <w:pPr>
        <w:rPr>
          <w:rFonts w:ascii="Times New Roman" w:hAnsi="Times New Roman" w:cs="Times New Roman"/>
        </w:rPr>
      </w:pPr>
    </w:p>
    <w:p w14:paraId="23101B6F" w14:textId="3ECA337A" w:rsidR="00BA51BC" w:rsidRDefault="00BA51BC" w:rsidP="00306E0C">
      <w:pPr>
        <w:rPr>
          <w:rFonts w:ascii="Times New Roman" w:hAnsi="Times New Roman" w:cs="Times New Roman"/>
        </w:rPr>
      </w:pPr>
      <w:r w:rsidRPr="00802863">
        <w:rPr>
          <w:rFonts w:ascii="Helvetica" w:hAnsi="Helvetica"/>
          <w:noProof/>
        </w:rPr>
        <mc:AlternateContent>
          <mc:Choice Requires="wps">
            <w:drawing>
              <wp:anchor distT="0" distB="0" distL="114300" distR="114300" simplePos="0" relativeHeight="251820032" behindDoc="0" locked="0" layoutInCell="1" allowOverlap="1" wp14:anchorId="0CB5AEC9" wp14:editId="6DE937AD">
                <wp:simplePos x="0" y="0"/>
                <wp:positionH relativeFrom="column">
                  <wp:posOffset>19050</wp:posOffset>
                </wp:positionH>
                <wp:positionV relativeFrom="paragraph">
                  <wp:posOffset>236415</wp:posOffset>
                </wp:positionV>
                <wp:extent cx="5926455" cy="411480"/>
                <wp:effectExtent l="0" t="0" r="0" b="0"/>
                <wp:wrapNone/>
                <wp:docPr id="1313049890" name="Text Box 2"/>
                <wp:cNvGraphicFramePr/>
                <a:graphic xmlns:a="http://schemas.openxmlformats.org/drawingml/2006/main">
                  <a:graphicData uri="http://schemas.microsoft.com/office/word/2010/wordprocessingShape">
                    <wps:wsp>
                      <wps:cNvSpPr txBox="1"/>
                      <wps:spPr>
                        <a:xfrm>
                          <a:off x="0" y="0"/>
                          <a:ext cx="5926455" cy="411480"/>
                        </a:xfrm>
                        <a:prstGeom prst="rect">
                          <a:avLst/>
                        </a:prstGeom>
                        <a:noFill/>
                        <a:ln w="6350">
                          <a:noFill/>
                        </a:ln>
                      </wps:spPr>
                      <wps:txbx>
                        <w:txbxContent>
                          <w:p w14:paraId="411198FE" w14:textId="77777777" w:rsidR="00306E0C" w:rsidRPr="00AC36DC" w:rsidRDefault="00306E0C" w:rsidP="00306E0C">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35</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Maximum-likelihood trees estimated with matrices with varying levels of missing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5AEC9" id="_x0000_s1074" type="#_x0000_t202" style="position:absolute;margin-left:1.5pt;margin-top:18.6pt;width:466.65pt;height:32.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" filled="f" stroked="f" strokeweight=".5pt">
                <v:textbox>
                  <w:txbxContent>
                    <w:p w14:paraId="411198FE" w14:textId="77777777" w:rsidR="00306E0C" w:rsidRPr="00AC36DC" w:rsidRDefault="00306E0C" w:rsidP="00306E0C">
                      <w:pPr>
                        <w:jc w:val="both"/>
                        <w:rPr>
                          <w:rFonts w:ascii="Times New Roman" w:hAnsi="Times New Roman" w:cs="Times New Roman"/>
                          <w:color w:val="000000" w:themeColor="text1"/>
                          <w:sz w:val="20"/>
                          <w:szCs w:val="20"/>
                        </w:rPr>
                      </w:pPr>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35</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Maximum-likelihood trees estimated with matrices with varying levels of missing data.</w:t>
                      </w:r>
                    </w:p>
                  </w:txbxContent>
                </v:textbox>
              </v:shape>
            </w:pict>
          </mc:Fallback>
        </mc:AlternateContent>
      </w:r>
    </w:p>
    <w:p w14:paraId="6397B504" w14:textId="64A43BB5" w:rsidR="00BA51BC" w:rsidRDefault="00BA51BC" w:rsidP="00306E0C">
      <w:pPr>
        <w:rPr>
          <w:rFonts w:ascii="Times New Roman" w:hAnsi="Times New Roman" w:cs="Times New Roman"/>
        </w:rPr>
      </w:pPr>
    </w:p>
    <w:p w14:paraId="308DBC16" w14:textId="03AEFDDC" w:rsidR="00BA51BC" w:rsidRDefault="00BA51BC" w:rsidP="00306E0C">
      <w:pPr>
        <w:rPr>
          <w:rFonts w:ascii="Times New Roman" w:hAnsi="Times New Roman" w:cs="Times New Roman"/>
        </w:rPr>
      </w:pPr>
    </w:p>
    <w:p w14:paraId="5966AF09" w14:textId="0584FE11" w:rsidR="00BA51BC" w:rsidRDefault="00BA51BC" w:rsidP="00306E0C">
      <w:pPr>
        <w:rPr>
          <w:rFonts w:ascii="Times New Roman" w:hAnsi="Times New Roman" w:cs="Times New Roman"/>
        </w:rPr>
      </w:pPr>
    </w:p>
    <w:p w14:paraId="20B442C5" w14:textId="77777777" w:rsidR="00BA51BC" w:rsidRDefault="00BA51BC" w:rsidP="00306E0C">
      <w:pPr>
        <w:rPr>
          <w:rFonts w:ascii="Times New Roman" w:hAnsi="Times New Roman" w:cs="Times New Roman"/>
        </w:rPr>
      </w:pPr>
    </w:p>
    <w:p w14:paraId="433603F4" w14:textId="265FA97D" w:rsidR="00BA51BC" w:rsidRDefault="00BA51BC" w:rsidP="00306E0C">
      <w:pPr>
        <w:rPr>
          <w:rFonts w:ascii="Times New Roman" w:hAnsi="Times New Roman" w:cs="Times New Roman"/>
        </w:rPr>
      </w:pPr>
    </w:p>
    <w:p w14:paraId="35B00EDF" w14:textId="6D123E63" w:rsidR="00BA51BC" w:rsidRDefault="00BA51BC" w:rsidP="00306E0C">
      <w:pPr>
        <w:rPr>
          <w:rFonts w:ascii="Times New Roman" w:hAnsi="Times New Roman" w:cs="Times New Roman"/>
        </w:rPr>
      </w:pPr>
    </w:p>
    <w:p w14:paraId="6C65F1B6" w14:textId="14497797" w:rsidR="00BA51BC" w:rsidRDefault="00BA51BC" w:rsidP="00306E0C">
      <w:pPr>
        <w:rPr>
          <w:rFonts w:ascii="Times New Roman" w:hAnsi="Times New Roman" w:cs="Times New Roman"/>
        </w:rPr>
      </w:pPr>
    </w:p>
    <w:p w14:paraId="32E0044D" w14:textId="45361A89" w:rsidR="00306E0C" w:rsidRDefault="00306E0C" w:rsidP="00306E0C">
      <w:pPr>
        <w:rPr>
          <w:rFonts w:ascii="Times New Roman" w:hAnsi="Times New Roman" w:cs="Times New Roman"/>
        </w:rPr>
      </w:pPr>
    </w:p>
    <w:p w14:paraId="5711BA5D" w14:textId="4BEACC04" w:rsidR="00306E0C" w:rsidRDefault="00306E0C" w:rsidP="00306E0C">
      <w:pPr>
        <w:rPr>
          <w:rFonts w:ascii="Times New Roman" w:hAnsi="Times New Roman" w:cs="Times New Roman"/>
        </w:rPr>
      </w:pPr>
    </w:p>
    <w:p w14:paraId="5E276B0F" w14:textId="2060DB4F" w:rsidR="00306E0C" w:rsidRDefault="00306E0C" w:rsidP="00306E0C">
      <w:pPr>
        <w:rPr>
          <w:rFonts w:ascii="Times New Roman" w:hAnsi="Times New Roman" w:cs="Times New Roman"/>
        </w:rPr>
      </w:pPr>
    </w:p>
    <w:p w14:paraId="58C379D3" w14:textId="77777777" w:rsidR="00FD0462" w:rsidRDefault="00FD0462" w:rsidP="00306E0C">
      <w:pPr>
        <w:rPr>
          <w:rFonts w:ascii="Times New Roman" w:hAnsi="Times New Roman" w:cs="Times New Roman"/>
        </w:rPr>
      </w:pPr>
    </w:p>
    <w:p w14:paraId="5E5E3D1F" w14:textId="77777777" w:rsidR="00FD0462" w:rsidRDefault="00FD0462" w:rsidP="00306E0C">
      <w:pPr>
        <w:rPr>
          <w:rFonts w:ascii="Times New Roman" w:hAnsi="Times New Roman" w:cs="Times New Roman"/>
        </w:rPr>
      </w:pPr>
    </w:p>
    <w:p w14:paraId="38F62BFA" w14:textId="77777777" w:rsidR="00FD0462" w:rsidRDefault="00FD0462" w:rsidP="00306E0C">
      <w:pPr>
        <w:rPr>
          <w:rFonts w:ascii="Times New Roman" w:hAnsi="Times New Roman" w:cs="Times New Roman"/>
        </w:rPr>
      </w:pPr>
    </w:p>
    <w:p w14:paraId="0A69D2FB" w14:textId="3AA7B54F" w:rsidR="00306E0C" w:rsidRDefault="00306E0C" w:rsidP="00306E0C">
      <w:pPr>
        <w:rPr>
          <w:rFonts w:ascii="Times New Roman" w:hAnsi="Times New Roman" w:cs="Times New Roman"/>
        </w:rPr>
      </w:pPr>
    </w:p>
    <w:p w14:paraId="18CF8F7F" w14:textId="4A49E4F7" w:rsidR="00306E0C" w:rsidRDefault="00FD0462" w:rsidP="00306E0C">
      <w:pPr>
        <w:rPr>
          <w:rFonts w:ascii="Times New Roman" w:hAnsi="Times New Roman" w:cs="Times New Roman"/>
        </w:rPr>
      </w:pPr>
      <w:r w:rsidRPr="003446B1">
        <w:rPr>
          <w:rFonts w:ascii="Times New Roman" w:hAnsi="Times New Roman" w:cs="Times New Roman"/>
          <w:noProof/>
        </w:rPr>
        <w:drawing>
          <wp:inline distT="0" distB="0" distL="0" distR="0" wp14:anchorId="280704AE" wp14:editId="611557D2">
            <wp:extent cx="4669006" cy="3850434"/>
            <wp:effectExtent l="0" t="0" r="5080" b="0"/>
            <wp:docPr id="316102422" name="Picture 1" descr="A group of dna sequ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02422" name="Picture 1" descr="A group of dna sequence&#10;&#10;Description automatically generated with medium confidence"/>
                    <pic:cNvPicPr/>
                  </pic:nvPicPr>
                  <pic:blipFill>
                    <a:blip r:embed="rId87"/>
                    <a:stretch>
                      <a:fillRect/>
                    </a:stretch>
                  </pic:blipFill>
                  <pic:spPr>
                    <a:xfrm>
                      <a:off x="0" y="0"/>
                      <a:ext cx="4691859" cy="3869280"/>
                    </a:xfrm>
                    <a:prstGeom prst="rect">
                      <a:avLst/>
                    </a:prstGeom>
                  </pic:spPr>
                </pic:pic>
              </a:graphicData>
            </a:graphic>
          </wp:inline>
        </w:drawing>
      </w:r>
    </w:p>
    <w:p w14:paraId="6DC0CA55" w14:textId="1659D0E2" w:rsidR="00306E0C" w:rsidRDefault="00FD0462" w:rsidP="00306E0C">
      <w:pPr>
        <w:rPr>
          <w:rFonts w:ascii="Times New Roman" w:hAnsi="Times New Roman" w:cs="Times New Roman"/>
        </w:rPr>
      </w:pPr>
      <w:r w:rsidRPr="00802863">
        <w:rPr>
          <w:rFonts w:ascii="Helvetica" w:hAnsi="Helvetica"/>
          <w:noProof/>
        </w:rPr>
        <mc:AlternateContent>
          <mc:Choice Requires="wps">
            <w:drawing>
              <wp:anchor distT="0" distB="0" distL="114300" distR="114300" simplePos="0" relativeHeight="251813888" behindDoc="0" locked="0" layoutInCell="1" allowOverlap="1" wp14:anchorId="439C7A4F" wp14:editId="067B07EA">
                <wp:simplePos x="0" y="0"/>
                <wp:positionH relativeFrom="column">
                  <wp:posOffset>58420</wp:posOffset>
                </wp:positionH>
                <wp:positionV relativeFrom="paragraph">
                  <wp:posOffset>72097</wp:posOffset>
                </wp:positionV>
                <wp:extent cx="5779135" cy="411480"/>
                <wp:effectExtent l="0" t="0" r="0" b="0"/>
                <wp:wrapNone/>
                <wp:docPr id="616668191" name="Text Box 2"/>
                <wp:cNvGraphicFramePr/>
                <a:graphic xmlns:a="http://schemas.openxmlformats.org/drawingml/2006/main">
                  <a:graphicData uri="http://schemas.microsoft.com/office/word/2010/wordprocessingShape">
                    <wps:wsp>
                      <wps:cNvSpPr txBox="1"/>
                      <wps:spPr>
                        <a:xfrm>
                          <a:off x="0" y="0"/>
                          <a:ext cx="5779135" cy="411480"/>
                        </a:xfrm>
                        <a:prstGeom prst="rect">
                          <a:avLst/>
                        </a:prstGeom>
                        <a:noFill/>
                        <a:ln w="6350">
                          <a:noFill/>
                        </a:ln>
                      </wps:spPr>
                      <wps:txbx>
                        <w:txbxContent>
                          <w:p w14:paraId="09C16847" w14:textId="77777777" w:rsidR="00306E0C" w:rsidRPr="00AC36DC" w:rsidRDefault="00306E0C" w:rsidP="00306E0C">
                            <w:pPr>
                              <w:jc w:val="both"/>
                              <w:rPr>
                                <w:rFonts w:ascii="Times New Roman" w:hAnsi="Times New Roman" w:cs="Times New Roman"/>
                                <w:color w:val="000000" w:themeColor="text1"/>
                                <w:sz w:val="20"/>
                                <w:szCs w:val="20"/>
                              </w:rPr>
                            </w:pPr>
                            <w:bookmarkStart w:id="33" w:name="FigS35"/>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w:t>
                            </w:r>
                            <w:bookmarkEnd w:id="33"/>
                            <w:r>
                              <w:rPr>
                                <w:rFonts w:ascii="Times New Roman" w:hAnsi="Times New Roman" w:cs="Times New Roman"/>
                                <w:b/>
                                <w:bCs/>
                                <w:color w:val="000000" w:themeColor="text1"/>
                                <w:sz w:val="20"/>
                                <w:szCs w:val="20"/>
                              </w:rPr>
                              <w:t>6</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Species trees based on the multispecies coalescent model, estimated with matrices with varying levels of missing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C7A4F" id="_x0000_s1075" type="#_x0000_t202" style="position:absolute;margin-left:4.6pt;margin-top:5.7pt;width:455.05pt;height:32.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" filled="f" stroked="f" strokeweight=".5pt">
                <v:textbox>
                  <w:txbxContent>
                    <w:p w14:paraId="09C16847" w14:textId="77777777" w:rsidR="00306E0C" w:rsidRPr="00AC36DC" w:rsidRDefault="00306E0C" w:rsidP="00306E0C">
                      <w:pPr>
                        <w:jc w:val="both"/>
                        <w:rPr>
                          <w:rFonts w:ascii="Times New Roman" w:hAnsi="Times New Roman" w:cs="Times New Roman"/>
                          <w:color w:val="000000" w:themeColor="text1"/>
                          <w:sz w:val="20"/>
                          <w:szCs w:val="20"/>
                        </w:rPr>
                      </w:pPr>
                      <w:bookmarkStart w:id="60" w:name="FigS35"/>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w:t>
                      </w:r>
                      <w:bookmarkEnd w:id="60"/>
                      <w:r>
                        <w:rPr>
                          <w:rFonts w:ascii="Times New Roman" w:hAnsi="Times New Roman" w:cs="Times New Roman"/>
                          <w:b/>
                          <w:bCs/>
                          <w:color w:val="000000" w:themeColor="text1"/>
                          <w:sz w:val="20"/>
                          <w:szCs w:val="20"/>
                        </w:rPr>
                        <w:t>6</w:t>
                      </w:r>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Species trees based on the multispecies coalescent model, estimated with matrices with varying levels of missing data.</w:t>
                      </w:r>
                    </w:p>
                  </w:txbxContent>
                </v:textbox>
              </v:shape>
            </w:pict>
          </mc:Fallback>
        </mc:AlternateContent>
      </w:r>
    </w:p>
    <w:p w14:paraId="181F1EDC" w14:textId="223CECEC" w:rsidR="00306E0C" w:rsidRDefault="00306E0C" w:rsidP="00306E0C">
      <w:pPr>
        <w:rPr>
          <w:rFonts w:ascii="Times New Roman" w:hAnsi="Times New Roman" w:cs="Times New Roman"/>
        </w:rPr>
      </w:pPr>
    </w:p>
    <w:p w14:paraId="7CEF9AAF" w14:textId="4E9D1A3A" w:rsidR="00306E0C" w:rsidRDefault="00306E0C" w:rsidP="00306E0C">
      <w:pPr>
        <w:rPr>
          <w:rFonts w:ascii="Times New Roman" w:hAnsi="Times New Roman" w:cs="Times New Roman"/>
        </w:rPr>
      </w:pPr>
    </w:p>
    <w:p w14:paraId="0F0E37B2" w14:textId="641C4C91" w:rsidR="00306E0C" w:rsidRDefault="00306E0C" w:rsidP="00306E0C">
      <w:pPr>
        <w:rPr>
          <w:rFonts w:ascii="Times New Roman" w:hAnsi="Times New Roman" w:cs="Times New Roman"/>
        </w:rPr>
      </w:pPr>
    </w:p>
    <w:p w14:paraId="2F7B4E8E" w14:textId="1A3513DF" w:rsidR="00306E0C" w:rsidRDefault="00306E0C" w:rsidP="00306E0C">
      <w:pPr>
        <w:rPr>
          <w:rFonts w:ascii="Times New Roman" w:hAnsi="Times New Roman" w:cs="Times New Roman"/>
        </w:rPr>
      </w:pPr>
    </w:p>
    <w:p w14:paraId="28815B7A" w14:textId="686E6BB7" w:rsidR="00306E0C" w:rsidRDefault="00306E0C" w:rsidP="00306E0C">
      <w:pPr>
        <w:rPr>
          <w:rFonts w:ascii="Times New Roman" w:hAnsi="Times New Roman" w:cs="Times New Roman"/>
        </w:rPr>
      </w:pPr>
    </w:p>
    <w:p w14:paraId="059F3283" w14:textId="4C7C4E32" w:rsidR="00306E0C" w:rsidRDefault="00306E0C" w:rsidP="00306E0C">
      <w:pPr>
        <w:rPr>
          <w:rFonts w:ascii="Times New Roman" w:hAnsi="Times New Roman" w:cs="Times New Roman"/>
        </w:rPr>
      </w:pPr>
    </w:p>
    <w:p w14:paraId="4761813D" w14:textId="470CFDE6" w:rsidR="00306E0C" w:rsidRDefault="00306E0C" w:rsidP="00306E0C">
      <w:pPr>
        <w:rPr>
          <w:rFonts w:ascii="Times New Roman" w:hAnsi="Times New Roman" w:cs="Times New Roman"/>
        </w:rPr>
      </w:pPr>
    </w:p>
    <w:p w14:paraId="02A7DD1A" w14:textId="3FB6DEA1" w:rsidR="00306E0C" w:rsidRDefault="00306E0C" w:rsidP="00306E0C">
      <w:pPr>
        <w:rPr>
          <w:rFonts w:ascii="Times New Roman" w:hAnsi="Times New Roman" w:cs="Times New Roman"/>
        </w:rPr>
      </w:pPr>
    </w:p>
    <w:p w14:paraId="7CD9DD0C" w14:textId="3A6B44C3" w:rsidR="00306E0C" w:rsidRDefault="00306E0C" w:rsidP="00306E0C">
      <w:pPr>
        <w:rPr>
          <w:rFonts w:ascii="Times New Roman" w:hAnsi="Times New Roman" w:cs="Times New Roman"/>
        </w:rPr>
      </w:pPr>
    </w:p>
    <w:p w14:paraId="0E164FE6" w14:textId="77777777" w:rsidR="00FD0462" w:rsidRDefault="00FD0462" w:rsidP="00306E0C">
      <w:pPr>
        <w:rPr>
          <w:rFonts w:ascii="Times New Roman" w:hAnsi="Times New Roman" w:cs="Times New Roman"/>
        </w:rPr>
      </w:pPr>
    </w:p>
    <w:p w14:paraId="73CE718F" w14:textId="77777777" w:rsidR="00FD0462" w:rsidRDefault="00FD0462" w:rsidP="00306E0C">
      <w:pPr>
        <w:rPr>
          <w:rFonts w:ascii="Times New Roman" w:hAnsi="Times New Roman" w:cs="Times New Roman"/>
        </w:rPr>
      </w:pPr>
    </w:p>
    <w:p w14:paraId="3735E6E2" w14:textId="77777777" w:rsidR="00FD0462" w:rsidRDefault="00FD0462" w:rsidP="00306E0C">
      <w:pPr>
        <w:rPr>
          <w:rFonts w:ascii="Times New Roman" w:hAnsi="Times New Roman" w:cs="Times New Roman"/>
        </w:rPr>
      </w:pPr>
    </w:p>
    <w:p w14:paraId="2722AF5B" w14:textId="77777777" w:rsidR="00FD0462" w:rsidRDefault="00FD0462" w:rsidP="00306E0C">
      <w:pPr>
        <w:rPr>
          <w:rFonts w:ascii="Times New Roman" w:hAnsi="Times New Roman" w:cs="Times New Roman"/>
        </w:rPr>
      </w:pPr>
    </w:p>
    <w:p w14:paraId="4D0214D0" w14:textId="4053616B" w:rsidR="00306E0C" w:rsidRDefault="00306E0C" w:rsidP="00306E0C">
      <w:pPr>
        <w:rPr>
          <w:rFonts w:ascii="Times New Roman" w:hAnsi="Times New Roman" w:cs="Times New Roman"/>
        </w:rPr>
      </w:pPr>
    </w:p>
    <w:p w14:paraId="63E55F47" w14:textId="49B4A923" w:rsidR="00306E0C" w:rsidRDefault="00306E0C" w:rsidP="00306E0C">
      <w:pPr>
        <w:rPr>
          <w:rFonts w:ascii="Times New Roman" w:hAnsi="Times New Roman" w:cs="Times New Roman"/>
        </w:rPr>
      </w:pPr>
    </w:p>
    <w:p w14:paraId="71852053" w14:textId="34541AB2" w:rsidR="00306E0C" w:rsidRDefault="00FD0462" w:rsidP="00306E0C">
      <w:pPr>
        <w:rPr>
          <w:rFonts w:ascii="Times New Roman" w:hAnsi="Times New Roman" w:cs="Times New Roman"/>
        </w:rPr>
      </w:pPr>
      <w:r w:rsidRPr="007747A5">
        <w:rPr>
          <w:rFonts w:ascii="Times New Roman" w:hAnsi="Times New Roman" w:cs="Times New Roman"/>
          <w:noProof/>
        </w:rPr>
        <w:drawing>
          <wp:anchor distT="0" distB="0" distL="114300" distR="114300" simplePos="0" relativeHeight="251816960" behindDoc="0" locked="0" layoutInCell="1" allowOverlap="1" wp14:anchorId="70313F26" wp14:editId="26CFDA48">
            <wp:simplePos x="0" y="0"/>
            <wp:positionH relativeFrom="column">
              <wp:posOffset>-1270</wp:posOffset>
            </wp:positionH>
            <wp:positionV relativeFrom="paragraph">
              <wp:posOffset>30187</wp:posOffset>
            </wp:positionV>
            <wp:extent cx="5943600" cy="3999230"/>
            <wp:effectExtent l="0" t="0" r="0" b="1270"/>
            <wp:wrapNone/>
            <wp:docPr id="705027456" name="Picture 1" descr="A diagram of 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27456" name="Picture 1" descr="A diagram of a tree&#10;&#10;Description automatically generated with medium confidenc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3999230"/>
                    </a:xfrm>
                    <a:prstGeom prst="rect">
                      <a:avLst/>
                    </a:prstGeom>
                  </pic:spPr>
                </pic:pic>
              </a:graphicData>
            </a:graphic>
            <wp14:sizeRelH relativeFrom="page">
              <wp14:pctWidth>0</wp14:pctWidth>
            </wp14:sizeRelH>
            <wp14:sizeRelV relativeFrom="page">
              <wp14:pctHeight>0</wp14:pctHeight>
            </wp14:sizeRelV>
          </wp:anchor>
        </w:drawing>
      </w:r>
    </w:p>
    <w:p w14:paraId="1B3601D2" w14:textId="306BD842" w:rsidR="00306E0C" w:rsidRDefault="00306E0C" w:rsidP="00306E0C">
      <w:pPr>
        <w:rPr>
          <w:rFonts w:ascii="Times New Roman" w:hAnsi="Times New Roman" w:cs="Times New Roman"/>
        </w:rPr>
      </w:pPr>
    </w:p>
    <w:p w14:paraId="01F09DE6" w14:textId="0BBFBC48" w:rsidR="00306E0C" w:rsidRDefault="00306E0C" w:rsidP="00306E0C">
      <w:pPr>
        <w:rPr>
          <w:rFonts w:ascii="Times New Roman" w:hAnsi="Times New Roman" w:cs="Times New Roman"/>
        </w:rPr>
      </w:pPr>
    </w:p>
    <w:p w14:paraId="06E63469" w14:textId="317A322C" w:rsidR="00306E0C" w:rsidRDefault="00306E0C" w:rsidP="00306E0C">
      <w:pPr>
        <w:rPr>
          <w:rFonts w:ascii="Times New Roman" w:hAnsi="Times New Roman" w:cs="Times New Roman"/>
        </w:rPr>
      </w:pPr>
    </w:p>
    <w:p w14:paraId="487547EF" w14:textId="77777777" w:rsidR="00306E0C" w:rsidRDefault="00306E0C" w:rsidP="00306E0C">
      <w:pPr>
        <w:rPr>
          <w:rFonts w:ascii="Times New Roman" w:hAnsi="Times New Roman" w:cs="Times New Roman"/>
        </w:rPr>
      </w:pPr>
    </w:p>
    <w:p w14:paraId="5655779A" w14:textId="77777777" w:rsidR="00306E0C" w:rsidRDefault="00306E0C" w:rsidP="00306E0C">
      <w:pPr>
        <w:rPr>
          <w:rFonts w:ascii="Times New Roman" w:hAnsi="Times New Roman" w:cs="Times New Roman"/>
        </w:rPr>
      </w:pPr>
    </w:p>
    <w:p w14:paraId="27DA2D0F" w14:textId="77777777" w:rsidR="00306E0C" w:rsidRDefault="00306E0C" w:rsidP="00306E0C">
      <w:pPr>
        <w:rPr>
          <w:rFonts w:ascii="Times New Roman" w:hAnsi="Times New Roman" w:cs="Times New Roman"/>
        </w:rPr>
      </w:pPr>
    </w:p>
    <w:p w14:paraId="77FF5151" w14:textId="77777777" w:rsidR="00306E0C" w:rsidRDefault="00306E0C" w:rsidP="00306E0C">
      <w:pPr>
        <w:rPr>
          <w:rFonts w:ascii="Times New Roman" w:hAnsi="Times New Roman" w:cs="Times New Roman"/>
        </w:rPr>
      </w:pPr>
    </w:p>
    <w:p w14:paraId="18DF8B76" w14:textId="77777777" w:rsidR="00306E0C" w:rsidRDefault="00306E0C" w:rsidP="00306E0C">
      <w:pPr>
        <w:rPr>
          <w:rFonts w:ascii="Times New Roman" w:hAnsi="Times New Roman" w:cs="Times New Roman"/>
        </w:rPr>
      </w:pPr>
    </w:p>
    <w:p w14:paraId="52F5EB3C" w14:textId="77777777" w:rsidR="00306E0C" w:rsidRDefault="00306E0C" w:rsidP="00306E0C">
      <w:pPr>
        <w:rPr>
          <w:rFonts w:ascii="Times New Roman" w:hAnsi="Times New Roman" w:cs="Times New Roman"/>
        </w:rPr>
      </w:pPr>
    </w:p>
    <w:p w14:paraId="3F4E2D92" w14:textId="77777777" w:rsidR="00306E0C" w:rsidRDefault="00306E0C" w:rsidP="00306E0C">
      <w:pPr>
        <w:rPr>
          <w:rFonts w:ascii="Times New Roman" w:hAnsi="Times New Roman" w:cs="Times New Roman"/>
        </w:rPr>
      </w:pPr>
    </w:p>
    <w:p w14:paraId="35370C89" w14:textId="77777777" w:rsidR="00306E0C" w:rsidRDefault="00306E0C" w:rsidP="00306E0C">
      <w:pPr>
        <w:rPr>
          <w:rFonts w:ascii="Times New Roman" w:hAnsi="Times New Roman" w:cs="Times New Roman"/>
        </w:rPr>
      </w:pPr>
    </w:p>
    <w:p w14:paraId="1BE8BD16" w14:textId="77777777" w:rsidR="00306E0C" w:rsidRDefault="00306E0C" w:rsidP="00306E0C">
      <w:pPr>
        <w:rPr>
          <w:rFonts w:ascii="Times New Roman" w:hAnsi="Times New Roman" w:cs="Times New Roman"/>
        </w:rPr>
      </w:pPr>
    </w:p>
    <w:p w14:paraId="4AAABC40" w14:textId="77777777" w:rsidR="00306E0C" w:rsidRDefault="00306E0C" w:rsidP="00306E0C">
      <w:pPr>
        <w:rPr>
          <w:rFonts w:ascii="Times New Roman" w:hAnsi="Times New Roman" w:cs="Times New Roman"/>
        </w:rPr>
      </w:pPr>
    </w:p>
    <w:p w14:paraId="1304B320" w14:textId="70A8B781" w:rsidR="00306E0C" w:rsidRDefault="00FD0462" w:rsidP="00306E0C">
      <w:pPr>
        <w:rPr>
          <w:rFonts w:ascii="Times New Roman" w:hAnsi="Times New Roman" w:cs="Times New Roman"/>
        </w:rPr>
      </w:pPr>
      <w:r w:rsidRPr="00802863">
        <w:rPr>
          <w:rFonts w:ascii="Helvetica" w:hAnsi="Helvetica"/>
          <w:noProof/>
        </w:rPr>
        <mc:AlternateContent>
          <mc:Choice Requires="wps">
            <w:drawing>
              <wp:anchor distT="0" distB="0" distL="114300" distR="114300" simplePos="0" relativeHeight="251814912" behindDoc="0" locked="0" layoutInCell="1" allowOverlap="1" wp14:anchorId="2A883E71" wp14:editId="729AAFFD">
                <wp:simplePos x="0" y="0"/>
                <wp:positionH relativeFrom="column">
                  <wp:posOffset>-48260</wp:posOffset>
                </wp:positionH>
                <wp:positionV relativeFrom="paragraph">
                  <wp:posOffset>240323</wp:posOffset>
                </wp:positionV>
                <wp:extent cx="5926455" cy="530225"/>
                <wp:effectExtent l="0" t="0" r="0" b="0"/>
                <wp:wrapNone/>
                <wp:docPr id="985626474" name="Text Box 2"/>
                <wp:cNvGraphicFramePr/>
                <a:graphic xmlns:a="http://schemas.openxmlformats.org/drawingml/2006/main">
                  <a:graphicData uri="http://schemas.microsoft.com/office/word/2010/wordprocessingShape">
                    <wps:wsp>
                      <wps:cNvSpPr txBox="1"/>
                      <wps:spPr>
                        <a:xfrm>
                          <a:off x="0" y="0"/>
                          <a:ext cx="5926455" cy="530225"/>
                        </a:xfrm>
                        <a:prstGeom prst="rect">
                          <a:avLst/>
                        </a:prstGeom>
                        <a:noFill/>
                        <a:ln w="6350">
                          <a:noFill/>
                        </a:ln>
                      </wps:spPr>
                      <wps:txbx>
                        <w:txbxContent>
                          <w:p w14:paraId="72E239F6" w14:textId="77777777" w:rsidR="00306E0C" w:rsidRPr="00AC36DC" w:rsidRDefault="00306E0C" w:rsidP="00306E0C">
                            <w:pPr>
                              <w:jc w:val="both"/>
                              <w:rPr>
                                <w:rFonts w:ascii="Times New Roman" w:hAnsi="Times New Roman" w:cs="Times New Roman"/>
                                <w:color w:val="000000" w:themeColor="text1"/>
                                <w:sz w:val="20"/>
                                <w:szCs w:val="20"/>
                              </w:rPr>
                            </w:pPr>
                            <w:bookmarkStart w:id="34" w:name="FigS37"/>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37</w:t>
                            </w:r>
                            <w:bookmarkEnd w:id="34"/>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Maximum-likelihood A) mitochondrial tree based on COI sequences; and B) phylogenomic tree based on 28K SNPs estimated using IQtree 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83E71" id="_x0000_s1076" type="#_x0000_t202" style="position:absolute;margin-left:-3.8pt;margin-top:18.9pt;width:466.65pt;height:41.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" filled="f" stroked="f" strokeweight=".5pt">
                <v:textbox>
                  <w:txbxContent>
                    <w:p w14:paraId="72E239F6" w14:textId="77777777" w:rsidR="00306E0C" w:rsidRPr="00AC36DC" w:rsidRDefault="00306E0C" w:rsidP="00306E0C">
                      <w:pPr>
                        <w:jc w:val="both"/>
                        <w:rPr>
                          <w:rFonts w:ascii="Times New Roman" w:hAnsi="Times New Roman" w:cs="Times New Roman"/>
                          <w:color w:val="000000" w:themeColor="text1"/>
                          <w:sz w:val="20"/>
                          <w:szCs w:val="20"/>
                        </w:rPr>
                      </w:pPr>
                      <w:bookmarkStart w:id="62" w:name="FigS37"/>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37</w:t>
                      </w:r>
                      <w:bookmarkEnd w:id="62"/>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Maximum-likelihood A) mitochondrial tree based on COI sequences; and B) phylogenomic tree based on 28K SNPs estimated using IQtree software.</w:t>
                      </w:r>
                    </w:p>
                  </w:txbxContent>
                </v:textbox>
              </v:shape>
            </w:pict>
          </mc:Fallback>
        </mc:AlternateContent>
      </w:r>
    </w:p>
    <w:p w14:paraId="36589E3B" w14:textId="0B37A45A" w:rsidR="00306E0C" w:rsidRDefault="00306E0C" w:rsidP="00306E0C">
      <w:pPr>
        <w:rPr>
          <w:rFonts w:ascii="Times New Roman" w:hAnsi="Times New Roman" w:cs="Times New Roman"/>
        </w:rPr>
      </w:pPr>
    </w:p>
    <w:p w14:paraId="00BAFB7A" w14:textId="43BDF4CC" w:rsidR="00306E0C" w:rsidRDefault="00306E0C" w:rsidP="00306E0C">
      <w:pPr>
        <w:rPr>
          <w:rFonts w:ascii="Times New Roman" w:hAnsi="Times New Roman" w:cs="Times New Roman"/>
        </w:rPr>
      </w:pPr>
    </w:p>
    <w:p w14:paraId="204E3A15" w14:textId="602BB0FD" w:rsidR="00306E0C" w:rsidRDefault="00306E0C" w:rsidP="00306E0C">
      <w:pPr>
        <w:rPr>
          <w:rFonts w:ascii="Times New Roman" w:hAnsi="Times New Roman" w:cs="Times New Roman"/>
        </w:rPr>
      </w:pPr>
    </w:p>
    <w:p w14:paraId="74170B66" w14:textId="4A072118" w:rsidR="00306E0C" w:rsidRDefault="00306E0C" w:rsidP="00306E0C">
      <w:pPr>
        <w:rPr>
          <w:rFonts w:ascii="Times New Roman" w:hAnsi="Times New Roman" w:cs="Times New Roman"/>
        </w:rPr>
      </w:pPr>
    </w:p>
    <w:p w14:paraId="331D303E" w14:textId="77777777" w:rsidR="00306E0C" w:rsidRDefault="00306E0C" w:rsidP="00306E0C">
      <w:pPr>
        <w:rPr>
          <w:rFonts w:ascii="Times New Roman" w:hAnsi="Times New Roman" w:cs="Times New Roman"/>
        </w:rPr>
      </w:pPr>
    </w:p>
    <w:p w14:paraId="01D09737" w14:textId="69579DE8" w:rsidR="00306E0C" w:rsidRDefault="00306E0C" w:rsidP="00306E0C">
      <w:pPr>
        <w:rPr>
          <w:rFonts w:ascii="Times New Roman" w:hAnsi="Times New Roman" w:cs="Times New Roman"/>
        </w:rPr>
      </w:pPr>
    </w:p>
    <w:p w14:paraId="3A45C08B" w14:textId="0D14571D" w:rsidR="00306E0C" w:rsidRDefault="00306E0C" w:rsidP="00306E0C">
      <w:pPr>
        <w:rPr>
          <w:rFonts w:ascii="Times New Roman" w:hAnsi="Times New Roman" w:cs="Times New Roman"/>
        </w:rPr>
      </w:pPr>
    </w:p>
    <w:p w14:paraId="20F86ABE" w14:textId="20880B23" w:rsidR="00306E0C" w:rsidRDefault="00306E0C" w:rsidP="00306E0C">
      <w:pPr>
        <w:rPr>
          <w:rFonts w:ascii="Times New Roman" w:hAnsi="Times New Roman" w:cs="Times New Roman"/>
        </w:rPr>
      </w:pPr>
    </w:p>
    <w:p w14:paraId="7523C81F" w14:textId="525B150D" w:rsidR="00306E0C" w:rsidRDefault="00306E0C" w:rsidP="00306E0C">
      <w:pPr>
        <w:rPr>
          <w:rFonts w:ascii="Times New Roman" w:hAnsi="Times New Roman" w:cs="Times New Roman"/>
        </w:rPr>
      </w:pPr>
    </w:p>
    <w:p w14:paraId="78C149F0" w14:textId="1FA1F8EA" w:rsidR="00306E0C" w:rsidRDefault="00306E0C" w:rsidP="00306E0C">
      <w:pPr>
        <w:rPr>
          <w:rFonts w:ascii="Times New Roman" w:hAnsi="Times New Roman" w:cs="Times New Roman"/>
        </w:rPr>
      </w:pPr>
    </w:p>
    <w:p w14:paraId="2A3E85FB" w14:textId="77777777" w:rsidR="00306E0C" w:rsidRDefault="00306E0C" w:rsidP="00306E0C">
      <w:pPr>
        <w:rPr>
          <w:rFonts w:ascii="Times New Roman" w:hAnsi="Times New Roman" w:cs="Times New Roman"/>
        </w:rPr>
      </w:pPr>
    </w:p>
    <w:p w14:paraId="0648D8FB" w14:textId="0E8D6A51" w:rsidR="00306E0C" w:rsidRDefault="00FD0462" w:rsidP="00306E0C">
      <w:pPr>
        <w:rPr>
          <w:rFonts w:ascii="Times New Roman" w:hAnsi="Times New Roman" w:cs="Times New Roman"/>
        </w:rPr>
      </w:pPr>
      <w:r w:rsidRPr="005D0358">
        <w:rPr>
          <w:rFonts w:ascii="Times New Roman" w:hAnsi="Times New Roman" w:cs="Times New Roman"/>
          <w:noProof/>
        </w:rPr>
        <w:lastRenderedPageBreak/>
        <w:drawing>
          <wp:anchor distT="0" distB="0" distL="114300" distR="114300" simplePos="0" relativeHeight="251817984" behindDoc="0" locked="0" layoutInCell="1" allowOverlap="1" wp14:anchorId="1978A028" wp14:editId="335E6F07">
            <wp:simplePos x="0" y="0"/>
            <wp:positionH relativeFrom="column">
              <wp:posOffset>712128</wp:posOffset>
            </wp:positionH>
            <wp:positionV relativeFrom="paragraph">
              <wp:posOffset>46355</wp:posOffset>
            </wp:positionV>
            <wp:extent cx="4161692" cy="3305110"/>
            <wp:effectExtent l="0" t="0" r="4445" b="0"/>
            <wp:wrapNone/>
            <wp:docPr id="769871445" name="Picture 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71445" name="Picture 1" descr="A collage of graphs&#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161692" cy="3305110"/>
                    </a:xfrm>
                    <a:prstGeom prst="rect">
                      <a:avLst/>
                    </a:prstGeom>
                  </pic:spPr>
                </pic:pic>
              </a:graphicData>
            </a:graphic>
            <wp14:sizeRelH relativeFrom="page">
              <wp14:pctWidth>0</wp14:pctWidth>
            </wp14:sizeRelH>
            <wp14:sizeRelV relativeFrom="page">
              <wp14:pctHeight>0</wp14:pctHeight>
            </wp14:sizeRelV>
          </wp:anchor>
        </w:drawing>
      </w:r>
    </w:p>
    <w:p w14:paraId="33B8C4B0" w14:textId="77777777" w:rsidR="00306E0C" w:rsidRDefault="00306E0C" w:rsidP="00306E0C">
      <w:pPr>
        <w:rPr>
          <w:rFonts w:ascii="Times New Roman" w:hAnsi="Times New Roman" w:cs="Times New Roman"/>
        </w:rPr>
      </w:pPr>
    </w:p>
    <w:p w14:paraId="525E73EB" w14:textId="77777777" w:rsidR="00306E0C" w:rsidRDefault="00306E0C" w:rsidP="00306E0C">
      <w:pPr>
        <w:rPr>
          <w:rFonts w:ascii="Times New Roman" w:hAnsi="Times New Roman" w:cs="Times New Roman"/>
        </w:rPr>
      </w:pPr>
    </w:p>
    <w:p w14:paraId="0C91F25D" w14:textId="77777777" w:rsidR="00306E0C" w:rsidRDefault="00306E0C" w:rsidP="00306E0C">
      <w:pPr>
        <w:rPr>
          <w:rFonts w:ascii="Times New Roman" w:hAnsi="Times New Roman" w:cs="Times New Roman"/>
        </w:rPr>
      </w:pPr>
    </w:p>
    <w:p w14:paraId="560B9427" w14:textId="77777777" w:rsidR="00306E0C" w:rsidRPr="005D0358" w:rsidRDefault="00306E0C" w:rsidP="00306E0C">
      <w:pPr>
        <w:rPr>
          <w:rFonts w:ascii="Times New Roman" w:hAnsi="Times New Roman" w:cs="Times New Roman"/>
        </w:rPr>
      </w:pPr>
    </w:p>
    <w:p w14:paraId="153F891E" w14:textId="77777777" w:rsidR="00306E0C" w:rsidRPr="005D0358" w:rsidRDefault="00306E0C" w:rsidP="00306E0C">
      <w:pPr>
        <w:rPr>
          <w:rFonts w:ascii="Times New Roman" w:hAnsi="Times New Roman" w:cs="Times New Roman"/>
        </w:rPr>
      </w:pPr>
    </w:p>
    <w:p w14:paraId="417BFB6C" w14:textId="77777777" w:rsidR="00306E0C" w:rsidRPr="005D0358" w:rsidRDefault="00306E0C" w:rsidP="00306E0C">
      <w:pPr>
        <w:rPr>
          <w:rFonts w:ascii="Times New Roman" w:hAnsi="Times New Roman" w:cs="Times New Roman"/>
        </w:rPr>
      </w:pPr>
    </w:p>
    <w:p w14:paraId="4C692890" w14:textId="77777777" w:rsidR="00306E0C" w:rsidRPr="005D0358" w:rsidRDefault="00306E0C" w:rsidP="00306E0C">
      <w:pPr>
        <w:rPr>
          <w:rFonts w:ascii="Times New Roman" w:hAnsi="Times New Roman" w:cs="Times New Roman"/>
        </w:rPr>
      </w:pPr>
    </w:p>
    <w:p w14:paraId="7945FD57" w14:textId="77777777" w:rsidR="00306E0C" w:rsidRPr="005D0358" w:rsidRDefault="00306E0C" w:rsidP="00306E0C">
      <w:pPr>
        <w:rPr>
          <w:rFonts w:ascii="Times New Roman" w:hAnsi="Times New Roman" w:cs="Times New Roman"/>
        </w:rPr>
      </w:pPr>
    </w:p>
    <w:p w14:paraId="0D14FB6E" w14:textId="77777777" w:rsidR="00306E0C" w:rsidRPr="005D0358" w:rsidRDefault="00306E0C" w:rsidP="00306E0C">
      <w:pPr>
        <w:rPr>
          <w:rFonts w:ascii="Times New Roman" w:hAnsi="Times New Roman" w:cs="Times New Roman"/>
        </w:rPr>
      </w:pPr>
    </w:p>
    <w:p w14:paraId="78FE5225" w14:textId="791AF009" w:rsidR="00306E0C" w:rsidRDefault="00306E0C" w:rsidP="00306E0C">
      <w:pPr>
        <w:rPr>
          <w:rFonts w:ascii="Times New Roman" w:hAnsi="Times New Roman" w:cs="Times New Roman"/>
        </w:rPr>
      </w:pPr>
    </w:p>
    <w:p w14:paraId="4FA25591" w14:textId="2F57A15A" w:rsidR="00306E0C" w:rsidRPr="006E6B17" w:rsidRDefault="00306E0C" w:rsidP="00306E0C">
      <w:pPr>
        <w:rPr>
          <w:rFonts w:ascii="Times New Roman" w:hAnsi="Times New Roman" w:cs="Times New Roman"/>
        </w:rPr>
      </w:pPr>
    </w:p>
    <w:p w14:paraId="21B98CE5" w14:textId="4FD5C1B3" w:rsidR="00306E0C" w:rsidRPr="006E6B17" w:rsidRDefault="00FD0462" w:rsidP="00306E0C">
      <w:pPr>
        <w:rPr>
          <w:rFonts w:ascii="Times New Roman" w:hAnsi="Times New Roman" w:cs="Times New Roman"/>
        </w:rPr>
      </w:pPr>
      <w:r w:rsidRPr="00802863">
        <w:rPr>
          <w:rFonts w:ascii="Helvetica" w:hAnsi="Helvetica"/>
          <w:noProof/>
        </w:rPr>
        <mc:AlternateContent>
          <mc:Choice Requires="wps">
            <w:drawing>
              <wp:anchor distT="0" distB="0" distL="114300" distR="114300" simplePos="0" relativeHeight="251815936" behindDoc="0" locked="0" layoutInCell="1" allowOverlap="1" wp14:anchorId="24924E7B" wp14:editId="5F4ED94B">
                <wp:simplePos x="0" y="0"/>
                <wp:positionH relativeFrom="column">
                  <wp:posOffset>-44450</wp:posOffset>
                </wp:positionH>
                <wp:positionV relativeFrom="paragraph">
                  <wp:posOffset>145708</wp:posOffset>
                </wp:positionV>
                <wp:extent cx="5926455" cy="958850"/>
                <wp:effectExtent l="0" t="0" r="0" b="0"/>
                <wp:wrapNone/>
                <wp:docPr id="1049614814" name="Text Box 2"/>
                <wp:cNvGraphicFramePr/>
                <a:graphic xmlns:a="http://schemas.openxmlformats.org/drawingml/2006/main">
                  <a:graphicData uri="http://schemas.microsoft.com/office/word/2010/wordprocessingShape">
                    <wps:wsp>
                      <wps:cNvSpPr txBox="1"/>
                      <wps:spPr>
                        <a:xfrm>
                          <a:off x="0" y="0"/>
                          <a:ext cx="5926455" cy="958850"/>
                        </a:xfrm>
                        <a:prstGeom prst="rect">
                          <a:avLst/>
                        </a:prstGeom>
                        <a:noFill/>
                        <a:ln w="6350">
                          <a:noFill/>
                        </a:ln>
                      </wps:spPr>
                      <wps:txbx>
                        <w:txbxContent>
                          <w:p w14:paraId="20A249B8" w14:textId="77777777" w:rsidR="00306E0C" w:rsidRPr="00AC36DC" w:rsidRDefault="00306E0C" w:rsidP="00306E0C">
                            <w:pPr>
                              <w:jc w:val="both"/>
                              <w:rPr>
                                <w:rFonts w:ascii="Times New Roman" w:hAnsi="Times New Roman" w:cs="Times New Roman"/>
                                <w:color w:val="000000" w:themeColor="text1"/>
                                <w:sz w:val="20"/>
                                <w:szCs w:val="20"/>
                              </w:rPr>
                            </w:pPr>
                            <w:bookmarkStart w:id="35" w:name="FigS38"/>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38</w:t>
                            </w:r>
                            <w:bookmarkEnd w:id="35"/>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Results from the test of synchronous cladogenetic events across trans-isthmic pairs using ecoevolity. Approximate marginal posterior densities of divergence times for the trans-isthmic geminate pair (TI geminate) and the trans-isthmic clade (TI clade)</w:t>
                            </w:r>
                            <w:r w:rsidRPr="004A4A9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using A) </w:t>
                            </w:r>
                            <w:r w:rsidRPr="004A4A98">
                              <w:rPr>
                                <w:rFonts w:ascii="Times New Roman" w:hAnsi="Times New Roman" w:cs="Times New Roman"/>
                                <w:i/>
                                <w:iCs/>
                                <w:color w:val="000000" w:themeColor="text1"/>
                                <w:sz w:val="20"/>
                                <w:szCs w:val="20"/>
                              </w:rPr>
                              <w:t>ca.</w:t>
                            </w:r>
                            <w:r>
                              <w:rPr>
                                <w:rFonts w:ascii="Times New Roman" w:hAnsi="Times New Roman" w:cs="Times New Roman"/>
                                <w:color w:val="000000" w:themeColor="text1"/>
                                <w:sz w:val="20"/>
                                <w:szCs w:val="20"/>
                              </w:rPr>
                              <w:t xml:space="preserve"> 200K and C) over 1000K bp. Approximate prior (light grey bars) and posterior (dark grey bars) probabilities of the number of divergence events are shown in B) </w:t>
                            </w:r>
                            <w:r w:rsidRPr="004A4A98">
                              <w:rPr>
                                <w:rFonts w:ascii="Times New Roman" w:hAnsi="Times New Roman" w:cs="Times New Roman"/>
                                <w:i/>
                                <w:iCs/>
                                <w:color w:val="000000" w:themeColor="text1"/>
                                <w:sz w:val="20"/>
                                <w:szCs w:val="20"/>
                              </w:rPr>
                              <w:t>ca.</w:t>
                            </w:r>
                            <w:r>
                              <w:rPr>
                                <w:rFonts w:ascii="Times New Roman" w:hAnsi="Times New Roman" w:cs="Times New Roman"/>
                                <w:color w:val="000000" w:themeColor="text1"/>
                                <w:sz w:val="20"/>
                                <w:szCs w:val="20"/>
                              </w:rPr>
                              <w:t xml:space="preserve"> 200K and D) more than 1000K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24E7B" id="_x0000_s1077" type="#_x0000_t202" style="position:absolute;margin-left:-3.5pt;margin-top:11.45pt;width:466.65pt;height:75.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" filled="f" stroked="f" strokeweight=".5pt">
                <v:textbox>
                  <w:txbxContent>
                    <w:p w14:paraId="20A249B8" w14:textId="77777777" w:rsidR="00306E0C" w:rsidRPr="00AC36DC" w:rsidRDefault="00306E0C" w:rsidP="00306E0C">
                      <w:pPr>
                        <w:jc w:val="both"/>
                        <w:rPr>
                          <w:rFonts w:ascii="Times New Roman" w:hAnsi="Times New Roman" w:cs="Times New Roman"/>
                          <w:color w:val="000000" w:themeColor="text1"/>
                          <w:sz w:val="20"/>
                          <w:szCs w:val="20"/>
                        </w:rPr>
                      </w:pPr>
                      <w:bookmarkStart w:id="64" w:name="FigS38"/>
                      <w:r w:rsidRPr="001D608F">
                        <w:rPr>
                          <w:rFonts w:ascii="Times New Roman" w:hAnsi="Times New Roman" w:cs="Times New Roman"/>
                          <w:b/>
                          <w:bCs/>
                          <w:color w:val="000000" w:themeColor="text1"/>
                          <w:sz w:val="20"/>
                          <w:szCs w:val="20"/>
                        </w:rPr>
                        <w:t>Figure S</w:t>
                      </w:r>
                      <w:r>
                        <w:rPr>
                          <w:rFonts w:ascii="Times New Roman" w:hAnsi="Times New Roman" w:cs="Times New Roman"/>
                          <w:b/>
                          <w:bCs/>
                          <w:color w:val="000000" w:themeColor="text1"/>
                          <w:sz w:val="20"/>
                          <w:szCs w:val="20"/>
                        </w:rPr>
                        <w:t>38</w:t>
                      </w:r>
                      <w:bookmarkEnd w:id="64"/>
                      <w:r w:rsidRPr="001D608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Results from the test of synchronous cladogenetic events across trans-isthmic pairs using ecoevolity. Approximate marginal posterior densities of divergence times for the trans-isthmic geminate pair (TI geminate) and the trans-isthmic clade (TI clade)</w:t>
                      </w:r>
                      <w:r w:rsidRPr="004A4A9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using A) </w:t>
                      </w:r>
                      <w:r w:rsidRPr="004A4A98">
                        <w:rPr>
                          <w:rFonts w:ascii="Times New Roman" w:hAnsi="Times New Roman" w:cs="Times New Roman"/>
                          <w:i/>
                          <w:iCs/>
                          <w:color w:val="000000" w:themeColor="text1"/>
                          <w:sz w:val="20"/>
                          <w:szCs w:val="20"/>
                        </w:rPr>
                        <w:t>ca.</w:t>
                      </w:r>
                      <w:r>
                        <w:rPr>
                          <w:rFonts w:ascii="Times New Roman" w:hAnsi="Times New Roman" w:cs="Times New Roman"/>
                          <w:color w:val="000000" w:themeColor="text1"/>
                          <w:sz w:val="20"/>
                          <w:szCs w:val="20"/>
                        </w:rPr>
                        <w:t xml:space="preserve"> 200K and C) over 1000K bp. Approximate prior (light grey bars) and posterior (dark grey bars) probabilities of the number of divergence events are shown in B) </w:t>
                      </w:r>
                      <w:r w:rsidRPr="004A4A98">
                        <w:rPr>
                          <w:rFonts w:ascii="Times New Roman" w:hAnsi="Times New Roman" w:cs="Times New Roman"/>
                          <w:i/>
                          <w:iCs/>
                          <w:color w:val="000000" w:themeColor="text1"/>
                          <w:sz w:val="20"/>
                          <w:szCs w:val="20"/>
                        </w:rPr>
                        <w:t>ca.</w:t>
                      </w:r>
                      <w:r>
                        <w:rPr>
                          <w:rFonts w:ascii="Times New Roman" w:hAnsi="Times New Roman" w:cs="Times New Roman"/>
                          <w:color w:val="000000" w:themeColor="text1"/>
                          <w:sz w:val="20"/>
                          <w:szCs w:val="20"/>
                        </w:rPr>
                        <w:t xml:space="preserve"> 200K and D) more than 1000K bp.</w:t>
                      </w:r>
                    </w:p>
                  </w:txbxContent>
                </v:textbox>
              </v:shape>
            </w:pict>
          </mc:Fallback>
        </mc:AlternateContent>
      </w:r>
    </w:p>
    <w:p w14:paraId="665EF246" w14:textId="77777777" w:rsidR="00306E0C" w:rsidRPr="006E6B17" w:rsidRDefault="00306E0C" w:rsidP="00306E0C">
      <w:pPr>
        <w:rPr>
          <w:rFonts w:ascii="Times New Roman" w:hAnsi="Times New Roman" w:cs="Times New Roman"/>
        </w:rPr>
      </w:pPr>
    </w:p>
    <w:p w14:paraId="63815366" w14:textId="77777777" w:rsidR="00306E0C" w:rsidRPr="006E6B17" w:rsidRDefault="00306E0C" w:rsidP="00306E0C">
      <w:pPr>
        <w:rPr>
          <w:rFonts w:ascii="Times New Roman" w:hAnsi="Times New Roman" w:cs="Times New Roman"/>
        </w:rPr>
      </w:pPr>
    </w:p>
    <w:p w14:paraId="73696670" w14:textId="77777777" w:rsidR="00306E0C" w:rsidRPr="006E6B17" w:rsidRDefault="00306E0C" w:rsidP="00306E0C">
      <w:pPr>
        <w:rPr>
          <w:rFonts w:ascii="Times New Roman" w:hAnsi="Times New Roman" w:cs="Times New Roman"/>
        </w:rPr>
      </w:pPr>
    </w:p>
    <w:p w14:paraId="2D8BD697" w14:textId="77777777" w:rsidR="00306E0C" w:rsidRDefault="00306E0C" w:rsidP="00306E0C">
      <w:pPr>
        <w:rPr>
          <w:rFonts w:ascii="Times New Roman" w:hAnsi="Times New Roman" w:cs="Times New Roman"/>
        </w:rPr>
      </w:pPr>
    </w:p>
    <w:p w14:paraId="68B43B17" w14:textId="77777777" w:rsidR="00306E0C" w:rsidRDefault="00306E0C" w:rsidP="00306E0C">
      <w:pPr>
        <w:rPr>
          <w:rFonts w:ascii="Times New Roman" w:hAnsi="Times New Roman" w:cs="Times New Roman"/>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tblBorders>
        <w:tblLook w:val="04A0" w:firstRow="1" w:lastRow="0" w:firstColumn="1" w:lastColumn="0" w:noHBand="0" w:noVBand="1"/>
      </w:tblPr>
      <w:tblGrid>
        <w:gridCol w:w="7105"/>
        <w:gridCol w:w="2245"/>
      </w:tblGrid>
      <w:tr w:rsidR="00306E0C" w:rsidRPr="006E6B17" w14:paraId="28CBB722" w14:textId="77777777" w:rsidTr="00031031">
        <w:tc>
          <w:tcPr>
            <w:tcW w:w="9350" w:type="dxa"/>
            <w:gridSpan w:val="2"/>
            <w:tcBorders>
              <w:top w:val="single" w:sz="18" w:space="0" w:color="auto"/>
              <w:bottom w:val="single" w:sz="18" w:space="0" w:color="auto"/>
            </w:tcBorders>
          </w:tcPr>
          <w:p w14:paraId="654BD232" w14:textId="77777777" w:rsidR="00306E0C" w:rsidRPr="006E6B17" w:rsidRDefault="00306E0C" w:rsidP="00031031">
            <w:pPr>
              <w:jc w:val="both"/>
              <w:rPr>
                <w:rFonts w:ascii="Times New Roman" w:hAnsi="Times New Roman" w:cs="Times New Roman"/>
                <w:sz w:val="20"/>
                <w:szCs w:val="20"/>
              </w:rPr>
            </w:pPr>
            <w:r w:rsidRPr="006E6B17">
              <w:rPr>
                <w:rFonts w:ascii="Times New Roman" w:hAnsi="Times New Roman" w:cs="Times New Roman"/>
                <w:b/>
                <w:bCs/>
                <w:sz w:val="20"/>
                <w:szCs w:val="20"/>
              </w:rPr>
              <w:t>Table 10.</w:t>
            </w:r>
            <w:r w:rsidRPr="006E6B17">
              <w:rPr>
                <w:rFonts w:ascii="Times New Roman" w:hAnsi="Times New Roman" w:cs="Times New Roman"/>
                <w:sz w:val="20"/>
                <w:szCs w:val="20"/>
              </w:rPr>
              <w:t xml:space="preserve"> Weir and Cockerham’s 1984 </w:t>
            </w:r>
            <w:r w:rsidRPr="006E6B17">
              <w:rPr>
                <w:rFonts w:ascii="Times New Roman" w:hAnsi="Times New Roman" w:cs="Times New Roman"/>
                <w:i/>
                <w:iCs/>
                <w:sz w:val="20"/>
                <w:szCs w:val="20"/>
              </w:rPr>
              <w:t xml:space="preserve">Fst </w:t>
            </w:r>
            <w:r w:rsidRPr="006E6B17">
              <w:rPr>
                <w:rFonts w:ascii="Times New Roman" w:hAnsi="Times New Roman" w:cs="Times New Roman"/>
                <w:sz w:val="20"/>
                <w:szCs w:val="20"/>
              </w:rPr>
              <w:t>estimates among highly independent evolutionary lines identified by marine barriers</w:t>
            </w:r>
          </w:p>
        </w:tc>
      </w:tr>
      <w:tr w:rsidR="00306E0C" w:rsidRPr="006E6B17" w14:paraId="6D9B86CC" w14:textId="77777777" w:rsidTr="00031031">
        <w:tc>
          <w:tcPr>
            <w:tcW w:w="7105" w:type="dxa"/>
            <w:tcBorders>
              <w:top w:val="single" w:sz="18" w:space="0" w:color="auto"/>
            </w:tcBorders>
          </w:tcPr>
          <w:p w14:paraId="2A3D6D91" w14:textId="77777777" w:rsidR="00306E0C" w:rsidRDefault="00306E0C" w:rsidP="00031031">
            <w:pPr>
              <w:rPr>
                <w:rFonts w:ascii="Times New Roman" w:hAnsi="Times New Roman" w:cs="Times New Roman"/>
                <w:b/>
                <w:bCs/>
                <w:sz w:val="20"/>
                <w:szCs w:val="20"/>
              </w:rPr>
            </w:pPr>
            <w:r>
              <w:rPr>
                <w:rFonts w:ascii="Times New Roman" w:hAnsi="Times New Roman" w:cs="Times New Roman"/>
                <w:b/>
                <w:bCs/>
                <w:sz w:val="20"/>
                <w:szCs w:val="20"/>
              </w:rPr>
              <w:t>Genetic groups</w:t>
            </w:r>
          </w:p>
        </w:tc>
        <w:tc>
          <w:tcPr>
            <w:tcW w:w="2245" w:type="dxa"/>
            <w:tcBorders>
              <w:top w:val="single" w:sz="18" w:space="0" w:color="auto"/>
            </w:tcBorders>
          </w:tcPr>
          <w:p w14:paraId="11A121D4" w14:textId="77777777" w:rsidR="00306E0C" w:rsidRPr="006E6B17" w:rsidRDefault="00306E0C" w:rsidP="00031031">
            <w:pPr>
              <w:rPr>
                <w:rFonts w:ascii="Times New Roman" w:hAnsi="Times New Roman" w:cs="Times New Roman"/>
                <w:b/>
                <w:bCs/>
                <w:i/>
                <w:iCs/>
                <w:sz w:val="20"/>
                <w:szCs w:val="20"/>
              </w:rPr>
            </w:pPr>
            <w:r w:rsidRPr="006E6B17">
              <w:rPr>
                <w:rFonts w:ascii="Times New Roman" w:hAnsi="Times New Roman" w:cs="Times New Roman"/>
                <w:b/>
                <w:bCs/>
                <w:i/>
                <w:iCs/>
                <w:sz w:val="20"/>
                <w:szCs w:val="20"/>
              </w:rPr>
              <w:t>Fst</w:t>
            </w:r>
            <w:r w:rsidRPr="006E6B17">
              <w:rPr>
                <w:rFonts w:ascii="Times New Roman" w:hAnsi="Times New Roman" w:cs="Times New Roman"/>
                <w:b/>
                <w:bCs/>
                <w:sz w:val="20"/>
                <w:szCs w:val="20"/>
              </w:rPr>
              <w:t xml:space="preserve"> value</w:t>
            </w:r>
          </w:p>
        </w:tc>
      </w:tr>
      <w:tr w:rsidR="00306E0C" w:rsidRPr="006E6B17" w14:paraId="26BA35C6" w14:textId="77777777" w:rsidTr="00031031">
        <w:tc>
          <w:tcPr>
            <w:tcW w:w="7105" w:type="dxa"/>
            <w:tcBorders>
              <w:top w:val="single" w:sz="18" w:space="0" w:color="auto"/>
            </w:tcBorders>
          </w:tcPr>
          <w:p w14:paraId="028F3693" w14:textId="77777777" w:rsidR="00306E0C" w:rsidRPr="006E6B17" w:rsidRDefault="00306E0C" w:rsidP="00031031">
            <w:pPr>
              <w:rPr>
                <w:rFonts w:ascii="Times New Roman" w:hAnsi="Times New Roman" w:cs="Times New Roman"/>
                <w:b/>
                <w:bCs/>
                <w:sz w:val="20"/>
                <w:szCs w:val="20"/>
              </w:rPr>
            </w:pPr>
            <w:r>
              <w:rPr>
                <w:rFonts w:ascii="Times New Roman" w:hAnsi="Times New Roman" w:cs="Times New Roman"/>
                <w:b/>
                <w:bCs/>
                <w:sz w:val="20"/>
                <w:szCs w:val="20"/>
              </w:rPr>
              <w:t>Species complexes</w:t>
            </w:r>
          </w:p>
        </w:tc>
        <w:tc>
          <w:tcPr>
            <w:tcW w:w="2245" w:type="dxa"/>
            <w:tcBorders>
              <w:top w:val="single" w:sz="18" w:space="0" w:color="auto"/>
            </w:tcBorders>
          </w:tcPr>
          <w:p w14:paraId="4B2D5F9F" w14:textId="77777777" w:rsidR="00306E0C" w:rsidRPr="006E6B17" w:rsidRDefault="00306E0C" w:rsidP="00031031">
            <w:pPr>
              <w:rPr>
                <w:rFonts w:ascii="Times New Roman" w:hAnsi="Times New Roman" w:cs="Times New Roman"/>
                <w:b/>
                <w:bCs/>
                <w:sz w:val="20"/>
                <w:szCs w:val="20"/>
              </w:rPr>
            </w:pPr>
          </w:p>
        </w:tc>
      </w:tr>
      <w:tr w:rsidR="00306E0C" w:rsidRPr="006E6B17" w14:paraId="76B91908" w14:textId="77777777" w:rsidTr="00031031">
        <w:tc>
          <w:tcPr>
            <w:tcW w:w="7105" w:type="dxa"/>
          </w:tcPr>
          <w:p w14:paraId="50ADC3B2" w14:textId="77777777" w:rsidR="00306E0C" w:rsidRPr="006E6B17" w:rsidRDefault="00306E0C" w:rsidP="00031031">
            <w:pPr>
              <w:rPr>
                <w:rFonts w:ascii="Times New Roman" w:hAnsi="Times New Roman" w:cs="Times New Roman"/>
                <w:sz w:val="20"/>
                <w:szCs w:val="20"/>
              </w:rPr>
            </w:pPr>
            <w:r w:rsidRPr="0070747F">
              <w:rPr>
                <w:rFonts w:ascii="Times New Roman" w:hAnsi="Times New Roman" w:cs="Times New Roman"/>
                <w:i/>
                <w:iCs/>
                <w:sz w:val="20"/>
                <w:szCs w:val="20"/>
              </w:rPr>
              <w:t xml:space="preserve">Malacoctenus </w:t>
            </w:r>
            <w:r>
              <w:rPr>
                <w:rFonts w:ascii="Times New Roman" w:hAnsi="Times New Roman" w:cs="Times New Roman"/>
                <w:i/>
                <w:iCs/>
                <w:sz w:val="20"/>
                <w:szCs w:val="20"/>
              </w:rPr>
              <w:t>hubbsi</w:t>
            </w:r>
            <w:r>
              <w:rPr>
                <w:rFonts w:ascii="Times New Roman" w:hAnsi="Times New Roman" w:cs="Times New Roman"/>
                <w:sz w:val="20"/>
                <w:szCs w:val="20"/>
              </w:rPr>
              <w:t xml:space="preserve"> vs </w:t>
            </w:r>
            <w:r w:rsidRPr="0070747F">
              <w:rPr>
                <w:rFonts w:ascii="Times New Roman" w:hAnsi="Times New Roman" w:cs="Times New Roman"/>
                <w:i/>
                <w:iCs/>
                <w:sz w:val="20"/>
                <w:szCs w:val="20"/>
              </w:rPr>
              <w:t xml:space="preserve">Malacoctenus </w:t>
            </w:r>
            <w:r>
              <w:rPr>
                <w:rFonts w:ascii="Times New Roman" w:hAnsi="Times New Roman" w:cs="Times New Roman"/>
                <w:i/>
                <w:iCs/>
                <w:sz w:val="20"/>
                <w:szCs w:val="20"/>
              </w:rPr>
              <w:t>polyporosus</w:t>
            </w:r>
            <w:r>
              <w:rPr>
                <w:rFonts w:ascii="Times New Roman" w:hAnsi="Times New Roman" w:cs="Times New Roman"/>
                <w:sz w:val="20"/>
                <w:szCs w:val="20"/>
              </w:rPr>
              <w:t xml:space="preserve"> (separated by SB; TEP)</w:t>
            </w:r>
          </w:p>
        </w:tc>
        <w:tc>
          <w:tcPr>
            <w:tcW w:w="2245" w:type="dxa"/>
          </w:tcPr>
          <w:p w14:paraId="35396A8B" w14:textId="77777777" w:rsidR="00306E0C" w:rsidRPr="006E6B17" w:rsidRDefault="00306E0C" w:rsidP="00031031">
            <w:pPr>
              <w:rPr>
                <w:rFonts w:ascii="Times New Roman" w:hAnsi="Times New Roman" w:cs="Times New Roman"/>
                <w:sz w:val="20"/>
                <w:szCs w:val="20"/>
              </w:rPr>
            </w:pPr>
            <w:r>
              <w:rPr>
                <w:rFonts w:ascii="Times New Roman" w:hAnsi="Times New Roman" w:cs="Times New Roman"/>
                <w:sz w:val="20"/>
                <w:szCs w:val="20"/>
              </w:rPr>
              <w:t>0.11</w:t>
            </w:r>
          </w:p>
        </w:tc>
      </w:tr>
      <w:tr w:rsidR="00306E0C" w:rsidRPr="006E6B17" w14:paraId="32BDCE17" w14:textId="77777777" w:rsidTr="00031031">
        <w:tc>
          <w:tcPr>
            <w:tcW w:w="7105" w:type="dxa"/>
          </w:tcPr>
          <w:p w14:paraId="36022D23" w14:textId="77777777" w:rsidR="00306E0C" w:rsidRPr="006E6B17" w:rsidRDefault="00306E0C" w:rsidP="00031031">
            <w:pPr>
              <w:rPr>
                <w:rFonts w:ascii="Times New Roman" w:hAnsi="Times New Roman" w:cs="Times New Roman"/>
                <w:sz w:val="20"/>
                <w:szCs w:val="20"/>
              </w:rPr>
            </w:pPr>
            <w:r w:rsidRPr="0070747F">
              <w:rPr>
                <w:rFonts w:ascii="Times New Roman" w:hAnsi="Times New Roman" w:cs="Times New Roman"/>
                <w:i/>
                <w:iCs/>
                <w:sz w:val="20"/>
                <w:szCs w:val="20"/>
              </w:rPr>
              <w:t>Malacoctenus triangulatus</w:t>
            </w:r>
            <w:r>
              <w:rPr>
                <w:rFonts w:ascii="Times New Roman" w:hAnsi="Times New Roman" w:cs="Times New Roman"/>
                <w:sz w:val="20"/>
                <w:szCs w:val="20"/>
              </w:rPr>
              <w:t xml:space="preserve"> </w:t>
            </w:r>
            <w:r w:rsidRPr="00E8272C">
              <w:rPr>
                <w:rFonts w:ascii="Times New Roman" w:hAnsi="Times New Roman" w:cs="Times New Roman"/>
                <w:i/>
                <w:iCs/>
                <w:sz w:val="20"/>
                <w:szCs w:val="20"/>
              </w:rPr>
              <w:t>vs</w:t>
            </w:r>
            <w:r>
              <w:rPr>
                <w:rFonts w:ascii="Times New Roman" w:hAnsi="Times New Roman" w:cs="Times New Roman"/>
                <w:sz w:val="20"/>
                <w:szCs w:val="20"/>
              </w:rPr>
              <w:t xml:space="preserve"> </w:t>
            </w:r>
            <w:r w:rsidRPr="0070747F">
              <w:rPr>
                <w:rFonts w:ascii="Times New Roman" w:hAnsi="Times New Roman" w:cs="Times New Roman"/>
                <w:i/>
                <w:iCs/>
                <w:sz w:val="20"/>
                <w:szCs w:val="20"/>
              </w:rPr>
              <w:t>Malacoctenus lianae</w:t>
            </w:r>
            <w:r>
              <w:rPr>
                <w:rFonts w:ascii="Times New Roman" w:hAnsi="Times New Roman" w:cs="Times New Roman"/>
                <w:sz w:val="20"/>
                <w:szCs w:val="20"/>
              </w:rPr>
              <w:t xml:space="preserve"> (separated by PNB10; TA)</w:t>
            </w:r>
          </w:p>
        </w:tc>
        <w:tc>
          <w:tcPr>
            <w:tcW w:w="2245" w:type="dxa"/>
          </w:tcPr>
          <w:p w14:paraId="0C8A5A7B" w14:textId="77777777" w:rsidR="00306E0C" w:rsidRPr="006E6B17" w:rsidRDefault="00306E0C" w:rsidP="00031031">
            <w:pPr>
              <w:rPr>
                <w:rFonts w:ascii="Times New Roman" w:hAnsi="Times New Roman" w:cs="Times New Roman"/>
                <w:sz w:val="20"/>
                <w:szCs w:val="20"/>
              </w:rPr>
            </w:pPr>
            <w:r>
              <w:rPr>
                <w:rFonts w:ascii="Times New Roman" w:hAnsi="Times New Roman" w:cs="Times New Roman"/>
                <w:sz w:val="20"/>
                <w:szCs w:val="20"/>
              </w:rPr>
              <w:t>0.07</w:t>
            </w:r>
          </w:p>
        </w:tc>
      </w:tr>
      <w:tr w:rsidR="00306E0C" w:rsidRPr="006E6B17" w14:paraId="604807FA" w14:textId="77777777" w:rsidTr="00031031">
        <w:tc>
          <w:tcPr>
            <w:tcW w:w="7105" w:type="dxa"/>
          </w:tcPr>
          <w:p w14:paraId="3698250B" w14:textId="77777777" w:rsidR="00306E0C" w:rsidRPr="006E6B17" w:rsidRDefault="00306E0C" w:rsidP="00031031">
            <w:pPr>
              <w:rPr>
                <w:rFonts w:ascii="Times New Roman" w:hAnsi="Times New Roman" w:cs="Times New Roman"/>
                <w:sz w:val="20"/>
                <w:szCs w:val="20"/>
              </w:rPr>
            </w:pPr>
            <w:r w:rsidRPr="006E6B17">
              <w:rPr>
                <w:rFonts w:ascii="Times New Roman" w:hAnsi="Times New Roman" w:cs="Times New Roman"/>
                <w:b/>
                <w:bCs/>
                <w:sz w:val="20"/>
                <w:szCs w:val="20"/>
              </w:rPr>
              <w:t>Independent evolutionary lineages</w:t>
            </w:r>
          </w:p>
        </w:tc>
        <w:tc>
          <w:tcPr>
            <w:tcW w:w="2245" w:type="dxa"/>
          </w:tcPr>
          <w:p w14:paraId="05D1E4ED" w14:textId="77777777" w:rsidR="00306E0C" w:rsidRPr="006E6B17" w:rsidRDefault="00306E0C" w:rsidP="00031031">
            <w:pPr>
              <w:rPr>
                <w:rFonts w:ascii="Times New Roman" w:hAnsi="Times New Roman" w:cs="Times New Roman"/>
                <w:sz w:val="20"/>
                <w:szCs w:val="20"/>
              </w:rPr>
            </w:pPr>
          </w:p>
        </w:tc>
      </w:tr>
      <w:tr w:rsidR="00306E0C" w:rsidRPr="006E6B17" w14:paraId="507A43BD" w14:textId="77777777" w:rsidTr="00031031">
        <w:tc>
          <w:tcPr>
            <w:tcW w:w="7105" w:type="dxa"/>
          </w:tcPr>
          <w:p w14:paraId="4666DE48" w14:textId="77777777" w:rsidR="00306E0C" w:rsidRPr="006E6B17" w:rsidRDefault="00306E0C" w:rsidP="00031031">
            <w:pPr>
              <w:rPr>
                <w:rFonts w:ascii="Times New Roman" w:hAnsi="Times New Roman" w:cs="Times New Roman"/>
                <w:sz w:val="20"/>
                <w:szCs w:val="20"/>
              </w:rPr>
            </w:pPr>
            <w:r w:rsidRPr="006E6B17">
              <w:rPr>
                <w:rFonts w:ascii="Times New Roman" w:hAnsi="Times New Roman" w:cs="Times New Roman"/>
                <w:i/>
                <w:iCs/>
                <w:sz w:val="20"/>
                <w:szCs w:val="20"/>
              </w:rPr>
              <w:t xml:space="preserve">Malacoctenus </w:t>
            </w:r>
            <w:r>
              <w:rPr>
                <w:rFonts w:ascii="Times New Roman" w:hAnsi="Times New Roman" w:cs="Times New Roman"/>
                <w:i/>
                <w:iCs/>
                <w:sz w:val="20"/>
                <w:szCs w:val="20"/>
              </w:rPr>
              <w:t>tetranemus</w:t>
            </w:r>
            <w:r>
              <w:rPr>
                <w:rFonts w:ascii="Times New Roman" w:hAnsi="Times New Roman" w:cs="Times New Roman"/>
                <w:sz w:val="20"/>
                <w:szCs w:val="20"/>
              </w:rPr>
              <w:t xml:space="preserve"> </w:t>
            </w:r>
            <w:r w:rsidRPr="006E6B17">
              <w:rPr>
                <w:rFonts w:ascii="Times New Roman" w:hAnsi="Times New Roman" w:cs="Times New Roman"/>
                <w:i/>
                <w:iCs/>
                <w:sz w:val="20"/>
                <w:szCs w:val="20"/>
              </w:rPr>
              <w:t>vs</w:t>
            </w:r>
            <w:r>
              <w:rPr>
                <w:rFonts w:ascii="Times New Roman" w:hAnsi="Times New Roman" w:cs="Times New Roman"/>
                <w:sz w:val="20"/>
                <w:szCs w:val="20"/>
              </w:rPr>
              <w:t xml:space="preserve"> </w:t>
            </w:r>
            <w:r w:rsidRPr="00BC36EB">
              <w:rPr>
                <w:rFonts w:ascii="Times New Roman" w:hAnsi="Times New Roman" w:cs="Times New Roman"/>
                <w:i/>
                <w:iCs/>
                <w:sz w:val="20"/>
                <w:szCs w:val="20"/>
              </w:rPr>
              <w:t>M. aff. tetranemus</w:t>
            </w:r>
            <w:r>
              <w:rPr>
                <w:rFonts w:ascii="Times New Roman" w:hAnsi="Times New Roman" w:cs="Times New Roman"/>
                <w:sz w:val="20"/>
                <w:szCs w:val="20"/>
              </w:rPr>
              <w:t xml:space="preserve"> (ECC populations)</w:t>
            </w:r>
          </w:p>
        </w:tc>
        <w:tc>
          <w:tcPr>
            <w:tcW w:w="2245" w:type="dxa"/>
          </w:tcPr>
          <w:p w14:paraId="736A4F8A" w14:textId="77777777" w:rsidR="00306E0C" w:rsidRPr="006E6B17" w:rsidRDefault="00306E0C" w:rsidP="00031031">
            <w:pPr>
              <w:rPr>
                <w:rFonts w:ascii="Times New Roman" w:hAnsi="Times New Roman" w:cs="Times New Roman"/>
                <w:sz w:val="20"/>
                <w:szCs w:val="20"/>
              </w:rPr>
            </w:pPr>
            <w:r>
              <w:rPr>
                <w:rFonts w:ascii="Times New Roman" w:hAnsi="Times New Roman" w:cs="Times New Roman"/>
                <w:sz w:val="20"/>
                <w:szCs w:val="20"/>
              </w:rPr>
              <w:t>0.06</w:t>
            </w:r>
          </w:p>
        </w:tc>
      </w:tr>
      <w:tr w:rsidR="00306E0C" w:rsidRPr="006E6B17" w14:paraId="2FBE9257" w14:textId="77777777" w:rsidTr="00031031">
        <w:tc>
          <w:tcPr>
            <w:tcW w:w="7105" w:type="dxa"/>
          </w:tcPr>
          <w:p w14:paraId="7D8584FF" w14:textId="77777777" w:rsidR="00306E0C" w:rsidRPr="006E6B17" w:rsidRDefault="00306E0C" w:rsidP="00031031">
            <w:pPr>
              <w:rPr>
                <w:rFonts w:ascii="Times New Roman" w:hAnsi="Times New Roman" w:cs="Times New Roman"/>
                <w:sz w:val="20"/>
                <w:szCs w:val="20"/>
              </w:rPr>
            </w:pPr>
            <w:r w:rsidRPr="006E6B17">
              <w:rPr>
                <w:rFonts w:ascii="Times New Roman" w:hAnsi="Times New Roman" w:cs="Times New Roman"/>
                <w:i/>
                <w:iCs/>
                <w:sz w:val="20"/>
                <w:szCs w:val="20"/>
              </w:rPr>
              <w:t xml:space="preserve">Malacoctenus </w:t>
            </w:r>
            <w:r>
              <w:rPr>
                <w:rFonts w:ascii="Times New Roman" w:hAnsi="Times New Roman" w:cs="Times New Roman"/>
                <w:i/>
                <w:iCs/>
                <w:sz w:val="20"/>
                <w:szCs w:val="20"/>
              </w:rPr>
              <w:t>zacae</w:t>
            </w:r>
            <w:r>
              <w:rPr>
                <w:rFonts w:ascii="Times New Roman" w:hAnsi="Times New Roman" w:cs="Times New Roman"/>
                <w:sz w:val="20"/>
                <w:szCs w:val="20"/>
              </w:rPr>
              <w:t xml:space="preserve"> northern populations </w:t>
            </w:r>
            <w:r w:rsidRPr="006E6B17">
              <w:rPr>
                <w:rFonts w:ascii="Times New Roman" w:hAnsi="Times New Roman" w:cs="Times New Roman"/>
                <w:i/>
                <w:iCs/>
                <w:sz w:val="20"/>
                <w:szCs w:val="20"/>
              </w:rPr>
              <w:t>vs</w:t>
            </w:r>
            <w:r>
              <w:rPr>
                <w:rFonts w:ascii="Times New Roman" w:hAnsi="Times New Roman" w:cs="Times New Roman"/>
                <w:sz w:val="20"/>
                <w:szCs w:val="20"/>
              </w:rPr>
              <w:t xml:space="preserve"> southern populations (SB)</w:t>
            </w:r>
          </w:p>
        </w:tc>
        <w:tc>
          <w:tcPr>
            <w:tcW w:w="2245" w:type="dxa"/>
          </w:tcPr>
          <w:p w14:paraId="064C1497" w14:textId="77777777" w:rsidR="00306E0C" w:rsidRPr="006E6B17" w:rsidRDefault="00306E0C" w:rsidP="00031031">
            <w:pPr>
              <w:rPr>
                <w:rFonts w:ascii="Times New Roman" w:hAnsi="Times New Roman" w:cs="Times New Roman"/>
                <w:sz w:val="20"/>
                <w:szCs w:val="20"/>
              </w:rPr>
            </w:pPr>
            <w:r>
              <w:rPr>
                <w:rFonts w:ascii="Times New Roman" w:hAnsi="Times New Roman" w:cs="Times New Roman"/>
                <w:sz w:val="20"/>
                <w:szCs w:val="20"/>
              </w:rPr>
              <w:t>0.14</w:t>
            </w:r>
          </w:p>
        </w:tc>
      </w:tr>
      <w:tr w:rsidR="00306E0C" w:rsidRPr="006E6B17" w14:paraId="2E1E8D0A" w14:textId="77777777" w:rsidTr="00031031">
        <w:tc>
          <w:tcPr>
            <w:tcW w:w="7105" w:type="dxa"/>
          </w:tcPr>
          <w:p w14:paraId="3D00D0E6" w14:textId="77777777" w:rsidR="00306E0C" w:rsidRPr="006E6B17" w:rsidRDefault="00306E0C" w:rsidP="00031031">
            <w:pPr>
              <w:rPr>
                <w:rFonts w:ascii="Times New Roman" w:hAnsi="Times New Roman" w:cs="Times New Roman"/>
                <w:sz w:val="20"/>
                <w:szCs w:val="20"/>
              </w:rPr>
            </w:pPr>
            <w:r w:rsidRPr="006E6B17">
              <w:rPr>
                <w:rFonts w:ascii="Times New Roman" w:hAnsi="Times New Roman" w:cs="Times New Roman"/>
                <w:i/>
                <w:iCs/>
                <w:sz w:val="20"/>
                <w:szCs w:val="20"/>
              </w:rPr>
              <w:t xml:space="preserve">Malacoctenus </w:t>
            </w:r>
            <w:r>
              <w:rPr>
                <w:rFonts w:ascii="Times New Roman" w:hAnsi="Times New Roman" w:cs="Times New Roman"/>
                <w:i/>
                <w:iCs/>
                <w:sz w:val="20"/>
                <w:szCs w:val="20"/>
              </w:rPr>
              <w:t>zonifer</w:t>
            </w:r>
            <w:r>
              <w:rPr>
                <w:rFonts w:ascii="Times New Roman" w:hAnsi="Times New Roman" w:cs="Times New Roman"/>
                <w:sz w:val="20"/>
                <w:szCs w:val="20"/>
              </w:rPr>
              <w:t xml:space="preserve"> northern populations </w:t>
            </w:r>
            <w:r w:rsidRPr="006E6B17">
              <w:rPr>
                <w:rFonts w:ascii="Times New Roman" w:hAnsi="Times New Roman" w:cs="Times New Roman"/>
                <w:i/>
                <w:iCs/>
                <w:sz w:val="20"/>
                <w:szCs w:val="20"/>
              </w:rPr>
              <w:t>vs</w:t>
            </w:r>
            <w:r>
              <w:rPr>
                <w:rFonts w:ascii="Times New Roman" w:hAnsi="Times New Roman" w:cs="Times New Roman"/>
                <w:sz w:val="20"/>
                <w:szCs w:val="20"/>
              </w:rPr>
              <w:t xml:space="preserve"> southern populations (PNB2)</w:t>
            </w:r>
          </w:p>
        </w:tc>
        <w:tc>
          <w:tcPr>
            <w:tcW w:w="2245" w:type="dxa"/>
          </w:tcPr>
          <w:p w14:paraId="635AD15B" w14:textId="77777777" w:rsidR="00306E0C" w:rsidRPr="006E6B17" w:rsidRDefault="00306E0C" w:rsidP="00031031">
            <w:pPr>
              <w:rPr>
                <w:rFonts w:ascii="Times New Roman" w:hAnsi="Times New Roman" w:cs="Times New Roman"/>
                <w:sz w:val="20"/>
                <w:szCs w:val="20"/>
              </w:rPr>
            </w:pPr>
            <w:r>
              <w:rPr>
                <w:rFonts w:ascii="Times New Roman" w:hAnsi="Times New Roman" w:cs="Times New Roman"/>
                <w:sz w:val="20"/>
                <w:szCs w:val="20"/>
              </w:rPr>
              <w:t>0.10</w:t>
            </w:r>
          </w:p>
        </w:tc>
      </w:tr>
      <w:tr w:rsidR="00306E0C" w:rsidRPr="006E6B17" w14:paraId="1AE1EC31" w14:textId="77777777" w:rsidTr="00031031">
        <w:tc>
          <w:tcPr>
            <w:tcW w:w="7105" w:type="dxa"/>
          </w:tcPr>
          <w:p w14:paraId="65159192" w14:textId="77777777" w:rsidR="00306E0C" w:rsidRPr="006E6B17" w:rsidRDefault="00306E0C" w:rsidP="00031031">
            <w:pPr>
              <w:rPr>
                <w:rFonts w:ascii="Times New Roman" w:hAnsi="Times New Roman" w:cs="Times New Roman"/>
                <w:sz w:val="20"/>
                <w:szCs w:val="20"/>
              </w:rPr>
            </w:pPr>
            <w:r w:rsidRPr="006E6B17">
              <w:rPr>
                <w:rFonts w:ascii="Times New Roman" w:hAnsi="Times New Roman" w:cs="Times New Roman"/>
                <w:i/>
                <w:iCs/>
                <w:sz w:val="20"/>
                <w:szCs w:val="20"/>
              </w:rPr>
              <w:t xml:space="preserve">Malacoctenus </w:t>
            </w:r>
            <w:r>
              <w:rPr>
                <w:rFonts w:ascii="Times New Roman" w:hAnsi="Times New Roman" w:cs="Times New Roman"/>
                <w:i/>
                <w:iCs/>
                <w:sz w:val="20"/>
                <w:szCs w:val="20"/>
              </w:rPr>
              <w:t>aurolineatus</w:t>
            </w:r>
            <w:r>
              <w:rPr>
                <w:rFonts w:ascii="Times New Roman" w:hAnsi="Times New Roman" w:cs="Times New Roman"/>
                <w:sz w:val="20"/>
                <w:szCs w:val="20"/>
              </w:rPr>
              <w:t xml:space="preserve"> </w:t>
            </w:r>
            <w:r w:rsidRPr="006E6B17">
              <w:rPr>
                <w:rFonts w:ascii="Times New Roman" w:hAnsi="Times New Roman" w:cs="Times New Roman"/>
                <w:i/>
                <w:iCs/>
                <w:sz w:val="20"/>
                <w:szCs w:val="20"/>
              </w:rPr>
              <w:t>vs</w:t>
            </w:r>
            <w:r>
              <w:rPr>
                <w:rFonts w:ascii="Times New Roman" w:hAnsi="Times New Roman" w:cs="Times New Roman"/>
                <w:sz w:val="20"/>
                <w:szCs w:val="20"/>
              </w:rPr>
              <w:t xml:space="preserve"> </w:t>
            </w:r>
            <w:r w:rsidRPr="008942AF">
              <w:rPr>
                <w:rFonts w:ascii="Times New Roman" w:hAnsi="Times New Roman" w:cs="Times New Roman"/>
                <w:i/>
                <w:iCs/>
                <w:sz w:val="20"/>
                <w:szCs w:val="20"/>
              </w:rPr>
              <w:t>M. aurolineatus</w:t>
            </w:r>
            <w:r>
              <w:rPr>
                <w:rFonts w:ascii="Times New Roman" w:hAnsi="Times New Roman" w:cs="Times New Roman"/>
                <w:sz w:val="20"/>
                <w:szCs w:val="20"/>
              </w:rPr>
              <w:t xml:space="preserve"> from Curacao (PNB9)</w:t>
            </w:r>
          </w:p>
        </w:tc>
        <w:tc>
          <w:tcPr>
            <w:tcW w:w="2245" w:type="dxa"/>
          </w:tcPr>
          <w:p w14:paraId="077E7F2F" w14:textId="77777777" w:rsidR="00306E0C" w:rsidRPr="006E6B17" w:rsidRDefault="00306E0C" w:rsidP="00031031">
            <w:pPr>
              <w:rPr>
                <w:rFonts w:ascii="Times New Roman" w:hAnsi="Times New Roman" w:cs="Times New Roman"/>
                <w:sz w:val="20"/>
                <w:szCs w:val="20"/>
              </w:rPr>
            </w:pPr>
            <w:r>
              <w:rPr>
                <w:rFonts w:ascii="Times New Roman" w:hAnsi="Times New Roman" w:cs="Times New Roman"/>
                <w:sz w:val="20"/>
                <w:szCs w:val="20"/>
              </w:rPr>
              <w:t>0.09</w:t>
            </w:r>
          </w:p>
        </w:tc>
      </w:tr>
      <w:tr w:rsidR="00306E0C" w:rsidRPr="006E6B17" w14:paraId="2C584826" w14:textId="77777777" w:rsidTr="00031031">
        <w:tc>
          <w:tcPr>
            <w:tcW w:w="7105" w:type="dxa"/>
          </w:tcPr>
          <w:p w14:paraId="682EDD87" w14:textId="77777777" w:rsidR="00306E0C" w:rsidRPr="006E6B17" w:rsidRDefault="00306E0C" w:rsidP="00031031">
            <w:pPr>
              <w:rPr>
                <w:rFonts w:ascii="Times New Roman" w:hAnsi="Times New Roman" w:cs="Times New Roman"/>
                <w:i/>
                <w:iCs/>
                <w:sz w:val="20"/>
                <w:szCs w:val="20"/>
              </w:rPr>
            </w:pPr>
            <w:r w:rsidRPr="006E6B17">
              <w:rPr>
                <w:rFonts w:ascii="Times New Roman" w:hAnsi="Times New Roman" w:cs="Times New Roman"/>
                <w:i/>
                <w:iCs/>
                <w:sz w:val="20"/>
                <w:szCs w:val="20"/>
              </w:rPr>
              <w:t>Malacoctenus gilli</w:t>
            </w:r>
            <w:r>
              <w:rPr>
                <w:rFonts w:ascii="Times New Roman" w:hAnsi="Times New Roman" w:cs="Times New Roman"/>
                <w:sz w:val="20"/>
                <w:szCs w:val="20"/>
              </w:rPr>
              <w:t xml:space="preserve"> west PNB11 </w:t>
            </w:r>
            <w:r w:rsidRPr="006E6B17">
              <w:rPr>
                <w:rFonts w:ascii="Times New Roman" w:hAnsi="Times New Roman" w:cs="Times New Roman"/>
                <w:i/>
                <w:iCs/>
                <w:sz w:val="20"/>
                <w:szCs w:val="20"/>
              </w:rPr>
              <w:t>vs</w:t>
            </w:r>
            <w:r>
              <w:rPr>
                <w:rFonts w:ascii="Times New Roman" w:hAnsi="Times New Roman" w:cs="Times New Roman"/>
                <w:sz w:val="20"/>
                <w:szCs w:val="20"/>
              </w:rPr>
              <w:t xml:space="preserve"> east PNB11 (TRT-DOM populations)</w:t>
            </w:r>
          </w:p>
        </w:tc>
        <w:tc>
          <w:tcPr>
            <w:tcW w:w="2245" w:type="dxa"/>
          </w:tcPr>
          <w:p w14:paraId="68F57A0E" w14:textId="77777777" w:rsidR="00306E0C" w:rsidRDefault="00306E0C" w:rsidP="00031031">
            <w:pPr>
              <w:rPr>
                <w:rFonts w:ascii="Times New Roman" w:hAnsi="Times New Roman" w:cs="Times New Roman"/>
                <w:sz w:val="20"/>
                <w:szCs w:val="20"/>
              </w:rPr>
            </w:pPr>
            <w:r>
              <w:rPr>
                <w:rFonts w:ascii="Times New Roman" w:hAnsi="Times New Roman" w:cs="Times New Roman"/>
                <w:sz w:val="20"/>
                <w:szCs w:val="20"/>
              </w:rPr>
              <w:t>0.19</w:t>
            </w:r>
          </w:p>
        </w:tc>
      </w:tr>
    </w:tbl>
    <w:p w14:paraId="51D4A435" w14:textId="77777777" w:rsidR="00306E0C" w:rsidRPr="006E6B17" w:rsidRDefault="00306E0C" w:rsidP="00306E0C">
      <w:pPr>
        <w:rPr>
          <w:rFonts w:ascii="Times New Roman" w:hAnsi="Times New Roman" w:cs="Times New Roman"/>
        </w:rPr>
      </w:pPr>
    </w:p>
    <w:p w14:paraId="5CCABD39" w14:textId="77777777" w:rsidR="00007233" w:rsidRDefault="00007233" w:rsidP="005012C6">
      <w:pPr>
        <w:jc w:val="center"/>
        <w:rPr>
          <w:rFonts w:ascii="Times New Roman" w:hAnsi="Times New Roman" w:cs="Times New Roman"/>
          <w:sz w:val="24"/>
          <w:szCs w:val="24"/>
        </w:rPr>
      </w:pPr>
    </w:p>
    <w:p w14:paraId="2F37DECD" w14:textId="77777777" w:rsidR="00007233" w:rsidRDefault="00007233" w:rsidP="005012C6">
      <w:pPr>
        <w:jc w:val="center"/>
        <w:rPr>
          <w:rFonts w:ascii="Times New Roman" w:hAnsi="Times New Roman" w:cs="Times New Roman"/>
          <w:sz w:val="24"/>
          <w:szCs w:val="24"/>
        </w:rPr>
      </w:pPr>
    </w:p>
    <w:p w14:paraId="04B76726" w14:textId="77777777" w:rsidR="003C6717" w:rsidRDefault="003C6717" w:rsidP="005012C6">
      <w:pPr>
        <w:jc w:val="center"/>
        <w:rPr>
          <w:rFonts w:ascii="Times New Roman" w:hAnsi="Times New Roman" w:cs="Times New Roman"/>
          <w:sz w:val="24"/>
          <w:szCs w:val="24"/>
        </w:rPr>
      </w:pPr>
    </w:p>
    <w:p w14:paraId="1F6273B2" w14:textId="77777777" w:rsidR="003C6717" w:rsidRDefault="003C6717" w:rsidP="003C6717">
      <w:pPr>
        <w:rPr>
          <w:rFonts w:ascii="Times New Roman" w:hAnsi="Times New Roman" w:cs="Times New Roman"/>
          <w:sz w:val="24"/>
          <w:szCs w:val="24"/>
        </w:rPr>
      </w:pPr>
    </w:p>
    <w:p w14:paraId="649DF2B8" w14:textId="663A0A6A" w:rsidR="003F051A" w:rsidRDefault="003C6717" w:rsidP="003F051A">
      <w:pPr>
        <w:jc w:val="both"/>
        <w:rPr>
          <w:rFonts w:ascii="Times New Roman" w:hAnsi="Times New Roman" w:cs="Times New Roman"/>
        </w:rPr>
      </w:pPr>
      <w:r w:rsidRPr="003C6717">
        <w:rPr>
          <w:rFonts w:ascii="Times New Roman" w:hAnsi="Times New Roman" w:cs="Times New Roman"/>
          <w:b/>
          <w:bCs/>
          <w:sz w:val="28"/>
          <w:szCs w:val="28"/>
        </w:rPr>
        <w:lastRenderedPageBreak/>
        <w:t>References</w:t>
      </w:r>
    </w:p>
    <w:p w14:paraId="1A7568BE"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6A79C1">
        <w:rPr>
          <w:rFonts w:ascii="Times New Roman" w:hAnsi="Times New Roman" w:cs="Times New Roman"/>
          <w:noProof/>
          <w:sz w:val="24"/>
        </w:rPr>
        <w:t xml:space="preserve">1. </w:t>
      </w:r>
      <w:r w:rsidRPr="006A79C1">
        <w:rPr>
          <w:rFonts w:ascii="Times New Roman" w:hAnsi="Times New Roman" w:cs="Times New Roman"/>
          <w:noProof/>
          <w:sz w:val="24"/>
        </w:rPr>
        <w:tab/>
        <w:t xml:space="preserve">H.-C. Lin, P. A. Hastings, Phylogeny and biogeography of a shallow water fish clade (Teleostei: Blenniiformes). </w:t>
      </w:r>
      <w:r w:rsidRPr="006A79C1">
        <w:rPr>
          <w:rFonts w:ascii="Times New Roman" w:hAnsi="Times New Roman" w:cs="Times New Roman"/>
          <w:i/>
          <w:iCs/>
          <w:noProof/>
          <w:sz w:val="24"/>
        </w:rPr>
        <w:t>BMC Evol.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13</w:t>
      </w:r>
      <w:r w:rsidRPr="006A79C1">
        <w:rPr>
          <w:rFonts w:ascii="Times New Roman" w:hAnsi="Times New Roman" w:cs="Times New Roman"/>
          <w:noProof/>
          <w:sz w:val="24"/>
        </w:rPr>
        <w:t>, 210 (2013).</w:t>
      </w:r>
    </w:p>
    <w:p w14:paraId="25400A15"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 </w:t>
      </w:r>
      <w:r w:rsidRPr="006A79C1">
        <w:rPr>
          <w:rFonts w:ascii="Times New Roman" w:hAnsi="Times New Roman" w:cs="Times New Roman"/>
          <w:noProof/>
          <w:sz w:val="24"/>
        </w:rPr>
        <w:tab/>
        <w:t>V. G. Springer, “Systematics and Zoogeography of the Clinid Fishes of the Subtribe Labrisomini Hubbs,”  University of Texas. (1959).</w:t>
      </w:r>
    </w:p>
    <w:p w14:paraId="24CF7EEE"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 </w:t>
      </w:r>
      <w:r w:rsidRPr="006A79C1">
        <w:rPr>
          <w:rFonts w:ascii="Times New Roman" w:hAnsi="Times New Roman" w:cs="Times New Roman"/>
          <w:noProof/>
          <w:sz w:val="24"/>
        </w:rPr>
        <w:tab/>
        <w:t>M. D. López, M. U. Alcocer, P. D. Jaimes, Phylogeography and historical demography of the Pacific Sierra mackerel ( Scomberomorus sierra ) in the Eastern Pacific. 1–12 (2010).</w:t>
      </w:r>
    </w:p>
    <w:p w14:paraId="474525E2"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 </w:t>
      </w:r>
      <w:r w:rsidRPr="006A79C1">
        <w:rPr>
          <w:rFonts w:ascii="Times New Roman" w:hAnsi="Times New Roman" w:cs="Times New Roman"/>
          <w:noProof/>
          <w:sz w:val="24"/>
        </w:rPr>
        <w:tab/>
        <w:t xml:space="preserve">E. R. Sandoval-Huerta,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The evolutionary history of the goby Elacatinus puncticulatus in the tropical eastern pacific: Effects of habitat discontinuities and local environmental variability. </w:t>
      </w:r>
      <w:r w:rsidRPr="006A79C1">
        <w:rPr>
          <w:rFonts w:ascii="Times New Roman" w:hAnsi="Times New Roman" w:cs="Times New Roman"/>
          <w:i/>
          <w:iCs/>
          <w:noProof/>
          <w:sz w:val="24"/>
        </w:rPr>
        <w:t>Mol. Phylogenet.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130</w:t>
      </w:r>
      <w:r w:rsidRPr="006A79C1">
        <w:rPr>
          <w:rFonts w:ascii="Times New Roman" w:hAnsi="Times New Roman" w:cs="Times New Roman"/>
          <w:noProof/>
          <w:sz w:val="24"/>
        </w:rPr>
        <w:t>, 269–285 (2019).</w:t>
      </w:r>
    </w:p>
    <w:p w14:paraId="42CB3C7F"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 </w:t>
      </w:r>
      <w:r w:rsidRPr="006A79C1">
        <w:rPr>
          <w:rFonts w:ascii="Times New Roman" w:hAnsi="Times New Roman" w:cs="Times New Roman"/>
          <w:noProof/>
          <w:sz w:val="24"/>
        </w:rPr>
        <w:tab/>
        <w:t>M. Biol, L. A. H. M. Frey, P. G. E. Pfeiler, T. A. Markow, Geographical subdivision , demographic history and gene X ow in two sympatric species of intertidal snails , Nerita scabricosta and Nerita funiculata , from the tropical eastern Paci W c (2007) https:/doi.org/10.1007/s00227-007-0620-5.</w:t>
      </w:r>
    </w:p>
    <w:p w14:paraId="09DCB579"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6. </w:t>
      </w:r>
      <w:r w:rsidRPr="006A79C1">
        <w:rPr>
          <w:rFonts w:ascii="Times New Roman" w:hAnsi="Times New Roman" w:cs="Times New Roman"/>
          <w:noProof/>
          <w:sz w:val="24"/>
        </w:rPr>
        <w:tab/>
        <w:t xml:space="preserve">M. S. Taylor, M. E. Hellberg, Genetic evidence for local retention of pelagic larvae in a Caribbean reef fish. </w:t>
      </w:r>
      <w:r w:rsidRPr="006A79C1">
        <w:rPr>
          <w:rFonts w:ascii="Times New Roman" w:hAnsi="Times New Roman" w:cs="Times New Roman"/>
          <w:i/>
          <w:iCs/>
          <w:noProof/>
          <w:sz w:val="24"/>
        </w:rPr>
        <w:t>Science (80-. ).</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299</w:t>
      </w:r>
      <w:r w:rsidRPr="006A79C1">
        <w:rPr>
          <w:rFonts w:ascii="Times New Roman" w:hAnsi="Times New Roman" w:cs="Times New Roman"/>
          <w:noProof/>
          <w:sz w:val="24"/>
        </w:rPr>
        <w:t>, 107–109 (2003).</w:t>
      </w:r>
    </w:p>
    <w:p w14:paraId="732A948F"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7. </w:t>
      </w:r>
      <w:r w:rsidRPr="006A79C1">
        <w:rPr>
          <w:rFonts w:ascii="Times New Roman" w:hAnsi="Times New Roman" w:cs="Times New Roman"/>
          <w:noProof/>
          <w:sz w:val="24"/>
        </w:rPr>
        <w:tab/>
        <w:t xml:space="preserve">M. S. &amp; H. M. E. Taylor, Comparative phylogeography in a genus of coral reef fishes : biogeographic and genetic concordance in the Caribbean. </w:t>
      </w:r>
      <w:r w:rsidRPr="006A79C1">
        <w:rPr>
          <w:rFonts w:ascii="Times New Roman" w:hAnsi="Times New Roman" w:cs="Times New Roman"/>
          <w:i/>
          <w:iCs/>
          <w:noProof/>
          <w:sz w:val="24"/>
        </w:rPr>
        <w:t>Mol. Ecol.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15</w:t>
      </w:r>
      <w:r w:rsidRPr="006A79C1">
        <w:rPr>
          <w:rFonts w:ascii="Times New Roman" w:hAnsi="Times New Roman" w:cs="Times New Roman"/>
          <w:noProof/>
          <w:sz w:val="24"/>
        </w:rPr>
        <w:t>, 695–707 (2006).</w:t>
      </w:r>
    </w:p>
    <w:p w14:paraId="4392153B"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 </w:t>
      </w:r>
      <w:r w:rsidRPr="006A79C1">
        <w:rPr>
          <w:rFonts w:ascii="Times New Roman" w:hAnsi="Times New Roman" w:cs="Times New Roman"/>
          <w:noProof/>
          <w:sz w:val="24"/>
        </w:rPr>
        <w:tab/>
        <w:t xml:space="preserve">R. Betancur-r,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Reconstructing the lionfish invasion : insights into Greater Caribbean biogeography. </w:t>
      </w:r>
      <w:r w:rsidRPr="006A79C1">
        <w:rPr>
          <w:rFonts w:ascii="Times New Roman" w:hAnsi="Times New Roman" w:cs="Times New Roman"/>
          <w:i/>
          <w:iCs/>
          <w:noProof/>
          <w:sz w:val="24"/>
        </w:rPr>
        <w:t>J. Biogeogr.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38</w:t>
      </w:r>
      <w:r w:rsidRPr="006A79C1">
        <w:rPr>
          <w:rFonts w:ascii="Times New Roman" w:hAnsi="Times New Roman" w:cs="Times New Roman"/>
          <w:noProof/>
          <w:sz w:val="24"/>
        </w:rPr>
        <w:t>, 1281–1293 (2011).</w:t>
      </w:r>
    </w:p>
    <w:p w14:paraId="564545D5"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9. </w:t>
      </w:r>
      <w:r w:rsidRPr="006A79C1">
        <w:rPr>
          <w:rFonts w:ascii="Times New Roman" w:hAnsi="Times New Roman" w:cs="Times New Roman"/>
          <w:noProof/>
          <w:sz w:val="24"/>
        </w:rPr>
        <w:tab/>
        <w:t xml:space="preserve">J. S. S. Butterfield,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Wide-ranging phylogeographic structure of invasive red lionfish in the Western Atlantic and Greater Caribbean. </w:t>
      </w:r>
      <w:r w:rsidRPr="006A79C1">
        <w:rPr>
          <w:rFonts w:ascii="Times New Roman" w:hAnsi="Times New Roman" w:cs="Times New Roman"/>
          <w:i/>
          <w:iCs/>
          <w:noProof/>
          <w:sz w:val="24"/>
        </w:rPr>
        <w:t>Mar.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162</w:t>
      </w:r>
      <w:r w:rsidRPr="006A79C1">
        <w:rPr>
          <w:rFonts w:ascii="Times New Roman" w:hAnsi="Times New Roman" w:cs="Times New Roman"/>
          <w:noProof/>
          <w:sz w:val="24"/>
        </w:rPr>
        <w:t>, 773–781 (2015).</w:t>
      </w:r>
    </w:p>
    <w:p w14:paraId="3A94EE92"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10. </w:t>
      </w:r>
      <w:r w:rsidRPr="006A79C1">
        <w:rPr>
          <w:rFonts w:ascii="Times New Roman" w:hAnsi="Times New Roman" w:cs="Times New Roman"/>
          <w:noProof/>
          <w:sz w:val="24"/>
        </w:rPr>
        <w:tab/>
        <w:t xml:space="preserve">J. P. Rippe,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Population structure and connectivity of the mountainous star coral, Orbicella faveolata, throughout the wider Caribbean region. </w:t>
      </w:r>
      <w:r w:rsidRPr="006A79C1">
        <w:rPr>
          <w:rFonts w:ascii="Times New Roman" w:hAnsi="Times New Roman" w:cs="Times New Roman"/>
          <w:i/>
          <w:iCs/>
          <w:noProof/>
          <w:sz w:val="24"/>
        </w:rPr>
        <w:t>Ecol.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7</w:t>
      </w:r>
      <w:r w:rsidRPr="006A79C1">
        <w:rPr>
          <w:rFonts w:ascii="Times New Roman" w:hAnsi="Times New Roman" w:cs="Times New Roman"/>
          <w:noProof/>
          <w:sz w:val="24"/>
        </w:rPr>
        <w:t>, 9234–9246 (2017).</w:t>
      </w:r>
    </w:p>
    <w:p w14:paraId="7E9129FB"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11. </w:t>
      </w:r>
      <w:r w:rsidRPr="006A79C1">
        <w:rPr>
          <w:rFonts w:ascii="Times New Roman" w:hAnsi="Times New Roman" w:cs="Times New Roman"/>
          <w:noProof/>
          <w:sz w:val="24"/>
        </w:rPr>
        <w:tab/>
        <w:t xml:space="preserve">D. C. Ballesteros-Contreras, L. M. Barrios, R. Preziosi, Population structure of the shallow coral Madracis auretenra in the Caribbean Sea. </w:t>
      </w:r>
      <w:r w:rsidRPr="006A79C1">
        <w:rPr>
          <w:rFonts w:ascii="Times New Roman" w:hAnsi="Times New Roman" w:cs="Times New Roman"/>
          <w:i/>
          <w:iCs/>
          <w:noProof/>
          <w:sz w:val="24"/>
        </w:rPr>
        <w:t>Front. Mar. Sci.</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9</w:t>
      </w:r>
      <w:r w:rsidRPr="006A79C1">
        <w:rPr>
          <w:rFonts w:ascii="Times New Roman" w:hAnsi="Times New Roman" w:cs="Times New Roman"/>
          <w:noProof/>
          <w:sz w:val="24"/>
        </w:rPr>
        <w:t>, 1–15 (2022).</w:t>
      </w:r>
    </w:p>
    <w:p w14:paraId="2204854F"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12. </w:t>
      </w:r>
      <w:r w:rsidRPr="006A79C1">
        <w:rPr>
          <w:rFonts w:ascii="Times New Roman" w:hAnsi="Times New Roman" w:cs="Times New Roman"/>
          <w:noProof/>
          <w:sz w:val="24"/>
        </w:rPr>
        <w:tab/>
        <w:t xml:space="preserve">R. Betancur-R, P. Arturo Acero, H. Duque-Caro, S. R. Santos, Phylogenetic and morphologic analyses of a coastal fish reveals a marine biogeographic break of terrestrial origin in the Southern Caribbean. </w:t>
      </w:r>
      <w:r w:rsidRPr="006A79C1">
        <w:rPr>
          <w:rFonts w:ascii="Times New Roman" w:hAnsi="Times New Roman" w:cs="Times New Roman"/>
          <w:i/>
          <w:iCs/>
          <w:noProof/>
          <w:sz w:val="24"/>
        </w:rPr>
        <w:t>PLoS One</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5</w:t>
      </w:r>
      <w:r w:rsidRPr="006A79C1">
        <w:rPr>
          <w:rFonts w:ascii="Times New Roman" w:hAnsi="Times New Roman" w:cs="Times New Roman"/>
          <w:noProof/>
          <w:sz w:val="24"/>
        </w:rPr>
        <w:t>, 1–10 (2010).</w:t>
      </w:r>
    </w:p>
    <w:p w14:paraId="227AFCBF"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13. </w:t>
      </w:r>
      <w:r w:rsidRPr="006A79C1">
        <w:rPr>
          <w:rFonts w:ascii="Times New Roman" w:hAnsi="Times New Roman" w:cs="Times New Roman"/>
          <w:noProof/>
          <w:sz w:val="24"/>
        </w:rPr>
        <w:tab/>
        <w:t xml:space="preserve">M. S. Taylor, M. E. Hellberg, Comparative phylogeography in a genus of coral reef fishes: Biogeographic and genetic concordance in the Caribbean. </w:t>
      </w:r>
      <w:r w:rsidRPr="006A79C1">
        <w:rPr>
          <w:rFonts w:ascii="Times New Roman" w:hAnsi="Times New Roman" w:cs="Times New Roman"/>
          <w:i/>
          <w:iCs/>
          <w:noProof/>
          <w:sz w:val="24"/>
        </w:rPr>
        <w:t>Mol. Ecol.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15</w:t>
      </w:r>
      <w:r w:rsidRPr="006A79C1">
        <w:rPr>
          <w:rFonts w:ascii="Times New Roman" w:hAnsi="Times New Roman" w:cs="Times New Roman"/>
          <w:noProof/>
          <w:sz w:val="24"/>
        </w:rPr>
        <w:t>, 695–707 (2006).</w:t>
      </w:r>
    </w:p>
    <w:p w14:paraId="633EE514"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14. </w:t>
      </w:r>
      <w:r w:rsidRPr="006A79C1">
        <w:rPr>
          <w:rFonts w:ascii="Times New Roman" w:hAnsi="Times New Roman" w:cs="Times New Roman"/>
          <w:noProof/>
          <w:sz w:val="24"/>
        </w:rPr>
        <w:tab/>
        <w:t xml:space="preserve">I. B. Baums, M. W. Miller, M. E. Hellberg, Regionally isolated populations of an imperiled Caribbean coral, Acropora palmata. </w:t>
      </w:r>
      <w:r w:rsidRPr="006A79C1">
        <w:rPr>
          <w:rFonts w:ascii="Times New Roman" w:hAnsi="Times New Roman" w:cs="Times New Roman"/>
          <w:i/>
          <w:iCs/>
          <w:noProof/>
          <w:sz w:val="24"/>
        </w:rPr>
        <w:t>Mol. Ecol.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14</w:t>
      </w:r>
      <w:r w:rsidRPr="006A79C1">
        <w:rPr>
          <w:rFonts w:ascii="Times New Roman" w:hAnsi="Times New Roman" w:cs="Times New Roman"/>
          <w:noProof/>
          <w:sz w:val="24"/>
        </w:rPr>
        <w:t>, 1377–1390 (2005).</w:t>
      </w:r>
    </w:p>
    <w:p w14:paraId="7EE72B38"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15. </w:t>
      </w:r>
      <w:r w:rsidRPr="006A79C1">
        <w:rPr>
          <w:rFonts w:ascii="Times New Roman" w:hAnsi="Times New Roman" w:cs="Times New Roman"/>
          <w:noProof/>
          <w:sz w:val="24"/>
        </w:rPr>
        <w:tab/>
        <w:t xml:space="preserve">R. J. Elshire,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A robust, simple genotyping-by-sequencing (GBS) approach for high </w:t>
      </w:r>
      <w:r w:rsidRPr="006A79C1">
        <w:rPr>
          <w:rFonts w:ascii="Times New Roman" w:hAnsi="Times New Roman" w:cs="Times New Roman"/>
          <w:noProof/>
          <w:sz w:val="24"/>
        </w:rPr>
        <w:lastRenderedPageBreak/>
        <w:t xml:space="preserve">diversity species. </w:t>
      </w:r>
      <w:r w:rsidRPr="006A79C1">
        <w:rPr>
          <w:rFonts w:ascii="Times New Roman" w:hAnsi="Times New Roman" w:cs="Times New Roman"/>
          <w:i/>
          <w:iCs/>
          <w:noProof/>
          <w:sz w:val="24"/>
        </w:rPr>
        <w:t>PLoS One</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6</w:t>
      </w:r>
      <w:r w:rsidRPr="006A79C1">
        <w:rPr>
          <w:rFonts w:ascii="Times New Roman" w:hAnsi="Times New Roman" w:cs="Times New Roman"/>
          <w:noProof/>
          <w:sz w:val="24"/>
        </w:rPr>
        <w:t>, 1–10 (2011).</w:t>
      </w:r>
    </w:p>
    <w:p w14:paraId="05720653"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16. </w:t>
      </w:r>
      <w:r w:rsidRPr="006A79C1">
        <w:rPr>
          <w:rFonts w:ascii="Times New Roman" w:hAnsi="Times New Roman" w:cs="Times New Roman"/>
          <w:noProof/>
          <w:sz w:val="24"/>
        </w:rPr>
        <w:tab/>
        <w:t xml:space="preserve">K. R. Andrews, J. M. Good, M. R. Miller, G. Luikart, P. A. Hohenlohe, Harnessing the power of RADseq for ecological and evolutionary genomics. </w:t>
      </w:r>
      <w:r w:rsidRPr="006A79C1">
        <w:rPr>
          <w:rFonts w:ascii="Times New Roman" w:hAnsi="Times New Roman" w:cs="Times New Roman"/>
          <w:i/>
          <w:iCs/>
          <w:noProof/>
          <w:sz w:val="24"/>
        </w:rPr>
        <w:t>Nat Rev Genet</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advance on</w:t>
      </w:r>
      <w:r w:rsidRPr="006A79C1">
        <w:rPr>
          <w:rFonts w:ascii="Times New Roman" w:hAnsi="Times New Roman" w:cs="Times New Roman"/>
          <w:noProof/>
          <w:sz w:val="24"/>
        </w:rPr>
        <w:t>, 81–92 (2016).</w:t>
      </w:r>
    </w:p>
    <w:p w14:paraId="02693EC0"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17. </w:t>
      </w:r>
      <w:r w:rsidRPr="006A79C1">
        <w:rPr>
          <w:rFonts w:ascii="Times New Roman" w:hAnsi="Times New Roman" w:cs="Times New Roman"/>
          <w:noProof/>
          <w:sz w:val="24"/>
        </w:rPr>
        <w:tab/>
        <w:t xml:space="preserve">N. C. Rochette, A. G. Rivera-Colón, J. M. Catchen, Stacks 2: Analytical methods for paired-end sequencing improve RADseq-based population genomics. </w:t>
      </w:r>
      <w:r w:rsidRPr="006A79C1">
        <w:rPr>
          <w:rFonts w:ascii="Times New Roman" w:hAnsi="Times New Roman" w:cs="Times New Roman"/>
          <w:i/>
          <w:iCs/>
          <w:noProof/>
          <w:sz w:val="24"/>
        </w:rPr>
        <w:t>Mol. Ecol.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28</w:t>
      </w:r>
      <w:r w:rsidRPr="006A79C1">
        <w:rPr>
          <w:rFonts w:ascii="Times New Roman" w:hAnsi="Times New Roman" w:cs="Times New Roman"/>
          <w:noProof/>
          <w:sz w:val="24"/>
        </w:rPr>
        <w:t>, 4737–4754 (2019).</w:t>
      </w:r>
    </w:p>
    <w:p w14:paraId="1A98FFC1"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18. </w:t>
      </w:r>
      <w:r w:rsidRPr="006A79C1">
        <w:rPr>
          <w:rFonts w:ascii="Times New Roman" w:hAnsi="Times New Roman" w:cs="Times New Roman"/>
          <w:noProof/>
          <w:sz w:val="24"/>
        </w:rPr>
        <w:tab/>
        <w:t xml:space="preserve">H. Li, R. Durbin, Fast and accurate short read alignment with Burrows-Wheeler transform. </w:t>
      </w:r>
      <w:r w:rsidRPr="006A79C1">
        <w:rPr>
          <w:rFonts w:ascii="Times New Roman" w:hAnsi="Times New Roman" w:cs="Times New Roman"/>
          <w:i/>
          <w:iCs/>
          <w:noProof/>
          <w:sz w:val="24"/>
        </w:rPr>
        <w:t>Bioinformatics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25</w:t>
      </w:r>
      <w:r w:rsidRPr="006A79C1">
        <w:rPr>
          <w:rFonts w:ascii="Times New Roman" w:hAnsi="Times New Roman" w:cs="Times New Roman"/>
          <w:noProof/>
          <w:sz w:val="24"/>
        </w:rPr>
        <w:t>, 1754–1760 (2009).</w:t>
      </w:r>
    </w:p>
    <w:p w14:paraId="7A9844D6"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19. </w:t>
      </w:r>
      <w:r w:rsidRPr="006A79C1">
        <w:rPr>
          <w:rFonts w:ascii="Times New Roman" w:hAnsi="Times New Roman" w:cs="Times New Roman"/>
          <w:noProof/>
          <w:sz w:val="24"/>
        </w:rPr>
        <w:tab/>
        <w:t xml:space="preserve">H. Li,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The Sequence Alignment/Map format and SAMtools. </w:t>
      </w:r>
      <w:r w:rsidRPr="006A79C1">
        <w:rPr>
          <w:rFonts w:ascii="Times New Roman" w:hAnsi="Times New Roman" w:cs="Times New Roman"/>
          <w:i/>
          <w:iCs/>
          <w:noProof/>
          <w:sz w:val="24"/>
        </w:rPr>
        <w:t>Bioinformatics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25</w:t>
      </w:r>
      <w:r w:rsidRPr="006A79C1">
        <w:rPr>
          <w:rFonts w:ascii="Times New Roman" w:hAnsi="Times New Roman" w:cs="Times New Roman"/>
          <w:noProof/>
          <w:sz w:val="24"/>
        </w:rPr>
        <w:t>, 2078–2079 (2009).</w:t>
      </w:r>
    </w:p>
    <w:p w14:paraId="3E95BFA7"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20. </w:t>
      </w:r>
      <w:r w:rsidRPr="006A79C1">
        <w:rPr>
          <w:rFonts w:ascii="Times New Roman" w:hAnsi="Times New Roman" w:cs="Times New Roman"/>
          <w:noProof/>
          <w:sz w:val="24"/>
        </w:rPr>
        <w:tab/>
        <w:t xml:space="preserve">K. R. Andrews, J. M. Good, M. R. Miller, G. Luikart, P. A. Hohenlohe, Harnessing the power of RADseq for ecological and evolutionary genomics. </w:t>
      </w:r>
      <w:r w:rsidRPr="006A79C1">
        <w:rPr>
          <w:rFonts w:ascii="Times New Roman" w:hAnsi="Times New Roman" w:cs="Times New Roman"/>
          <w:i/>
          <w:iCs/>
          <w:noProof/>
          <w:sz w:val="24"/>
        </w:rPr>
        <w:t>Nat. Publ. Gr.</w:t>
      </w:r>
      <w:r w:rsidRPr="006A79C1">
        <w:rPr>
          <w:rFonts w:ascii="Times New Roman" w:hAnsi="Times New Roman" w:cs="Times New Roman"/>
          <w:noProof/>
          <w:sz w:val="24"/>
        </w:rPr>
        <w:t xml:space="preserve"> (2016) https:/doi.org/10.1038/nrg.2015.28.</w:t>
      </w:r>
    </w:p>
    <w:p w14:paraId="11E63187"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21. </w:t>
      </w:r>
      <w:r w:rsidRPr="006A79C1">
        <w:rPr>
          <w:rFonts w:ascii="Times New Roman" w:hAnsi="Times New Roman" w:cs="Times New Roman"/>
          <w:noProof/>
          <w:sz w:val="24"/>
        </w:rPr>
        <w:tab/>
        <w:t xml:space="preserve">D. B. Lowry,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Breaking RAD: an evaluation of the utility of restriction site-associated DNA sequencing for genome scans of adaptation. </w:t>
      </w:r>
      <w:r w:rsidRPr="006A79C1">
        <w:rPr>
          <w:rFonts w:ascii="Times New Roman" w:hAnsi="Times New Roman" w:cs="Times New Roman"/>
          <w:i/>
          <w:iCs/>
          <w:noProof/>
          <w:sz w:val="24"/>
        </w:rPr>
        <w:t>Mol. Ecol. Resour.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17</w:t>
      </w:r>
      <w:r w:rsidRPr="006A79C1">
        <w:rPr>
          <w:rFonts w:ascii="Times New Roman" w:hAnsi="Times New Roman" w:cs="Times New Roman"/>
          <w:noProof/>
          <w:sz w:val="24"/>
        </w:rPr>
        <w:t>, 142–152 (2017).</w:t>
      </w:r>
    </w:p>
    <w:p w14:paraId="4706C2F0"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22. </w:t>
      </w:r>
      <w:r w:rsidRPr="006A79C1">
        <w:rPr>
          <w:rFonts w:ascii="Times New Roman" w:hAnsi="Times New Roman" w:cs="Times New Roman"/>
          <w:noProof/>
          <w:sz w:val="24"/>
        </w:rPr>
        <w:tab/>
        <w:t xml:space="preserve">N. C. Rochette, J. M. Catchen, Deriving genotypes from RAD-seq short-read data using Stacks. </w:t>
      </w:r>
      <w:r w:rsidRPr="006A79C1">
        <w:rPr>
          <w:rFonts w:ascii="Times New Roman" w:hAnsi="Times New Roman" w:cs="Times New Roman"/>
          <w:i/>
          <w:iCs/>
          <w:noProof/>
          <w:sz w:val="24"/>
        </w:rPr>
        <w:t>Nat. Publ. Gr.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12</w:t>
      </w:r>
      <w:r w:rsidRPr="006A79C1">
        <w:rPr>
          <w:rFonts w:ascii="Times New Roman" w:hAnsi="Times New Roman" w:cs="Times New Roman"/>
          <w:noProof/>
          <w:sz w:val="24"/>
        </w:rPr>
        <w:t>, 2640–2659 (2017).</w:t>
      </w:r>
    </w:p>
    <w:p w14:paraId="6971422F"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23. </w:t>
      </w:r>
      <w:r w:rsidRPr="006A79C1">
        <w:rPr>
          <w:rFonts w:ascii="Times New Roman" w:hAnsi="Times New Roman" w:cs="Times New Roman"/>
          <w:noProof/>
          <w:sz w:val="24"/>
        </w:rPr>
        <w:tab/>
        <w:t xml:space="preserve">J. L. Davey, M. W. Blaxter, RADseq: Next-generation population genetics. </w:t>
      </w:r>
      <w:r w:rsidRPr="006A79C1">
        <w:rPr>
          <w:rFonts w:ascii="Times New Roman" w:hAnsi="Times New Roman" w:cs="Times New Roman"/>
          <w:i/>
          <w:iCs/>
          <w:noProof/>
          <w:sz w:val="24"/>
        </w:rPr>
        <w:t>Brief. Funct. Genomics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9</w:t>
      </w:r>
      <w:r w:rsidRPr="006A79C1">
        <w:rPr>
          <w:rFonts w:ascii="Times New Roman" w:hAnsi="Times New Roman" w:cs="Times New Roman"/>
          <w:noProof/>
          <w:sz w:val="24"/>
        </w:rPr>
        <w:t>, 416–423 (2010).</w:t>
      </w:r>
    </w:p>
    <w:p w14:paraId="3904EC7A"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24. </w:t>
      </w:r>
      <w:r w:rsidRPr="006A79C1">
        <w:rPr>
          <w:rFonts w:ascii="Times New Roman" w:hAnsi="Times New Roman" w:cs="Times New Roman"/>
          <w:noProof/>
          <w:sz w:val="24"/>
        </w:rPr>
        <w:tab/>
        <w:t xml:space="preserve">P. Kirschner,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Performance comparison of two reduced-representation based genome-wide marker-discovery strategies in a multi-taxon phylogeographic framework. </w:t>
      </w:r>
      <w:r w:rsidRPr="006A79C1">
        <w:rPr>
          <w:rFonts w:ascii="Times New Roman" w:hAnsi="Times New Roman" w:cs="Times New Roman"/>
          <w:i/>
          <w:iCs/>
          <w:noProof/>
          <w:sz w:val="24"/>
        </w:rPr>
        <w:t>Sci. Rep.</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11</w:t>
      </w:r>
      <w:r w:rsidRPr="006A79C1">
        <w:rPr>
          <w:rFonts w:ascii="Times New Roman" w:hAnsi="Times New Roman" w:cs="Times New Roman"/>
          <w:noProof/>
          <w:sz w:val="24"/>
        </w:rPr>
        <w:t>, 1–12 (2021).</w:t>
      </w:r>
    </w:p>
    <w:p w14:paraId="0CF0D146"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25. </w:t>
      </w:r>
      <w:r w:rsidRPr="006A79C1">
        <w:rPr>
          <w:rFonts w:ascii="Times New Roman" w:hAnsi="Times New Roman" w:cs="Times New Roman"/>
          <w:noProof/>
          <w:sz w:val="24"/>
        </w:rPr>
        <w:tab/>
        <w:t xml:space="preserve">A. Mastretta-Yanes,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Restriction site-associated DNA sequencing, genotyping error estimation and de novo assembly optimization for population genetic inference. </w:t>
      </w:r>
      <w:r w:rsidRPr="006A79C1">
        <w:rPr>
          <w:rFonts w:ascii="Times New Roman" w:hAnsi="Times New Roman" w:cs="Times New Roman"/>
          <w:i/>
          <w:iCs/>
          <w:noProof/>
          <w:sz w:val="24"/>
        </w:rPr>
        <w:t>Mol. Ecol.</w:t>
      </w:r>
      <w:r w:rsidRPr="006A79C1">
        <w:rPr>
          <w:rFonts w:ascii="Times New Roman" w:hAnsi="Times New Roman" w:cs="Times New Roman"/>
          <w:noProof/>
          <w:sz w:val="24"/>
        </w:rPr>
        <w:t>, 28–41 (2015).</w:t>
      </w:r>
    </w:p>
    <w:p w14:paraId="0D9932D0"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26. </w:t>
      </w:r>
      <w:r w:rsidRPr="006A79C1">
        <w:rPr>
          <w:rFonts w:ascii="Times New Roman" w:hAnsi="Times New Roman" w:cs="Times New Roman"/>
          <w:noProof/>
          <w:sz w:val="24"/>
        </w:rPr>
        <w:tab/>
        <w:t xml:space="preserve">P. A. Hohenlohe, S. J. Amish, J. M. Catchen, F. W. Allendorf, G. Luikart, Next-generation RAD sequencing identifies thousands of SNPs for assessing hybridization between rainbow and westslope cutthroat trout. </w:t>
      </w:r>
      <w:r w:rsidRPr="006A79C1">
        <w:rPr>
          <w:rFonts w:ascii="Times New Roman" w:hAnsi="Times New Roman" w:cs="Times New Roman"/>
          <w:i/>
          <w:iCs/>
          <w:noProof/>
          <w:sz w:val="24"/>
        </w:rPr>
        <w:t>Mol. Ecol. Resour.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11</w:t>
      </w:r>
      <w:r w:rsidRPr="006A79C1">
        <w:rPr>
          <w:rFonts w:ascii="Times New Roman" w:hAnsi="Times New Roman" w:cs="Times New Roman"/>
          <w:noProof/>
          <w:sz w:val="24"/>
        </w:rPr>
        <w:t>, 117–122 (2011).</w:t>
      </w:r>
    </w:p>
    <w:p w14:paraId="493F1ADF"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27. </w:t>
      </w:r>
      <w:r w:rsidRPr="006A79C1">
        <w:rPr>
          <w:rFonts w:ascii="Times New Roman" w:hAnsi="Times New Roman" w:cs="Times New Roman"/>
          <w:noProof/>
          <w:sz w:val="24"/>
        </w:rPr>
        <w:tab/>
        <w:t xml:space="preserve">S. J. O’Leary, J. B. Puritz, S. C. Willis, C. M. Hollenbeck, D. S. Portnoy, These aren’t the loci you’e looking for: Principles of effective SNP filtering for molecular ecologists. </w:t>
      </w:r>
      <w:r w:rsidRPr="006A79C1">
        <w:rPr>
          <w:rFonts w:ascii="Times New Roman" w:hAnsi="Times New Roman" w:cs="Times New Roman"/>
          <w:i/>
          <w:iCs/>
          <w:noProof/>
          <w:sz w:val="24"/>
        </w:rPr>
        <w:t>Mol. Ecol.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27</w:t>
      </w:r>
      <w:r w:rsidRPr="006A79C1">
        <w:rPr>
          <w:rFonts w:ascii="Times New Roman" w:hAnsi="Times New Roman" w:cs="Times New Roman"/>
          <w:noProof/>
          <w:sz w:val="24"/>
        </w:rPr>
        <w:t>, 3193–3206 (2018).</w:t>
      </w:r>
    </w:p>
    <w:p w14:paraId="14F6B787"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28. </w:t>
      </w:r>
      <w:r w:rsidRPr="006A79C1">
        <w:rPr>
          <w:rFonts w:ascii="Times New Roman" w:hAnsi="Times New Roman" w:cs="Times New Roman"/>
          <w:noProof/>
          <w:sz w:val="24"/>
        </w:rPr>
        <w:tab/>
        <w:t xml:space="preserve">J. R. Paris, J. R. Stevens, J. M. Catchen, Lost in parameter space: a road map for stacks. </w:t>
      </w:r>
      <w:r w:rsidRPr="006A79C1">
        <w:rPr>
          <w:rFonts w:ascii="Times New Roman" w:hAnsi="Times New Roman" w:cs="Times New Roman"/>
          <w:i/>
          <w:iCs/>
          <w:noProof/>
          <w:sz w:val="24"/>
        </w:rPr>
        <w:t>Methods Ecol.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8</w:t>
      </w:r>
      <w:r w:rsidRPr="006A79C1">
        <w:rPr>
          <w:rFonts w:ascii="Times New Roman" w:hAnsi="Times New Roman" w:cs="Times New Roman"/>
          <w:noProof/>
          <w:sz w:val="24"/>
        </w:rPr>
        <w:t>, 1360–1373 (2017).</w:t>
      </w:r>
    </w:p>
    <w:p w14:paraId="57EB79B4"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29. </w:t>
      </w:r>
      <w:r w:rsidRPr="006A79C1">
        <w:rPr>
          <w:rFonts w:ascii="Times New Roman" w:hAnsi="Times New Roman" w:cs="Times New Roman"/>
          <w:noProof/>
          <w:sz w:val="24"/>
        </w:rPr>
        <w:tab/>
        <w:t xml:space="preserve">J. Ferrer Obiol,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Integrating Sequence Capture and Restriction Site-Associated DNA Sequencing to Resolve Recent Radiations of Pelagic Seabirds. </w:t>
      </w:r>
      <w:r w:rsidRPr="006A79C1">
        <w:rPr>
          <w:rFonts w:ascii="Times New Roman" w:hAnsi="Times New Roman" w:cs="Times New Roman"/>
          <w:i/>
          <w:iCs/>
          <w:noProof/>
          <w:sz w:val="24"/>
        </w:rPr>
        <w:t>Syst.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70</w:t>
      </w:r>
      <w:r w:rsidRPr="006A79C1">
        <w:rPr>
          <w:rFonts w:ascii="Times New Roman" w:hAnsi="Times New Roman" w:cs="Times New Roman"/>
          <w:noProof/>
          <w:sz w:val="24"/>
        </w:rPr>
        <w:t xml:space="preserve">, 976–996 </w:t>
      </w:r>
      <w:r w:rsidRPr="006A79C1">
        <w:rPr>
          <w:rFonts w:ascii="Times New Roman" w:hAnsi="Times New Roman" w:cs="Times New Roman"/>
          <w:noProof/>
          <w:sz w:val="24"/>
        </w:rPr>
        <w:lastRenderedPageBreak/>
        <w:t>(2021).</w:t>
      </w:r>
    </w:p>
    <w:p w14:paraId="7FA8C90D"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30. </w:t>
      </w:r>
      <w:r w:rsidRPr="006A79C1">
        <w:rPr>
          <w:rFonts w:ascii="Times New Roman" w:hAnsi="Times New Roman" w:cs="Times New Roman"/>
          <w:noProof/>
          <w:sz w:val="24"/>
        </w:rPr>
        <w:tab/>
        <w:t xml:space="preserve">J. R. Paris, J. R. Stevens, J. M. Catchen, Lost in parameter space: A road map for Stacks. </w:t>
      </w:r>
      <w:r w:rsidRPr="006A79C1">
        <w:rPr>
          <w:rFonts w:ascii="Times New Roman" w:hAnsi="Times New Roman" w:cs="Times New Roman"/>
          <w:i/>
          <w:iCs/>
          <w:noProof/>
          <w:sz w:val="24"/>
        </w:rPr>
        <w:t>Methods Ecol.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8</w:t>
      </w:r>
      <w:r w:rsidRPr="006A79C1">
        <w:rPr>
          <w:rFonts w:ascii="Times New Roman" w:hAnsi="Times New Roman" w:cs="Times New Roman"/>
          <w:noProof/>
          <w:sz w:val="24"/>
        </w:rPr>
        <w:t>, 1360–1373 (2017).</w:t>
      </w:r>
    </w:p>
    <w:p w14:paraId="0935EFB0"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31. </w:t>
      </w:r>
      <w:r w:rsidRPr="006A79C1">
        <w:rPr>
          <w:rFonts w:ascii="Times New Roman" w:hAnsi="Times New Roman" w:cs="Times New Roman"/>
          <w:noProof/>
          <w:sz w:val="24"/>
        </w:rPr>
        <w:tab/>
        <w:t xml:space="preserve">J. M. Catchen, P. A. Hohenlohe, S. Bassham, A. Amores, W. A. Cresko, Stacks: an analysis tool set for population genomics. </w:t>
      </w:r>
      <w:r w:rsidRPr="006A79C1">
        <w:rPr>
          <w:rFonts w:ascii="Times New Roman" w:hAnsi="Times New Roman" w:cs="Times New Roman"/>
          <w:i/>
          <w:iCs/>
          <w:noProof/>
          <w:sz w:val="24"/>
        </w:rPr>
        <w:t>Mol. Ecol.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22</w:t>
      </w:r>
      <w:r w:rsidRPr="006A79C1">
        <w:rPr>
          <w:rFonts w:ascii="Times New Roman" w:hAnsi="Times New Roman" w:cs="Times New Roman"/>
          <w:noProof/>
          <w:sz w:val="24"/>
        </w:rPr>
        <w:t>, 3124–3140 (2013).</w:t>
      </w:r>
    </w:p>
    <w:p w14:paraId="7538DF11"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32. </w:t>
      </w:r>
      <w:r w:rsidRPr="006A79C1">
        <w:rPr>
          <w:rFonts w:ascii="Times New Roman" w:hAnsi="Times New Roman" w:cs="Times New Roman"/>
          <w:noProof/>
          <w:sz w:val="24"/>
        </w:rPr>
        <w:tab/>
        <w:t xml:space="preserve">A. Mastretta-Yanes,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Restriction site-associated DNA sequencing, genotyping error estimation and de novo assembly optimization for population genetic inference. </w:t>
      </w:r>
      <w:r w:rsidRPr="006A79C1">
        <w:rPr>
          <w:rFonts w:ascii="Times New Roman" w:hAnsi="Times New Roman" w:cs="Times New Roman"/>
          <w:i/>
          <w:iCs/>
          <w:noProof/>
          <w:sz w:val="24"/>
        </w:rPr>
        <w:t>Mol. Ecol. Resour.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15</w:t>
      </w:r>
      <w:r w:rsidRPr="006A79C1">
        <w:rPr>
          <w:rFonts w:ascii="Times New Roman" w:hAnsi="Times New Roman" w:cs="Times New Roman"/>
          <w:noProof/>
          <w:sz w:val="24"/>
        </w:rPr>
        <w:t>, 28–41 (2015).</w:t>
      </w:r>
    </w:p>
    <w:p w14:paraId="21D28EDB"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33. </w:t>
      </w:r>
      <w:r w:rsidRPr="006A79C1">
        <w:rPr>
          <w:rFonts w:ascii="Times New Roman" w:hAnsi="Times New Roman" w:cs="Times New Roman"/>
          <w:noProof/>
          <w:sz w:val="24"/>
        </w:rPr>
        <w:tab/>
        <w:t xml:space="preserve">J. M. Catchen, A. Amores, P. Hohenlohe, W. Cresko, J. H. Postlethwait, Stacks : Building and Genotyping Loci De Novo From Short-Read Sequences. </w:t>
      </w:r>
      <w:r w:rsidRPr="006A79C1">
        <w:rPr>
          <w:rFonts w:ascii="Times New Roman" w:hAnsi="Times New Roman" w:cs="Times New Roman"/>
          <w:i/>
          <w:iCs/>
          <w:noProof/>
          <w:sz w:val="24"/>
        </w:rPr>
        <w:t>Genes, Genomes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w:t>
      </w:r>
      <w:r w:rsidRPr="006A79C1">
        <w:rPr>
          <w:rFonts w:ascii="Times New Roman" w:hAnsi="Times New Roman" w:cs="Times New Roman"/>
          <w:noProof/>
          <w:sz w:val="24"/>
        </w:rPr>
        <w:t>, 171–182 (2011).</w:t>
      </w:r>
    </w:p>
    <w:p w14:paraId="25BF2ED1"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34. </w:t>
      </w:r>
      <w:r w:rsidRPr="006A79C1">
        <w:rPr>
          <w:rFonts w:ascii="Times New Roman" w:hAnsi="Times New Roman" w:cs="Times New Roman"/>
          <w:noProof/>
          <w:sz w:val="24"/>
        </w:rPr>
        <w:tab/>
        <w:t xml:space="preserve">C. del R. Pedraza-Marrón,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Genomics overrules mitochondrial DNA, siding with morphology on a controversial case of species delimitation. </w:t>
      </w:r>
      <w:r w:rsidRPr="006A79C1">
        <w:rPr>
          <w:rFonts w:ascii="Times New Roman" w:hAnsi="Times New Roman" w:cs="Times New Roman"/>
          <w:i/>
          <w:iCs/>
          <w:noProof/>
          <w:sz w:val="24"/>
        </w:rPr>
        <w:t>Proc. R. Soc. B Biol. Sci.</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286</w:t>
      </w:r>
      <w:r w:rsidRPr="006A79C1">
        <w:rPr>
          <w:rFonts w:ascii="Times New Roman" w:hAnsi="Times New Roman" w:cs="Times New Roman"/>
          <w:noProof/>
          <w:sz w:val="24"/>
        </w:rPr>
        <w:t xml:space="preserve"> (2019).</w:t>
      </w:r>
    </w:p>
    <w:p w14:paraId="3273D7CD"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35. </w:t>
      </w:r>
      <w:r w:rsidRPr="006A79C1">
        <w:rPr>
          <w:rFonts w:ascii="Times New Roman" w:hAnsi="Times New Roman" w:cs="Times New Roman"/>
          <w:noProof/>
          <w:sz w:val="24"/>
        </w:rPr>
        <w:tab/>
        <w:t xml:space="preserve">J. W. Davey,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Special features of RAD Sequencing data: Implications for genotyping. </w:t>
      </w:r>
      <w:r w:rsidRPr="006A79C1">
        <w:rPr>
          <w:rFonts w:ascii="Times New Roman" w:hAnsi="Times New Roman" w:cs="Times New Roman"/>
          <w:i/>
          <w:iCs/>
          <w:noProof/>
          <w:sz w:val="24"/>
        </w:rPr>
        <w:t>Mol. Ecol.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22</w:t>
      </w:r>
      <w:r w:rsidRPr="006A79C1">
        <w:rPr>
          <w:rFonts w:ascii="Times New Roman" w:hAnsi="Times New Roman" w:cs="Times New Roman"/>
          <w:noProof/>
          <w:sz w:val="24"/>
        </w:rPr>
        <w:t>, 3151–3164 (2013).</w:t>
      </w:r>
    </w:p>
    <w:p w14:paraId="212A9F14"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36. </w:t>
      </w:r>
      <w:r w:rsidRPr="006A79C1">
        <w:rPr>
          <w:rFonts w:ascii="Times New Roman" w:hAnsi="Times New Roman" w:cs="Times New Roman"/>
          <w:noProof/>
          <w:sz w:val="24"/>
        </w:rPr>
        <w:tab/>
        <w:t xml:space="preserve">B. J. Knaus, N. J. Grünwald, vcfr: a package to manipulate and visualize variant call format data in R. </w:t>
      </w:r>
      <w:r w:rsidRPr="006A79C1">
        <w:rPr>
          <w:rFonts w:ascii="Times New Roman" w:hAnsi="Times New Roman" w:cs="Times New Roman"/>
          <w:i/>
          <w:iCs/>
          <w:noProof/>
          <w:sz w:val="24"/>
        </w:rPr>
        <w:t>Mol. Ecol. Resour.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17</w:t>
      </w:r>
      <w:r w:rsidRPr="006A79C1">
        <w:rPr>
          <w:rFonts w:ascii="Times New Roman" w:hAnsi="Times New Roman" w:cs="Times New Roman"/>
          <w:noProof/>
          <w:sz w:val="24"/>
        </w:rPr>
        <w:t>, 44–53 (2017).</w:t>
      </w:r>
    </w:p>
    <w:p w14:paraId="7B25804E"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37. </w:t>
      </w:r>
      <w:r w:rsidRPr="006A79C1">
        <w:rPr>
          <w:rFonts w:ascii="Times New Roman" w:hAnsi="Times New Roman" w:cs="Times New Roman"/>
          <w:noProof/>
          <w:sz w:val="24"/>
        </w:rPr>
        <w:tab/>
        <w:t xml:space="preserve">B. Ulaszewski, J. Meger, J. Burczyk, Comparative analysis of SNP discovery and genotyping in Fagus sylvatica L. and Quercus robur L. using RADseq, GBS, and ddRAD methods. </w:t>
      </w:r>
      <w:r w:rsidRPr="006A79C1">
        <w:rPr>
          <w:rFonts w:ascii="Times New Roman" w:hAnsi="Times New Roman" w:cs="Times New Roman"/>
          <w:i/>
          <w:iCs/>
          <w:noProof/>
          <w:sz w:val="24"/>
        </w:rPr>
        <w:t>Forests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12</w:t>
      </w:r>
      <w:r w:rsidRPr="006A79C1">
        <w:rPr>
          <w:rFonts w:ascii="Times New Roman" w:hAnsi="Times New Roman" w:cs="Times New Roman"/>
          <w:noProof/>
          <w:sz w:val="24"/>
        </w:rPr>
        <w:t>, 1–17 (2021).</w:t>
      </w:r>
    </w:p>
    <w:p w14:paraId="68B81975"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38. </w:t>
      </w:r>
      <w:r w:rsidRPr="006A79C1">
        <w:rPr>
          <w:rFonts w:ascii="Times New Roman" w:hAnsi="Times New Roman" w:cs="Times New Roman"/>
          <w:noProof/>
          <w:sz w:val="24"/>
        </w:rPr>
        <w:tab/>
        <w:t xml:space="preserve">E. Linck, C. J. Battey, Minor allele frequency thresholds strongly affect population structure inference with genomic data sets. </w:t>
      </w:r>
      <w:r w:rsidRPr="006A79C1">
        <w:rPr>
          <w:rFonts w:ascii="Times New Roman" w:hAnsi="Times New Roman" w:cs="Times New Roman"/>
          <w:i/>
          <w:iCs/>
          <w:noProof/>
          <w:sz w:val="24"/>
        </w:rPr>
        <w:t>Mol. Ecol. Resour.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19</w:t>
      </w:r>
      <w:r w:rsidRPr="006A79C1">
        <w:rPr>
          <w:rFonts w:ascii="Times New Roman" w:hAnsi="Times New Roman" w:cs="Times New Roman"/>
          <w:noProof/>
          <w:sz w:val="24"/>
        </w:rPr>
        <w:t>, 639–647 (2019).</w:t>
      </w:r>
    </w:p>
    <w:p w14:paraId="79B597B5"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39. </w:t>
      </w:r>
      <w:r w:rsidRPr="006A79C1">
        <w:rPr>
          <w:rFonts w:ascii="Times New Roman" w:hAnsi="Times New Roman" w:cs="Times New Roman"/>
          <w:noProof/>
          <w:sz w:val="24"/>
        </w:rPr>
        <w:tab/>
        <w:t xml:space="preserve">D. A. DeRaad, snpfiltr: An R package for interactive and reproducible SNP filtering. </w:t>
      </w:r>
      <w:r w:rsidRPr="006A79C1">
        <w:rPr>
          <w:rFonts w:ascii="Times New Roman" w:hAnsi="Times New Roman" w:cs="Times New Roman"/>
          <w:i/>
          <w:iCs/>
          <w:noProof/>
          <w:sz w:val="24"/>
        </w:rPr>
        <w:t>Mol. Ecol. Resour.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00</w:t>
      </w:r>
      <w:r w:rsidRPr="006A79C1">
        <w:rPr>
          <w:rFonts w:ascii="Times New Roman" w:hAnsi="Times New Roman" w:cs="Times New Roman"/>
          <w:noProof/>
          <w:sz w:val="24"/>
        </w:rPr>
        <w:t>, 1–11 (2022).</w:t>
      </w:r>
    </w:p>
    <w:p w14:paraId="468A04C6"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40. </w:t>
      </w:r>
      <w:r w:rsidRPr="006A79C1">
        <w:rPr>
          <w:rFonts w:ascii="Times New Roman" w:hAnsi="Times New Roman" w:cs="Times New Roman"/>
          <w:noProof/>
          <w:sz w:val="24"/>
        </w:rPr>
        <w:tab/>
        <w:t xml:space="preserve">P. Danecek,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The variant call format and VCFtools. </w:t>
      </w:r>
      <w:r w:rsidRPr="006A79C1">
        <w:rPr>
          <w:rFonts w:ascii="Times New Roman" w:hAnsi="Times New Roman" w:cs="Times New Roman"/>
          <w:i/>
          <w:iCs/>
          <w:noProof/>
          <w:sz w:val="24"/>
        </w:rPr>
        <w:t>Bioinformatics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27</w:t>
      </w:r>
      <w:r w:rsidRPr="006A79C1">
        <w:rPr>
          <w:rFonts w:ascii="Times New Roman" w:hAnsi="Times New Roman" w:cs="Times New Roman"/>
          <w:noProof/>
          <w:sz w:val="24"/>
        </w:rPr>
        <w:t>, 2156–2158 (2011).</w:t>
      </w:r>
    </w:p>
    <w:p w14:paraId="37E5E9E2"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41. </w:t>
      </w:r>
      <w:r w:rsidRPr="006A79C1">
        <w:rPr>
          <w:rFonts w:ascii="Times New Roman" w:hAnsi="Times New Roman" w:cs="Times New Roman"/>
          <w:noProof/>
          <w:sz w:val="24"/>
        </w:rPr>
        <w:tab/>
        <w:t xml:space="preserve">J. Cerca,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Removing the bad apples: A simple bioinformatic method to improve loci-recovery in de novo RADseq data for non-model organisms. </w:t>
      </w:r>
      <w:r w:rsidRPr="006A79C1">
        <w:rPr>
          <w:rFonts w:ascii="Times New Roman" w:hAnsi="Times New Roman" w:cs="Times New Roman"/>
          <w:i/>
          <w:iCs/>
          <w:noProof/>
          <w:sz w:val="24"/>
        </w:rPr>
        <w:t>Methods Ecol.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12</w:t>
      </w:r>
      <w:r w:rsidRPr="006A79C1">
        <w:rPr>
          <w:rFonts w:ascii="Times New Roman" w:hAnsi="Times New Roman" w:cs="Times New Roman"/>
          <w:noProof/>
          <w:sz w:val="24"/>
        </w:rPr>
        <w:t>, 805–817 (2021).</w:t>
      </w:r>
    </w:p>
    <w:p w14:paraId="0A4A67A9"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42. </w:t>
      </w:r>
      <w:r w:rsidRPr="006A79C1">
        <w:rPr>
          <w:rFonts w:ascii="Times New Roman" w:hAnsi="Times New Roman" w:cs="Times New Roman"/>
          <w:noProof/>
          <w:sz w:val="24"/>
        </w:rPr>
        <w:tab/>
        <w:t xml:space="preserve">J. Goudet, HIERFSTAT , a package for R to compute and test hierarchical F -statistics. </w:t>
      </w:r>
      <w:r w:rsidRPr="006A79C1">
        <w:rPr>
          <w:rFonts w:ascii="Times New Roman" w:hAnsi="Times New Roman" w:cs="Times New Roman"/>
          <w:i/>
          <w:iCs/>
          <w:noProof/>
          <w:sz w:val="24"/>
        </w:rPr>
        <w:t>Mol. Ecol. Notes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w:t>
      </w:r>
      <w:r w:rsidRPr="006A79C1">
        <w:rPr>
          <w:rFonts w:ascii="Times New Roman" w:hAnsi="Times New Roman" w:cs="Times New Roman"/>
          <w:noProof/>
          <w:sz w:val="24"/>
        </w:rPr>
        <w:t>, 184–186 (2005).</w:t>
      </w:r>
    </w:p>
    <w:p w14:paraId="637768BA"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43. </w:t>
      </w:r>
      <w:r w:rsidRPr="006A79C1">
        <w:rPr>
          <w:rFonts w:ascii="Times New Roman" w:hAnsi="Times New Roman" w:cs="Times New Roman"/>
          <w:noProof/>
          <w:sz w:val="24"/>
        </w:rPr>
        <w:tab/>
        <w:t xml:space="preserve">M. Foll, O. Gaggiotti, A genome-scan method to identify selected loci appropriate for both dominant and codominant markers: A Bayesian perspective. </w:t>
      </w:r>
      <w:r w:rsidRPr="006A79C1">
        <w:rPr>
          <w:rFonts w:ascii="Times New Roman" w:hAnsi="Times New Roman" w:cs="Times New Roman"/>
          <w:i/>
          <w:iCs/>
          <w:noProof/>
          <w:sz w:val="24"/>
        </w:rPr>
        <w:t>Genetics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180</w:t>
      </w:r>
      <w:r w:rsidRPr="006A79C1">
        <w:rPr>
          <w:rFonts w:ascii="Times New Roman" w:hAnsi="Times New Roman" w:cs="Times New Roman"/>
          <w:noProof/>
          <w:sz w:val="24"/>
        </w:rPr>
        <w:t>, 977–993 (2008).</w:t>
      </w:r>
    </w:p>
    <w:p w14:paraId="76F99975"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44. </w:t>
      </w:r>
      <w:r w:rsidRPr="006A79C1">
        <w:rPr>
          <w:rFonts w:ascii="Times New Roman" w:hAnsi="Times New Roman" w:cs="Times New Roman"/>
          <w:noProof/>
          <w:sz w:val="24"/>
        </w:rPr>
        <w:tab/>
        <w:t xml:space="preserve">M. C. Whitlock, K. E. Lotterhos, Reliable detection of loci responsible for local adaptation: </w:t>
      </w:r>
      <w:r w:rsidRPr="006A79C1">
        <w:rPr>
          <w:rFonts w:ascii="Times New Roman" w:hAnsi="Times New Roman" w:cs="Times New Roman"/>
          <w:noProof/>
          <w:sz w:val="24"/>
        </w:rPr>
        <w:lastRenderedPageBreak/>
        <w:t xml:space="preserve">Inference of a null model through trimming the distribution of FST. </w:t>
      </w:r>
      <w:r w:rsidRPr="006A79C1">
        <w:rPr>
          <w:rFonts w:ascii="Times New Roman" w:hAnsi="Times New Roman" w:cs="Times New Roman"/>
          <w:i/>
          <w:iCs/>
          <w:noProof/>
          <w:sz w:val="24"/>
        </w:rPr>
        <w:t>Am. Nat.</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186</w:t>
      </w:r>
      <w:r w:rsidRPr="006A79C1">
        <w:rPr>
          <w:rFonts w:ascii="Times New Roman" w:hAnsi="Times New Roman" w:cs="Times New Roman"/>
          <w:noProof/>
          <w:sz w:val="24"/>
        </w:rPr>
        <w:t>, S24–S36 (2015).</w:t>
      </w:r>
    </w:p>
    <w:p w14:paraId="6081214D"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45. </w:t>
      </w:r>
      <w:r w:rsidRPr="006A79C1">
        <w:rPr>
          <w:rFonts w:ascii="Times New Roman" w:hAnsi="Times New Roman" w:cs="Times New Roman"/>
          <w:noProof/>
          <w:sz w:val="24"/>
        </w:rPr>
        <w:tab/>
        <w:t xml:space="preserve">K. Luu, E. Bazin, M. G. B. Blum, pcadapt: an R package to perform genome scans for selection based on principal component analysis. </w:t>
      </w:r>
      <w:r w:rsidRPr="006A79C1">
        <w:rPr>
          <w:rFonts w:ascii="Times New Roman" w:hAnsi="Times New Roman" w:cs="Times New Roman"/>
          <w:i/>
          <w:iCs/>
          <w:noProof/>
          <w:sz w:val="24"/>
        </w:rPr>
        <w:t>Mol. Ecol. Resour.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17</w:t>
      </w:r>
      <w:r w:rsidRPr="006A79C1">
        <w:rPr>
          <w:rFonts w:ascii="Times New Roman" w:hAnsi="Times New Roman" w:cs="Times New Roman"/>
          <w:noProof/>
          <w:sz w:val="24"/>
        </w:rPr>
        <w:t>, 67–77 (2017).</w:t>
      </w:r>
    </w:p>
    <w:p w14:paraId="54E7744B"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46. </w:t>
      </w:r>
      <w:r w:rsidRPr="006A79C1">
        <w:rPr>
          <w:rFonts w:ascii="Times New Roman" w:hAnsi="Times New Roman" w:cs="Times New Roman"/>
          <w:noProof/>
          <w:sz w:val="24"/>
        </w:rPr>
        <w:tab/>
        <w:t xml:space="preserve">R. R. Betancur,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Phylogenetic classification of bony fishes. </w:t>
      </w:r>
      <w:r w:rsidRPr="006A79C1">
        <w:rPr>
          <w:rFonts w:ascii="Times New Roman" w:hAnsi="Times New Roman" w:cs="Times New Roman"/>
          <w:i/>
          <w:iCs/>
          <w:noProof/>
          <w:sz w:val="24"/>
        </w:rPr>
        <w:t>BMC Evol.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17</w:t>
      </w:r>
      <w:r w:rsidRPr="006A79C1">
        <w:rPr>
          <w:rFonts w:ascii="Times New Roman" w:hAnsi="Times New Roman" w:cs="Times New Roman"/>
          <w:noProof/>
          <w:sz w:val="24"/>
        </w:rPr>
        <w:t>, 1–40 (2017).</w:t>
      </w:r>
    </w:p>
    <w:p w14:paraId="4E653B9C"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47. </w:t>
      </w:r>
      <w:r w:rsidRPr="006A79C1">
        <w:rPr>
          <w:rFonts w:ascii="Times New Roman" w:hAnsi="Times New Roman" w:cs="Times New Roman"/>
          <w:noProof/>
          <w:sz w:val="24"/>
        </w:rPr>
        <w:tab/>
        <w:t xml:space="preserve">T. Jombart, Adegenet: A R package for the multivariate analysis of genetic markers. </w:t>
      </w:r>
      <w:r w:rsidRPr="006A79C1">
        <w:rPr>
          <w:rFonts w:ascii="Times New Roman" w:hAnsi="Times New Roman" w:cs="Times New Roman"/>
          <w:i/>
          <w:iCs/>
          <w:noProof/>
          <w:sz w:val="24"/>
        </w:rPr>
        <w:t>Bioinformatics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24</w:t>
      </w:r>
      <w:r w:rsidRPr="006A79C1">
        <w:rPr>
          <w:rFonts w:ascii="Times New Roman" w:hAnsi="Times New Roman" w:cs="Times New Roman"/>
          <w:noProof/>
          <w:sz w:val="24"/>
        </w:rPr>
        <w:t>, 1403–1405 (2008).</w:t>
      </w:r>
    </w:p>
    <w:p w14:paraId="1CACABC3"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48. </w:t>
      </w:r>
      <w:r w:rsidRPr="006A79C1">
        <w:rPr>
          <w:rFonts w:ascii="Times New Roman" w:hAnsi="Times New Roman" w:cs="Times New Roman"/>
          <w:noProof/>
          <w:sz w:val="24"/>
        </w:rPr>
        <w:tab/>
        <w:t xml:space="preserve">J. M. Miller, C. I. Cullingham, R. M. Peery, The influence of a priori grouping on inference of genetic clusters: simulation study and literature review of the DAPC method. </w:t>
      </w:r>
      <w:r w:rsidRPr="006A79C1">
        <w:rPr>
          <w:rFonts w:ascii="Times New Roman" w:hAnsi="Times New Roman" w:cs="Times New Roman"/>
          <w:i/>
          <w:iCs/>
          <w:noProof/>
          <w:sz w:val="24"/>
        </w:rPr>
        <w:t>Heredity (Edinb).</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125</w:t>
      </w:r>
      <w:r w:rsidRPr="006A79C1">
        <w:rPr>
          <w:rFonts w:ascii="Times New Roman" w:hAnsi="Times New Roman" w:cs="Times New Roman"/>
          <w:noProof/>
          <w:sz w:val="24"/>
        </w:rPr>
        <w:t>, 269–280 (2020).</w:t>
      </w:r>
    </w:p>
    <w:p w14:paraId="27461462"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49. </w:t>
      </w:r>
      <w:r w:rsidRPr="006A79C1">
        <w:rPr>
          <w:rFonts w:ascii="Times New Roman" w:hAnsi="Times New Roman" w:cs="Times New Roman"/>
          <w:noProof/>
          <w:sz w:val="24"/>
        </w:rPr>
        <w:tab/>
        <w:t xml:space="preserve">A. Raj, M. Stephens, J. K. Pritchard, FastSTRUCTURE: Variational inference of population structure in large SNP data sets. </w:t>
      </w:r>
      <w:r w:rsidRPr="006A79C1">
        <w:rPr>
          <w:rFonts w:ascii="Times New Roman" w:hAnsi="Times New Roman" w:cs="Times New Roman"/>
          <w:i/>
          <w:iCs/>
          <w:noProof/>
          <w:sz w:val="24"/>
        </w:rPr>
        <w:t>Genetics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197</w:t>
      </w:r>
      <w:r w:rsidRPr="006A79C1">
        <w:rPr>
          <w:rFonts w:ascii="Times New Roman" w:hAnsi="Times New Roman" w:cs="Times New Roman"/>
          <w:noProof/>
          <w:sz w:val="24"/>
        </w:rPr>
        <w:t>, 573–589 (2014).</w:t>
      </w:r>
    </w:p>
    <w:p w14:paraId="4688C473"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50. </w:t>
      </w:r>
      <w:r w:rsidRPr="006A79C1">
        <w:rPr>
          <w:rFonts w:ascii="Times New Roman" w:hAnsi="Times New Roman" w:cs="Times New Roman"/>
          <w:noProof/>
          <w:sz w:val="24"/>
        </w:rPr>
        <w:tab/>
        <w:t xml:space="preserve">D. H. Alexander, J. Novembre, K. Lange, Fast model-based estimation of ancestry in unrelated individuals. </w:t>
      </w:r>
      <w:r w:rsidRPr="006A79C1">
        <w:rPr>
          <w:rFonts w:ascii="Times New Roman" w:hAnsi="Times New Roman" w:cs="Times New Roman"/>
          <w:i/>
          <w:iCs/>
          <w:noProof/>
          <w:sz w:val="24"/>
        </w:rPr>
        <w:t>Genome Res.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19</w:t>
      </w:r>
      <w:r w:rsidRPr="006A79C1">
        <w:rPr>
          <w:rFonts w:ascii="Times New Roman" w:hAnsi="Times New Roman" w:cs="Times New Roman"/>
          <w:noProof/>
          <w:sz w:val="24"/>
        </w:rPr>
        <w:t>, 1655–1664 (2009).</w:t>
      </w:r>
    </w:p>
    <w:p w14:paraId="07E5493F"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51. </w:t>
      </w:r>
      <w:r w:rsidRPr="006A79C1">
        <w:rPr>
          <w:rFonts w:ascii="Times New Roman" w:hAnsi="Times New Roman" w:cs="Times New Roman"/>
          <w:noProof/>
          <w:sz w:val="24"/>
        </w:rPr>
        <w:tab/>
        <w:t xml:space="preserve">R. M. Francis, pophelper: an R package and web app to analyse and visualize population structure. </w:t>
      </w:r>
      <w:r w:rsidRPr="006A79C1">
        <w:rPr>
          <w:rFonts w:ascii="Times New Roman" w:hAnsi="Times New Roman" w:cs="Times New Roman"/>
          <w:i/>
          <w:iCs/>
          <w:noProof/>
          <w:sz w:val="24"/>
        </w:rPr>
        <w:t>Mol. Ecol. Resour.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17</w:t>
      </w:r>
      <w:r w:rsidRPr="006A79C1">
        <w:rPr>
          <w:rFonts w:ascii="Times New Roman" w:hAnsi="Times New Roman" w:cs="Times New Roman"/>
          <w:noProof/>
          <w:sz w:val="24"/>
        </w:rPr>
        <w:t>, 27–32 (2017).</w:t>
      </w:r>
    </w:p>
    <w:p w14:paraId="0237A4B9"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52. </w:t>
      </w:r>
      <w:r w:rsidRPr="006A79C1">
        <w:rPr>
          <w:rFonts w:ascii="Times New Roman" w:hAnsi="Times New Roman" w:cs="Times New Roman"/>
          <w:noProof/>
          <w:sz w:val="24"/>
        </w:rPr>
        <w:tab/>
        <w:t xml:space="preserve">L. T. Nguyen, H. A. Schmidt, A. Von Haeseler, B. Q. Minh, IQ-TREE: A fast and effective stochastic algorithm for estimating maximum-likelihood phylogenies. </w:t>
      </w:r>
      <w:r w:rsidRPr="006A79C1">
        <w:rPr>
          <w:rFonts w:ascii="Times New Roman" w:hAnsi="Times New Roman" w:cs="Times New Roman"/>
          <w:i/>
          <w:iCs/>
          <w:noProof/>
          <w:sz w:val="24"/>
        </w:rPr>
        <w:t>Mol. Biol.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32</w:t>
      </w:r>
      <w:r w:rsidRPr="006A79C1">
        <w:rPr>
          <w:rFonts w:ascii="Times New Roman" w:hAnsi="Times New Roman" w:cs="Times New Roman"/>
          <w:noProof/>
          <w:sz w:val="24"/>
        </w:rPr>
        <w:t>, 268–274 (2015).</w:t>
      </w:r>
    </w:p>
    <w:p w14:paraId="2BB6EE7A"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53. </w:t>
      </w:r>
      <w:r w:rsidRPr="006A79C1">
        <w:rPr>
          <w:rFonts w:ascii="Times New Roman" w:hAnsi="Times New Roman" w:cs="Times New Roman"/>
          <w:noProof/>
          <w:sz w:val="24"/>
        </w:rPr>
        <w:tab/>
        <w:t xml:space="preserve">D. Petkova, J. Novembre, M. Stephens, Visualizing spatial population structure with estimated effective migration surfaces. </w:t>
      </w:r>
      <w:r w:rsidRPr="006A79C1">
        <w:rPr>
          <w:rFonts w:ascii="Times New Roman" w:hAnsi="Times New Roman" w:cs="Times New Roman"/>
          <w:i/>
          <w:iCs/>
          <w:noProof/>
          <w:sz w:val="24"/>
        </w:rPr>
        <w:t>Nat. Genet.</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48</w:t>
      </w:r>
      <w:r w:rsidRPr="006A79C1">
        <w:rPr>
          <w:rFonts w:ascii="Times New Roman" w:hAnsi="Times New Roman" w:cs="Times New Roman"/>
          <w:noProof/>
          <w:sz w:val="24"/>
        </w:rPr>
        <w:t>, 94–100 (2015).</w:t>
      </w:r>
    </w:p>
    <w:p w14:paraId="23E78AAD"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54. </w:t>
      </w:r>
      <w:r w:rsidRPr="006A79C1">
        <w:rPr>
          <w:rFonts w:ascii="Times New Roman" w:hAnsi="Times New Roman" w:cs="Times New Roman"/>
          <w:noProof/>
          <w:sz w:val="24"/>
        </w:rPr>
        <w:tab/>
        <w:t xml:space="preserve">S. J. Oyler-McCance,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New strategies for characterizing genetic structure in wide-ranging, continuously distributed species: A Greater Sage-grouse case study. </w:t>
      </w:r>
      <w:r w:rsidRPr="006A79C1">
        <w:rPr>
          <w:rFonts w:ascii="Times New Roman" w:hAnsi="Times New Roman" w:cs="Times New Roman"/>
          <w:i/>
          <w:iCs/>
          <w:noProof/>
          <w:sz w:val="24"/>
        </w:rPr>
        <w:t>PLoS One</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17</w:t>
      </w:r>
      <w:r w:rsidRPr="006A79C1">
        <w:rPr>
          <w:rFonts w:ascii="Times New Roman" w:hAnsi="Times New Roman" w:cs="Times New Roman"/>
          <w:noProof/>
          <w:sz w:val="24"/>
        </w:rPr>
        <w:t>, 1–22 (2022).</w:t>
      </w:r>
    </w:p>
    <w:p w14:paraId="04BFDCDA"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55. </w:t>
      </w:r>
      <w:r w:rsidRPr="006A79C1">
        <w:rPr>
          <w:rFonts w:ascii="Times New Roman" w:hAnsi="Times New Roman" w:cs="Times New Roman"/>
          <w:noProof/>
          <w:sz w:val="24"/>
        </w:rPr>
        <w:tab/>
        <w:t>QGIS Development Team, QGIS Geographic Information System (2009).</w:t>
      </w:r>
    </w:p>
    <w:p w14:paraId="4F884E0B"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56. </w:t>
      </w:r>
      <w:r w:rsidRPr="006A79C1">
        <w:rPr>
          <w:rFonts w:ascii="Times New Roman" w:hAnsi="Times New Roman" w:cs="Times New Roman"/>
          <w:noProof/>
          <w:sz w:val="24"/>
        </w:rPr>
        <w:tab/>
        <w:t xml:space="preserve">T. Jombart, S. Devillard, A. B. Dufour, D. Pontier, Revealing cryptic spatial patterns in genetic variability by a new multivariate method. </w:t>
      </w:r>
      <w:r w:rsidRPr="006A79C1">
        <w:rPr>
          <w:rFonts w:ascii="Times New Roman" w:hAnsi="Times New Roman" w:cs="Times New Roman"/>
          <w:i/>
          <w:iCs/>
          <w:noProof/>
          <w:sz w:val="24"/>
        </w:rPr>
        <w:t>Heredity (Edinb).</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101</w:t>
      </w:r>
      <w:r w:rsidRPr="006A79C1">
        <w:rPr>
          <w:rFonts w:ascii="Times New Roman" w:hAnsi="Times New Roman" w:cs="Times New Roman"/>
          <w:noProof/>
          <w:sz w:val="24"/>
        </w:rPr>
        <w:t>, 92–103 (2008).</w:t>
      </w:r>
    </w:p>
    <w:p w14:paraId="3B26D456"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57. </w:t>
      </w:r>
      <w:r w:rsidRPr="006A79C1">
        <w:rPr>
          <w:rFonts w:ascii="Times New Roman" w:hAnsi="Times New Roman" w:cs="Times New Roman"/>
          <w:noProof/>
          <w:sz w:val="24"/>
        </w:rPr>
        <w:tab/>
        <w:t xml:space="preserve">Z. N. Kamvar, J. F. Tabima, N. J. Grünwald, Poppr: an R package for genetic analysis of populations with clonal, partially clonal, and/or sexual reproduction. </w:t>
      </w:r>
      <w:r w:rsidRPr="006A79C1">
        <w:rPr>
          <w:rFonts w:ascii="Times New Roman" w:hAnsi="Times New Roman" w:cs="Times New Roman"/>
          <w:i/>
          <w:iCs/>
          <w:noProof/>
          <w:sz w:val="24"/>
        </w:rPr>
        <w:t>PeerJ</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w:t>
      </w:r>
      <w:r w:rsidRPr="006A79C1">
        <w:rPr>
          <w:rFonts w:ascii="Times New Roman" w:hAnsi="Times New Roman" w:cs="Times New Roman"/>
          <w:noProof/>
          <w:sz w:val="24"/>
        </w:rPr>
        <w:t>, e281 (2014).</w:t>
      </w:r>
    </w:p>
    <w:p w14:paraId="5BACC700"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58. </w:t>
      </w:r>
      <w:r w:rsidRPr="006A79C1">
        <w:rPr>
          <w:rFonts w:ascii="Times New Roman" w:hAnsi="Times New Roman" w:cs="Times New Roman"/>
          <w:noProof/>
          <w:sz w:val="24"/>
        </w:rPr>
        <w:tab/>
        <w:t xml:space="preserve">E. Paradis, pegas: an R package for population genetics with an integrated--modular approach. </w:t>
      </w:r>
      <w:r w:rsidRPr="006A79C1">
        <w:rPr>
          <w:rFonts w:ascii="Times New Roman" w:hAnsi="Times New Roman" w:cs="Times New Roman"/>
          <w:i/>
          <w:iCs/>
          <w:noProof/>
          <w:sz w:val="24"/>
        </w:rPr>
        <w:t>Bioinformatics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26</w:t>
      </w:r>
      <w:r w:rsidRPr="006A79C1">
        <w:rPr>
          <w:rFonts w:ascii="Times New Roman" w:hAnsi="Times New Roman" w:cs="Times New Roman"/>
          <w:noProof/>
          <w:sz w:val="24"/>
        </w:rPr>
        <w:t>, 419–420 (2010).</w:t>
      </w:r>
    </w:p>
    <w:p w14:paraId="0E5B2A16"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59. </w:t>
      </w:r>
      <w:r w:rsidRPr="006A79C1">
        <w:rPr>
          <w:rFonts w:ascii="Times New Roman" w:hAnsi="Times New Roman" w:cs="Times New Roman"/>
          <w:noProof/>
          <w:sz w:val="24"/>
        </w:rPr>
        <w:tab/>
        <w:t xml:space="preserve">N. V. Gordeeva, O. G. Nanova, Application of geometric morphometrics for intraspecific variability analysis in mesopelagic fishes of Sternoptychidae and Myctophidae families. </w:t>
      </w:r>
      <w:r w:rsidRPr="006A79C1">
        <w:rPr>
          <w:rFonts w:ascii="Times New Roman" w:hAnsi="Times New Roman" w:cs="Times New Roman"/>
          <w:i/>
          <w:iCs/>
          <w:noProof/>
          <w:sz w:val="24"/>
        </w:rPr>
        <w:t>J. Ichthyol.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57</w:t>
      </w:r>
      <w:r w:rsidRPr="006A79C1">
        <w:rPr>
          <w:rFonts w:ascii="Times New Roman" w:hAnsi="Times New Roman" w:cs="Times New Roman"/>
          <w:noProof/>
          <w:sz w:val="24"/>
        </w:rPr>
        <w:t>, 29–36 (2017).</w:t>
      </w:r>
    </w:p>
    <w:p w14:paraId="5A6A54B9"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lastRenderedPageBreak/>
        <w:t xml:space="preserve">60. </w:t>
      </w:r>
      <w:r w:rsidRPr="006A79C1">
        <w:rPr>
          <w:rFonts w:ascii="Times New Roman" w:hAnsi="Times New Roman" w:cs="Times New Roman"/>
          <w:noProof/>
          <w:sz w:val="24"/>
        </w:rPr>
        <w:tab/>
        <w:t xml:space="preserve">P. J. Park, W. E. Aguirre, D. A. Spikes, J. M. Miyazaki, Landmark-Based Geometric Morphometrics: What Fish Shapes Can Tell Us about Fish Evolution. </w:t>
      </w:r>
      <w:r w:rsidRPr="006A79C1">
        <w:rPr>
          <w:rFonts w:ascii="Times New Roman" w:hAnsi="Times New Roman" w:cs="Times New Roman"/>
          <w:i/>
          <w:iCs/>
          <w:noProof/>
          <w:sz w:val="24"/>
        </w:rPr>
        <w:t>Test. Stud. Lab. Teach. Proc. Assoc. Biol. Lab. Educ.</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34</w:t>
      </w:r>
      <w:r w:rsidRPr="006A79C1">
        <w:rPr>
          <w:rFonts w:ascii="Times New Roman" w:hAnsi="Times New Roman" w:cs="Times New Roman"/>
          <w:noProof/>
          <w:sz w:val="24"/>
        </w:rPr>
        <w:t>, 361–371 (2013).</w:t>
      </w:r>
    </w:p>
    <w:p w14:paraId="3C412908"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61. </w:t>
      </w:r>
      <w:r w:rsidRPr="006A79C1">
        <w:rPr>
          <w:rFonts w:ascii="Times New Roman" w:hAnsi="Times New Roman" w:cs="Times New Roman"/>
          <w:noProof/>
          <w:sz w:val="24"/>
        </w:rPr>
        <w:tab/>
        <w:t xml:space="preserve">W. M. Berbel-Filho, U. P. Jacobina, P. A. Martinez, Preservation effects in geometric morphometric approaches: Freezing and alcohol in a freshwater fish. </w:t>
      </w:r>
      <w:r w:rsidRPr="006A79C1">
        <w:rPr>
          <w:rFonts w:ascii="Times New Roman" w:hAnsi="Times New Roman" w:cs="Times New Roman"/>
          <w:i/>
          <w:iCs/>
          <w:noProof/>
          <w:sz w:val="24"/>
        </w:rPr>
        <w:t>Ichthyol. Res.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60</w:t>
      </w:r>
      <w:r w:rsidRPr="006A79C1">
        <w:rPr>
          <w:rFonts w:ascii="Times New Roman" w:hAnsi="Times New Roman" w:cs="Times New Roman"/>
          <w:noProof/>
          <w:sz w:val="24"/>
        </w:rPr>
        <w:t>, 268–271 (2013).</w:t>
      </w:r>
    </w:p>
    <w:p w14:paraId="2ACFD9FF"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62. </w:t>
      </w:r>
      <w:r w:rsidRPr="006A79C1">
        <w:rPr>
          <w:rFonts w:ascii="Times New Roman" w:hAnsi="Times New Roman" w:cs="Times New Roman"/>
          <w:noProof/>
          <w:sz w:val="24"/>
        </w:rPr>
        <w:tab/>
        <w:t xml:space="preserve">C. D. McMahan,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Objectively measuring subjectively described traits: geographic variation in body shape and caudal coloration pattern within Vieja melanura (Teleostei: Cichlidae). </w:t>
      </w:r>
      <w:r w:rsidRPr="006A79C1">
        <w:rPr>
          <w:rFonts w:ascii="Times New Roman" w:hAnsi="Times New Roman" w:cs="Times New Roman"/>
          <w:i/>
          <w:iCs/>
          <w:noProof/>
          <w:sz w:val="24"/>
        </w:rPr>
        <w:t>Rev. Biol. Trop.</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65</w:t>
      </w:r>
      <w:r w:rsidRPr="006A79C1">
        <w:rPr>
          <w:rFonts w:ascii="Times New Roman" w:hAnsi="Times New Roman" w:cs="Times New Roman"/>
          <w:noProof/>
          <w:sz w:val="24"/>
        </w:rPr>
        <w:t>, 623–631 (2017).</w:t>
      </w:r>
    </w:p>
    <w:p w14:paraId="02EAC70F"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63. </w:t>
      </w:r>
      <w:r w:rsidRPr="006A79C1">
        <w:rPr>
          <w:rFonts w:ascii="Times New Roman" w:hAnsi="Times New Roman" w:cs="Times New Roman"/>
          <w:noProof/>
          <w:sz w:val="24"/>
        </w:rPr>
        <w:tab/>
        <w:t xml:space="preserve">A. M. Olsen, M. W. Westneat, StereoMorph: An R package for the collection of 3D landmarks and curves using a stereo camera set-up. </w:t>
      </w:r>
      <w:r w:rsidRPr="006A79C1">
        <w:rPr>
          <w:rFonts w:ascii="Times New Roman" w:hAnsi="Times New Roman" w:cs="Times New Roman"/>
          <w:i/>
          <w:iCs/>
          <w:noProof/>
          <w:sz w:val="24"/>
        </w:rPr>
        <w:t>Methods Ecol.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6</w:t>
      </w:r>
      <w:r w:rsidRPr="006A79C1">
        <w:rPr>
          <w:rFonts w:ascii="Times New Roman" w:hAnsi="Times New Roman" w:cs="Times New Roman"/>
          <w:noProof/>
          <w:sz w:val="24"/>
        </w:rPr>
        <w:t>, 351–356 (2015).</w:t>
      </w:r>
    </w:p>
    <w:p w14:paraId="03E33F81"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64. </w:t>
      </w:r>
      <w:r w:rsidRPr="006A79C1">
        <w:rPr>
          <w:rFonts w:ascii="Times New Roman" w:hAnsi="Times New Roman" w:cs="Times New Roman"/>
          <w:noProof/>
          <w:sz w:val="24"/>
        </w:rPr>
        <w:tab/>
        <w:t xml:space="preserve">D. C. Adams, E. Otárola-Castillo, Geomorph: An r package for the collection and analysis of geometric morphometric shape data. </w:t>
      </w:r>
      <w:r w:rsidRPr="006A79C1">
        <w:rPr>
          <w:rFonts w:ascii="Times New Roman" w:hAnsi="Times New Roman" w:cs="Times New Roman"/>
          <w:i/>
          <w:iCs/>
          <w:noProof/>
          <w:sz w:val="24"/>
        </w:rPr>
        <w:t>Methods Ecol.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4</w:t>
      </w:r>
      <w:r w:rsidRPr="006A79C1">
        <w:rPr>
          <w:rFonts w:ascii="Times New Roman" w:hAnsi="Times New Roman" w:cs="Times New Roman"/>
          <w:noProof/>
          <w:sz w:val="24"/>
        </w:rPr>
        <w:t>, 393–399 (2013).</w:t>
      </w:r>
    </w:p>
    <w:p w14:paraId="4007DC0E"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65. </w:t>
      </w:r>
      <w:r w:rsidRPr="006A79C1">
        <w:rPr>
          <w:rFonts w:ascii="Times New Roman" w:hAnsi="Times New Roman" w:cs="Times New Roman"/>
          <w:noProof/>
          <w:sz w:val="24"/>
        </w:rPr>
        <w:tab/>
        <w:t xml:space="preserve">C. Fruciano, Measurement error in geometric morphometrics. </w:t>
      </w:r>
      <w:r w:rsidRPr="006A79C1">
        <w:rPr>
          <w:rFonts w:ascii="Times New Roman" w:hAnsi="Times New Roman" w:cs="Times New Roman"/>
          <w:i/>
          <w:iCs/>
          <w:noProof/>
          <w:sz w:val="24"/>
        </w:rPr>
        <w:t>Dev. Genes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226</w:t>
      </w:r>
      <w:r w:rsidRPr="006A79C1">
        <w:rPr>
          <w:rFonts w:ascii="Times New Roman" w:hAnsi="Times New Roman" w:cs="Times New Roman"/>
          <w:noProof/>
          <w:sz w:val="24"/>
        </w:rPr>
        <w:t>, 139–158 (2016).</w:t>
      </w:r>
    </w:p>
    <w:p w14:paraId="0891EBA8"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66. </w:t>
      </w:r>
      <w:r w:rsidRPr="006A79C1">
        <w:rPr>
          <w:rFonts w:ascii="Times New Roman" w:hAnsi="Times New Roman" w:cs="Times New Roman"/>
          <w:noProof/>
          <w:sz w:val="24"/>
        </w:rPr>
        <w:tab/>
        <w:t xml:space="preserve">Q. Rougemont,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Long-distance migration is a major factor driving local adaptation at continental scale in Coho salmon. </w:t>
      </w:r>
      <w:r w:rsidRPr="006A79C1">
        <w:rPr>
          <w:rFonts w:ascii="Times New Roman" w:hAnsi="Times New Roman" w:cs="Times New Roman"/>
          <w:i/>
          <w:iCs/>
          <w:noProof/>
          <w:sz w:val="24"/>
        </w:rPr>
        <w:t>Mol. Ecol.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32</w:t>
      </w:r>
      <w:r w:rsidRPr="006A79C1">
        <w:rPr>
          <w:rFonts w:ascii="Times New Roman" w:hAnsi="Times New Roman" w:cs="Times New Roman"/>
          <w:noProof/>
          <w:sz w:val="24"/>
        </w:rPr>
        <w:t>, 542–559 (2023).</w:t>
      </w:r>
    </w:p>
    <w:p w14:paraId="610A49C5"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67. </w:t>
      </w:r>
      <w:r w:rsidRPr="006A79C1">
        <w:rPr>
          <w:rFonts w:ascii="Times New Roman" w:hAnsi="Times New Roman" w:cs="Times New Roman"/>
          <w:noProof/>
          <w:sz w:val="24"/>
        </w:rPr>
        <w:tab/>
        <w:t xml:space="preserve">L. Benestan,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Seascape genomics provides evidence for thermal adaptation and current-mediated population structure in American lobster (Homarus americanus). </w:t>
      </w:r>
      <w:r w:rsidRPr="006A79C1">
        <w:rPr>
          <w:rFonts w:ascii="Times New Roman" w:hAnsi="Times New Roman" w:cs="Times New Roman"/>
          <w:i/>
          <w:iCs/>
          <w:noProof/>
          <w:sz w:val="24"/>
        </w:rPr>
        <w:t>Mol. Ecol.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25</w:t>
      </w:r>
      <w:r w:rsidRPr="006A79C1">
        <w:rPr>
          <w:rFonts w:ascii="Times New Roman" w:hAnsi="Times New Roman" w:cs="Times New Roman"/>
          <w:noProof/>
          <w:sz w:val="24"/>
        </w:rPr>
        <w:t>, 5073–5092 (2016).</w:t>
      </w:r>
    </w:p>
    <w:p w14:paraId="62BCFE2E"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68. </w:t>
      </w:r>
      <w:r w:rsidRPr="006A79C1">
        <w:rPr>
          <w:rFonts w:ascii="Times New Roman" w:hAnsi="Times New Roman" w:cs="Times New Roman"/>
          <w:noProof/>
          <w:sz w:val="24"/>
        </w:rPr>
        <w:tab/>
        <w:t xml:space="preserve">L. Benestan,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Restricted dispersal in a sea of gene flow. </w:t>
      </w:r>
      <w:r w:rsidRPr="006A79C1">
        <w:rPr>
          <w:rFonts w:ascii="Times New Roman" w:hAnsi="Times New Roman" w:cs="Times New Roman"/>
          <w:i/>
          <w:iCs/>
          <w:noProof/>
          <w:sz w:val="24"/>
        </w:rPr>
        <w:t>Proc. R. Soc. B Biol. Sci.</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288</w:t>
      </w:r>
      <w:r w:rsidRPr="006A79C1">
        <w:rPr>
          <w:rFonts w:ascii="Times New Roman" w:hAnsi="Times New Roman" w:cs="Times New Roman"/>
          <w:noProof/>
          <w:sz w:val="24"/>
        </w:rPr>
        <w:t xml:space="preserve"> (2021).</w:t>
      </w:r>
    </w:p>
    <w:p w14:paraId="07700EF8"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69. </w:t>
      </w:r>
      <w:r w:rsidRPr="006A79C1">
        <w:rPr>
          <w:rFonts w:ascii="Times New Roman" w:hAnsi="Times New Roman" w:cs="Times New Roman"/>
          <w:noProof/>
          <w:sz w:val="24"/>
        </w:rPr>
        <w:tab/>
        <w:t>R. J. Hijmans, raster: Geographic Data Analysis and Modeling (2023).</w:t>
      </w:r>
    </w:p>
    <w:p w14:paraId="70FAF4EA"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70. </w:t>
      </w:r>
      <w:r w:rsidRPr="006A79C1">
        <w:rPr>
          <w:rFonts w:ascii="Times New Roman" w:hAnsi="Times New Roman" w:cs="Times New Roman"/>
          <w:noProof/>
          <w:sz w:val="24"/>
        </w:rPr>
        <w:tab/>
        <w:t xml:space="preserve">S. Dray, A. B. Dufour, The ade4 package: Implementing the duality diagram for ecologists. </w:t>
      </w:r>
      <w:r w:rsidRPr="006A79C1">
        <w:rPr>
          <w:rFonts w:ascii="Times New Roman" w:hAnsi="Times New Roman" w:cs="Times New Roman"/>
          <w:i/>
          <w:iCs/>
          <w:noProof/>
          <w:sz w:val="24"/>
        </w:rPr>
        <w:t>J. Stat. Softw.</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22</w:t>
      </w:r>
      <w:r w:rsidRPr="006A79C1">
        <w:rPr>
          <w:rFonts w:ascii="Times New Roman" w:hAnsi="Times New Roman" w:cs="Times New Roman"/>
          <w:noProof/>
          <w:sz w:val="24"/>
        </w:rPr>
        <w:t>, 1–20 (2007).</w:t>
      </w:r>
    </w:p>
    <w:p w14:paraId="6692B762"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71. </w:t>
      </w:r>
      <w:r w:rsidRPr="006A79C1">
        <w:rPr>
          <w:rFonts w:ascii="Times New Roman" w:hAnsi="Times New Roman" w:cs="Times New Roman"/>
          <w:noProof/>
          <w:sz w:val="24"/>
        </w:rPr>
        <w:tab/>
        <w:t xml:space="preserve">A. Xuereb,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Asymmetric oceanographic processes mediate connectivity and population genetic structure, as revealed by RADseq, in a highly dispersive marine invertebrate (Parastichopus californicus). </w:t>
      </w:r>
      <w:r w:rsidRPr="006A79C1">
        <w:rPr>
          <w:rFonts w:ascii="Times New Roman" w:hAnsi="Times New Roman" w:cs="Times New Roman"/>
          <w:i/>
          <w:iCs/>
          <w:noProof/>
          <w:sz w:val="24"/>
        </w:rPr>
        <w:t>Mol. Ecol.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27</w:t>
      </w:r>
      <w:r w:rsidRPr="006A79C1">
        <w:rPr>
          <w:rFonts w:ascii="Times New Roman" w:hAnsi="Times New Roman" w:cs="Times New Roman"/>
          <w:noProof/>
          <w:sz w:val="24"/>
        </w:rPr>
        <w:t>, 2347–2364 (2018).</w:t>
      </w:r>
    </w:p>
    <w:p w14:paraId="2592068A"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72. </w:t>
      </w:r>
      <w:r w:rsidRPr="006A79C1">
        <w:rPr>
          <w:rFonts w:ascii="Times New Roman" w:hAnsi="Times New Roman" w:cs="Times New Roman"/>
          <w:noProof/>
          <w:sz w:val="24"/>
        </w:rPr>
        <w:tab/>
        <w:t xml:space="preserve">P. Legendre, D. Borcard, P. R. Peres-Neto, Analyzing Beta Diversity: Partitioning the Spatial Variation of Community Composition Data. </w:t>
      </w:r>
      <w:r w:rsidRPr="006A79C1">
        <w:rPr>
          <w:rFonts w:ascii="Times New Roman" w:hAnsi="Times New Roman" w:cs="Times New Roman"/>
          <w:i/>
          <w:iCs/>
          <w:noProof/>
          <w:sz w:val="24"/>
        </w:rPr>
        <w:t>Ecol. Monogr.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75</w:t>
      </w:r>
      <w:r w:rsidRPr="006A79C1">
        <w:rPr>
          <w:rFonts w:ascii="Times New Roman" w:hAnsi="Times New Roman" w:cs="Times New Roman"/>
          <w:noProof/>
          <w:sz w:val="24"/>
        </w:rPr>
        <w:t>, 435–450 (2005).</w:t>
      </w:r>
    </w:p>
    <w:p w14:paraId="6E11B119"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73. </w:t>
      </w:r>
      <w:r w:rsidRPr="006A79C1">
        <w:rPr>
          <w:rFonts w:ascii="Times New Roman" w:hAnsi="Times New Roman" w:cs="Times New Roman"/>
          <w:noProof/>
          <w:sz w:val="24"/>
        </w:rPr>
        <w:tab/>
        <w:t xml:space="preserve">S. Dray, P. Legendre, P. R. Peres-Neto, Spatial modelling: a comprehensive framework for principal coordinate analysis of neighbour matrices (PCNM). </w:t>
      </w:r>
      <w:r w:rsidRPr="006A79C1">
        <w:rPr>
          <w:rFonts w:ascii="Times New Roman" w:hAnsi="Times New Roman" w:cs="Times New Roman"/>
          <w:i/>
          <w:iCs/>
          <w:noProof/>
          <w:sz w:val="24"/>
        </w:rPr>
        <w:t>Ecol. Modell.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196</w:t>
      </w:r>
      <w:r w:rsidRPr="006A79C1">
        <w:rPr>
          <w:rFonts w:ascii="Times New Roman" w:hAnsi="Times New Roman" w:cs="Times New Roman"/>
          <w:noProof/>
          <w:sz w:val="24"/>
        </w:rPr>
        <w:t>, 483–493 (2006).</w:t>
      </w:r>
    </w:p>
    <w:p w14:paraId="37C40B89"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74. </w:t>
      </w:r>
      <w:r w:rsidRPr="006A79C1">
        <w:rPr>
          <w:rFonts w:ascii="Times New Roman" w:hAnsi="Times New Roman" w:cs="Times New Roman"/>
          <w:noProof/>
          <w:sz w:val="24"/>
        </w:rPr>
        <w:tab/>
        <w:t xml:space="preserve">P. R. Peres-Neto, P. Legendre, Estimating and controlling for spatial structure in the study of ecological communities. </w:t>
      </w:r>
      <w:r w:rsidRPr="006A79C1">
        <w:rPr>
          <w:rFonts w:ascii="Times New Roman" w:hAnsi="Times New Roman" w:cs="Times New Roman"/>
          <w:i/>
          <w:iCs/>
          <w:noProof/>
          <w:sz w:val="24"/>
        </w:rPr>
        <w:t>Glob. Ecol. Biogeogr.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19</w:t>
      </w:r>
      <w:r w:rsidRPr="006A79C1">
        <w:rPr>
          <w:rFonts w:ascii="Times New Roman" w:hAnsi="Times New Roman" w:cs="Times New Roman"/>
          <w:noProof/>
          <w:sz w:val="24"/>
        </w:rPr>
        <w:t>, 174–184 (2010).</w:t>
      </w:r>
    </w:p>
    <w:p w14:paraId="76FB5F8E"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lastRenderedPageBreak/>
        <w:t xml:space="preserve">75. </w:t>
      </w:r>
      <w:r w:rsidRPr="006A79C1">
        <w:rPr>
          <w:rFonts w:ascii="Times New Roman" w:hAnsi="Times New Roman" w:cs="Times New Roman"/>
          <w:noProof/>
          <w:sz w:val="24"/>
        </w:rPr>
        <w:tab/>
        <w:t xml:space="preserve">E. Pante, B. Simon-Bouhet, marmap: A Package for Importing, Plotting and Analyzing Bathymetric and Topographic Data in R. </w:t>
      </w:r>
      <w:r w:rsidRPr="006A79C1">
        <w:rPr>
          <w:rFonts w:ascii="Times New Roman" w:hAnsi="Times New Roman" w:cs="Times New Roman"/>
          <w:i/>
          <w:iCs/>
          <w:noProof/>
          <w:sz w:val="24"/>
        </w:rPr>
        <w:t>PLoS One</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8</w:t>
      </w:r>
      <w:r w:rsidRPr="006A79C1">
        <w:rPr>
          <w:rFonts w:ascii="Times New Roman" w:hAnsi="Times New Roman" w:cs="Times New Roman"/>
          <w:noProof/>
          <w:sz w:val="24"/>
        </w:rPr>
        <w:t>, 6–9 (2013).</w:t>
      </w:r>
    </w:p>
    <w:p w14:paraId="248DD428"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76. </w:t>
      </w:r>
      <w:r w:rsidRPr="006A79C1">
        <w:rPr>
          <w:rFonts w:ascii="Times New Roman" w:hAnsi="Times New Roman" w:cs="Times New Roman"/>
          <w:noProof/>
          <w:sz w:val="24"/>
        </w:rPr>
        <w:tab/>
        <w:t xml:space="preserve">S. Dray, </w:t>
      </w:r>
      <w:r w:rsidRPr="006A79C1">
        <w:rPr>
          <w:rFonts w:ascii="Times New Roman" w:hAnsi="Times New Roman" w:cs="Times New Roman"/>
          <w:i/>
          <w:iCs/>
          <w:noProof/>
          <w:sz w:val="24"/>
        </w:rPr>
        <w:t>et al.</w:t>
      </w:r>
      <w:r w:rsidRPr="006A79C1">
        <w:rPr>
          <w:rFonts w:ascii="Times New Roman" w:hAnsi="Times New Roman" w:cs="Times New Roman"/>
          <w:noProof/>
          <w:sz w:val="24"/>
        </w:rPr>
        <w:t>, adespatial: Multivariate Multiscale Spatial Analysis (2023).</w:t>
      </w:r>
    </w:p>
    <w:p w14:paraId="7010C8E3"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77. </w:t>
      </w:r>
      <w:r w:rsidRPr="006A79C1">
        <w:rPr>
          <w:rFonts w:ascii="Times New Roman" w:hAnsi="Times New Roman" w:cs="Times New Roman"/>
          <w:noProof/>
          <w:sz w:val="24"/>
        </w:rPr>
        <w:tab/>
        <w:t xml:space="preserve">P. Legendre, J. Oksanen, C. J. F. ter Braak, Testing the significance of canonical axes in redundancy analysis. </w:t>
      </w:r>
      <w:r w:rsidRPr="006A79C1">
        <w:rPr>
          <w:rFonts w:ascii="Times New Roman" w:hAnsi="Times New Roman" w:cs="Times New Roman"/>
          <w:i/>
          <w:iCs/>
          <w:noProof/>
          <w:sz w:val="24"/>
        </w:rPr>
        <w:t>Methods Ecol.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w:t>
      </w:r>
      <w:r w:rsidRPr="006A79C1">
        <w:rPr>
          <w:rFonts w:ascii="Times New Roman" w:hAnsi="Times New Roman" w:cs="Times New Roman"/>
          <w:noProof/>
          <w:sz w:val="24"/>
        </w:rPr>
        <w:t>, 269–277 (2011).</w:t>
      </w:r>
    </w:p>
    <w:p w14:paraId="4EF79BCF"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78. </w:t>
      </w:r>
      <w:r w:rsidRPr="006A79C1">
        <w:rPr>
          <w:rFonts w:ascii="Times New Roman" w:hAnsi="Times New Roman" w:cs="Times New Roman"/>
          <w:noProof/>
          <w:sz w:val="24"/>
        </w:rPr>
        <w:tab/>
        <w:t xml:space="preserve">P. R. Peres-Neto, P. Legendre, S. Dray, D. Borcard, Variation partitioning of species data matrices: Estimation and comparison of fractions. </w:t>
      </w:r>
      <w:r w:rsidRPr="006A79C1">
        <w:rPr>
          <w:rFonts w:ascii="Times New Roman" w:hAnsi="Times New Roman" w:cs="Times New Roman"/>
          <w:i/>
          <w:iCs/>
          <w:noProof/>
          <w:sz w:val="24"/>
        </w:rPr>
        <w:t>Ecology</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87</w:t>
      </w:r>
      <w:r w:rsidRPr="006A79C1">
        <w:rPr>
          <w:rFonts w:ascii="Times New Roman" w:hAnsi="Times New Roman" w:cs="Times New Roman"/>
          <w:noProof/>
          <w:sz w:val="24"/>
        </w:rPr>
        <w:t>, 2614–2625 (2006).</w:t>
      </w:r>
    </w:p>
    <w:p w14:paraId="0C212B0B"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79. </w:t>
      </w:r>
      <w:r w:rsidRPr="006A79C1">
        <w:rPr>
          <w:rFonts w:ascii="Times New Roman" w:hAnsi="Times New Roman" w:cs="Times New Roman"/>
          <w:noProof/>
          <w:sz w:val="24"/>
        </w:rPr>
        <w:tab/>
        <w:t xml:space="preserve">D. Kahle, H. Wickham, ggmap: Spatial Visualization with ggplot2. </w:t>
      </w:r>
      <w:r w:rsidRPr="006A79C1">
        <w:rPr>
          <w:rFonts w:ascii="Times New Roman" w:hAnsi="Times New Roman" w:cs="Times New Roman"/>
          <w:i/>
          <w:iCs/>
          <w:noProof/>
          <w:sz w:val="24"/>
        </w:rPr>
        <w:t>R J.</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5</w:t>
      </w:r>
      <w:r w:rsidRPr="006A79C1">
        <w:rPr>
          <w:rFonts w:ascii="Times New Roman" w:hAnsi="Times New Roman" w:cs="Times New Roman"/>
          <w:noProof/>
          <w:sz w:val="24"/>
        </w:rPr>
        <w:t>, 144–161 (2013).</w:t>
      </w:r>
    </w:p>
    <w:p w14:paraId="6F7D0C7A"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80. </w:t>
      </w:r>
      <w:r w:rsidRPr="006A79C1">
        <w:rPr>
          <w:rFonts w:ascii="Times New Roman" w:hAnsi="Times New Roman" w:cs="Times New Roman"/>
          <w:noProof/>
          <w:sz w:val="24"/>
        </w:rPr>
        <w:tab/>
        <w:t xml:space="preserve">P. Legendre, M. J. Anderson, Distance-based redundancy analysis: Testing multispecies responses in multifactorial ecological experiments. </w:t>
      </w:r>
      <w:r w:rsidRPr="006A79C1">
        <w:rPr>
          <w:rFonts w:ascii="Times New Roman" w:hAnsi="Times New Roman" w:cs="Times New Roman"/>
          <w:i/>
          <w:iCs/>
          <w:noProof/>
          <w:sz w:val="24"/>
        </w:rPr>
        <w:t>Ecol. Monogr.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69</w:t>
      </w:r>
      <w:r w:rsidRPr="006A79C1">
        <w:rPr>
          <w:rFonts w:ascii="Times New Roman" w:hAnsi="Times New Roman" w:cs="Times New Roman"/>
          <w:noProof/>
          <w:sz w:val="24"/>
        </w:rPr>
        <w:t>, 1–24 (1999).</w:t>
      </w:r>
    </w:p>
    <w:p w14:paraId="2B54891A"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81. </w:t>
      </w:r>
      <w:r w:rsidRPr="006A79C1">
        <w:rPr>
          <w:rFonts w:ascii="Times New Roman" w:hAnsi="Times New Roman" w:cs="Times New Roman"/>
          <w:noProof/>
          <w:sz w:val="24"/>
        </w:rPr>
        <w:tab/>
        <w:t xml:space="preserve">L. M. Benestan,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Population genomics and history of speciation reveal fishery management gaps in two related redfish species (Sebastes mentella and Sebastes fasciatus). </w:t>
      </w:r>
      <w:r w:rsidRPr="006A79C1">
        <w:rPr>
          <w:rFonts w:ascii="Times New Roman" w:hAnsi="Times New Roman" w:cs="Times New Roman"/>
          <w:i/>
          <w:iCs/>
          <w:noProof/>
          <w:sz w:val="24"/>
        </w:rPr>
        <w:t>Evol. Appl.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14</w:t>
      </w:r>
      <w:r w:rsidRPr="006A79C1">
        <w:rPr>
          <w:rFonts w:ascii="Times New Roman" w:hAnsi="Times New Roman" w:cs="Times New Roman"/>
          <w:noProof/>
          <w:sz w:val="24"/>
        </w:rPr>
        <w:t>, 588–606 (2021).</w:t>
      </w:r>
    </w:p>
    <w:p w14:paraId="651C69C2"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82. </w:t>
      </w:r>
      <w:r w:rsidRPr="006A79C1">
        <w:rPr>
          <w:rFonts w:ascii="Times New Roman" w:hAnsi="Times New Roman" w:cs="Times New Roman"/>
          <w:noProof/>
          <w:sz w:val="24"/>
        </w:rPr>
        <w:tab/>
        <w:t xml:space="preserve">D. Borcard, P. Legendre, All-scale spatial analysis of ecological data by means of principal coordinates of neighbour matrices. </w:t>
      </w:r>
      <w:r w:rsidRPr="006A79C1">
        <w:rPr>
          <w:rFonts w:ascii="Times New Roman" w:hAnsi="Times New Roman" w:cs="Times New Roman"/>
          <w:i/>
          <w:iCs/>
          <w:noProof/>
          <w:sz w:val="24"/>
        </w:rPr>
        <w:t>Ecol. Modell.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153</w:t>
      </w:r>
      <w:r w:rsidRPr="006A79C1">
        <w:rPr>
          <w:rFonts w:ascii="Times New Roman" w:hAnsi="Times New Roman" w:cs="Times New Roman"/>
          <w:noProof/>
          <w:sz w:val="24"/>
        </w:rPr>
        <w:t>, 51–68 (2002).</w:t>
      </w:r>
    </w:p>
    <w:p w14:paraId="0E1223FA"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83. </w:t>
      </w:r>
      <w:r w:rsidRPr="006A79C1">
        <w:rPr>
          <w:rFonts w:ascii="Times New Roman" w:hAnsi="Times New Roman" w:cs="Times New Roman"/>
          <w:noProof/>
          <w:sz w:val="24"/>
        </w:rPr>
        <w:tab/>
        <w:t>G. Guénard, P. Legendre, B. Pages, codep: Multiscale Codependence Analysis. R package version 0.5-1 (2015).</w:t>
      </w:r>
    </w:p>
    <w:p w14:paraId="68FAE1E5"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84. </w:t>
      </w:r>
      <w:r w:rsidRPr="006A79C1">
        <w:rPr>
          <w:rFonts w:ascii="Times New Roman" w:hAnsi="Times New Roman" w:cs="Times New Roman"/>
          <w:noProof/>
          <w:sz w:val="24"/>
        </w:rPr>
        <w:tab/>
        <w:t xml:space="preserve">M. Kearse,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Geneious Basic: an integrated and extendable desktop software platform for the organization and analysis of sequence data. </w:t>
      </w:r>
      <w:r w:rsidRPr="006A79C1">
        <w:rPr>
          <w:rFonts w:ascii="Times New Roman" w:hAnsi="Times New Roman" w:cs="Times New Roman"/>
          <w:i/>
          <w:iCs/>
          <w:noProof/>
          <w:sz w:val="24"/>
        </w:rPr>
        <w:t>Bioinformatics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28</w:t>
      </w:r>
      <w:r w:rsidRPr="006A79C1">
        <w:rPr>
          <w:rFonts w:ascii="Times New Roman" w:hAnsi="Times New Roman" w:cs="Times New Roman"/>
          <w:noProof/>
          <w:sz w:val="24"/>
        </w:rPr>
        <w:t>, 1647–1649 (2012).</w:t>
      </w:r>
    </w:p>
    <w:p w14:paraId="7BB8F13E"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85. </w:t>
      </w:r>
      <w:r w:rsidRPr="006A79C1">
        <w:rPr>
          <w:rFonts w:ascii="Times New Roman" w:hAnsi="Times New Roman" w:cs="Times New Roman"/>
          <w:noProof/>
          <w:sz w:val="24"/>
        </w:rPr>
        <w:tab/>
        <w:t xml:space="preserve">S. V. Edwards,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Implementing and testing the multispecies coalescent model: A valuable paradigm for phylogenomics. </w:t>
      </w:r>
      <w:r w:rsidRPr="006A79C1">
        <w:rPr>
          <w:rFonts w:ascii="Times New Roman" w:hAnsi="Times New Roman" w:cs="Times New Roman"/>
          <w:i/>
          <w:iCs/>
          <w:noProof/>
          <w:sz w:val="24"/>
        </w:rPr>
        <w:t>Mol. Phylogenet.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94</w:t>
      </w:r>
      <w:r w:rsidRPr="006A79C1">
        <w:rPr>
          <w:rFonts w:ascii="Times New Roman" w:hAnsi="Times New Roman" w:cs="Times New Roman"/>
          <w:noProof/>
          <w:sz w:val="24"/>
        </w:rPr>
        <w:t>, 447–462 (2016).</w:t>
      </w:r>
    </w:p>
    <w:p w14:paraId="010BDCAD"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86. </w:t>
      </w:r>
      <w:r w:rsidRPr="006A79C1">
        <w:rPr>
          <w:rFonts w:ascii="Times New Roman" w:hAnsi="Times New Roman" w:cs="Times New Roman"/>
          <w:noProof/>
          <w:sz w:val="24"/>
        </w:rPr>
        <w:tab/>
        <w:t xml:space="preserve">L. Liu, L. Yu, S. V. Edwards, A maximum pseudo-likelihood approach for estimating species trees under the coalescent model. </w:t>
      </w:r>
      <w:r w:rsidRPr="006A79C1">
        <w:rPr>
          <w:rFonts w:ascii="Times New Roman" w:hAnsi="Times New Roman" w:cs="Times New Roman"/>
          <w:i/>
          <w:iCs/>
          <w:noProof/>
          <w:sz w:val="24"/>
        </w:rPr>
        <w:t>BMC Evol.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10</w:t>
      </w:r>
      <w:r w:rsidRPr="006A79C1">
        <w:rPr>
          <w:rFonts w:ascii="Times New Roman" w:hAnsi="Times New Roman" w:cs="Times New Roman"/>
          <w:noProof/>
          <w:sz w:val="24"/>
        </w:rPr>
        <w:t>, 25–27 (2010).</w:t>
      </w:r>
    </w:p>
    <w:p w14:paraId="3F1D83C8"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87. </w:t>
      </w:r>
      <w:r w:rsidRPr="006A79C1">
        <w:rPr>
          <w:rFonts w:ascii="Times New Roman" w:hAnsi="Times New Roman" w:cs="Times New Roman"/>
          <w:noProof/>
          <w:sz w:val="24"/>
        </w:rPr>
        <w:tab/>
        <w:t xml:space="preserve">X. Jiang, S. V. Edwards, L. Liu, B. Faircloth, The Multispecies Coalescent Model Outperforms Concatenation across Diverse Phylogenomic Data Sets. </w:t>
      </w:r>
      <w:r w:rsidRPr="006A79C1">
        <w:rPr>
          <w:rFonts w:ascii="Times New Roman" w:hAnsi="Times New Roman" w:cs="Times New Roman"/>
          <w:i/>
          <w:iCs/>
          <w:noProof/>
          <w:sz w:val="24"/>
        </w:rPr>
        <w:t>Syst.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69</w:t>
      </w:r>
      <w:r w:rsidRPr="006A79C1">
        <w:rPr>
          <w:rFonts w:ascii="Times New Roman" w:hAnsi="Times New Roman" w:cs="Times New Roman"/>
          <w:noProof/>
          <w:sz w:val="24"/>
        </w:rPr>
        <w:t>, 795–812 (2020).</w:t>
      </w:r>
    </w:p>
    <w:p w14:paraId="6A556C91"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88. </w:t>
      </w:r>
      <w:r w:rsidRPr="006A79C1">
        <w:rPr>
          <w:rFonts w:ascii="Times New Roman" w:hAnsi="Times New Roman" w:cs="Times New Roman"/>
          <w:noProof/>
          <w:sz w:val="24"/>
        </w:rPr>
        <w:tab/>
        <w:t xml:space="preserve">J. D. M. Bryan C. Carstens, Phylogenetic Model Choice: Justifying a Species Tree or Concatenation Analysis. </w:t>
      </w:r>
      <w:r w:rsidRPr="006A79C1">
        <w:rPr>
          <w:rFonts w:ascii="Times New Roman" w:hAnsi="Times New Roman" w:cs="Times New Roman"/>
          <w:i/>
          <w:iCs/>
          <w:noProof/>
          <w:sz w:val="24"/>
        </w:rPr>
        <w:t>J. Phylogenetics Evol.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01</w:t>
      </w:r>
      <w:r w:rsidRPr="006A79C1">
        <w:rPr>
          <w:rFonts w:ascii="Times New Roman" w:hAnsi="Times New Roman" w:cs="Times New Roman"/>
          <w:noProof/>
          <w:sz w:val="24"/>
        </w:rPr>
        <w:t>, 1–8 (2013).</w:t>
      </w:r>
    </w:p>
    <w:p w14:paraId="6A32E4F8"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89. </w:t>
      </w:r>
      <w:r w:rsidRPr="006A79C1">
        <w:rPr>
          <w:rFonts w:ascii="Times New Roman" w:hAnsi="Times New Roman" w:cs="Times New Roman"/>
          <w:noProof/>
          <w:sz w:val="24"/>
        </w:rPr>
        <w:tab/>
        <w:t xml:space="preserve">J. Chifman, L. Kubatko, Quartet inference from SNP data under the coalescent model. </w:t>
      </w:r>
      <w:r w:rsidRPr="006A79C1">
        <w:rPr>
          <w:rFonts w:ascii="Times New Roman" w:hAnsi="Times New Roman" w:cs="Times New Roman"/>
          <w:i/>
          <w:iCs/>
          <w:noProof/>
          <w:sz w:val="24"/>
        </w:rPr>
        <w:t>Bioinformatics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30</w:t>
      </w:r>
      <w:r w:rsidRPr="006A79C1">
        <w:rPr>
          <w:rFonts w:ascii="Times New Roman" w:hAnsi="Times New Roman" w:cs="Times New Roman"/>
          <w:noProof/>
          <w:sz w:val="24"/>
        </w:rPr>
        <w:t>, 3317–3324 (2014).</w:t>
      </w:r>
    </w:p>
    <w:p w14:paraId="3D86E652"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90. </w:t>
      </w:r>
      <w:r w:rsidRPr="006A79C1">
        <w:rPr>
          <w:rFonts w:ascii="Times New Roman" w:hAnsi="Times New Roman" w:cs="Times New Roman"/>
          <w:noProof/>
          <w:sz w:val="24"/>
        </w:rPr>
        <w:tab/>
        <w:t>D. L. Swofford, D. L. Swofford, D. L. Swofford, PAUP*: Phylogenetic analysis using parsimony (*and other methods), Version 4.0b10 in (2002).</w:t>
      </w:r>
    </w:p>
    <w:p w14:paraId="7B3EA4AA"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91. </w:t>
      </w:r>
      <w:r w:rsidRPr="006A79C1">
        <w:rPr>
          <w:rFonts w:ascii="Times New Roman" w:hAnsi="Times New Roman" w:cs="Times New Roman"/>
          <w:noProof/>
          <w:sz w:val="24"/>
        </w:rPr>
        <w:tab/>
        <w:t xml:space="preserve">R. Bouckaert,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BEAST 2: A Software Platform for Bayesian Evolutionary Analysis. </w:t>
      </w:r>
      <w:r w:rsidRPr="006A79C1">
        <w:rPr>
          <w:rFonts w:ascii="Times New Roman" w:hAnsi="Times New Roman" w:cs="Times New Roman"/>
          <w:i/>
          <w:iCs/>
          <w:noProof/>
          <w:sz w:val="24"/>
        </w:rPr>
        <w:t>PLoS Comput.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10</w:t>
      </w:r>
      <w:r w:rsidRPr="006A79C1">
        <w:rPr>
          <w:rFonts w:ascii="Times New Roman" w:hAnsi="Times New Roman" w:cs="Times New Roman"/>
          <w:noProof/>
          <w:sz w:val="24"/>
        </w:rPr>
        <w:t>, 1–6 (2014).</w:t>
      </w:r>
    </w:p>
    <w:p w14:paraId="2D3FF589"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lastRenderedPageBreak/>
        <w:t xml:space="preserve">92. </w:t>
      </w:r>
      <w:r w:rsidRPr="006A79C1">
        <w:rPr>
          <w:rFonts w:ascii="Times New Roman" w:hAnsi="Times New Roman" w:cs="Times New Roman"/>
          <w:noProof/>
          <w:sz w:val="24"/>
        </w:rPr>
        <w:tab/>
        <w:t xml:space="preserve">M. Stange, M. R. Sánchez-Villagra, W. Salzburger, M. Matschiner, Bayesian divergence-time estimation with genome-wide single-nucleotide polymorphism data of sea catfishes (Ariidae) supports miocene closure of the Panamanian Isthmus. </w:t>
      </w:r>
      <w:r w:rsidRPr="006A79C1">
        <w:rPr>
          <w:rFonts w:ascii="Times New Roman" w:hAnsi="Times New Roman" w:cs="Times New Roman"/>
          <w:i/>
          <w:iCs/>
          <w:noProof/>
          <w:sz w:val="24"/>
        </w:rPr>
        <w:t>Syst.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67</w:t>
      </w:r>
      <w:r w:rsidRPr="006A79C1">
        <w:rPr>
          <w:rFonts w:ascii="Times New Roman" w:hAnsi="Times New Roman" w:cs="Times New Roman"/>
          <w:noProof/>
          <w:sz w:val="24"/>
        </w:rPr>
        <w:t>, 681–699 (2018).</w:t>
      </w:r>
    </w:p>
    <w:p w14:paraId="09BB5247"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93. </w:t>
      </w:r>
      <w:r w:rsidRPr="006A79C1">
        <w:rPr>
          <w:rFonts w:ascii="Times New Roman" w:hAnsi="Times New Roman" w:cs="Times New Roman"/>
          <w:noProof/>
          <w:sz w:val="24"/>
        </w:rPr>
        <w:tab/>
        <w:t xml:space="preserve">R. McGirr, M. Seton, S. Williams, Kinematic and geodynamic evolution of the Isthmus of Panamaregion: Implications for Central American Seaway closure. </w:t>
      </w:r>
      <w:r w:rsidRPr="006A79C1">
        <w:rPr>
          <w:rFonts w:ascii="Times New Roman" w:hAnsi="Times New Roman" w:cs="Times New Roman"/>
          <w:i/>
          <w:iCs/>
          <w:noProof/>
          <w:sz w:val="24"/>
        </w:rPr>
        <w:t>GSA Bull.</w:t>
      </w:r>
      <w:r w:rsidRPr="006A79C1">
        <w:rPr>
          <w:rFonts w:ascii="Times New Roman" w:hAnsi="Times New Roman" w:cs="Times New Roman"/>
          <w:noProof/>
          <w:sz w:val="24"/>
        </w:rPr>
        <w:t>, 1–18 (2020).</w:t>
      </w:r>
    </w:p>
    <w:p w14:paraId="72502889"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94. </w:t>
      </w:r>
      <w:r w:rsidRPr="006A79C1">
        <w:rPr>
          <w:rFonts w:ascii="Times New Roman" w:hAnsi="Times New Roman" w:cs="Times New Roman"/>
          <w:noProof/>
          <w:sz w:val="24"/>
        </w:rPr>
        <w:tab/>
        <w:t xml:space="preserve">G. Carnevale, The first fossil ribbonfish (Teleostei, Lampridiformes, Trachipteridae). </w:t>
      </w:r>
      <w:r w:rsidRPr="006A79C1">
        <w:rPr>
          <w:rFonts w:ascii="Times New Roman" w:hAnsi="Times New Roman" w:cs="Times New Roman"/>
          <w:i/>
          <w:iCs/>
          <w:noProof/>
          <w:sz w:val="24"/>
        </w:rPr>
        <w:t>Geol. Mag.</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141</w:t>
      </w:r>
      <w:r w:rsidRPr="006A79C1">
        <w:rPr>
          <w:rFonts w:ascii="Times New Roman" w:hAnsi="Times New Roman" w:cs="Times New Roman"/>
          <w:noProof/>
          <w:sz w:val="24"/>
        </w:rPr>
        <w:t>, 573–582 (2004).</w:t>
      </w:r>
    </w:p>
    <w:p w14:paraId="082FF933"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95. </w:t>
      </w:r>
      <w:r w:rsidRPr="006A79C1">
        <w:rPr>
          <w:rFonts w:ascii="Times New Roman" w:hAnsi="Times New Roman" w:cs="Times New Roman"/>
          <w:noProof/>
          <w:sz w:val="24"/>
        </w:rPr>
        <w:tab/>
        <w:t>A. Rambaut, M. A. Suchard, D. Xie, A. J. Drummond, Tracer v1.6. (2014).</w:t>
      </w:r>
    </w:p>
    <w:p w14:paraId="3377BC85"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96. </w:t>
      </w:r>
      <w:r w:rsidRPr="006A79C1">
        <w:rPr>
          <w:rFonts w:ascii="Times New Roman" w:hAnsi="Times New Roman" w:cs="Times New Roman"/>
          <w:noProof/>
          <w:sz w:val="24"/>
        </w:rPr>
        <w:tab/>
        <w:t xml:space="preserve">D. L. Rabosky,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An inverse latitudinal gradient in speciation rate for marine fishes. </w:t>
      </w:r>
      <w:r w:rsidRPr="006A79C1">
        <w:rPr>
          <w:rFonts w:ascii="Times New Roman" w:hAnsi="Times New Roman" w:cs="Times New Roman"/>
          <w:i/>
          <w:iCs/>
          <w:noProof/>
          <w:sz w:val="24"/>
        </w:rPr>
        <w:t>Nature</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559</w:t>
      </w:r>
      <w:r w:rsidRPr="006A79C1">
        <w:rPr>
          <w:rFonts w:ascii="Times New Roman" w:hAnsi="Times New Roman" w:cs="Times New Roman"/>
          <w:noProof/>
          <w:sz w:val="24"/>
        </w:rPr>
        <w:t>, 392–395 (2018).</w:t>
      </w:r>
    </w:p>
    <w:p w14:paraId="13880D7D"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97. </w:t>
      </w:r>
      <w:r w:rsidRPr="006A79C1">
        <w:rPr>
          <w:rFonts w:ascii="Times New Roman" w:hAnsi="Times New Roman" w:cs="Times New Roman"/>
          <w:noProof/>
          <w:sz w:val="24"/>
        </w:rPr>
        <w:tab/>
        <w:t xml:space="preserve">K. Tamura,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Estimating divergence times in large molecular phylogenies. </w:t>
      </w:r>
      <w:r w:rsidRPr="006A79C1">
        <w:rPr>
          <w:rFonts w:ascii="Times New Roman" w:hAnsi="Times New Roman" w:cs="Times New Roman"/>
          <w:i/>
          <w:iCs/>
          <w:noProof/>
          <w:sz w:val="24"/>
        </w:rPr>
        <w:t>Proc. Natl. Acad. Sci. U. S. A.</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109</w:t>
      </w:r>
      <w:r w:rsidRPr="006A79C1">
        <w:rPr>
          <w:rFonts w:ascii="Times New Roman" w:hAnsi="Times New Roman" w:cs="Times New Roman"/>
          <w:noProof/>
          <w:sz w:val="24"/>
        </w:rPr>
        <w:t>, 19333–19338 (2012).</w:t>
      </w:r>
    </w:p>
    <w:p w14:paraId="657A3FB6"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98. </w:t>
      </w:r>
      <w:r w:rsidRPr="006A79C1">
        <w:rPr>
          <w:rFonts w:ascii="Times New Roman" w:hAnsi="Times New Roman" w:cs="Times New Roman"/>
          <w:noProof/>
          <w:sz w:val="24"/>
        </w:rPr>
        <w:tab/>
        <w:t xml:space="preserve">S. Kumar, G. Stecher, M. Li, C. Knyaz, K. Tamura, MEGA X: Molecular evolutionary genetics analysis across computing platforms. </w:t>
      </w:r>
      <w:r w:rsidRPr="006A79C1">
        <w:rPr>
          <w:rFonts w:ascii="Times New Roman" w:hAnsi="Times New Roman" w:cs="Times New Roman"/>
          <w:i/>
          <w:iCs/>
          <w:noProof/>
          <w:sz w:val="24"/>
        </w:rPr>
        <w:t>Mol. Biol. Evol.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35</w:t>
      </w:r>
      <w:r w:rsidRPr="006A79C1">
        <w:rPr>
          <w:rFonts w:ascii="Times New Roman" w:hAnsi="Times New Roman" w:cs="Times New Roman"/>
          <w:noProof/>
          <w:sz w:val="24"/>
        </w:rPr>
        <w:t>, 1547–1549 (2018).</w:t>
      </w:r>
    </w:p>
    <w:p w14:paraId="1DEB1803"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99. </w:t>
      </w:r>
      <w:r w:rsidRPr="006A79C1">
        <w:rPr>
          <w:rFonts w:ascii="Times New Roman" w:hAnsi="Times New Roman" w:cs="Times New Roman"/>
          <w:noProof/>
          <w:sz w:val="24"/>
        </w:rPr>
        <w:tab/>
        <w:t xml:space="preserve">E. Paradis, K. Schliep, Ape 5.0: An environment for modern phylogenetics and evolutionary analyses in R. </w:t>
      </w:r>
      <w:r w:rsidRPr="006A79C1">
        <w:rPr>
          <w:rFonts w:ascii="Times New Roman" w:hAnsi="Times New Roman" w:cs="Times New Roman"/>
          <w:i/>
          <w:iCs/>
          <w:noProof/>
          <w:sz w:val="24"/>
        </w:rPr>
        <w:t>Bioinformatics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35</w:t>
      </w:r>
      <w:r w:rsidRPr="006A79C1">
        <w:rPr>
          <w:rFonts w:ascii="Times New Roman" w:hAnsi="Times New Roman" w:cs="Times New Roman"/>
          <w:noProof/>
          <w:sz w:val="24"/>
        </w:rPr>
        <w:t>, 526–528 (2019).</w:t>
      </w:r>
    </w:p>
    <w:p w14:paraId="5F04FE55"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100. </w:t>
      </w:r>
      <w:r w:rsidRPr="006A79C1">
        <w:rPr>
          <w:rFonts w:ascii="Times New Roman" w:hAnsi="Times New Roman" w:cs="Times New Roman"/>
          <w:noProof/>
          <w:sz w:val="24"/>
        </w:rPr>
        <w:tab/>
        <w:t xml:space="preserve">J. R. Oaks, Full Bayesian comparative phylogeography from genomic data. </w:t>
      </w:r>
      <w:r w:rsidRPr="006A79C1">
        <w:rPr>
          <w:rFonts w:ascii="Times New Roman" w:hAnsi="Times New Roman" w:cs="Times New Roman"/>
          <w:i/>
          <w:iCs/>
          <w:noProof/>
          <w:sz w:val="24"/>
        </w:rPr>
        <w:t>Syst.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68</w:t>
      </w:r>
      <w:r w:rsidRPr="006A79C1">
        <w:rPr>
          <w:rFonts w:ascii="Times New Roman" w:hAnsi="Times New Roman" w:cs="Times New Roman"/>
          <w:noProof/>
          <w:sz w:val="24"/>
        </w:rPr>
        <w:t>, 371–395 (2019).</w:t>
      </w:r>
    </w:p>
    <w:p w14:paraId="5D9DFB83"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101. </w:t>
      </w:r>
      <w:r w:rsidRPr="006A79C1">
        <w:rPr>
          <w:rFonts w:ascii="Times New Roman" w:hAnsi="Times New Roman" w:cs="Times New Roman"/>
          <w:noProof/>
          <w:sz w:val="24"/>
        </w:rPr>
        <w:tab/>
        <w:t xml:space="preserve">J. R. Oaks, C. D. Siler, R. M. Brown, The comparative biogeography of Philippine geckos challenges predictions from a paradigm of climate-driven vicariant diversification across an island archipelago. </w:t>
      </w:r>
      <w:r w:rsidRPr="006A79C1">
        <w:rPr>
          <w:rFonts w:ascii="Times New Roman" w:hAnsi="Times New Roman" w:cs="Times New Roman"/>
          <w:i/>
          <w:iCs/>
          <w:noProof/>
          <w:sz w:val="24"/>
        </w:rPr>
        <w:t>Evolution (N. Y).</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73</w:t>
      </w:r>
      <w:r w:rsidRPr="006A79C1">
        <w:rPr>
          <w:rFonts w:ascii="Times New Roman" w:hAnsi="Times New Roman" w:cs="Times New Roman"/>
          <w:noProof/>
          <w:sz w:val="24"/>
        </w:rPr>
        <w:t>, 1151–1167 (2019).</w:t>
      </w:r>
    </w:p>
    <w:p w14:paraId="10C6BB5E"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102. </w:t>
      </w:r>
      <w:r w:rsidRPr="006A79C1">
        <w:rPr>
          <w:rFonts w:ascii="Times New Roman" w:hAnsi="Times New Roman" w:cs="Times New Roman"/>
          <w:noProof/>
          <w:sz w:val="24"/>
        </w:rPr>
        <w:tab/>
        <w:t xml:space="preserve">A. Papadopoulou, L. L. Knowles, Toward a paradigm shift in comparative phylogeography driven by trait-based hypotheses. </w:t>
      </w:r>
      <w:r w:rsidRPr="006A79C1">
        <w:rPr>
          <w:rFonts w:ascii="Times New Roman" w:hAnsi="Times New Roman" w:cs="Times New Roman"/>
          <w:i/>
          <w:iCs/>
          <w:noProof/>
          <w:sz w:val="24"/>
        </w:rPr>
        <w:t>Proc. Natl. Acad. Sci. U. S. A.</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113</w:t>
      </w:r>
      <w:r w:rsidRPr="006A79C1">
        <w:rPr>
          <w:rFonts w:ascii="Times New Roman" w:hAnsi="Times New Roman" w:cs="Times New Roman"/>
          <w:noProof/>
          <w:sz w:val="24"/>
        </w:rPr>
        <w:t>, 8018–24 (2016).</w:t>
      </w:r>
    </w:p>
    <w:p w14:paraId="330EB268"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103. </w:t>
      </w:r>
      <w:r w:rsidRPr="006A79C1">
        <w:rPr>
          <w:rFonts w:ascii="Times New Roman" w:hAnsi="Times New Roman" w:cs="Times New Roman"/>
          <w:noProof/>
          <w:sz w:val="24"/>
        </w:rPr>
        <w:tab/>
        <w:t>N. J. Matzke, nmatzke/BioGeoBEARS: BioGeoBEARS: BioGeography with Bayesian (and likelihood) Evolutionary Analysis with R Scripts (2018) https:/doi.org/10.5281/zenodo.1463216.</w:t>
      </w:r>
    </w:p>
    <w:p w14:paraId="55DF0E88"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104. </w:t>
      </w:r>
      <w:r w:rsidRPr="006A79C1">
        <w:rPr>
          <w:rFonts w:ascii="Times New Roman" w:hAnsi="Times New Roman" w:cs="Times New Roman"/>
          <w:noProof/>
          <w:sz w:val="24"/>
        </w:rPr>
        <w:tab/>
        <w:t xml:space="preserve">P. A. Hastings, Biogeography of the Tropical Eastern Pacific : distribution and phylogeny of chaenopsid fishes. </w:t>
      </w:r>
      <w:r w:rsidRPr="006A79C1">
        <w:rPr>
          <w:rFonts w:ascii="Times New Roman" w:hAnsi="Times New Roman" w:cs="Times New Roman"/>
          <w:i/>
          <w:iCs/>
          <w:noProof/>
          <w:sz w:val="24"/>
        </w:rPr>
        <w:t>Zool. J. Linn. Soc.</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128</w:t>
      </w:r>
      <w:r w:rsidRPr="006A79C1">
        <w:rPr>
          <w:rFonts w:ascii="Times New Roman" w:hAnsi="Times New Roman" w:cs="Times New Roman"/>
          <w:noProof/>
          <w:sz w:val="24"/>
        </w:rPr>
        <w:t>, 319–335 (2000).</w:t>
      </w:r>
    </w:p>
    <w:p w14:paraId="693D4D92"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105. </w:t>
      </w:r>
      <w:r w:rsidRPr="006A79C1">
        <w:rPr>
          <w:rFonts w:ascii="Times New Roman" w:hAnsi="Times New Roman" w:cs="Times New Roman"/>
          <w:noProof/>
          <w:sz w:val="24"/>
        </w:rPr>
        <w:tab/>
        <w:t xml:space="preserve">M. D. Spalding,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Marine Ecoregions of the World : A Bioregionalization of Coastal and Shelf Areas. </w:t>
      </w:r>
      <w:r w:rsidRPr="006A79C1">
        <w:rPr>
          <w:rFonts w:ascii="Times New Roman" w:hAnsi="Times New Roman" w:cs="Times New Roman"/>
          <w:b/>
          <w:bCs/>
          <w:noProof/>
          <w:sz w:val="24"/>
        </w:rPr>
        <w:t>57</w:t>
      </w:r>
      <w:r w:rsidRPr="006A79C1">
        <w:rPr>
          <w:rFonts w:ascii="Times New Roman" w:hAnsi="Times New Roman" w:cs="Times New Roman"/>
          <w:noProof/>
          <w:sz w:val="24"/>
        </w:rPr>
        <w:t>, 573–583 (2007).</w:t>
      </w:r>
    </w:p>
    <w:p w14:paraId="6FD5D5E5"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106. </w:t>
      </w:r>
      <w:r w:rsidRPr="006A79C1">
        <w:rPr>
          <w:rFonts w:ascii="Times New Roman" w:hAnsi="Times New Roman" w:cs="Times New Roman"/>
          <w:noProof/>
          <w:sz w:val="24"/>
        </w:rPr>
        <w:tab/>
        <w:t xml:space="preserve">D. R. Robertson, K. L. Cramer, Defining and dividing the Greater Caribbean: Insights from the biogeography of shorefishes. </w:t>
      </w:r>
      <w:r w:rsidRPr="006A79C1">
        <w:rPr>
          <w:rFonts w:ascii="Times New Roman" w:hAnsi="Times New Roman" w:cs="Times New Roman"/>
          <w:i/>
          <w:iCs/>
          <w:noProof/>
          <w:sz w:val="24"/>
        </w:rPr>
        <w:t>PLoS One</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9</w:t>
      </w:r>
      <w:r w:rsidRPr="006A79C1">
        <w:rPr>
          <w:rFonts w:ascii="Times New Roman" w:hAnsi="Times New Roman" w:cs="Times New Roman"/>
          <w:noProof/>
          <w:sz w:val="24"/>
        </w:rPr>
        <w:t xml:space="preserve"> (2014).</w:t>
      </w:r>
    </w:p>
    <w:p w14:paraId="797B95B1"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107. </w:t>
      </w:r>
      <w:r w:rsidRPr="006A79C1">
        <w:rPr>
          <w:rFonts w:ascii="Times New Roman" w:hAnsi="Times New Roman" w:cs="Times New Roman"/>
          <w:noProof/>
          <w:sz w:val="24"/>
        </w:rPr>
        <w:tab/>
        <w:t xml:space="preserve">P. April, O. Pen, D. R. Robertson, K. L. Cramer, Shore fishes and biogeographic subdivisions of the Tropical Eastern Pacific. </w:t>
      </w:r>
      <w:r w:rsidRPr="006A79C1">
        <w:rPr>
          <w:rFonts w:ascii="Times New Roman" w:hAnsi="Times New Roman" w:cs="Times New Roman"/>
          <w:b/>
          <w:bCs/>
          <w:noProof/>
          <w:sz w:val="24"/>
        </w:rPr>
        <w:t>380</w:t>
      </w:r>
      <w:r w:rsidRPr="006A79C1">
        <w:rPr>
          <w:rFonts w:ascii="Times New Roman" w:hAnsi="Times New Roman" w:cs="Times New Roman"/>
          <w:noProof/>
          <w:sz w:val="24"/>
        </w:rPr>
        <w:t>, 1–17 (2009).</w:t>
      </w:r>
    </w:p>
    <w:p w14:paraId="152AAFE6"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lastRenderedPageBreak/>
        <w:t xml:space="preserve">108. </w:t>
      </w:r>
      <w:r w:rsidRPr="006A79C1">
        <w:rPr>
          <w:rFonts w:ascii="Times New Roman" w:hAnsi="Times New Roman" w:cs="Times New Roman"/>
          <w:noProof/>
          <w:sz w:val="24"/>
        </w:rPr>
        <w:tab/>
        <w:t xml:space="preserve">A. C. Siqueira, D. R. Bellwood, P. F. Cowman, Historical biogeography of herbivorous coral reef fishes: The formation of an Atlantic fauna. </w:t>
      </w:r>
      <w:r w:rsidRPr="006A79C1">
        <w:rPr>
          <w:rFonts w:ascii="Times New Roman" w:hAnsi="Times New Roman" w:cs="Times New Roman"/>
          <w:i/>
          <w:iCs/>
          <w:noProof/>
          <w:sz w:val="24"/>
        </w:rPr>
        <w:t>J. Biogeogr.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46</w:t>
      </w:r>
      <w:r w:rsidRPr="006A79C1">
        <w:rPr>
          <w:rFonts w:ascii="Times New Roman" w:hAnsi="Times New Roman" w:cs="Times New Roman"/>
          <w:noProof/>
          <w:sz w:val="24"/>
        </w:rPr>
        <w:t>, 1611–1624 (2019).</w:t>
      </w:r>
    </w:p>
    <w:p w14:paraId="21AAC321"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109. </w:t>
      </w:r>
      <w:r w:rsidRPr="006A79C1">
        <w:rPr>
          <w:rFonts w:ascii="Times New Roman" w:hAnsi="Times New Roman" w:cs="Times New Roman"/>
          <w:noProof/>
          <w:sz w:val="24"/>
        </w:rPr>
        <w:tab/>
        <w:t xml:space="preserve">A. Santaquiteria,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Phylogenomics and Historical Biogeography of Seahorses, Dragonets, Goatfishes, and Allies (Teleostei: Syngnatharia): Assessing Factors Driving Uncertainty in Biogeographic Inferences. </w:t>
      </w:r>
      <w:r w:rsidRPr="006A79C1">
        <w:rPr>
          <w:rFonts w:ascii="Times New Roman" w:hAnsi="Times New Roman" w:cs="Times New Roman"/>
          <w:i/>
          <w:iCs/>
          <w:noProof/>
          <w:sz w:val="24"/>
        </w:rPr>
        <w:t>Syst.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70</w:t>
      </w:r>
      <w:r w:rsidRPr="006A79C1">
        <w:rPr>
          <w:rFonts w:ascii="Times New Roman" w:hAnsi="Times New Roman" w:cs="Times New Roman"/>
          <w:noProof/>
          <w:sz w:val="24"/>
        </w:rPr>
        <w:t>, 1145–1162 (2021).</w:t>
      </w:r>
    </w:p>
    <w:p w14:paraId="2F0C81C9"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110. </w:t>
      </w:r>
      <w:r w:rsidRPr="006A79C1">
        <w:rPr>
          <w:rFonts w:ascii="Times New Roman" w:hAnsi="Times New Roman" w:cs="Times New Roman"/>
          <w:noProof/>
          <w:sz w:val="24"/>
        </w:rPr>
        <w:tab/>
        <w:t xml:space="preserve">M. Rincon-Sandoval,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Evolutionary determinism and convergence associated with water-column transitions in marine fishes. </w:t>
      </w:r>
      <w:r w:rsidRPr="006A79C1">
        <w:rPr>
          <w:rFonts w:ascii="Times New Roman" w:hAnsi="Times New Roman" w:cs="Times New Roman"/>
          <w:i/>
          <w:iCs/>
          <w:noProof/>
          <w:sz w:val="24"/>
        </w:rPr>
        <w:t>Proc. Natl. Acad. Sci. U. S. A.</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117</w:t>
      </w:r>
      <w:r w:rsidRPr="006A79C1">
        <w:rPr>
          <w:rFonts w:ascii="Times New Roman" w:hAnsi="Times New Roman" w:cs="Times New Roman"/>
          <w:noProof/>
          <w:sz w:val="24"/>
        </w:rPr>
        <w:t>, 33396–33403 (2021).</w:t>
      </w:r>
    </w:p>
    <w:p w14:paraId="0DDBC9B9"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111. </w:t>
      </w:r>
      <w:r w:rsidRPr="006A79C1">
        <w:rPr>
          <w:rFonts w:ascii="Times New Roman" w:hAnsi="Times New Roman" w:cs="Times New Roman"/>
          <w:noProof/>
          <w:sz w:val="24"/>
        </w:rPr>
        <w:tab/>
        <w:t xml:space="preserve">N. J. Matzke, Model selection in historical biogeography reveals that founder-event speciation is a crucial process in island clades. </w:t>
      </w:r>
      <w:r w:rsidRPr="006A79C1">
        <w:rPr>
          <w:rFonts w:ascii="Times New Roman" w:hAnsi="Times New Roman" w:cs="Times New Roman"/>
          <w:i/>
          <w:iCs/>
          <w:noProof/>
          <w:sz w:val="24"/>
        </w:rPr>
        <w:t>Syst. Biol.</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63</w:t>
      </w:r>
      <w:r w:rsidRPr="006A79C1">
        <w:rPr>
          <w:rFonts w:ascii="Times New Roman" w:hAnsi="Times New Roman" w:cs="Times New Roman"/>
          <w:noProof/>
          <w:sz w:val="24"/>
        </w:rPr>
        <w:t>, 951–970 (2014).</w:t>
      </w:r>
    </w:p>
    <w:p w14:paraId="43D67F8B"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112. </w:t>
      </w:r>
      <w:r w:rsidRPr="006A79C1">
        <w:rPr>
          <w:rFonts w:ascii="Times New Roman" w:hAnsi="Times New Roman" w:cs="Times New Roman"/>
          <w:noProof/>
          <w:sz w:val="24"/>
        </w:rPr>
        <w:tab/>
        <w:t xml:space="preserve">J. Dupin, </w:t>
      </w:r>
      <w:r w:rsidRPr="006A79C1">
        <w:rPr>
          <w:rFonts w:ascii="Times New Roman" w:hAnsi="Times New Roman" w:cs="Times New Roman"/>
          <w:i/>
          <w:iCs/>
          <w:noProof/>
          <w:sz w:val="24"/>
        </w:rPr>
        <w:t>et al.</w:t>
      </w:r>
      <w:r w:rsidRPr="006A79C1">
        <w:rPr>
          <w:rFonts w:ascii="Times New Roman" w:hAnsi="Times New Roman" w:cs="Times New Roman"/>
          <w:noProof/>
          <w:sz w:val="24"/>
        </w:rPr>
        <w:t xml:space="preserve">, Bayesian estimation of the global biogeographical history of the Solanaceae. </w:t>
      </w:r>
      <w:r w:rsidRPr="006A79C1">
        <w:rPr>
          <w:rFonts w:ascii="Times New Roman" w:hAnsi="Times New Roman" w:cs="Times New Roman"/>
          <w:i/>
          <w:iCs/>
          <w:noProof/>
          <w:sz w:val="24"/>
        </w:rPr>
        <w:t>J. Biogeogr.</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44</w:t>
      </w:r>
      <w:r w:rsidRPr="006A79C1">
        <w:rPr>
          <w:rFonts w:ascii="Times New Roman" w:hAnsi="Times New Roman" w:cs="Times New Roman"/>
          <w:noProof/>
          <w:sz w:val="24"/>
        </w:rPr>
        <w:t>, 887–899 (2017).</w:t>
      </w:r>
    </w:p>
    <w:p w14:paraId="16E7E053" w14:textId="77777777" w:rsidR="003F051A" w:rsidRPr="006A79C1" w:rsidRDefault="003F051A" w:rsidP="003F051A">
      <w:pPr>
        <w:widowControl w:val="0"/>
        <w:autoSpaceDE w:val="0"/>
        <w:autoSpaceDN w:val="0"/>
        <w:adjustRightInd w:val="0"/>
        <w:ind w:left="640" w:hanging="640"/>
        <w:jc w:val="both"/>
        <w:rPr>
          <w:rFonts w:ascii="Times New Roman" w:hAnsi="Times New Roman" w:cs="Times New Roman"/>
          <w:noProof/>
          <w:sz w:val="24"/>
        </w:rPr>
      </w:pPr>
      <w:r w:rsidRPr="006A79C1">
        <w:rPr>
          <w:rFonts w:ascii="Times New Roman" w:hAnsi="Times New Roman" w:cs="Times New Roman"/>
          <w:noProof/>
          <w:sz w:val="24"/>
        </w:rPr>
        <w:t xml:space="preserve">113. </w:t>
      </w:r>
      <w:r w:rsidRPr="006A79C1">
        <w:rPr>
          <w:rFonts w:ascii="Times New Roman" w:hAnsi="Times New Roman" w:cs="Times New Roman"/>
          <w:noProof/>
          <w:sz w:val="24"/>
        </w:rPr>
        <w:tab/>
        <w:t xml:space="preserve">W. M. White, R. a Duncan, Petrology and Geochemistry of the Galapagos Islands: Portrait of a Pathological Mantle Plume. </w:t>
      </w:r>
      <w:r w:rsidRPr="006A79C1">
        <w:rPr>
          <w:rFonts w:ascii="Times New Roman" w:hAnsi="Times New Roman" w:cs="Times New Roman"/>
          <w:i/>
          <w:iCs/>
          <w:noProof/>
          <w:sz w:val="24"/>
        </w:rPr>
        <w:t>J. Geophys. Res.</w:t>
      </w:r>
      <w:r w:rsidRPr="006A79C1">
        <w:rPr>
          <w:rFonts w:ascii="Times New Roman" w:hAnsi="Times New Roman" w:cs="Times New Roman"/>
          <w:noProof/>
          <w:sz w:val="24"/>
        </w:rPr>
        <w:t xml:space="preserve"> </w:t>
      </w:r>
      <w:r w:rsidRPr="006A79C1">
        <w:rPr>
          <w:rFonts w:ascii="Times New Roman" w:hAnsi="Times New Roman" w:cs="Times New Roman"/>
          <w:b/>
          <w:bCs/>
          <w:noProof/>
          <w:sz w:val="24"/>
        </w:rPr>
        <w:t>98</w:t>
      </w:r>
      <w:r w:rsidRPr="006A79C1">
        <w:rPr>
          <w:rFonts w:ascii="Times New Roman" w:hAnsi="Times New Roman" w:cs="Times New Roman"/>
          <w:noProof/>
          <w:sz w:val="24"/>
        </w:rPr>
        <w:t>, 533–563 (1993).</w:t>
      </w:r>
    </w:p>
    <w:p w14:paraId="674C0F0C" w14:textId="4E46DFE0" w:rsidR="003C6717" w:rsidRPr="003F051A" w:rsidRDefault="003F051A" w:rsidP="003F051A">
      <w:pPr>
        <w:widowControl w:val="0"/>
        <w:autoSpaceDE w:val="0"/>
        <w:autoSpaceDN w:val="0"/>
        <w:adjustRightInd w:val="0"/>
        <w:jc w:val="both"/>
        <w:rPr>
          <w:rFonts w:ascii="Times New Roman" w:hAnsi="Times New Roman" w:cs="Times New Roman"/>
        </w:rPr>
      </w:pPr>
      <w:r>
        <w:rPr>
          <w:rFonts w:ascii="Times New Roman" w:hAnsi="Times New Roman" w:cs="Times New Roman"/>
        </w:rPr>
        <w:fldChar w:fldCharType="end"/>
      </w:r>
    </w:p>
    <w:sectPr w:rsidR="003C6717" w:rsidRPr="003F051A" w:rsidSect="005012C6">
      <w:pgSz w:w="12240" w:h="15840"/>
      <w:pgMar w:top="1440" w:right="1440" w:bottom="1440" w:left="1440" w:header="720" w:footer="720" w:gutter="0"/>
      <w:pgNumType w:start="14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A0B9B" w14:textId="77777777" w:rsidR="003571E1" w:rsidRDefault="003571E1">
      <w:pPr>
        <w:spacing w:after="0" w:line="240" w:lineRule="auto"/>
      </w:pPr>
      <w:r>
        <w:separator/>
      </w:r>
    </w:p>
  </w:endnote>
  <w:endnote w:type="continuationSeparator" w:id="0">
    <w:p w14:paraId="49E54D73" w14:textId="77777777" w:rsidR="003571E1" w:rsidRDefault="00357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7FB8" w14:textId="77777777" w:rsidR="0062771A" w:rsidRDefault="0062771A" w:rsidP="009136D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5362" w14:textId="77777777" w:rsidR="0062771A" w:rsidRDefault="0062771A">
    <w:pPr>
      <w:pStyle w:val="Footer"/>
      <w:jc w:val="center"/>
    </w:pPr>
  </w:p>
  <w:p w14:paraId="34F4C3D9" w14:textId="77777777" w:rsidR="0062771A" w:rsidRDefault="0062771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851753"/>
      <w:docPartObj>
        <w:docPartGallery w:val="Page Numbers (Bottom of Page)"/>
        <w:docPartUnique/>
      </w:docPartObj>
    </w:sdtPr>
    <w:sdtEndPr>
      <w:rPr>
        <w:rFonts w:ascii="Times New Roman" w:hAnsi="Times New Roman" w:cs="Times New Roman"/>
        <w:noProof/>
        <w:sz w:val="24"/>
        <w:szCs w:val="24"/>
      </w:rPr>
    </w:sdtEndPr>
    <w:sdtContent>
      <w:p w14:paraId="70E537F9" w14:textId="5881DF5A" w:rsidR="00442DA3" w:rsidRPr="00886B51" w:rsidRDefault="00442DA3">
        <w:pPr>
          <w:pStyle w:val="Footer"/>
          <w:jc w:val="center"/>
          <w:rPr>
            <w:rFonts w:ascii="Times New Roman" w:hAnsi="Times New Roman" w:cs="Times New Roman"/>
            <w:sz w:val="24"/>
            <w:szCs w:val="24"/>
          </w:rPr>
        </w:pPr>
        <w:r w:rsidRPr="00886B51">
          <w:rPr>
            <w:rFonts w:ascii="Times New Roman" w:hAnsi="Times New Roman" w:cs="Times New Roman"/>
            <w:sz w:val="24"/>
            <w:szCs w:val="24"/>
          </w:rPr>
          <w:fldChar w:fldCharType="begin"/>
        </w:r>
        <w:r w:rsidRPr="00886B51">
          <w:rPr>
            <w:rFonts w:ascii="Times New Roman" w:hAnsi="Times New Roman" w:cs="Times New Roman"/>
            <w:sz w:val="24"/>
            <w:szCs w:val="24"/>
          </w:rPr>
          <w:instrText xml:space="preserve"> PAGE   \* MERGEFORMAT </w:instrText>
        </w:r>
        <w:r w:rsidRPr="00886B51">
          <w:rPr>
            <w:rFonts w:ascii="Times New Roman" w:hAnsi="Times New Roman" w:cs="Times New Roman"/>
            <w:sz w:val="24"/>
            <w:szCs w:val="24"/>
          </w:rPr>
          <w:fldChar w:fldCharType="separate"/>
        </w:r>
        <w:r w:rsidRPr="00886B51">
          <w:rPr>
            <w:rFonts w:ascii="Times New Roman" w:hAnsi="Times New Roman" w:cs="Times New Roman"/>
            <w:noProof/>
            <w:sz w:val="24"/>
            <w:szCs w:val="24"/>
          </w:rPr>
          <w:t>2</w:t>
        </w:r>
        <w:r w:rsidRPr="00886B51">
          <w:rPr>
            <w:rFonts w:ascii="Times New Roman" w:hAnsi="Times New Roman" w:cs="Times New Roman"/>
            <w:noProof/>
            <w:sz w:val="24"/>
            <w:szCs w:val="24"/>
          </w:rPr>
          <w:fldChar w:fldCharType="end"/>
        </w:r>
      </w:p>
    </w:sdtContent>
  </w:sdt>
  <w:p w14:paraId="7672BE8F" w14:textId="77777777" w:rsidR="00442DA3" w:rsidRDefault="00442DA3" w:rsidP="009136D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1023390635"/>
      <w:docPartObj>
        <w:docPartGallery w:val="Page Numbers (Bottom of Page)"/>
        <w:docPartUnique/>
      </w:docPartObj>
    </w:sdtPr>
    <w:sdtContent>
      <w:p w14:paraId="2CE05583" w14:textId="0B28384B" w:rsidR="002D5A03" w:rsidRPr="00886B51" w:rsidRDefault="002D5A03" w:rsidP="00F30CFB">
        <w:pPr>
          <w:pStyle w:val="Footer"/>
          <w:framePr w:wrap="notBeside" w:vAnchor="text" w:hAnchor="margin" w:xAlign="center" w:y="1"/>
          <w:jc w:val="center"/>
          <w:rPr>
            <w:rStyle w:val="PageNumber"/>
            <w:rFonts w:ascii="Times New Roman" w:hAnsi="Times New Roman" w:cs="Times New Roman"/>
            <w:sz w:val="24"/>
            <w:szCs w:val="24"/>
          </w:rPr>
        </w:pPr>
        <w:r w:rsidRPr="00886B51">
          <w:rPr>
            <w:rStyle w:val="PageNumber"/>
            <w:rFonts w:ascii="Times New Roman" w:hAnsi="Times New Roman" w:cs="Times New Roman"/>
            <w:sz w:val="24"/>
            <w:szCs w:val="24"/>
          </w:rPr>
          <w:fldChar w:fldCharType="begin"/>
        </w:r>
        <w:r w:rsidRPr="00886B51">
          <w:rPr>
            <w:rStyle w:val="PageNumber"/>
            <w:rFonts w:ascii="Times New Roman" w:hAnsi="Times New Roman" w:cs="Times New Roman"/>
            <w:sz w:val="24"/>
            <w:szCs w:val="24"/>
          </w:rPr>
          <w:instrText xml:space="preserve"> PAGE </w:instrText>
        </w:r>
        <w:r w:rsidRPr="00886B51">
          <w:rPr>
            <w:rStyle w:val="PageNumber"/>
            <w:rFonts w:ascii="Times New Roman" w:hAnsi="Times New Roman" w:cs="Times New Roman"/>
            <w:sz w:val="24"/>
            <w:szCs w:val="24"/>
          </w:rPr>
          <w:fldChar w:fldCharType="separate"/>
        </w:r>
        <w:r w:rsidRPr="00886B51">
          <w:rPr>
            <w:rStyle w:val="PageNumber"/>
            <w:rFonts w:ascii="Times New Roman" w:hAnsi="Times New Roman" w:cs="Times New Roman"/>
            <w:noProof/>
            <w:sz w:val="24"/>
            <w:szCs w:val="24"/>
          </w:rPr>
          <w:t>1</w:t>
        </w:r>
        <w:r w:rsidRPr="00886B51">
          <w:rPr>
            <w:rStyle w:val="PageNumber"/>
            <w:rFonts w:ascii="Times New Roman" w:hAnsi="Times New Roman" w:cs="Times New Roman"/>
            <w:sz w:val="24"/>
            <w:szCs w:val="24"/>
          </w:rPr>
          <w:fldChar w:fldCharType="end"/>
        </w:r>
      </w:p>
    </w:sdtContent>
  </w:sdt>
  <w:p w14:paraId="0DD69391" w14:textId="34A11D67" w:rsidR="00442DA3" w:rsidRDefault="00442DA3" w:rsidP="00886B51">
    <w:pPr>
      <w:pStyle w:val="Footer"/>
      <w:ind w:right="360"/>
    </w:pPr>
  </w:p>
  <w:p w14:paraId="7AF2E202" w14:textId="77777777" w:rsidR="004877B6" w:rsidRDefault="004877B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A047" w14:textId="5A5D5FC6" w:rsidR="00AE525E" w:rsidRDefault="00AE525E" w:rsidP="00BB618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81</w:t>
    </w:r>
    <w:r>
      <w:rPr>
        <w:rStyle w:val="PageNumber"/>
      </w:rPr>
      <w:fldChar w:fldCharType="end"/>
    </w:r>
  </w:p>
  <w:p w14:paraId="110EB96F" w14:textId="77777777" w:rsidR="00AE525E" w:rsidRDefault="00AE525E" w:rsidP="00A51217">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973662"/>
      <w:docPartObj>
        <w:docPartGallery w:val="Page Numbers (Bottom of Page)"/>
        <w:docPartUnique/>
      </w:docPartObj>
    </w:sdtPr>
    <w:sdtEndPr>
      <w:rPr>
        <w:rStyle w:val="PageNumber"/>
        <w:rFonts w:ascii="Times New Roman" w:hAnsi="Times New Roman" w:cs="Times New Roman"/>
        <w:sz w:val="24"/>
        <w:szCs w:val="24"/>
      </w:rPr>
    </w:sdtEndPr>
    <w:sdtContent>
      <w:p w14:paraId="39C20956" w14:textId="54BDF1FA" w:rsidR="00BB6185" w:rsidRPr="00886B51" w:rsidRDefault="00BB6185" w:rsidP="00F30CFB">
        <w:pPr>
          <w:pStyle w:val="Footer"/>
          <w:framePr w:wrap="notBeside" w:vAnchor="text" w:hAnchor="margin" w:xAlign="center" w:y="1"/>
          <w:rPr>
            <w:rStyle w:val="PageNumber"/>
            <w:rFonts w:ascii="Times New Roman" w:hAnsi="Times New Roman" w:cs="Times New Roman"/>
            <w:sz w:val="24"/>
            <w:szCs w:val="24"/>
          </w:rPr>
        </w:pPr>
        <w:r w:rsidRPr="00886B51">
          <w:rPr>
            <w:rStyle w:val="PageNumber"/>
            <w:rFonts w:ascii="Times New Roman" w:hAnsi="Times New Roman" w:cs="Times New Roman"/>
            <w:sz w:val="24"/>
            <w:szCs w:val="24"/>
          </w:rPr>
          <w:fldChar w:fldCharType="begin"/>
        </w:r>
        <w:r w:rsidRPr="00886B51">
          <w:rPr>
            <w:rStyle w:val="PageNumber"/>
            <w:rFonts w:ascii="Times New Roman" w:hAnsi="Times New Roman" w:cs="Times New Roman"/>
            <w:sz w:val="24"/>
            <w:szCs w:val="24"/>
          </w:rPr>
          <w:instrText xml:space="preserve"> PAGE </w:instrText>
        </w:r>
        <w:r w:rsidRPr="00886B51">
          <w:rPr>
            <w:rStyle w:val="PageNumber"/>
            <w:rFonts w:ascii="Times New Roman" w:hAnsi="Times New Roman" w:cs="Times New Roman"/>
            <w:sz w:val="24"/>
            <w:szCs w:val="24"/>
          </w:rPr>
          <w:fldChar w:fldCharType="separate"/>
        </w:r>
        <w:r w:rsidRPr="00886B51">
          <w:rPr>
            <w:rStyle w:val="PageNumber"/>
            <w:rFonts w:ascii="Times New Roman" w:hAnsi="Times New Roman" w:cs="Times New Roman"/>
            <w:noProof/>
            <w:sz w:val="24"/>
            <w:szCs w:val="24"/>
          </w:rPr>
          <w:t>8</w:t>
        </w:r>
        <w:r w:rsidRPr="00886B51">
          <w:rPr>
            <w:rStyle w:val="PageNumber"/>
            <w:rFonts w:ascii="Times New Roman" w:hAnsi="Times New Roman" w:cs="Times New Roman"/>
            <w:sz w:val="24"/>
            <w:szCs w:val="24"/>
          </w:rPr>
          <w:fldChar w:fldCharType="end"/>
        </w:r>
      </w:p>
    </w:sdtContent>
  </w:sdt>
  <w:p w14:paraId="1A986082" w14:textId="77777777" w:rsidR="00AE525E" w:rsidRDefault="00AE525E" w:rsidP="00A512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A7C37" w14:textId="77777777" w:rsidR="003571E1" w:rsidRDefault="003571E1">
      <w:pPr>
        <w:spacing w:after="0" w:line="240" w:lineRule="auto"/>
      </w:pPr>
      <w:r>
        <w:separator/>
      </w:r>
    </w:p>
  </w:footnote>
  <w:footnote w:type="continuationSeparator" w:id="0">
    <w:p w14:paraId="71464A6A" w14:textId="77777777" w:rsidR="003571E1" w:rsidRDefault="003571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B3F04"/>
    <w:multiLevelType w:val="multilevel"/>
    <w:tmpl w:val="9D16BC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3D3A58"/>
    <w:multiLevelType w:val="multilevel"/>
    <w:tmpl w:val="033A1826"/>
    <w:lvl w:ilvl="0">
      <w:start w:val="2"/>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779449C"/>
    <w:multiLevelType w:val="hybridMultilevel"/>
    <w:tmpl w:val="BF0E352A"/>
    <w:lvl w:ilvl="0" w:tplc="8664223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B0F7C"/>
    <w:multiLevelType w:val="multilevel"/>
    <w:tmpl w:val="7A8CEE3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7413442"/>
    <w:multiLevelType w:val="hybridMultilevel"/>
    <w:tmpl w:val="05F04AB0"/>
    <w:lvl w:ilvl="0" w:tplc="BE02D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821AEC"/>
    <w:multiLevelType w:val="multilevel"/>
    <w:tmpl w:val="2DA45938"/>
    <w:lvl w:ilvl="0">
      <w:start w:val="1"/>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22B5291"/>
    <w:multiLevelType w:val="multilevel"/>
    <w:tmpl w:val="BA40CA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000A3A"/>
    <w:multiLevelType w:val="multilevel"/>
    <w:tmpl w:val="F3A6D0F0"/>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EE59D4"/>
    <w:multiLevelType w:val="hybridMultilevel"/>
    <w:tmpl w:val="6FB62E64"/>
    <w:lvl w:ilvl="0" w:tplc="DE4A367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46113C"/>
    <w:multiLevelType w:val="multilevel"/>
    <w:tmpl w:val="D1788D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C64A5B"/>
    <w:multiLevelType w:val="multilevel"/>
    <w:tmpl w:val="84D6A6D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1DF37B0"/>
    <w:multiLevelType w:val="hybridMultilevel"/>
    <w:tmpl w:val="6E960EB4"/>
    <w:lvl w:ilvl="0" w:tplc="808A94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2E20C2"/>
    <w:multiLevelType w:val="hybridMultilevel"/>
    <w:tmpl w:val="A3E0751C"/>
    <w:lvl w:ilvl="0" w:tplc="436C01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DE391F"/>
    <w:multiLevelType w:val="multilevel"/>
    <w:tmpl w:val="4A4E11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E7373A"/>
    <w:multiLevelType w:val="multilevel"/>
    <w:tmpl w:val="B15233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3F0881"/>
    <w:multiLevelType w:val="multilevel"/>
    <w:tmpl w:val="00786E40"/>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55D1122"/>
    <w:multiLevelType w:val="hybridMultilevel"/>
    <w:tmpl w:val="93906682"/>
    <w:lvl w:ilvl="0" w:tplc="228E01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3539CF"/>
    <w:multiLevelType w:val="hybridMultilevel"/>
    <w:tmpl w:val="7FBA7F0A"/>
    <w:lvl w:ilvl="0" w:tplc="9AFC454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9E28B1"/>
    <w:multiLevelType w:val="hybridMultilevel"/>
    <w:tmpl w:val="5A38845C"/>
    <w:lvl w:ilvl="0" w:tplc="B4D616C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416179"/>
    <w:multiLevelType w:val="hybridMultilevel"/>
    <w:tmpl w:val="F8EC2D80"/>
    <w:lvl w:ilvl="0" w:tplc="FCCE30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6B4070"/>
    <w:multiLevelType w:val="hybridMultilevel"/>
    <w:tmpl w:val="4AFAB2D8"/>
    <w:lvl w:ilvl="0" w:tplc="8B98DF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8B6646"/>
    <w:multiLevelType w:val="hybridMultilevel"/>
    <w:tmpl w:val="8A44C1CC"/>
    <w:lvl w:ilvl="0" w:tplc="6068CB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B37A51"/>
    <w:multiLevelType w:val="hybridMultilevel"/>
    <w:tmpl w:val="2D70A8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E40D4C"/>
    <w:multiLevelType w:val="hybridMultilevel"/>
    <w:tmpl w:val="9A52A8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B641AC"/>
    <w:multiLevelType w:val="hybridMultilevel"/>
    <w:tmpl w:val="2FD0CBEC"/>
    <w:lvl w:ilvl="0" w:tplc="55A4D0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FF42C2"/>
    <w:multiLevelType w:val="multilevel"/>
    <w:tmpl w:val="7F545ACC"/>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BC877CD"/>
    <w:multiLevelType w:val="hybridMultilevel"/>
    <w:tmpl w:val="F83A4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F41DA0"/>
    <w:multiLevelType w:val="hybridMultilevel"/>
    <w:tmpl w:val="4F84D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9567637">
    <w:abstractNumId w:val="10"/>
  </w:num>
  <w:num w:numId="2" w16cid:durableId="2043897127">
    <w:abstractNumId w:val="1"/>
  </w:num>
  <w:num w:numId="3" w16cid:durableId="1846744150">
    <w:abstractNumId w:val="25"/>
  </w:num>
  <w:num w:numId="4" w16cid:durableId="1909923981">
    <w:abstractNumId w:val="27"/>
  </w:num>
  <w:num w:numId="5" w16cid:durableId="232618351">
    <w:abstractNumId w:val="15"/>
  </w:num>
  <w:num w:numId="6" w16cid:durableId="41053422">
    <w:abstractNumId w:val="22"/>
  </w:num>
  <w:num w:numId="7" w16cid:durableId="949244308">
    <w:abstractNumId w:val="2"/>
  </w:num>
  <w:num w:numId="8" w16cid:durableId="595211597">
    <w:abstractNumId w:val="21"/>
  </w:num>
  <w:num w:numId="9" w16cid:durableId="182787893">
    <w:abstractNumId w:val="12"/>
  </w:num>
  <w:num w:numId="10" w16cid:durableId="1526599858">
    <w:abstractNumId w:val="14"/>
  </w:num>
  <w:num w:numId="11" w16cid:durableId="1040477525">
    <w:abstractNumId w:val="6"/>
  </w:num>
  <w:num w:numId="12" w16cid:durableId="755518876">
    <w:abstractNumId w:val="0"/>
  </w:num>
  <w:num w:numId="13" w16cid:durableId="508983326">
    <w:abstractNumId w:val="9"/>
  </w:num>
  <w:num w:numId="14" w16cid:durableId="2007780963">
    <w:abstractNumId w:val="19"/>
  </w:num>
  <w:num w:numId="15" w16cid:durableId="1805662655">
    <w:abstractNumId w:val="20"/>
  </w:num>
  <w:num w:numId="16" w16cid:durableId="336470753">
    <w:abstractNumId w:val="8"/>
  </w:num>
  <w:num w:numId="17" w16cid:durableId="1529875896">
    <w:abstractNumId w:val="18"/>
  </w:num>
  <w:num w:numId="18" w16cid:durableId="48960077">
    <w:abstractNumId w:val="11"/>
  </w:num>
  <w:num w:numId="19" w16cid:durableId="1147939450">
    <w:abstractNumId w:val="17"/>
  </w:num>
  <w:num w:numId="20" w16cid:durableId="1246112537">
    <w:abstractNumId w:val="24"/>
  </w:num>
  <w:num w:numId="21" w16cid:durableId="575162805">
    <w:abstractNumId w:val="4"/>
  </w:num>
  <w:num w:numId="22" w16cid:durableId="1958951731">
    <w:abstractNumId w:val="16"/>
  </w:num>
  <w:num w:numId="23" w16cid:durableId="1354843443">
    <w:abstractNumId w:val="3"/>
  </w:num>
  <w:num w:numId="24" w16cid:durableId="2033072652">
    <w:abstractNumId w:val="5"/>
  </w:num>
  <w:num w:numId="25" w16cid:durableId="211425840">
    <w:abstractNumId w:val="13"/>
  </w:num>
  <w:num w:numId="26" w16cid:durableId="1443724529">
    <w:abstractNumId w:val="7"/>
  </w:num>
  <w:num w:numId="27" w16cid:durableId="2082025100">
    <w:abstractNumId w:val="26"/>
  </w:num>
  <w:num w:numId="28" w16cid:durableId="20069357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I0sTA2NDOwNDO1MDJR0lEKTi0uzszPAykwNK0FAJeXwoctAAAA"/>
  </w:docVars>
  <w:rsids>
    <w:rsidRoot w:val="00EF7C46"/>
    <w:rsid w:val="00001815"/>
    <w:rsid w:val="00001AEA"/>
    <w:rsid w:val="00004FB3"/>
    <w:rsid w:val="00005005"/>
    <w:rsid w:val="0000571C"/>
    <w:rsid w:val="0000682B"/>
    <w:rsid w:val="00007233"/>
    <w:rsid w:val="00007686"/>
    <w:rsid w:val="00015DD2"/>
    <w:rsid w:val="0002062B"/>
    <w:rsid w:val="00021EFE"/>
    <w:rsid w:val="0002452E"/>
    <w:rsid w:val="000252A6"/>
    <w:rsid w:val="0002541D"/>
    <w:rsid w:val="00026250"/>
    <w:rsid w:val="000273A9"/>
    <w:rsid w:val="00027DEF"/>
    <w:rsid w:val="00032BE0"/>
    <w:rsid w:val="0003602D"/>
    <w:rsid w:val="00037F4A"/>
    <w:rsid w:val="000428AB"/>
    <w:rsid w:val="00046849"/>
    <w:rsid w:val="00050303"/>
    <w:rsid w:val="00050D4A"/>
    <w:rsid w:val="00050D9A"/>
    <w:rsid w:val="0005264A"/>
    <w:rsid w:val="00053757"/>
    <w:rsid w:val="00053BE9"/>
    <w:rsid w:val="00054237"/>
    <w:rsid w:val="00054276"/>
    <w:rsid w:val="000577DC"/>
    <w:rsid w:val="000601D6"/>
    <w:rsid w:val="000606D6"/>
    <w:rsid w:val="000610B1"/>
    <w:rsid w:val="00061A71"/>
    <w:rsid w:val="00061E11"/>
    <w:rsid w:val="00063429"/>
    <w:rsid w:val="00064E59"/>
    <w:rsid w:val="00065081"/>
    <w:rsid w:val="0006590A"/>
    <w:rsid w:val="00067C76"/>
    <w:rsid w:val="000705A6"/>
    <w:rsid w:val="00071E93"/>
    <w:rsid w:val="000720AC"/>
    <w:rsid w:val="000720BD"/>
    <w:rsid w:val="0007212A"/>
    <w:rsid w:val="00072268"/>
    <w:rsid w:val="00074382"/>
    <w:rsid w:val="00075988"/>
    <w:rsid w:val="00080245"/>
    <w:rsid w:val="000803F9"/>
    <w:rsid w:val="00081F2A"/>
    <w:rsid w:val="00091434"/>
    <w:rsid w:val="000922EA"/>
    <w:rsid w:val="0009479C"/>
    <w:rsid w:val="00094E25"/>
    <w:rsid w:val="0009790F"/>
    <w:rsid w:val="000A08D3"/>
    <w:rsid w:val="000A0A64"/>
    <w:rsid w:val="000A1C86"/>
    <w:rsid w:val="000A36FA"/>
    <w:rsid w:val="000A4A68"/>
    <w:rsid w:val="000A5EFF"/>
    <w:rsid w:val="000A6223"/>
    <w:rsid w:val="000A72AA"/>
    <w:rsid w:val="000B056E"/>
    <w:rsid w:val="000B615B"/>
    <w:rsid w:val="000C0AB5"/>
    <w:rsid w:val="000C1B08"/>
    <w:rsid w:val="000C43B4"/>
    <w:rsid w:val="000C5EFF"/>
    <w:rsid w:val="000C6D7C"/>
    <w:rsid w:val="000C729C"/>
    <w:rsid w:val="000C7B1C"/>
    <w:rsid w:val="000D0E28"/>
    <w:rsid w:val="000D1039"/>
    <w:rsid w:val="000D20FA"/>
    <w:rsid w:val="000D2469"/>
    <w:rsid w:val="000D47BB"/>
    <w:rsid w:val="000D7170"/>
    <w:rsid w:val="000E5E63"/>
    <w:rsid w:val="000E720D"/>
    <w:rsid w:val="000F183D"/>
    <w:rsid w:val="000F3016"/>
    <w:rsid w:val="000F310A"/>
    <w:rsid w:val="000F5080"/>
    <w:rsid w:val="000F5BB0"/>
    <w:rsid w:val="000F740F"/>
    <w:rsid w:val="000F7ED6"/>
    <w:rsid w:val="00103DBC"/>
    <w:rsid w:val="00104C80"/>
    <w:rsid w:val="00105E41"/>
    <w:rsid w:val="00115E30"/>
    <w:rsid w:val="001236BD"/>
    <w:rsid w:val="001237EC"/>
    <w:rsid w:val="00130732"/>
    <w:rsid w:val="0013326E"/>
    <w:rsid w:val="00135B1D"/>
    <w:rsid w:val="001365E2"/>
    <w:rsid w:val="00146777"/>
    <w:rsid w:val="00147219"/>
    <w:rsid w:val="00147988"/>
    <w:rsid w:val="001515C1"/>
    <w:rsid w:val="00161E33"/>
    <w:rsid w:val="00165E9B"/>
    <w:rsid w:val="00166D27"/>
    <w:rsid w:val="00170417"/>
    <w:rsid w:val="00171117"/>
    <w:rsid w:val="00172B1C"/>
    <w:rsid w:val="00173F74"/>
    <w:rsid w:val="00177C8B"/>
    <w:rsid w:val="0018232D"/>
    <w:rsid w:val="00182E6B"/>
    <w:rsid w:val="00185B86"/>
    <w:rsid w:val="0018605D"/>
    <w:rsid w:val="0018622D"/>
    <w:rsid w:val="001868DA"/>
    <w:rsid w:val="00191A1B"/>
    <w:rsid w:val="00192B28"/>
    <w:rsid w:val="0019311C"/>
    <w:rsid w:val="00195704"/>
    <w:rsid w:val="00195F45"/>
    <w:rsid w:val="001979F8"/>
    <w:rsid w:val="001A13AE"/>
    <w:rsid w:val="001A6BBE"/>
    <w:rsid w:val="001B0466"/>
    <w:rsid w:val="001B2422"/>
    <w:rsid w:val="001B2940"/>
    <w:rsid w:val="001B2BD3"/>
    <w:rsid w:val="001B2F4A"/>
    <w:rsid w:val="001B5429"/>
    <w:rsid w:val="001B6945"/>
    <w:rsid w:val="001C0F1C"/>
    <w:rsid w:val="001C1630"/>
    <w:rsid w:val="001C1732"/>
    <w:rsid w:val="001C24A3"/>
    <w:rsid w:val="001C7E61"/>
    <w:rsid w:val="001D0AD6"/>
    <w:rsid w:val="001D48AF"/>
    <w:rsid w:val="001D617D"/>
    <w:rsid w:val="001E1B3B"/>
    <w:rsid w:val="001E6375"/>
    <w:rsid w:val="001E7AA6"/>
    <w:rsid w:val="001E7DDE"/>
    <w:rsid w:val="001F13D4"/>
    <w:rsid w:val="001F1FDE"/>
    <w:rsid w:val="001F3EE9"/>
    <w:rsid w:val="001F7B02"/>
    <w:rsid w:val="0020116C"/>
    <w:rsid w:val="00201FD0"/>
    <w:rsid w:val="00202DF5"/>
    <w:rsid w:val="00206EB6"/>
    <w:rsid w:val="00214439"/>
    <w:rsid w:val="00216F3E"/>
    <w:rsid w:val="002178F1"/>
    <w:rsid w:val="002208F4"/>
    <w:rsid w:val="002208F7"/>
    <w:rsid w:val="00224741"/>
    <w:rsid w:val="00230089"/>
    <w:rsid w:val="00231179"/>
    <w:rsid w:val="002312EB"/>
    <w:rsid w:val="00232A62"/>
    <w:rsid w:val="0024100F"/>
    <w:rsid w:val="002446A2"/>
    <w:rsid w:val="00245504"/>
    <w:rsid w:val="0025269A"/>
    <w:rsid w:val="00252717"/>
    <w:rsid w:val="002527ED"/>
    <w:rsid w:val="002623E4"/>
    <w:rsid w:val="00263887"/>
    <w:rsid w:val="00264FD4"/>
    <w:rsid w:val="002671F0"/>
    <w:rsid w:val="00272232"/>
    <w:rsid w:val="002735E2"/>
    <w:rsid w:val="00276983"/>
    <w:rsid w:val="002769CE"/>
    <w:rsid w:val="00276B85"/>
    <w:rsid w:val="00284B59"/>
    <w:rsid w:val="00291A63"/>
    <w:rsid w:val="00293422"/>
    <w:rsid w:val="002954ED"/>
    <w:rsid w:val="002A24B7"/>
    <w:rsid w:val="002A415E"/>
    <w:rsid w:val="002A4227"/>
    <w:rsid w:val="002B188D"/>
    <w:rsid w:val="002B1BF6"/>
    <w:rsid w:val="002B4298"/>
    <w:rsid w:val="002B5B1C"/>
    <w:rsid w:val="002B61E9"/>
    <w:rsid w:val="002B68D0"/>
    <w:rsid w:val="002C0032"/>
    <w:rsid w:val="002C2BE3"/>
    <w:rsid w:val="002C2E66"/>
    <w:rsid w:val="002C399D"/>
    <w:rsid w:val="002C42E4"/>
    <w:rsid w:val="002D3764"/>
    <w:rsid w:val="002D5A03"/>
    <w:rsid w:val="002E0ACD"/>
    <w:rsid w:val="002E14FC"/>
    <w:rsid w:val="002E2346"/>
    <w:rsid w:val="002E36BB"/>
    <w:rsid w:val="002E3B5E"/>
    <w:rsid w:val="002E5CDE"/>
    <w:rsid w:val="002E740E"/>
    <w:rsid w:val="002E7E3D"/>
    <w:rsid w:val="002F2B59"/>
    <w:rsid w:val="002F4AAA"/>
    <w:rsid w:val="002F55C6"/>
    <w:rsid w:val="002F6B81"/>
    <w:rsid w:val="0030413A"/>
    <w:rsid w:val="00304854"/>
    <w:rsid w:val="003049FB"/>
    <w:rsid w:val="00304A1B"/>
    <w:rsid w:val="00305D44"/>
    <w:rsid w:val="00306E0C"/>
    <w:rsid w:val="00307275"/>
    <w:rsid w:val="00310CE9"/>
    <w:rsid w:val="0031518F"/>
    <w:rsid w:val="00315977"/>
    <w:rsid w:val="00315E7A"/>
    <w:rsid w:val="00317CFD"/>
    <w:rsid w:val="00321B78"/>
    <w:rsid w:val="0032461E"/>
    <w:rsid w:val="0032688C"/>
    <w:rsid w:val="003316DA"/>
    <w:rsid w:val="003343DC"/>
    <w:rsid w:val="00335B29"/>
    <w:rsid w:val="003365BE"/>
    <w:rsid w:val="00336CE2"/>
    <w:rsid w:val="00336DFC"/>
    <w:rsid w:val="0034103D"/>
    <w:rsid w:val="00342D89"/>
    <w:rsid w:val="0034469E"/>
    <w:rsid w:val="00345037"/>
    <w:rsid w:val="0034690A"/>
    <w:rsid w:val="0035075B"/>
    <w:rsid w:val="00350C36"/>
    <w:rsid w:val="00353428"/>
    <w:rsid w:val="00354919"/>
    <w:rsid w:val="00356C38"/>
    <w:rsid w:val="003571E1"/>
    <w:rsid w:val="003578AF"/>
    <w:rsid w:val="003626C6"/>
    <w:rsid w:val="003643DC"/>
    <w:rsid w:val="003663E6"/>
    <w:rsid w:val="00370492"/>
    <w:rsid w:val="00370CB9"/>
    <w:rsid w:val="00371FCE"/>
    <w:rsid w:val="00372F9F"/>
    <w:rsid w:val="003758DF"/>
    <w:rsid w:val="00375C4A"/>
    <w:rsid w:val="00380C1C"/>
    <w:rsid w:val="003815F6"/>
    <w:rsid w:val="00382616"/>
    <w:rsid w:val="003826A8"/>
    <w:rsid w:val="00385997"/>
    <w:rsid w:val="00385A14"/>
    <w:rsid w:val="00390090"/>
    <w:rsid w:val="0039303D"/>
    <w:rsid w:val="0039430D"/>
    <w:rsid w:val="00395B60"/>
    <w:rsid w:val="003A1FDC"/>
    <w:rsid w:val="003A2424"/>
    <w:rsid w:val="003A3CE7"/>
    <w:rsid w:val="003A72C9"/>
    <w:rsid w:val="003B5EB0"/>
    <w:rsid w:val="003B6017"/>
    <w:rsid w:val="003B6DE0"/>
    <w:rsid w:val="003C13B7"/>
    <w:rsid w:val="003C19AE"/>
    <w:rsid w:val="003C21C5"/>
    <w:rsid w:val="003C327F"/>
    <w:rsid w:val="003C6717"/>
    <w:rsid w:val="003C6A1B"/>
    <w:rsid w:val="003D14A9"/>
    <w:rsid w:val="003D4686"/>
    <w:rsid w:val="003E126F"/>
    <w:rsid w:val="003E244E"/>
    <w:rsid w:val="003E37F5"/>
    <w:rsid w:val="003E4694"/>
    <w:rsid w:val="003E6D6E"/>
    <w:rsid w:val="003E7EFA"/>
    <w:rsid w:val="003F051A"/>
    <w:rsid w:val="003F2F1C"/>
    <w:rsid w:val="003F4FE3"/>
    <w:rsid w:val="003F61C7"/>
    <w:rsid w:val="003F655B"/>
    <w:rsid w:val="003F787E"/>
    <w:rsid w:val="00401581"/>
    <w:rsid w:val="00402845"/>
    <w:rsid w:val="0040331B"/>
    <w:rsid w:val="004044DB"/>
    <w:rsid w:val="00407DB7"/>
    <w:rsid w:val="0041013A"/>
    <w:rsid w:val="00413B93"/>
    <w:rsid w:val="00414101"/>
    <w:rsid w:val="004144BB"/>
    <w:rsid w:val="00415FC3"/>
    <w:rsid w:val="0041750E"/>
    <w:rsid w:val="0042054A"/>
    <w:rsid w:val="00421903"/>
    <w:rsid w:val="00423015"/>
    <w:rsid w:val="0042453C"/>
    <w:rsid w:val="00427ADC"/>
    <w:rsid w:val="0043394A"/>
    <w:rsid w:val="00433D58"/>
    <w:rsid w:val="00434E0D"/>
    <w:rsid w:val="00435FC4"/>
    <w:rsid w:val="00441CE4"/>
    <w:rsid w:val="00441D18"/>
    <w:rsid w:val="00441FE0"/>
    <w:rsid w:val="00442DA3"/>
    <w:rsid w:val="00442E9D"/>
    <w:rsid w:val="00443466"/>
    <w:rsid w:val="00452E1E"/>
    <w:rsid w:val="00456131"/>
    <w:rsid w:val="004614F0"/>
    <w:rsid w:val="00464F61"/>
    <w:rsid w:val="004659C7"/>
    <w:rsid w:val="00473746"/>
    <w:rsid w:val="00474638"/>
    <w:rsid w:val="004758B4"/>
    <w:rsid w:val="0048005E"/>
    <w:rsid w:val="00480D85"/>
    <w:rsid w:val="004820E4"/>
    <w:rsid w:val="0048478B"/>
    <w:rsid w:val="004861F7"/>
    <w:rsid w:val="004877B6"/>
    <w:rsid w:val="00490A1B"/>
    <w:rsid w:val="00491EC6"/>
    <w:rsid w:val="0049331E"/>
    <w:rsid w:val="00493EAD"/>
    <w:rsid w:val="004954CB"/>
    <w:rsid w:val="004967A6"/>
    <w:rsid w:val="004A0595"/>
    <w:rsid w:val="004A5087"/>
    <w:rsid w:val="004A66EE"/>
    <w:rsid w:val="004B214D"/>
    <w:rsid w:val="004B4698"/>
    <w:rsid w:val="004C2493"/>
    <w:rsid w:val="004C252A"/>
    <w:rsid w:val="004C4F3E"/>
    <w:rsid w:val="004D1C9D"/>
    <w:rsid w:val="004D2A85"/>
    <w:rsid w:val="004D3291"/>
    <w:rsid w:val="004D39F3"/>
    <w:rsid w:val="004D413B"/>
    <w:rsid w:val="004D5127"/>
    <w:rsid w:val="004E0D05"/>
    <w:rsid w:val="004E528D"/>
    <w:rsid w:val="004F00BE"/>
    <w:rsid w:val="004F0DA1"/>
    <w:rsid w:val="004F44A0"/>
    <w:rsid w:val="004F496C"/>
    <w:rsid w:val="0050026A"/>
    <w:rsid w:val="005012C6"/>
    <w:rsid w:val="00502383"/>
    <w:rsid w:val="00503C2C"/>
    <w:rsid w:val="00504126"/>
    <w:rsid w:val="005059A4"/>
    <w:rsid w:val="00510940"/>
    <w:rsid w:val="00514002"/>
    <w:rsid w:val="00514CD3"/>
    <w:rsid w:val="005153F1"/>
    <w:rsid w:val="005210FA"/>
    <w:rsid w:val="005214F3"/>
    <w:rsid w:val="0052271D"/>
    <w:rsid w:val="00522802"/>
    <w:rsid w:val="00530979"/>
    <w:rsid w:val="00533482"/>
    <w:rsid w:val="00533B4F"/>
    <w:rsid w:val="0053762A"/>
    <w:rsid w:val="00543BE6"/>
    <w:rsid w:val="0054784B"/>
    <w:rsid w:val="00550198"/>
    <w:rsid w:val="00553057"/>
    <w:rsid w:val="00554201"/>
    <w:rsid w:val="0055443F"/>
    <w:rsid w:val="00555038"/>
    <w:rsid w:val="005618EB"/>
    <w:rsid w:val="00564CC8"/>
    <w:rsid w:val="00572852"/>
    <w:rsid w:val="0057339E"/>
    <w:rsid w:val="005752A1"/>
    <w:rsid w:val="00580472"/>
    <w:rsid w:val="005817AB"/>
    <w:rsid w:val="00586A72"/>
    <w:rsid w:val="0059114E"/>
    <w:rsid w:val="00591F39"/>
    <w:rsid w:val="0059228C"/>
    <w:rsid w:val="00594747"/>
    <w:rsid w:val="00596C98"/>
    <w:rsid w:val="00596E0D"/>
    <w:rsid w:val="00597CBD"/>
    <w:rsid w:val="005A1608"/>
    <w:rsid w:val="005A6149"/>
    <w:rsid w:val="005A6797"/>
    <w:rsid w:val="005A72AD"/>
    <w:rsid w:val="005B0999"/>
    <w:rsid w:val="005B1EF5"/>
    <w:rsid w:val="005B2DB8"/>
    <w:rsid w:val="005B5419"/>
    <w:rsid w:val="005C0315"/>
    <w:rsid w:val="005C1001"/>
    <w:rsid w:val="005C1CF1"/>
    <w:rsid w:val="005C215B"/>
    <w:rsid w:val="005C2A60"/>
    <w:rsid w:val="005C37E0"/>
    <w:rsid w:val="005C4C7F"/>
    <w:rsid w:val="005D135E"/>
    <w:rsid w:val="005D1487"/>
    <w:rsid w:val="005D663F"/>
    <w:rsid w:val="005D69A1"/>
    <w:rsid w:val="005E05C9"/>
    <w:rsid w:val="005E2154"/>
    <w:rsid w:val="005E3857"/>
    <w:rsid w:val="005E607D"/>
    <w:rsid w:val="005E7505"/>
    <w:rsid w:val="005F1FF2"/>
    <w:rsid w:val="005F22C3"/>
    <w:rsid w:val="005F2B65"/>
    <w:rsid w:val="005F36E0"/>
    <w:rsid w:val="005F44B8"/>
    <w:rsid w:val="005F5596"/>
    <w:rsid w:val="00602E3D"/>
    <w:rsid w:val="00606BCA"/>
    <w:rsid w:val="00610B69"/>
    <w:rsid w:val="0061165E"/>
    <w:rsid w:val="00613DFD"/>
    <w:rsid w:val="00617727"/>
    <w:rsid w:val="00621369"/>
    <w:rsid w:val="0062192D"/>
    <w:rsid w:val="00622881"/>
    <w:rsid w:val="0062291E"/>
    <w:rsid w:val="00625A1D"/>
    <w:rsid w:val="0062771A"/>
    <w:rsid w:val="0063135B"/>
    <w:rsid w:val="006331AF"/>
    <w:rsid w:val="00633647"/>
    <w:rsid w:val="00634E85"/>
    <w:rsid w:val="00640102"/>
    <w:rsid w:val="0064361C"/>
    <w:rsid w:val="00643F90"/>
    <w:rsid w:val="00654151"/>
    <w:rsid w:val="006574B5"/>
    <w:rsid w:val="0066316C"/>
    <w:rsid w:val="00667391"/>
    <w:rsid w:val="006710CD"/>
    <w:rsid w:val="00671C11"/>
    <w:rsid w:val="00671C16"/>
    <w:rsid w:val="0067451D"/>
    <w:rsid w:val="00675B8E"/>
    <w:rsid w:val="00677C79"/>
    <w:rsid w:val="00680402"/>
    <w:rsid w:val="006827D1"/>
    <w:rsid w:val="006903B9"/>
    <w:rsid w:val="00691061"/>
    <w:rsid w:val="00692062"/>
    <w:rsid w:val="006921CD"/>
    <w:rsid w:val="00693382"/>
    <w:rsid w:val="00693C39"/>
    <w:rsid w:val="00693E93"/>
    <w:rsid w:val="00693FC1"/>
    <w:rsid w:val="006947DF"/>
    <w:rsid w:val="006950F6"/>
    <w:rsid w:val="006968D1"/>
    <w:rsid w:val="006A0A3D"/>
    <w:rsid w:val="006A1CC8"/>
    <w:rsid w:val="006A2E3F"/>
    <w:rsid w:val="006A4D13"/>
    <w:rsid w:val="006A5FF5"/>
    <w:rsid w:val="006A759F"/>
    <w:rsid w:val="006B2888"/>
    <w:rsid w:val="006B2E25"/>
    <w:rsid w:val="006B2FD6"/>
    <w:rsid w:val="006C4D47"/>
    <w:rsid w:val="006C4E5F"/>
    <w:rsid w:val="006C5021"/>
    <w:rsid w:val="006C52F4"/>
    <w:rsid w:val="006C5C2B"/>
    <w:rsid w:val="006C71EB"/>
    <w:rsid w:val="006D0E1E"/>
    <w:rsid w:val="006D2907"/>
    <w:rsid w:val="006D3E69"/>
    <w:rsid w:val="006D4B0B"/>
    <w:rsid w:val="006D654F"/>
    <w:rsid w:val="006E23C1"/>
    <w:rsid w:val="006E34A2"/>
    <w:rsid w:val="006F288C"/>
    <w:rsid w:val="006F31DB"/>
    <w:rsid w:val="006F4998"/>
    <w:rsid w:val="006F56B4"/>
    <w:rsid w:val="0070150C"/>
    <w:rsid w:val="00703AE1"/>
    <w:rsid w:val="00706C70"/>
    <w:rsid w:val="00707332"/>
    <w:rsid w:val="0071033D"/>
    <w:rsid w:val="00710B6C"/>
    <w:rsid w:val="00710D0B"/>
    <w:rsid w:val="00710D70"/>
    <w:rsid w:val="0071195D"/>
    <w:rsid w:val="00712AF9"/>
    <w:rsid w:val="00713D3C"/>
    <w:rsid w:val="00716EE6"/>
    <w:rsid w:val="007176C7"/>
    <w:rsid w:val="00722974"/>
    <w:rsid w:val="00727481"/>
    <w:rsid w:val="007304B0"/>
    <w:rsid w:val="00731BB2"/>
    <w:rsid w:val="00731EE7"/>
    <w:rsid w:val="007343F7"/>
    <w:rsid w:val="0073535E"/>
    <w:rsid w:val="007355FA"/>
    <w:rsid w:val="00735AE2"/>
    <w:rsid w:val="0073792B"/>
    <w:rsid w:val="007414EC"/>
    <w:rsid w:val="00745B34"/>
    <w:rsid w:val="007516FE"/>
    <w:rsid w:val="00757202"/>
    <w:rsid w:val="00757B54"/>
    <w:rsid w:val="00757F01"/>
    <w:rsid w:val="00760CB4"/>
    <w:rsid w:val="00760DAD"/>
    <w:rsid w:val="00763961"/>
    <w:rsid w:val="00765549"/>
    <w:rsid w:val="00767B74"/>
    <w:rsid w:val="0077074B"/>
    <w:rsid w:val="00774072"/>
    <w:rsid w:val="00775128"/>
    <w:rsid w:val="00776D12"/>
    <w:rsid w:val="00780D40"/>
    <w:rsid w:val="0078687A"/>
    <w:rsid w:val="00786A1E"/>
    <w:rsid w:val="007911AC"/>
    <w:rsid w:val="00792D47"/>
    <w:rsid w:val="00793E18"/>
    <w:rsid w:val="00793FF5"/>
    <w:rsid w:val="007946D5"/>
    <w:rsid w:val="007952C8"/>
    <w:rsid w:val="0079640C"/>
    <w:rsid w:val="007A0D36"/>
    <w:rsid w:val="007A2CEB"/>
    <w:rsid w:val="007A48D8"/>
    <w:rsid w:val="007A4E67"/>
    <w:rsid w:val="007A6393"/>
    <w:rsid w:val="007A767D"/>
    <w:rsid w:val="007B1F84"/>
    <w:rsid w:val="007B2459"/>
    <w:rsid w:val="007B4581"/>
    <w:rsid w:val="007B5D5E"/>
    <w:rsid w:val="007B734E"/>
    <w:rsid w:val="007B76F6"/>
    <w:rsid w:val="007B7B79"/>
    <w:rsid w:val="007C279E"/>
    <w:rsid w:val="007C35E5"/>
    <w:rsid w:val="007C4F75"/>
    <w:rsid w:val="007C63AF"/>
    <w:rsid w:val="007C6CD8"/>
    <w:rsid w:val="007C6FE9"/>
    <w:rsid w:val="007D2B92"/>
    <w:rsid w:val="007D3106"/>
    <w:rsid w:val="007D4C37"/>
    <w:rsid w:val="007E2F07"/>
    <w:rsid w:val="007E3AAB"/>
    <w:rsid w:val="007E3C6E"/>
    <w:rsid w:val="007E4B96"/>
    <w:rsid w:val="007E5B3A"/>
    <w:rsid w:val="007F2A75"/>
    <w:rsid w:val="007F46CF"/>
    <w:rsid w:val="00801192"/>
    <w:rsid w:val="0080123C"/>
    <w:rsid w:val="00802932"/>
    <w:rsid w:val="008058AF"/>
    <w:rsid w:val="008108B8"/>
    <w:rsid w:val="00811AEC"/>
    <w:rsid w:val="00814B90"/>
    <w:rsid w:val="00820F07"/>
    <w:rsid w:val="00821414"/>
    <w:rsid w:val="00822411"/>
    <w:rsid w:val="008235CD"/>
    <w:rsid w:val="008363DB"/>
    <w:rsid w:val="00836B48"/>
    <w:rsid w:val="00841669"/>
    <w:rsid w:val="0084198F"/>
    <w:rsid w:val="008427AA"/>
    <w:rsid w:val="00851A18"/>
    <w:rsid w:val="00851CD6"/>
    <w:rsid w:val="0085300E"/>
    <w:rsid w:val="00855257"/>
    <w:rsid w:val="00856174"/>
    <w:rsid w:val="0085640D"/>
    <w:rsid w:val="008566FA"/>
    <w:rsid w:val="00860350"/>
    <w:rsid w:val="008605FA"/>
    <w:rsid w:val="00860B06"/>
    <w:rsid w:val="008645B2"/>
    <w:rsid w:val="00871024"/>
    <w:rsid w:val="00871183"/>
    <w:rsid w:val="00872A8F"/>
    <w:rsid w:val="008735CA"/>
    <w:rsid w:val="00874FA2"/>
    <w:rsid w:val="0087676C"/>
    <w:rsid w:val="008775F8"/>
    <w:rsid w:val="00880958"/>
    <w:rsid w:val="0088253F"/>
    <w:rsid w:val="00882704"/>
    <w:rsid w:val="00883924"/>
    <w:rsid w:val="00883B75"/>
    <w:rsid w:val="00886B51"/>
    <w:rsid w:val="00887E9B"/>
    <w:rsid w:val="00893487"/>
    <w:rsid w:val="00894C47"/>
    <w:rsid w:val="008958BD"/>
    <w:rsid w:val="00895E51"/>
    <w:rsid w:val="008966C3"/>
    <w:rsid w:val="00897CF0"/>
    <w:rsid w:val="00897DC4"/>
    <w:rsid w:val="008A0B2E"/>
    <w:rsid w:val="008A1B0B"/>
    <w:rsid w:val="008A1C7D"/>
    <w:rsid w:val="008A3D7C"/>
    <w:rsid w:val="008B3A36"/>
    <w:rsid w:val="008B43B8"/>
    <w:rsid w:val="008C0E67"/>
    <w:rsid w:val="008C2EA7"/>
    <w:rsid w:val="008C404D"/>
    <w:rsid w:val="008C7DC4"/>
    <w:rsid w:val="008C7F69"/>
    <w:rsid w:val="008D20F2"/>
    <w:rsid w:val="008D3807"/>
    <w:rsid w:val="008D3929"/>
    <w:rsid w:val="008D3F60"/>
    <w:rsid w:val="008D4CE8"/>
    <w:rsid w:val="008D4F14"/>
    <w:rsid w:val="008D503C"/>
    <w:rsid w:val="008D54A8"/>
    <w:rsid w:val="008D5F66"/>
    <w:rsid w:val="008D673A"/>
    <w:rsid w:val="008D7DB0"/>
    <w:rsid w:val="008E0E23"/>
    <w:rsid w:val="008E10F3"/>
    <w:rsid w:val="008E1A65"/>
    <w:rsid w:val="008E1D22"/>
    <w:rsid w:val="008E6BDA"/>
    <w:rsid w:val="008E6ECE"/>
    <w:rsid w:val="008F08FF"/>
    <w:rsid w:val="008F2E59"/>
    <w:rsid w:val="008F35BA"/>
    <w:rsid w:val="008F6BDA"/>
    <w:rsid w:val="008F70CB"/>
    <w:rsid w:val="009001FD"/>
    <w:rsid w:val="00901B62"/>
    <w:rsid w:val="00903288"/>
    <w:rsid w:val="00907ADF"/>
    <w:rsid w:val="00912276"/>
    <w:rsid w:val="009136D5"/>
    <w:rsid w:val="0092146D"/>
    <w:rsid w:val="00922A00"/>
    <w:rsid w:val="00922D84"/>
    <w:rsid w:val="00924A03"/>
    <w:rsid w:val="0093156D"/>
    <w:rsid w:val="00931688"/>
    <w:rsid w:val="0093559B"/>
    <w:rsid w:val="00935AF8"/>
    <w:rsid w:val="00936A7D"/>
    <w:rsid w:val="0093750C"/>
    <w:rsid w:val="00937D1B"/>
    <w:rsid w:val="0094118E"/>
    <w:rsid w:val="00942552"/>
    <w:rsid w:val="00945BD7"/>
    <w:rsid w:val="00945ED2"/>
    <w:rsid w:val="00950224"/>
    <w:rsid w:val="0095125C"/>
    <w:rsid w:val="00951A04"/>
    <w:rsid w:val="00951E27"/>
    <w:rsid w:val="00952E32"/>
    <w:rsid w:val="00955AFD"/>
    <w:rsid w:val="00956497"/>
    <w:rsid w:val="00961417"/>
    <w:rsid w:val="00963AA0"/>
    <w:rsid w:val="00963B50"/>
    <w:rsid w:val="00966993"/>
    <w:rsid w:val="0096776B"/>
    <w:rsid w:val="00970761"/>
    <w:rsid w:val="00972D7D"/>
    <w:rsid w:val="00975579"/>
    <w:rsid w:val="0097647B"/>
    <w:rsid w:val="00976606"/>
    <w:rsid w:val="009805A0"/>
    <w:rsid w:val="009841C7"/>
    <w:rsid w:val="00987390"/>
    <w:rsid w:val="00991D22"/>
    <w:rsid w:val="00992041"/>
    <w:rsid w:val="00992A1E"/>
    <w:rsid w:val="0099401D"/>
    <w:rsid w:val="00994104"/>
    <w:rsid w:val="00995895"/>
    <w:rsid w:val="00996195"/>
    <w:rsid w:val="009A0768"/>
    <w:rsid w:val="009A316B"/>
    <w:rsid w:val="009A55A7"/>
    <w:rsid w:val="009B06E3"/>
    <w:rsid w:val="009B187C"/>
    <w:rsid w:val="009B3615"/>
    <w:rsid w:val="009B3C08"/>
    <w:rsid w:val="009B50A2"/>
    <w:rsid w:val="009B51FC"/>
    <w:rsid w:val="009B7474"/>
    <w:rsid w:val="009B7B80"/>
    <w:rsid w:val="009C0E77"/>
    <w:rsid w:val="009C1677"/>
    <w:rsid w:val="009C1AA6"/>
    <w:rsid w:val="009C2298"/>
    <w:rsid w:val="009C2632"/>
    <w:rsid w:val="009C2C35"/>
    <w:rsid w:val="009C76C2"/>
    <w:rsid w:val="009D4D04"/>
    <w:rsid w:val="009E21BF"/>
    <w:rsid w:val="009E27A6"/>
    <w:rsid w:val="009F1D01"/>
    <w:rsid w:val="009F284C"/>
    <w:rsid w:val="00A0081F"/>
    <w:rsid w:val="00A0240B"/>
    <w:rsid w:val="00A025AD"/>
    <w:rsid w:val="00A031EE"/>
    <w:rsid w:val="00A032F1"/>
    <w:rsid w:val="00A0394C"/>
    <w:rsid w:val="00A0590B"/>
    <w:rsid w:val="00A127C1"/>
    <w:rsid w:val="00A15775"/>
    <w:rsid w:val="00A158A2"/>
    <w:rsid w:val="00A22635"/>
    <w:rsid w:val="00A22895"/>
    <w:rsid w:val="00A22B4D"/>
    <w:rsid w:val="00A25303"/>
    <w:rsid w:val="00A27A9F"/>
    <w:rsid w:val="00A32364"/>
    <w:rsid w:val="00A33A4E"/>
    <w:rsid w:val="00A40C3C"/>
    <w:rsid w:val="00A4324C"/>
    <w:rsid w:val="00A43D4F"/>
    <w:rsid w:val="00A4497A"/>
    <w:rsid w:val="00A5261A"/>
    <w:rsid w:val="00A52928"/>
    <w:rsid w:val="00A52BE7"/>
    <w:rsid w:val="00A57FF0"/>
    <w:rsid w:val="00A66947"/>
    <w:rsid w:val="00A6783E"/>
    <w:rsid w:val="00A758B8"/>
    <w:rsid w:val="00A82317"/>
    <w:rsid w:val="00A833DB"/>
    <w:rsid w:val="00A837C9"/>
    <w:rsid w:val="00A86E96"/>
    <w:rsid w:val="00A87632"/>
    <w:rsid w:val="00A94780"/>
    <w:rsid w:val="00A96969"/>
    <w:rsid w:val="00A97E8D"/>
    <w:rsid w:val="00AA1A24"/>
    <w:rsid w:val="00AA2E79"/>
    <w:rsid w:val="00AB0FCE"/>
    <w:rsid w:val="00AB215B"/>
    <w:rsid w:val="00AB2C3A"/>
    <w:rsid w:val="00AB395E"/>
    <w:rsid w:val="00AB3DA2"/>
    <w:rsid w:val="00AB4EA1"/>
    <w:rsid w:val="00AB5F7D"/>
    <w:rsid w:val="00AC0238"/>
    <w:rsid w:val="00AC466D"/>
    <w:rsid w:val="00AC4E81"/>
    <w:rsid w:val="00AD064D"/>
    <w:rsid w:val="00AD1712"/>
    <w:rsid w:val="00AD1B7D"/>
    <w:rsid w:val="00AD1EBD"/>
    <w:rsid w:val="00AD2141"/>
    <w:rsid w:val="00AD3DD9"/>
    <w:rsid w:val="00AD47FE"/>
    <w:rsid w:val="00AD54EE"/>
    <w:rsid w:val="00AD573A"/>
    <w:rsid w:val="00AD582C"/>
    <w:rsid w:val="00AE004F"/>
    <w:rsid w:val="00AE525E"/>
    <w:rsid w:val="00AF57C1"/>
    <w:rsid w:val="00AF5A09"/>
    <w:rsid w:val="00B0156A"/>
    <w:rsid w:val="00B0249C"/>
    <w:rsid w:val="00B02B62"/>
    <w:rsid w:val="00B10604"/>
    <w:rsid w:val="00B13F1D"/>
    <w:rsid w:val="00B14CE5"/>
    <w:rsid w:val="00B153F4"/>
    <w:rsid w:val="00B202DE"/>
    <w:rsid w:val="00B2602A"/>
    <w:rsid w:val="00B266E8"/>
    <w:rsid w:val="00B32981"/>
    <w:rsid w:val="00B3725C"/>
    <w:rsid w:val="00B37CDF"/>
    <w:rsid w:val="00B43C19"/>
    <w:rsid w:val="00B440E9"/>
    <w:rsid w:val="00B53CEA"/>
    <w:rsid w:val="00B54434"/>
    <w:rsid w:val="00B6007E"/>
    <w:rsid w:val="00B60B2E"/>
    <w:rsid w:val="00B61AFA"/>
    <w:rsid w:val="00B64F86"/>
    <w:rsid w:val="00B70A9E"/>
    <w:rsid w:val="00B7236A"/>
    <w:rsid w:val="00B7745E"/>
    <w:rsid w:val="00B82044"/>
    <w:rsid w:val="00B84307"/>
    <w:rsid w:val="00B84532"/>
    <w:rsid w:val="00B85B4B"/>
    <w:rsid w:val="00B86DB7"/>
    <w:rsid w:val="00B952E6"/>
    <w:rsid w:val="00BA1530"/>
    <w:rsid w:val="00BA51BC"/>
    <w:rsid w:val="00BA5636"/>
    <w:rsid w:val="00BA790E"/>
    <w:rsid w:val="00BB2695"/>
    <w:rsid w:val="00BB26A1"/>
    <w:rsid w:val="00BB60B1"/>
    <w:rsid w:val="00BB6185"/>
    <w:rsid w:val="00BB6605"/>
    <w:rsid w:val="00BC208D"/>
    <w:rsid w:val="00BC2A4D"/>
    <w:rsid w:val="00BC5684"/>
    <w:rsid w:val="00BD195D"/>
    <w:rsid w:val="00BD2DBB"/>
    <w:rsid w:val="00BD521B"/>
    <w:rsid w:val="00BE305C"/>
    <w:rsid w:val="00BE5FFF"/>
    <w:rsid w:val="00BF1085"/>
    <w:rsid w:val="00BF13D3"/>
    <w:rsid w:val="00BF1820"/>
    <w:rsid w:val="00BF5745"/>
    <w:rsid w:val="00BF5812"/>
    <w:rsid w:val="00BF6E88"/>
    <w:rsid w:val="00C07321"/>
    <w:rsid w:val="00C108F6"/>
    <w:rsid w:val="00C10F7F"/>
    <w:rsid w:val="00C13D6D"/>
    <w:rsid w:val="00C147F3"/>
    <w:rsid w:val="00C153C9"/>
    <w:rsid w:val="00C15B03"/>
    <w:rsid w:val="00C217C8"/>
    <w:rsid w:val="00C22369"/>
    <w:rsid w:val="00C2476E"/>
    <w:rsid w:val="00C326B8"/>
    <w:rsid w:val="00C330D5"/>
    <w:rsid w:val="00C403C3"/>
    <w:rsid w:val="00C42286"/>
    <w:rsid w:val="00C43444"/>
    <w:rsid w:val="00C4754F"/>
    <w:rsid w:val="00C50317"/>
    <w:rsid w:val="00C53851"/>
    <w:rsid w:val="00C5563C"/>
    <w:rsid w:val="00C57F90"/>
    <w:rsid w:val="00C6184F"/>
    <w:rsid w:val="00C62843"/>
    <w:rsid w:val="00C64002"/>
    <w:rsid w:val="00C650EF"/>
    <w:rsid w:val="00C70005"/>
    <w:rsid w:val="00C714B9"/>
    <w:rsid w:val="00C75843"/>
    <w:rsid w:val="00C80726"/>
    <w:rsid w:val="00C81A4D"/>
    <w:rsid w:val="00C847C8"/>
    <w:rsid w:val="00C861C8"/>
    <w:rsid w:val="00C8683A"/>
    <w:rsid w:val="00C86A86"/>
    <w:rsid w:val="00C97200"/>
    <w:rsid w:val="00CA09F1"/>
    <w:rsid w:val="00CA2232"/>
    <w:rsid w:val="00CA3994"/>
    <w:rsid w:val="00CA7D51"/>
    <w:rsid w:val="00CB160A"/>
    <w:rsid w:val="00CB2764"/>
    <w:rsid w:val="00CB4B2F"/>
    <w:rsid w:val="00CC7260"/>
    <w:rsid w:val="00CC7D8F"/>
    <w:rsid w:val="00CD0C22"/>
    <w:rsid w:val="00CD1881"/>
    <w:rsid w:val="00CD267C"/>
    <w:rsid w:val="00CD3A98"/>
    <w:rsid w:val="00CD4961"/>
    <w:rsid w:val="00CD779B"/>
    <w:rsid w:val="00CE01A7"/>
    <w:rsid w:val="00CE181B"/>
    <w:rsid w:val="00CE39A7"/>
    <w:rsid w:val="00CE6CE8"/>
    <w:rsid w:val="00CF2AB0"/>
    <w:rsid w:val="00CF3D66"/>
    <w:rsid w:val="00CF6081"/>
    <w:rsid w:val="00CF6F62"/>
    <w:rsid w:val="00D002A3"/>
    <w:rsid w:val="00D03930"/>
    <w:rsid w:val="00D05D2C"/>
    <w:rsid w:val="00D10DC9"/>
    <w:rsid w:val="00D1117B"/>
    <w:rsid w:val="00D12E89"/>
    <w:rsid w:val="00D14DFA"/>
    <w:rsid w:val="00D15C84"/>
    <w:rsid w:val="00D17DD8"/>
    <w:rsid w:val="00D20B9F"/>
    <w:rsid w:val="00D21636"/>
    <w:rsid w:val="00D21A29"/>
    <w:rsid w:val="00D25DAB"/>
    <w:rsid w:val="00D304F7"/>
    <w:rsid w:val="00D30C33"/>
    <w:rsid w:val="00D35716"/>
    <w:rsid w:val="00D357A3"/>
    <w:rsid w:val="00D374CA"/>
    <w:rsid w:val="00D42872"/>
    <w:rsid w:val="00D4314A"/>
    <w:rsid w:val="00D44A5C"/>
    <w:rsid w:val="00D5015C"/>
    <w:rsid w:val="00D52CF1"/>
    <w:rsid w:val="00D53ADF"/>
    <w:rsid w:val="00D53EEF"/>
    <w:rsid w:val="00D5536E"/>
    <w:rsid w:val="00D5686C"/>
    <w:rsid w:val="00D61842"/>
    <w:rsid w:val="00D6396D"/>
    <w:rsid w:val="00D646D9"/>
    <w:rsid w:val="00D65C04"/>
    <w:rsid w:val="00D72DF0"/>
    <w:rsid w:val="00D7493C"/>
    <w:rsid w:val="00D75A2F"/>
    <w:rsid w:val="00D75BD2"/>
    <w:rsid w:val="00D77179"/>
    <w:rsid w:val="00D80FA8"/>
    <w:rsid w:val="00D817BB"/>
    <w:rsid w:val="00D8311E"/>
    <w:rsid w:val="00D834F8"/>
    <w:rsid w:val="00D85DA8"/>
    <w:rsid w:val="00D900CD"/>
    <w:rsid w:val="00D93A70"/>
    <w:rsid w:val="00D945F6"/>
    <w:rsid w:val="00D95F4F"/>
    <w:rsid w:val="00D975D7"/>
    <w:rsid w:val="00DA3E4C"/>
    <w:rsid w:val="00DA4F02"/>
    <w:rsid w:val="00DB130D"/>
    <w:rsid w:val="00DB1787"/>
    <w:rsid w:val="00DB699D"/>
    <w:rsid w:val="00DB724D"/>
    <w:rsid w:val="00DC19E1"/>
    <w:rsid w:val="00DC3399"/>
    <w:rsid w:val="00DC380B"/>
    <w:rsid w:val="00DC53E3"/>
    <w:rsid w:val="00DC567D"/>
    <w:rsid w:val="00DC7047"/>
    <w:rsid w:val="00DD1F88"/>
    <w:rsid w:val="00DD2488"/>
    <w:rsid w:val="00DD317D"/>
    <w:rsid w:val="00DD3B08"/>
    <w:rsid w:val="00DD6E0F"/>
    <w:rsid w:val="00DE66B1"/>
    <w:rsid w:val="00DF3E56"/>
    <w:rsid w:val="00DF4458"/>
    <w:rsid w:val="00DF4F7B"/>
    <w:rsid w:val="00E0028E"/>
    <w:rsid w:val="00E03BAE"/>
    <w:rsid w:val="00E03E14"/>
    <w:rsid w:val="00E0582D"/>
    <w:rsid w:val="00E10809"/>
    <w:rsid w:val="00E11575"/>
    <w:rsid w:val="00E12FB5"/>
    <w:rsid w:val="00E141FD"/>
    <w:rsid w:val="00E174C6"/>
    <w:rsid w:val="00E20BA5"/>
    <w:rsid w:val="00E217F4"/>
    <w:rsid w:val="00E258C7"/>
    <w:rsid w:val="00E27EA6"/>
    <w:rsid w:val="00E32F49"/>
    <w:rsid w:val="00E36A38"/>
    <w:rsid w:val="00E43C09"/>
    <w:rsid w:val="00E47A62"/>
    <w:rsid w:val="00E51A56"/>
    <w:rsid w:val="00E51B7C"/>
    <w:rsid w:val="00E54BDD"/>
    <w:rsid w:val="00E55823"/>
    <w:rsid w:val="00E55B91"/>
    <w:rsid w:val="00E579C8"/>
    <w:rsid w:val="00E615B9"/>
    <w:rsid w:val="00E63462"/>
    <w:rsid w:val="00E6459A"/>
    <w:rsid w:val="00E64E7F"/>
    <w:rsid w:val="00E7093A"/>
    <w:rsid w:val="00E71D51"/>
    <w:rsid w:val="00E7274E"/>
    <w:rsid w:val="00E744CC"/>
    <w:rsid w:val="00E747D1"/>
    <w:rsid w:val="00E751BF"/>
    <w:rsid w:val="00E75F33"/>
    <w:rsid w:val="00E76709"/>
    <w:rsid w:val="00E83D82"/>
    <w:rsid w:val="00E849DF"/>
    <w:rsid w:val="00E86C45"/>
    <w:rsid w:val="00E92803"/>
    <w:rsid w:val="00E95171"/>
    <w:rsid w:val="00EA0F11"/>
    <w:rsid w:val="00EA1502"/>
    <w:rsid w:val="00EA1681"/>
    <w:rsid w:val="00EA2E82"/>
    <w:rsid w:val="00EA4BBE"/>
    <w:rsid w:val="00EA62F1"/>
    <w:rsid w:val="00EA75BB"/>
    <w:rsid w:val="00EB1C37"/>
    <w:rsid w:val="00EB2787"/>
    <w:rsid w:val="00EC1BDB"/>
    <w:rsid w:val="00EC55B0"/>
    <w:rsid w:val="00EC60A5"/>
    <w:rsid w:val="00EC6647"/>
    <w:rsid w:val="00EC7A48"/>
    <w:rsid w:val="00ED18CC"/>
    <w:rsid w:val="00ED3043"/>
    <w:rsid w:val="00ED4E35"/>
    <w:rsid w:val="00ED6BCA"/>
    <w:rsid w:val="00EE44D8"/>
    <w:rsid w:val="00EE688A"/>
    <w:rsid w:val="00EF0FD5"/>
    <w:rsid w:val="00EF4889"/>
    <w:rsid w:val="00EF5C5A"/>
    <w:rsid w:val="00EF6CEF"/>
    <w:rsid w:val="00EF7C46"/>
    <w:rsid w:val="00F03078"/>
    <w:rsid w:val="00F0497C"/>
    <w:rsid w:val="00F04AEC"/>
    <w:rsid w:val="00F1199D"/>
    <w:rsid w:val="00F14F1E"/>
    <w:rsid w:val="00F15362"/>
    <w:rsid w:val="00F15B9C"/>
    <w:rsid w:val="00F17605"/>
    <w:rsid w:val="00F215CB"/>
    <w:rsid w:val="00F22381"/>
    <w:rsid w:val="00F22F69"/>
    <w:rsid w:val="00F25A0B"/>
    <w:rsid w:val="00F27E4F"/>
    <w:rsid w:val="00F30012"/>
    <w:rsid w:val="00F302A1"/>
    <w:rsid w:val="00F3051F"/>
    <w:rsid w:val="00F30CFB"/>
    <w:rsid w:val="00F4170B"/>
    <w:rsid w:val="00F44A14"/>
    <w:rsid w:val="00F44C5F"/>
    <w:rsid w:val="00F44CD7"/>
    <w:rsid w:val="00F45C38"/>
    <w:rsid w:val="00F46F9F"/>
    <w:rsid w:val="00F47D74"/>
    <w:rsid w:val="00F51A6B"/>
    <w:rsid w:val="00F5247D"/>
    <w:rsid w:val="00F5314A"/>
    <w:rsid w:val="00F54B46"/>
    <w:rsid w:val="00F556FF"/>
    <w:rsid w:val="00F57464"/>
    <w:rsid w:val="00F57D64"/>
    <w:rsid w:val="00F60051"/>
    <w:rsid w:val="00F61081"/>
    <w:rsid w:val="00F62D03"/>
    <w:rsid w:val="00F71A68"/>
    <w:rsid w:val="00F71B6C"/>
    <w:rsid w:val="00F71DA4"/>
    <w:rsid w:val="00F73307"/>
    <w:rsid w:val="00F73FEC"/>
    <w:rsid w:val="00F81CAE"/>
    <w:rsid w:val="00F84195"/>
    <w:rsid w:val="00F85305"/>
    <w:rsid w:val="00F85D15"/>
    <w:rsid w:val="00F90E34"/>
    <w:rsid w:val="00F94375"/>
    <w:rsid w:val="00FA052F"/>
    <w:rsid w:val="00FA25A1"/>
    <w:rsid w:val="00FA3894"/>
    <w:rsid w:val="00FA4E6B"/>
    <w:rsid w:val="00FB029A"/>
    <w:rsid w:val="00FB4778"/>
    <w:rsid w:val="00FB6BA1"/>
    <w:rsid w:val="00FC20D3"/>
    <w:rsid w:val="00FC3082"/>
    <w:rsid w:val="00FC56F5"/>
    <w:rsid w:val="00FC7CC2"/>
    <w:rsid w:val="00FD0462"/>
    <w:rsid w:val="00FD353D"/>
    <w:rsid w:val="00FD38AB"/>
    <w:rsid w:val="00FD3BEA"/>
    <w:rsid w:val="00FD4048"/>
    <w:rsid w:val="00FD5286"/>
    <w:rsid w:val="00FE152C"/>
    <w:rsid w:val="00FE5299"/>
    <w:rsid w:val="00FF07C9"/>
    <w:rsid w:val="00FF19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68B20"/>
  <w15:chartTrackingRefBased/>
  <w15:docId w15:val="{2A760DA8-D276-4C16-A956-EFFA19A8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299"/>
  </w:style>
  <w:style w:type="paragraph" w:styleId="Heading1">
    <w:name w:val="heading 1"/>
    <w:basedOn w:val="Normal"/>
    <w:next w:val="Normal"/>
    <w:link w:val="Heading1Char"/>
    <w:uiPriority w:val="9"/>
    <w:qFormat/>
    <w:rsid w:val="005752A1"/>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5752A1"/>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5752A1"/>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unhideWhenUsed/>
    <w:qFormat/>
    <w:rsid w:val="005752A1"/>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5752A1"/>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5752A1"/>
    <w:pPr>
      <w:keepNext/>
      <w:keepLines/>
      <w:spacing w:before="40" w:after="0"/>
      <w:outlineLvl w:val="5"/>
    </w:pPr>
  </w:style>
  <w:style w:type="paragraph" w:styleId="Heading7">
    <w:name w:val="heading 7"/>
    <w:basedOn w:val="Normal"/>
    <w:next w:val="Normal"/>
    <w:link w:val="Heading7Char"/>
    <w:uiPriority w:val="9"/>
    <w:semiHidden/>
    <w:unhideWhenUsed/>
    <w:qFormat/>
    <w:rsid w:val="005752A1"/>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752A1"/>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5752A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2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6A1"/>
  </w:style>
  <w:style w:type="paragraph" w:styleId="Header">
    <w:name w:val="header"/>
    <w:basedOn w:val="Normal"/>
    <w:link w:val="HeaderChar"/>
    <w:uiPriority w:val="99"/>
    <w:unhideWhenUsed/>
    <w:rsid w:val="000A08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8D3"/>
  </w:style>
  <w:style w:type="character" w:customStyle="1" w:styleId="Heading1Char">
    <w:name w:val="Heading 1 Char"/>
    <w:basedOn w:val="DefaultParagraphFont"/>
    <w:link w:val="Heading1"/>
    <w:uiPriority w:val="9"/>
    <w:rsid w:val="005752A1"/>
    <w:rPr>
      <w:rFonts w:asciiTheme="majorHAnsi" w:eastAsiaTheme="majorEastAsia" w:hAnsiTheme="majorHAnsi" w:cstheme="majorBidi"/>
      <w:color w:val="262626" w:themeColor="text1" w:themeTint="D9"/>
      <w:sz w:val="32"/>
      <w:szCs w:val="32"/>
    </w:rPr>
  </w:style>
  <w:style w:type="paragraph" w:styleId="TOCHeading">
    <w:name w:val="TOC Heading"/>
    <w:basedOn w:val="Heading1"/>
    <w:next w:val="Normal"/>
    <w:uiPriority w:val="39"/>
    <w:unhideWhenUsed/>
    <w:qFormat/>
    <w:rsid w:val="005752A1"/>
    <w:pPr>
      <w:outlineLvl w:val="9"/>
    </w:pPr>
  </w:style>
  <w:style w:type="character" w:styleId="Hyperlink">
    <w:name w:val="Hyperlink"/>
    <w:basedOn w:val="DefaultParagraphFont"/>
    <w:uiPriority w:val="99"/>
    <w:unhideWhenUsed/>
    <w:rsid w:val="00FD4048"/>
    <w:rPr>
      <w:color w:val="0563C1" w:themeColor="hyperlink"/>
      <w:u w:val="single"/>
    </w:rPr>
  </w:style>
  <w:style w:type="character" w:styleId="UnresolvedMention">
    <w:name w:val="Unresolved Mention"/>
    <w:basedOn w:val="DefaultParagraphFont"/>
    <w:uiPriority w:val="99"/>
    <w:semiHidden/>
    <w:unhideWhenUsed/>
    <w:rsid w:val="00FD4048"/>
    <w:rPr>
      <w:color w:val="605E5C"/>
      <w:shd w:val="clear" w:color="auto" w:fill="E1DFDD"/>
    </w:rPr>
  </w:style>
  <w:style w:type="character" w:customStyle="1" w:styleId="Heading2Char">
    <w:name w:val="Heading 2 Char"/>
    <w:basedOn w:val="DefaultParagraphFont"/>
    <w:link w:val="Heading2"/>
    <w:uiPriority w:val="9"/>
    <w:rsid w:val="005752A1"/>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5752A1"/>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rsid w:val="005752A1"/>
    <w:rPr>
      <w:i/>
      <w:iCs/>
    </w:rPr>
  </w:style>
  <w:style w:type="character" w:customStyle="1" w:styleId="Heading5Char">
    <w:name w:val="Heading 5 Char"/>
    <w:basedOn w:val="DefaultParagraphFont"/>
    <w:link w:val="Heading5"/>
    <w:uiPriority w:val="9"/>
    <w:semiHidden/>
    <w:rsid w:val="005752A1"/>
    <w:rPr>
      <w:color w:val="404040" w:themeColor="text1" w:themeTint="BF"/>
    </w:rPr>
  </w:style>
  <w:style w:type="character" w:customStyle="1" w:styleId="Heading6Char">
    <w:name w:val="Heading 6 Char"/>
    <w:basedOn w:val="DefaultParagraphFont"/>
    <w:link w:val="Heading6"/>
    <w:uiPriority w:val="9"/>
    <w:semiHidden/>
    <w:rsid w:val="005752A1"/>
  </w:style>
  <w:style w:type="character" w:customStyle="1" w:styleId="Heading7Char">
    <w:name w:val="Heading 7 Char"/>
    <w:basedOn w:val="DefaultParagraphFont"/>
    <w:link w:val="Heading7"/>
    <w:uiPriority w:val="9"/>
    <w:semiHidden/>
    <w:rsid w:val="005752A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752A1"/>
    <w:rPr>
      <w:color w:val="262626" w:themeColor="text1" w:themeTint="D9"/>
      <w:sz w:val="21"/>
      <w:szCs w:val="21"/>
    </w:rPr>
  </w:style>
  <w:style w:type="character" w:customStyle="1" w:styleId="Heading9Char">
    <w:name w:val="Heading 9 Char"/>
    <w:basedOn w:val="DefaultParagraphFont"/>
    <w:link w:val="Heading9"/>
    <w:uiPriority w:val="9"/>
    <w:semiHidden/>
    <w:rsid w:val="005752A1"/>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unhideWhenUsed/>
    <w:qFormat/>
    <w:rsid w:val="005752A1"/>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752A1"/>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752A1"/>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752A1"/>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5752A1"/>
    <w:rPr>
      <w:color w:val="5A5A5A" w:themeColor="text1" w:themeTint="A5"/>
      <w:spacing w:val="15"/>
    </w:rPr>
  </w:style>
  <w:style w:type="character" w:styleId="Strong">
    <w:name w:val="Strong"/>
    <w:basedOn w:val="DefaultParagraphFont"/>
    <w:uiPriority w:val="22"/>
    <w:qFormat/>
    <w:rsid w:val="005752A1"/>
    <w:rPr>
      <w:b/>
      <w:bCs/>
      <w:color w:val="auto"/>
    </w:rPr>
  </w:style>
  <w:style w:type="character" w:styleId="Emphasis">
    <w:name w:val="Emphasis"/>
    <w:basedOn w:val="DefaultParagraphFont"/>
    <w:uiPriority w:val="20"/>
    <w:qFormat/>
    <w:rsid w:val="005752A1"/>
    <w:rPr>
      <w:i/>
      <w:iCs/>
      <w:color w:val="auto"/>
    </w:rPr>
  </w:style>
  <w:style w:type="paragraph" w:styleId="NoSpacing">
    <w:name w:val="No Spacing"/>
    <w:uiPriority w:val="1"/>
    <w:qFormat/>
    <w:rsid w:val="005752A1"/>
    <w:pPr>
      <w:spacing w:after="0" w:line="240" w:lineRule="auto"/>
    </w:pPr>
  </w:style>
  <w:style w:type="paragraph" w:styleId="Quote">
    <w:name w:val="Quote"/>
    <w:basedOn w:val="Normal"/>
    <w:next w:val="Normal"/>
    <w:link w:val="QuoteChar"/>
    <w:uiPriority w:val="29"/>
    <w:qFormat/>
    <w:rsid w:val="005752A1"/>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5752A1"/>
    <w:rPr>
      <w:i/>
      <w:iCs/>
      <w:color w:val="404040" w:themeColor="text1" w:themeTint="BF"/>
    </w:rPr>
  </w:style>
  <w:style w:type="paragraph" w:styleId="IntenseQuote">
    <w:name w:val="Intense Quote"/>
    <w:basedOn w:val="Normal"/>
    <w:next w:val="Normal"/>
    <w:link w:val="IntenseQuoteChar"/>
    <w:uiPriority w:val="30"/>
    <w:qFormat/>
    <w:rsid w:val="005752A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5752A1"/>
    <w:rPr>
      <w:i/>
      <w:iCs/>
      <w:color w:val="404040" w:themeColor="text1" w:themeTint="BF"/>
    </w:rPr>
  </w:style>
  <w:style w:type="character" w:styleId="SubtleEmphasis">
    <w:name w:val="Subtle Emphasis"/>
    <w:basedOn w:val="DefaultParagraphFont"/>
    <w:uiPriority w:val="19"/>
    <w:qFormat/>
    <w:rsid w:val="005752A1"/>
    <w:rPr>
      <w:i/>
      <w:iCs/>
      <w:color w:val="404040" w:themeColor="text1" w:themeTint="BF"/>
    </w:rPr>
  </w:style>
  <w:style w:type="character" w:styleId="IntenseEmphasis">
    <w:name w:val="Intense Emphasis"/>
    <w:basedOn w:val="DefaultParagraphFont"/>
    <w:uiPriority w:val="21"/>
    <w:qFormat/>
    <w:rsid w:val="005752A1"/>
    <w:rPr>
      <w:b/>
      <w:bCs/>
      <w:i/>
      <w:iCs/>
      <w:color w:val="auto"/>
    </w:rPr>
  </w:style>
  <w:style w:type="character" w:styleId="SubtleReference">
    <w:name w:val="Subtle Reference"/>
    <w:basedOn w:val="DefaultParagraphFont"/>
    <w:uiPriority w:val="31"/>
    <w:qFormat/>
    <w:rsid w:val="005752A1"/>
    <w:rPr>
      <w:smallCaps/>
      <w:color w:val="404040" w:themeColor="text1" w:themeTint="BF"/>
    </w:rPr>
  </w:style>
  <w:style w:type="character" w:styleId="IntenseReference">
    <w:name w:val="Intense Reference"/>
    <w:basedOn w:val="DefaultParagraphFont"/>
    <w:uiPriority w:val="32"/>
    <w:qFormat/>
    <w:rsid w:val="005752A1"/>
    <w:rPr>
      <w:b/>
      <w:bCs/>
      <w:smallCaps/>
      <w:color w:val="404040" w:themeColor="text1" w:themeTint="BF"/>
      <w:spacing w:val="5"/>
    </w:rPr>
  </w:style>
  <w:style w:type="character" w:styleId="BookTitle">
    <w:name w:val="Book Title"/>
    <w:basedOn w:val="DefaultParagraphFont"/>
    <w:uiPriority w:val="33"/>
    <w:qFormat/>
    <w:rsid w:val="005752A1"/>
    <w:rPr>
      <w:b/>
      <w:bCs/>
      <w:i/>
      <w:iCs/>
      <w:spacing w:val="5"/>
    </w:rPr>
  </w:style>
  <w:style w:type="paragraph" w:styleId="TOC2">
    <w:name w:val="toc 2"/>
    <w:basedOn w:val="Normal"/>
    <w:next w:val="Normal"/>
    <w:autoRedefine/>
    <w:uiPriority w:val="39"/>
    <w:unhideWhenUsed/>
    <w:rsid w:val="00284B59"/>
    <w:pPr>
      <w:tabs>
        <w:tab w:val="right" w:leader="dot" w:pos="9350"/>
      </w:tabs>
      <w:spacing w:after="100"/>
      <w:ind w:left="220"/>
    </w:pPr>
    <w:rPr>
      <w:rFonts w:asciiTheme="majorBidi" w:eastAsia="Times New Roman" w:hAnsiTheme="majorBidi" w:cstheme="majorBidi"/>
      <w:noProof/>
      <w:sz w:val="24"/>
      <w:szCs w:val="24"/>
    </w:rPr>
  </w:style>
  <w:style w:type="paragraph" w:styleId="TOC1">
    <w:name w:val="toc 1"/>
    <w:basedOn w:val="Normal"/>
    <w:next w:val="Normal"/>
    <w:autoRedefine/>
    <w:uiPriority w:val="39"/>
    <w:unhideWhenUsed/>
    <w:rsid w:val="00284B59"/>
    <w:pPr>
      <w:tabs>
        <w:tab w:val="right" w:leader="dot" w:pos="9350"/>
      </w:tabs>
      <w:spacing w:after="100"/>
    </w:pPr>
    <w:rPr>
      <w:rFonts w:asciiTheme="majorBidi" w:hAnsiTheme="majorBidi" w:cstheme="majorBidi"/>
      <w:noProof/>
      <w:sz w:val="24"/>
      <w:szCs w:val="24"/>
    </w:rPr>
  </w:style>
  <w:style w:type="paragraph" w:styleId="TOC3">
    <w:name w:val="toc 3"/>
    <w:basedOn w:val="Normal"/>
    <w:next w:val="Normal"/>
    <w:autoRedefine/>
    <w:uiPriority w:val="39"/>
    <w:unhideWhenUsed/>
    <w:rsid w:val="00DB724D"/>
    <w:pPr>
      <w:spacing w:after="100"/>
      <w:ind w:left="440"/>
    </w:pPr>
    <w:rPr>
      <w:rFonts w:cs="Times New Roman"/>
    </w:rPr>
  </w:style>
  <w:style w:type="table" w:styleId="TableGrid">
    <w:name w:val="Table Grid"/>
    <w:basedOn w:val="TableNormal"/>
    <w:uiPriority w:val="39"/>
    <w:rsid w:val="008C0E6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3994"/>
    <w:rPr>
      <w:sz w:val="16"/>
      <w:szCs w:val="16"/>
    </w:rPr>
  </w:style>
  <w:style w:type="paragraph" w:styleId="CommentText">
    <w:name w:val="annotation text"/>
    <w:basedOn w:val="Normal"/>
    <w:link w:val="CommentTextChar"/>
    <w:uiPriority w:val="99"/>
    <w:unhideWhenUsed/>
    <w:rsid w:val="00CA3994"/>
    <w:pPr>
      <w:spacing w:line="240" w:lineRule="auto"/>
    </w:pPr>
    <w:rPr>
      <w:sz w:val="20"/>
      <w:szCs w:val="20"/>
    </w:rPr>
  </w:style>
  <w:style w:type="character" w:customStyle="1" w:styleId="CommentTextChar">
    <w:name w:val="Comment Text Char"/>
    <w:basedOn w:val="DefaultParagraphFont"/>
    <w:link w:val="CommentText"/>
    <w:uiPriority w:val="99"/>
    <w:rsid w:val="00CA3994"/>
    <w:rPr>
      <w:sz w:val="20"/>
      <w:szCs w:val="20"/>
    </w:rPr>
  </w:style>
  <w:style w:type="paragraph" w:styleId="CommentSubject">
    <w:name w:val="annotation subject"/>
    <w:basedOn w:val="CommentText"/>
    <w:next w:val="CommentText"/>
    <w:link w:val="CommentSubjectChar"/>
    <w:uiPriority w:val="99"/>
    <w:semiHidden/>
    <w:unhideWhenUsed/>
    <w:rsid w:val="00CA3994"/>
    <w:rPr>
      <w:b/>
      <w:bCs/>
    </w:rPr>
  </w:style>
  <w:style w:type="character" w:customStyle="1" w:styleId="CommentSubjectChar">
    <w:name w:val="Comment Subject Char"/>
    <w:basedOn w:val="CommentTextChar"/>
    <w:link w:val="CommentSubject"/>
    <w:uiPriority w:val="99"/>
    <w:semiHidden/>
    <w:rsid w:val="00CA3994"/>
    <w:rPr>
      <w:b/>
      <w:bCs/>
      <w:sz w:val="20"/>
      <w:szCs w:val="20"/>
    </w:rPr>
  </w:style>
  <w:style w:type="paragraph" w:styleId="TableofFigures">
    <w:name w:val="table of figures"/>
    <w:basedOn w:val="Normal"/>
    <w:next w:val="Normal"/>
    <w:uiPriority w:val="99"/>
    <w:unhideWhenUsed/>
    <w:rsid w:val="00D4314A"/>
    <w:pPr>
      <w:spacing w:after="0"/>
    </w:pPr>
  </w:style>
  <w:style w:type="paragraph" w:styleId="NormalWeb">
    <w:name w:val="Normal (Web)"/>
    <w:basedOn w:val="Normal"/>
    <w:uiPriority w:val="99"/>
    <w:semiHidden/>
    <w:unhideWhenUsed/>
    <w:rsid w:val="00165E9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27E4F"/>
    <w:pPr>
      <w:spacing w:after="0" w:line="240" w:lineRule="auto"/>
    </w:pPr>
  </w:style>
  <w:style w:type="paragraph" w:styleId="ListParagraph">
    <w:name w:val="List Paragraph"/>
    <w:basedOn w:val="Normal"/>
    <w:uiPriority w:val="34"/>
    <w:qFormat/>
    <w:rsid w:val="000610B1"/>
    <w:pPr>
      <w:ind w:left="720"/>
      <w:contextualSpacing/>
    </w:pPr>
  </w:style>
  <w:style w:type="character" w:styleId="FollowedHyperlink">
    <w:name w:val="FollowedHyperlink"/>
    <w:basedOn w:val="DefaultParagraphFont"/>
    <w:uiPriority w:val="99"/>
    <w:semiHidden/>
    <w:unhideWhenUsed/>
    <w:rsid w:val="005210FA"/>
    <w:rPr>
      <w:color w:val="954F72" w:themeColor="followedHyperlink"/>
      <w:u w:val="single"/>
    </w:rPr>
  </w:style>
  <w:style w:type="paragraph" w:styleId="BodyText">
    <w:name w:val="Body Text"/>
    <w:basedOn w:val="Normal"/>
    <w:link w:val="BodyTextChar"/>
    <w:uiPriority w:val="99"/>
    <w:semiHidden/>
    <w:unhideWhenUsed/>
    <w:rsid w:val="00FD38AB"/>
    <w:pPr>
      <w:spacing w:after="120"/>
    </w:pPr>
  </w:style>
  <w:style w:type="character" w:customStyle="1" w:styleId="BodyTextChar">
    <w:name w:val="Body Text Char"/>
    <w:basedOn w:val="DefaultParagraphFont"/>
    <w:link w:val="BodyText"/>
    <w:uiPriority w:val="99"/>
    <w:semiHidden/>
    <w:rsid w:val="00FD38AB"/>
  </w:style>
  <w:style w:type="paragraph" w:styleId="BalloonText">
    <w:name w:val="Balloon Text"/>
    <w:basedOn w:val="Normal"/>
    <w:link w:val="BalloonTextChar"/>
    <w:uiPriority w:val="99"/>
    <w:semiHidden/>
    <w:unhideWhenUsed/>
    <w:rsid w:val="00AE525E"/>
    <w:pPr>
      <w:spacing w:after="0" w:line="240" w:lineRule="auto"/>
    </w:pPr>
    <w:rPr>
      <w:rFonts w:ascii="Times New Roman" w:eastAsiaTheme="minorHAnsi" w:hAnsi="Times New Roman" w:cs="Times New Roman"/>
      <w:sz w:val="18"/>
      <w:szCs w:val="18"/>
    </w:rPr>
  </w:style>
  <w:style w:type="character" w:customStyle="1" w:styleId="BalloonTextChar">
    <w:name w:val="Balloon Text Char"/>
    <w:basedOn w:val="DefaultParagraphFont"/>
    <w:link w:val="BalloonText"/>
    <w:uiPriority w:val="99"/>
    <w:semiHidden/>
    <w:rsid w:val="00AE525E"/>
    <w:rPr>
      <w:rFonts w:ascii="Times New Roman" w:eastAsiaTheme="minorHAnsi" w:hAnsi="Times New Roman" w:cs="Times New Roman"/>
      <w:sz w:val="18"/>
      <w:szCs w:val="18"/>
    </w:rPr>
  </w:style>
  <w:style w:type="character" w:customStyle="1" w:styleId="UnresolvedMention1">
    <w:name w:val="Unresolved Mention1"/>
    <w:basedOn w:val="DefaultParagraphFont"/>
    <w:uiPriority w:val="99"/>
    <w:rsid w:val="00AE525E"/>
    <w:rPr>
      <w:color w:val="605E5C"/>
      <w:shd w:val="clear" w:color="auto" w:fill="E1DFDD"/>
    </w:rPr>
  </w:style>
  <w:style w:type="character" w:styleId="PageNumber">
    <w:name w:val="page number"/>
    <w:basedOn w:val="DefaultParagraphFont"/>
    <w:uiPriority w:val="99"/>
    <w:semiHidden/>
    <w:unhideWhenUsed/>
    <w:rsid w:val="00AE525E"/>
  </w:style>
  <w:style w:type="paragraph" w:customStyle="1" w:styleId="xl63">
    <w:name w:val="xl63"/>
    <w:basedOn w:val="Normal"/>
    <w:rsid w:val="00AE525E"/>
    <w:pPr>
      <w:spacing w:before="100" w:beforeAutospacing="1" w:after="100" w:afterAutospacing="1" w:line="240" w:lineRule="auto"/>
      <w:textAlignment w:val="center"/>
    </w:pPr>
    <w:rPr>
      <w:rFonts w:ascii="Times New Roman" w:eastAsiaTheme="minorHAnsi" w:hAnsi="Times New Roman" w:cs="Times New Roman"/>
      <w:i/>
      <w:iCs/>
      <w:color w:val="000000"/>
      <w:sz w:val="16"/>
      <w:szCs w:val="16"/>
    </w:rPr>
  </w:style>
  <w:style w:type="paragraph" w:customStyle="1" w:styleId="xl64">
    <w:name w:val="xl64"/>
    <w:basedOn w:val="Normal"/>
    <w:rsid w:val="00AE525E"/>
    <w:pPr>
      <w:spacing w:before="100" w:beforeAutospacing="1" w:after="100" w:afterAutospacing="1" w:line="240" w:lineRule="auto"/>
      <w:textAlignment w:val="center"/>
    </w:pPr>
    <w:rPr>
      <w:rFonts w:ascii="Times New Roman" w:eastAsiaTheme="minorHAnsi" w:hAnsi="Times New Roman" w:cs="Times New Roman"/>
      <w:color w:val="000000"/>
      <w:sz w:val="16"/>
      <w:szCs w:val="16"/>
    </w:rPr>
  </w:style>
  <w:style w:type="paragraph" w:customStyle="1" w:styleId="xl65">
    <w:name w:val="xl65"/>
    <w:basedOn w:val="Normal"/>
    <w:rsid w:val="00AE525E"/>
    <w:pPr>
      <w:spacing w:before="100" w:beforeAutospacing="1" w:after="100" w:afterAutospacing="1" w:line="240" w:lineRule="auto"/>
      <w:jc w:val="center"/>
      <w:textAlignment w:val="center"/>
    </w:pPr>
    <w:rPr>
      <w:rFonts w:ascii="Times New Roman" w:eastAsiaTheme="minorHAnsi" w:hAnsi="Times New Roman" w:cs="Times New Roman"/>
      <w:color w:val="000000"/>
      <w:sz w:val="16"/>
      <w:szCs w:val="16"/>
    </w:rPr>
  </w:style>
  <w:style w:type="paragraph" w:customStyle="1" w:styleId="xl66">
    <w:name w:val="xl66"/>
    <w:basedOn w:val="Normal"/>
    <w:rsid w:val="00AE525E"/>
    <w:pPr>
      <w:spacing w:before="100" w:beforeAutospacing="1" w:after="100" w:afterAutospacing="1" w:line="240" w:lineRule="auto"/>
      <w:textAlignment w:val="center"/>
    </w:pPr>
    <w:rPr>
      <w:rFonts w:ascii="Times New Roman" w:eastAsiaTheme="minorHAnsi" w:hAnsi="Times New Roman" w:cs="Times New Roman"/>
      <w:sz w:val="20"/>
      <w:szCs w:val="20"/>
    </w:rPr>
  </w:style>
  <w:style w:type="paragraph" w:customStyle="1" w:styleId="xl67">
    <w:name w:val="xl67"/>
    <w:basedOn w:val="Normal"/>
    <w:rsid w:val="00AE525E"/>
    <w:pPr>
      <w:pBdr>
        <w:bottom w:val="single" w:sz="8" w:space="0" w:color="auto"/>
      </w:pBdr>
      <w:spacing w:before="100" w:beforeAutospacing="1" w:after="100" w:afterAutospacing="1" w:line="240" w:lineRule="auto"/>
    </w:pPr>
    <w:rPr>
      <w:rFonts w:ascii="Times New Roman" w:eastAsiaTheme="minorHAnsi" w:hAnsi="Times New Roman" w:cs="Times New Roman"/>
      <w:sz w:val="20"/>
      <w:szCs w:val="20"/>
    </w:rPr>
  </w:style>
  <w:style w:type="paragraph" w:customStyle="1" w:styleId="xl68">
    <w:name w:val="xl68"/>
    <w:basedOn w:val="Normal"/>
    <w:rsid w:val="00AE525E"/>
    <w:pPr>
      <w:pBdr>
        <w:top w:val="single" w:sz="8" w:space="0" w:color="auto"/>
      </w:pBdr>
      <w:spacing w:before="100" w:beforeAutospacing="1" w:after="100" w:afterAutospacing="1" w:line="240" w:lineRule="auto"/>
      <w:textAlignment w:val="center"/>
    </w:pPr>
    <w:rPr>
      <w:rFonts w:ascii="Times New Roman" w:eastAsiaTheme="minorHAnsi" w:hAnsi="Times New Roman" w:cs="Times New Roman"/>
      <w:b/>
      <w:bCs/>
      <w:color w:val="000000"/>
      <w:sz w:val="16"/>
      <w:szCs w:val="16"/>
    </w:rPr>
  </w:style>
  <w:style w:type="paragraph" w:customStyle="1" w:styleId="xl69">
    <w:name w:val="xl69"/>
    <w:basedOn w:val="Normal"/>
    <w:rsid w:val="00AE525E"/>
    <w:pPr>
      <w:pBdr>
        <w:top w:val="single" w:sz="8" w:space="0" w:color="auto"/>
      </w:pBdr>
      <w:spacing w:before="100" w:beforeAutospacing="1" w:after="100" w:afterAutospacing="1" w:line="240" w:lineRule="auto"/>
      <w:jc w:val="center"/>
      <w:textAlignment w:val="center"/>
    </w:pPr>
    <w:rPr>
      <w:rFonts w:ascii="Times New Roman" w:eastAsiaTheme="minorHAnsi" w:hAnsi="Times New Roman" w:cs="Times New Roman"/>
      <w:b/>
      <w:bCs/>
      <w:color w:val="000000"/>
      <w:sz w:val="16"/>
      <w:szCs w:val="16"/>
    </w:rPr>
  </w:style>
  <w:style w:type="paragraph" w:customStyle="1" w:styleId="xl70">
    <w:name w:val="xl70"/>
    <w:basedOn w:val="Normal"/>
    <w:rsid w:val="00AE525E"/>
    <w:pPr>
      <w:pBdr>
        <w:bottom w:val="single" w:sz="8" w:space="0" w:color="auto"/>
      </w:pBdr>
      <w:spacing w:before="100" w:beforeAutospacing="1" w:after="100" w:afterAutospacing="1" w:line="240" w:lineRule="auto"/>
      <w:textAlignment w:val="center"/>
    </w:pPr>
    <w:rPr>
      <w:rFonts w:ascii="Times New Roman" w:eastAsiaTheme="minorHAnsi" w:hAnsi="Times New Roman" w:cs="Times New Roman"/>
      <w:b/>
      <w:bCs/>
      <w:color w:val="000000"/>
      <w:sz w:val="16"/>
      <w:szCs w:val="16"/>
    </w:rPr>
  </w:style>
  <w:style w:type="paragraph" w:customStyle="1" w:styleId="xl71">
    <w:name w:val="xl71"/>
    <w:basedOn w:val="Normal"/>
    <w:rsid w:val="00AE525E"/>
    <w:pPr>
      <w:pBdr>
        <w:bottom w:val="single" w:sz="8" w:space="0" w:color="auto"/>
      </w:pBdr>
      <w:spacing w:before="100" w:beforeAutospacing="1" w:after="100" w:afterAutospacing="1" w:line="240" w:lineRule="auto"/>
      <w:jc w:val="center"/>
      <w:textAlignment w:val="center"/>
    </w:pPr>
    <w:rPr>
      <w:rFonts w:ascii="Times New Roman" w:eastAsiaTheme="minorHAnsi" w:hAnsi="Times New Roman" w:cs="Times New Roman"/>
      <w:b/>
      <w:bCs/>
      <w:color w:val="000000"/>
      <w:sz w:val="16"/>
      <w:szCs w:val="16"/>
    </w:rPr>
  </w:style>
  <w:style w:type="paragraph" w:customStyle="1" w:styleId="xl72">
    <w:name w:val="xl72"/>
    <w:basedOn w:val="Normal"/>
    <w:rsid w:val="00AE525E"/>
    <w:pPr>
      <w:pBdr>
        <w:bottom w:val="single" w:sz="8" w:space="0" w:color="auto"/>
      </w:pBdr>
      <w:spacing w:before="100" w:beforeAutospacing="1" w:after="100" w:afterAutospacing="1" w:line="240" w:lineRule="auto"/>
      <w:textAlignment w:val="center"/>
    </w:pPr>
    <w:rPr>
      <w:rFonts w:ascii="Times New Roman" w:eastAsiaTheme="minorHAnsi" w:hAnsi="Times New Roman" w:cs="Times New Roman"/>
      <w:i/>
      <w:iCs/>
      <w:color w:val="000000"/>
      <w:sz w:val="16"/>
      <w:szCs w:val="16"/>
    </w:rPr>
  </w:style>
  <w:style w:type="paragraph" w:customStyle="1" w:styleId="xl73">
    <w:name w:val="xl73"/>
    <w:basedOn w:val="Normal"/>
    <w:rsid w:val="00AE525E"/>
    <w:pPr>
      <w:pBdr>
        <w:bottom w:val="single" w:sz="8" w:space="0" w:color="auto"/>
      </w:pBdr>
      <w:spacing w:before="100" w:beforeAutospacing="1" w:after="100" w:afterAutospacing="1" w:line="240" w:lineRule="auto"/>
      <w:textAlignment w:val="center"/>
    </w:pPr>
    <w:rPr>
      <w:rFonts w:ascii="Times New Roman" w:eastAsiaTheme="minorHAnsi" w:hAnsi="Times New Roman" w:cs="Times New Roman"/>
      <w:color w:val="000000"/>
      <w:sz w:val="16"/>
      <w:szCs w:val="16"/>
    </w:rPr>
  </w:style>
  <w:style w:type="paragraph" w:customStyle="1" w:styleId="xl74">
    <w:name w:val="xl74"/>
    <w:basedOn w:val="Normal"/>
    <w:rsid w:val="00AE525E"/>
    <w:pPr>
      <w:pBdr>
        <w:bottom w:val="single" w:sz="8" w:space="0" w:color="auto"/>
      </w:pBdr>
      <w:spacing w:before="100" w:beforeAutospacing="1" w:after="100" w:afterAutospacing="1" w:line="240" w:lineRule="auto"/>
      <w:jc w:val="center"/>
      <w:textAlignment w:val="center"/>
    </w:pPr>
    <w:rPr>
      <w:rFonts w:ascii="Times New Roman" w:eastAsiaTheme="minorHAnsi" w:hAnsi="Times New Roman" w:cs="Times New Roman"/>
      <w:color w:val="000000"/>
      <w:sz w:val="16"/>
      <w:szCs w:val="16"/>
    </w:rPr>
  </w:style>
  <w:style w:type="paragraph" w:customStyle="1" w:styleId="xl75">
    <w:name w:val="xl75"/>
    <w:basedOn w:val="Normal"/>
    <w:rsid w:val="00AE525E"/>
    <w:pPr>
      <w:pBdr>
        <w:bottom w:val="single" w:sz="8" w:space="0" w:color="auto"/>
      </w:pBdr>
      <w:spacing w:before="100" w:beforeAutospacing="1" w:after="100" w:afterAutospacing="1" w:line="240" w:lineRule="auto"/>
      <w:textAlignment w:val="center"/>
    </w:pPr>
    <w:rPr>
      <w:rFonts w:ascii="Times New Roman" w:eastAsiaTheme="minorHAnsi" w:hAnsi="Times New Roman" w:cs="Times New Roman"/>
      <w:sz w:val="20"/>
      <w:szCs w:val="20"/>
    </w:rPr>
  </w:style>
  <w:style w:type="paragraph" w:customStyle="1" w:styleId="paragraph">
    <w:name w:val="paragraph"/>
    <w:basedOn w:val="Normal"/>
    <w:rsid w:val="008D3929"/>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normaltextrun">
    <w:name w:val="normaltextrun"/>
    <w:basedOn w:val="DefaultParagraphFont"/>
    <w:rsid w:val="008D3929"/>
  </w:style>
  <w:style w:type="character" w:customStyle="1" w:styleId="spellingerror">
    <w:name w:val="spellingerror"/>
    <w:basedOn w:val="DefaultParagraphFont"/>
    <w:rsid w:val="008D3929"/>
  </w:style>
  <w:style w:type="character" w:customStyle="1" w:styleId="mi">
    <w:name w:val="mi"/>
    <w:basedOn w:val="DefaultParagraphFont"/>
    <w:rsid w:val="00931688"/>
  </w:style>
  <w:style w:type="character" w:customStyle="1" w:styleId="mjxassistivemathml">
    <w:name w:val="mjx_assistive_mathml"/>
    <w:basedOn w:val="DefaultParagraphFont"/>
    <w:rsid w:val="00931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112654">
      <w:bodyDiv w:val="1"/>
      <w:marLeft w:val="0"/>
      <w:marRight w:val="0"/>
      <w:marTop w:val="0"/>
      <w:marBottom w:val="0"/>
      <w:divBdr>
        <w:top w:val="none" w:sz="0" w:space="0" w:color="auto"/>
        <w:left w:val="none" w:sz="0" w:space="0" w:color="auto"/>
        <w:bottom w:val="none" w:sz="0" w:space="0" w:color="auto"/>
        <w:right w:val="none" w:sz="0" w:space="0" w:color="auto"/>
      </w:divBdr>
    </w:div>
    <w:div w:id="915437236">
      <w:bodyDiv w:val="1"/>
      <w:marLeft w:val="0"/>
      <w:marRight w:val="0"/>
      <w:marTop w:val="0"/>
      <w:marBottom w:val="0"/>
      <w:divBdr>
        <w:top w:val="none" w:sz="0" w:space="0" w:color="auto"/>
        <w:left w:val="none" w:sz="0" w:space="0" w:color="auto"/>
        <w:bottom w:val="none" w:sz="0" w:space="0" w:color="auto"/>
        <w:right w:val="none" w:sz="0" w:space="0" w:color="auto"/>
      </w:divBdr>
    </w:div>
    <w:div w:id="1018511146">
      <w:bodyDiv w:val="1"/>
      <w:marLeft w:val="0"/>
      <w:marRight w:val="0"/>
      <w:marTop w:val="0"/>
      <w:marBottom w:val="0"/>
      <w:divBdr>
        <w:top w:val="none" w:sz="0" w:space="0" w:color="auto"/>
        <w:left w:val="none" w:sz="0" w:space="0" w:color="auto"/>
        <w:bottom w:val="none" w:sz="0" w:space="0" w:color="auto"/>
        <w:right w:val="none" w:sz="0" w:space="0" w:color="auto"/>
      </w:divBdr>
    </w:div>
    <w:div w:id="1108622300">
      <w:bodyDiv w:val="1"/>
      <w:marLeft w:val="0"/>
      <w:marRight w:val="0"/>
      <w:marTop w:val="0"/>
      <w:marBottom w:val="0"/>
      <w:divBdr>
        <w:top w:val="none" w:sz="0" w:space="0" w:color="auto"/>
        <w:left w:val="none" w:sz="0" w:space="0" w:color="auto"/>
        <w:bottom w:val="none" w:sz="0" w:space="0" w:color="auto"/>
        <w:right w:val="none" w:sz="0" w:space="0" w:color="auto"/>
      </w:divBdr>
    </w:div>
    <w:div w:id="1515652243">
      <w:bodyDiv w:val="1"/>
      <w:marLeft w:val="0"/>
      <w:marRight w:val="0"/>
      <w:marTop w:val="0"/>
      <w:marBottom w:val="0"/>
      <w:divBdr>
        <w:top w:val="none" w:sz="0" w:space="0" w:color="auto"/>
        <w:left w:val="none" w:sz="0" w:space="0" w:color="auto"/>
        <w:bottom w:val="none" w:sz="0" w:space="0" w:color="auto"/>
        <w:right w:val="none" w:sz="0" w:space="0" w:color="auto"/>
      </w:divBdr>
    </w:div>
    <w:div w:id="1797748764">
      <w:bodyDiv w:val="1"/>
      <w:marLeft w:val="0"/>
      <w:marRight w:val="0"/>
      <w:marTop w:val="0"/>
      <w:marBottom w:val="0"/>
      <w:divBdr>
        <w:top w:val="none" w:sz="0" w:space="0" w:color="auto"/>
        <w:left w:val="none" w:sz="0" w:space="0" w:color="auto"/>
        <w:bottom w:val="none" w:sz="0" w:space="0" w:color="auto"/>
        <w:right w:val="none" w:sz="0" w:space="0" w:color="auto"/>
      </w:divBdr>
    </w:div>
    <w:div w:id="192958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tiff"/><Relationship Id="rId42" Type="http://schemas.openxmlformats.org/officeDocument/2006/relationships/image" Target="media/image29.emf"/><Relationship Id="rId47" Type="http://schemas.openxmlformats.org/officeDocument/2006/relationships/image" Target="media/image34.png"/><Relationship Id="rId63" Type="http://schemas.openxmlformats.org/officeDocument/2006/relationships/hyperlink" Target="http://marine.copernicus.eu/" TargetMode="External"/><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16" Type="http://schemas.openxmlformats.org/officeDocument/2006/relationships/image" Target="media/image5.png"/><Relationship Id="rId11" Type="http://schemas.openxmlformats.org/officeDocument/2006/relationships/footer" Target="footer4.xm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png"/><Relationship Id="rId58" Type="http://schemas.openxmlformats.org/officeDocument/2006/relationships/image" Target="media/image41.jpeg"/><Relationship Id="rId74" Type="http://schemas.openxmlformats.org/officeDocument/2006/relationships/image" Target="media/image57.png"/><Relationship Id="rId79" Type="http://schemas.openxmlformats.org/officeDocument/2006/relationships/image" Target="media/image62.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39.jpe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43.jpeg"/><Relationship Id="rId67" Type="http://schemas.openxmlformats.org/officeDocument/2006/relationships/image" Target="media/image50.png"/><Relationship Id="rId20" Type="http://schemas.openxmlformats.org/officeDocument/2006/relationships/image" Target="media/image9.jpeg"/><Relationship Id="rId41" Type="http://schemas.openxmlformats.org/officeDocument/2006/relationships/image" Target="media/image28.pn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5.xml"/><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image" Target="media/image40.jpeg"/><Relationship Id="rId10" Type="http://schemas.openxmlformats.org/officeDocument/2006/relationships/footer" Target="footer3.xml"/><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4.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png"/><Relationship Id="rId55" Type="http://schemas.openxmlformats.org/officeDocument/2006/relationships/image" Target="media/image42.jpeg"/><Relationship Id="rId76"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footer" Target="footer6.xml"/><Relationship Id="rId24" Type="http://schemas.openxmlformats.org/officeDocument/2006/relationships/image" Target="media/image13.emf"/><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49.png"/><Relationship Id="rId87" Type="http://schemas.openxmlformats.org/officeDocument/2006/relationships/image" Target="media/image70.png"/><Relationship Id="rId61" Type="http://schemas.openxmlformats.org/officeDocument/2006/relationships/image" Target="media/image45.png"/><Relationship Id="rId82" Type="http://schemas.openxmlformats.org/officeDocument/2006/relationships/image" Target="media/image65.png"/><Relationship Id="rId19"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83F63E-6E88-437E-B8D0-BF611F91CD09}">
  <we:reference id="wa104382081" version="1.55.1.0" store="en-US" storeType="OMEX"/>
  <we:alternateReferences>
    <we:reference id="wa104382081" version="1.55.1.0" store="" storeType="OMEX"/>
  </we:alternateReferences>
  <we:properties>
    <we:property name="MENDELEY_CITATIONS" value="[{&quot;citationID&quot;:&quot;MENDELEY_CITATION_670cbffe-a9c1-4d17-90ba-6b36b4c9e647&quot;,&quot;properties&quot;:{&quot;noteIndex&quot;:0},&quot;isEdited&quot;:false,&quot;manualOverride&quot;:{&quot;citeprocText&quot;:&quot;(Ford, 1940)&quot;,&quot;isManuallyOverridden&quot;:true,&quot;manualOverrideText&quot;:&quot;(1940)&quot;},&quot;citationItems&quot;:[{&quot;id&quot;:&quot;62e2c22c-a480-340f-be35-a3fb560ca035&quot;,&quot;itemData&quot;:{&quot;author&quot;:[{&quot;dropping-particle&quot;:&quot;&quot;,&quot;family&quot;:&quot;Ford&quot;,&quot;given&quot;:&quot;E. B.&quot;,&quot;non-dropping-particle&quot;:&quot;&quot;,&quot;parse-names&quot;:false,&quot;suffix&quot;:&quot;&quot;}],&quot;container-title&quot;:&quot;Clarendon Press, Oxford&quot;,&quot;id&quot;:&quot;62e2c22c-a480-340f-be35-a3fb560ca035&quot;,&quot;issued&quot;:{&quot;date-parts&quot;:[[&quot;1940&quot;]]},&quot;page&quot;:&quot;493–513&quot;,&quot;title&quot;:&quot;Polymorphism and taxonomy. The new systematics (J. S. Huxley, ed.)&quot;,&quot;type&quot;:&quot;article-journal&quot;,&quot;container-title-short&quot;:&quot;&quot;},&quot;uris&quot;:[&quot;http://www.mendeley.com/documents/?uuid=6b48fe66-341c-49bc-b7ed-12e9a2079b93&quot;],&quot;isTemporary&quot;:false,&quot;legacyDesktopId&quot;:&quot;6b48fe66-341c-49bc-b7ed-12e9a2079b93&quot;}],&quot;citationTag&quot;:&quot;MENDELEY_CITATION_v3_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&quot;},{&quot;citationID&quot;:&quot;MENDELEY_CITATION_da89beb2-18cc-4671-b286-6991661024c3&quot;,&quot;properties&quot;:{&quot;noteIndex&quot;:0},&quot;isEdited&quot;:false,&quot;manualOverride&quot;:{&quot;citeprocText&quot;:&quot;(Huxley, 1944)&quot;,&quot;isManuallyOverridden&quot;:true,&quot;manualOverrideText&quot;:&quot;(1944)&quot;},&quot;citationItems&quot;:[{&quot;id&quot;:&quot;a708af89-ae0a-385f-b032-181bb04346b3&quot;,&quot;itemData&quot;:{&quot;DOI&quot;:&quot;10.1017/s0031819100004691&quot;,&quot;ISSN&quot;:&quot;0031-8191&quot;,&quot;author&quot;:[{&quot;dropping-particle&quot;:&quot;&quot;,&quot;family&quot;:&quot;Huxley&quot;,&quot;given&quot;:&quot;Julian&quot;,&quot;non-dropping-particle&quot;:&quot;&quot;,&quot;parse-names&quot;:false,&quot;suffix&quot;:&quot;&quot;}],&quot;container-title&quot;:&quot;Allen &amp; Unvin, London&quot;,&quot;id&quot;:&quot;a708af89-ae0a-385f-b032-181bb04346b3&quot;,&quot;issued&quot;:{&quot;date-parts&quot;:[[&quot;1944&quot;]]},&quot;page&quot;:&quot;645&quot;,&quot;title&quot;:&quot;Evolution: the Modern Synthesis&quot;,&quot;type&quot;:&quot;article-journal&quot;,&quot;container-title-short&quot;:&quot;&quot;},&quot;uris&quot;:[&quot;http://www.mendeley.com/documents/?uuid=87c712be-4eff-41ec-8ceb-e6b34299bd2a&quot;],&quot;isTemporary&quot;:false,&quot;legacyDesktopId&quot;:&quot;87c712be-4eff-41ec-8ceb-e6b34299bd2a&quot;}],&quot;citationTag&quot;:&quot;MENDELEY_CITATION_v3_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&quot;},{&quot;citationID&quot;:&quot;MENDELEY_CITATION_3a6c582f-829e-40c0-8018-70c0a370c603&quot;,&quot;properties&quot;:{&quot;noteIndex&quot;:0},&quot;isEdited&quot;:false,&quot;manualOverride&quot;:{&quot;citeprocText&quot;:&quot;(Galeotti et al., 2003)&quot;,&quot;isManuallyOverridden&quot;:false,&quot;manualOverrideText&quot;:&quot;&quot;},&quot;citationItems&quot;:[{&quot;id&quot;:&quot;1801492e-cdac-3e41-a95f-41d12c41e5b4&quot;,&quot;itemData&quot;:{&quot;DOI&quot;:&quot;10.1046/j.1420-9101.2003.00569.x&quot;,&quot;ISBN&quot;:&quot;1420-9101&quot;,&quot;ISSN&quot;:&quot;1010061X&quot;,&quot;PMID&quot;:&quot;14632227&quot;,&quot;abstract&quot;:&quot;We studied polymorphism in all species of birds that are presently known to show intraspecific variation in plumage colour. At least three main mechanisms have been put forward to explain the maintenance of polymorphism: apostatic, disruptive and sexual selection. All of them make partly different predictions. Our aims were to investigate evolutionary causes and adaptive functions of colour polymorphism by taking into account a number of ecological and morphological features of polymorphic species. Overall, we found 334 species showing colour polymorphism, which is 3.5% of all bird species. The occurrence of colour polymorphism was very high in Strigiformes, Ciconiiformes, Cuculiformes and Galliformes. Phylogenetically corrected analysis using independent contrasts revealed that colour polymorphism was maximally expressed in species showing a daily activity rhythm extended to day/night, living in both open and closed habitats. All these findings support the hypothesis that colour polymorphism probably evolved under selective pressures linked to bird detectability as affected by variable light conditions during activity period. Thus, we conclude that selective agents may be prey, predators and competitors, and that colour polymorphism in birds may be maintained by disruptive selection.&quot;,&quot;author&quot;:[{&quot;dropping-particle&quot;:&quot;&quot;,&quot;family&quot;:&quot;Galeotti&quot;,&quot;given&quot;:&quot;Paolo&quot;,&quot;non-dropping-particle&quot;:&quot;&quot;,&quot;parse-names&quot;:false,&quot;suffix&quot;:&quot;&quot;},{&quot;dropping-particle&quot;:&quot;&quot;,&quot;family&quot;:&quot;Rubolini&quot;,&quot;given&quot;:&quot;D.&quot;,&quot;non-dropping-particle&quot;:&quot;&quot;,&quot;parse-names&quot;:false,&quot;suffix&quot;:&quot;&quot;},{&quot;dropping-particle&quot;:&quot;&quot;,&quot;family&quot;:&quot;Dunn&quot;,&quot;given&quot;:&quot;P. O.&quot;,&quot;non-dropping-particle&quot;:&quot;&quot;,&quot;parse-names&quot;:false,&quot;suffix&quot;:&quot;&quot;},{&quot;dropping-particle&quot;:&quot;&quot;,&quot;family&quot;:&quot;Fasola&quot;,&quot;given&quot;:&quot;M.&quot;,&quot;non-dropping-particle&quot;:&quot;&quot;,&quot;parse-names&quot;:false,&quot;suffix&quot;:&quot;&quot;}],&quot;container-title&quot;:&quot;Journal of Evolutionary Biology&quot;,&quot;id&quot;:&quot;1801492e-cdac-3e41-a95f-41d12c41e5b4&quot;,&quot;issued&quot;:{&quot;date-parts&quot;:[[&quot;2003&quot;]]},&quot;note&quot;:&quot;- review over polymorphism with specifying on birds&quot;,&quot;title&quot;:&quot;Colour polymorphism in birds: Causes and functions&quot;,&quot;type&quot;:&quot;article-journal&quot;,&quot;container-title-short&quot;:&quot;J Evol Biol&quot;},&quot;uris&quot;:[&quot;http://www.mendeley.com/documents/?uuid=7510a791-7f9e-4846-88d0-0cf8d3f052af&quot;],&quot;isTemporary&quot;:false,&quot;legacyDesktopId&quot;:&quot;7510a791-7f9e-4846-88d0-0cf8d3f052af&quot;}],&quot;citationTag&quot;:&quot;MENDELEY_CITATION_v3_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&quot;},{&quot;citationID&quot;:&quot;MENDELEY_CITATION_13aa8314-80fd-49d1-8e3a-79a736e23d95&quot;,&quot;properties&quot;:{&quot;noteIndex&quot;:0},&quot;isEdited&quot;:false,&quot;manualOverride&quot;:{&quot;isManuallyOverridden&quot;:false,&quot;citeprocText&quot;:&quot;(Buckley, 1987)&quot;,&quot;manualOverrideText&quot;:&quot;&quot;},&quot;citationItems&quot;:[{&quot;id&quot;:&quot;953d7a87-22e7-3dac-ab5e-ce2536149c59&quot;,&quot;itemData&quot;:{&quot;type&quot;:&quot;book&quot;,&quot;id&quot;:&quot;953d7a87-22e7-3dac-ab5e-ce2536149c59&quot;,&quot;title&quot;:&quot;Mendelian genes: In Avian Genetics, a Population and Ecological approach&quot;,&quot;author&quot;:[{&quot;family&quot;:&quot;Buckley&quot;,&quot;given&quot;:&quot;P. A.&quot;,&quot;parse-names&quot;:false,&quot;dropping-particle&quot;:&quot;&quot;,&quot;non-dropping-particle&quot;:&quot;&quot;}],&quot;editor&quot;:[{&quot;family&quot;:&quot;Cooke&quot;,&quot;given&quot;:&quot;F.&quot;,&quot;parse-names&quot;:false,&quot;dropping-particle&quot;:&quot;&quot;,&quot;non-dropping-particle&quot;:&quot;&quot;},{&quot;family&quot;:&quot;Buckley&quot;,&quot;given&quot;:&quot;P. A.&quot;,&quot;parse-names&quot;:false,&quot;dropping-particle&quot;:&quot;&quot;,&quot;non-dropping-particle&quot;:&quot;&quot;}],&quot;issued&quot;:{&quot;date-parts&quot;:[[2013]]},&quot;publisher-place&quot;:&quot;Orlando, USA.&quot;,&quot;number-of-pages&quot;:&quot;1-44&quot;,&quot;publisher&quot;:&quot;Elsevier Science&quot;,&quot;container-title-short&quot;:&quot;&quot;},&quot;isTemporary&quot;:false}],&quot;citationTag&quot;:&quot;MENDELEY_CITATION_v3_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&quot;},{&quot;citationID&quot;:&quot;MENDELEY_CITATION_af25ba73-f944-434a-9f9b-d7547e429b9f&quot;,&quot;properties&quot;:{&quot;noteIndex&quot;:0},&quot;isEdited&quot;:false,&quot;manualOverride&quot;:{&quot;isManuallyOverridden&quot;:false,&quot;citeprocText&quot;:&quot;(Roulin, 2004)&quot;,&quot;manualOverrideText&quot;:&quot;&quot;},&quot;citationItems&quot;:[{&quot;id&quot;:&quot;269309e7-a888-353e-9d90-1a7a375e9ef0&quot;,&quot;itemData&quot;:{&quot;type&quot;:&quot;article-journal&quot;,&quot;id&quot;:&quot;269309e7-a888-353e-9d90-1a7a375e9ef0&quot;,&quot;title&quot;:&quot;The evolution, maintenance and adaptive function of genetic colour polymorphism in birds.&quot;,&quot;author&quot;:[{&quot;family&quot;:&quot;Roulin&quot;,&quot;given&quot;:&quot;Alexandre&quot;,&quot;parse-names&quot;:false,&quot;dropping-particle&quot;:&quot;&quot;,&quot;non-dropping-particle&quot;:&quot;&quot;}],&quot;container-title&quot;:&quot;Biological reviews of the Cambridge Philosophical Society&quot;,&quot;container-title-short&quot;:&quot;Biol Rev Camb Philos Soc&quot;,&quot;ISSN&quot;:&quot;1464-7931&quot;,&quot;PMID&quot;:&quot;15682872&quot;,&quot;URL&quot;:&quot;http://www.ncbi.nlm.nih.gov/pubmed/15682872&quot;,&quot;issued&quot;:{&quot;date-parts&quot;:[[2004]]},&quot;page&quot;:&quot;815-848&quot;,&quot;abstract&quot;:&quot;The hypothesis that ornaments can honestly signal quality only if their expression is condition-dependent has dominated the study of the evolution and function of colour traits. Much less interest has been devoted to the adaptive function of colour traits for which the expression is not, or is to a low extent, sensitive to body condition and the environment in which individuals live. The aim of the present paper is to review the current theoretical and empirical knowledge of the evolution, maintenance and adaptive function of colour plumage traits for which the expression is mainly under genetic control. The finding that in many bird species the inheritance of colour morphs follows the laws of Mendel indicates that genetic colour polymorphism is frequent. Polymorphism may have evolved or be maintained because each colour morph facilitates the exploitation of alternative ecological niches as suggested by the observation that individuals are not randomly distributed among habitats with respect to coloration. Consistent with the hypothesis that different colour morphs are linked to alternative strategies is the finding that in a majority of species polymorphism is associated with reproductive parameters, and behavioural, life-history and physiological traits. Experimental studies showed that such covariations can have a genetic basis. These observations suggest that colour polymorphism has an adaptive function. Aviary and field experiments demonstrated that colour polymorphism is used as a criterion in mate-choice decisions and dominance interactions confirming the claim that conspecifics assess each other's colour morphs. The factors favouring the evolution and maintenance of genetic variation in coloration are reviewed, but empirical data are virtually lacking to assess their importance. Although current theory predicts that only condition-dependent traits can signal quality, the present review shows that genetically inherited morphs can reveal the same qualities. The study of genetic colour polymorphism will provide important and original insights on the adaptive function of conspicuous traits.&quot;,&quot;issue&quot;:&quot;4&quot;,&quot;volume&quot;:&quot;79&quot;},&quot;isTemporary&quot;:false}],&quot;citationTag&quot;:&quot;MENDELEY_CITATION_v3_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&quot;},{&quot;citationID&quot;:&quot;MENDELEY_CITATION_a07790f6-d2f8-49c8-a7dc-64fb5cebdf4a&quot;,&quot;properties&quot;:{&quot;noteIndex&quot;:0},&quot;isEdited&quot;:false,&quot;manualOverride&quot;:{&quot;isManuallyOverridden&quot;:false,&quot;citeprocText&quot;:&quot;(Bourgeois et al., 2017; Fisher, 1930; Herrera et al., 2015)&quot;,&quot;manualOverrideText&quot;:&quot;&quot;},&quot;citationItems&quot;:[{&quot;id&quot;:&quot;fa8b02ab-c05a-3568-b732-bc82584b41bd&quot;,&quot;itemData&quot;:{&quot;type&quot;:&quot;article-journal&quot;,&quot;id&quot;:&quot;fa8b02ab-c05a-3568-b732-bc82584b41bd&quot;,&quot;title&quot;:&quot;THE GENETICAL THEORY OF NATURAL SELECTION&quot;,&quot;author&quot;:[{&quot;family&quot;:&quot;Fisher&quot;,&quot;given&quot;:&quot;R. A.&quot;,&quot;parse-names&quot;:false,&quot;dropping-particle&quot;:&quot;&quot;,&quot;non-dropping-particle&quot;:&quot;&quot;}],&quot;container-title&quot;:&quot;Clarendon Press, Oxford&quot;,&quot;DOI&quot;:&quot;10.2307/2570330&quot;,&quot;ISSN&quot;:&quot;0037-7732&quot;,&quot;issued&quot;:{&quot;date-parts&quot;:[[1930]]},&quot;page&quot;:&quot;268&quot;,&quot;container-title-short&quot;:&quot;&quot;},&quot;isTemporary&quot;:false},{&quot;id&quot;:&quot;9b3ed37e-bcb5-3f0b-9c6c-774e13406923&quot;,&quot;itemData&quot;:{&quot;type&quot;:&quot;article-journal&quot;,&quot;id&quot;:&quot;9b3ed37e-bcb5-3f0b-9c6c-774e13406923&quot;,&quot;title&quot;:&quot;Mixed Signals ? Morphological and Molecular Evidence Suggest a Color Polymorphism in Some Neotropical Polythore Damselflies&quot;,&quot;author&quot;:[{&quot;family&quot;:&quot;Herrera&quot;,&quot;given&quot;:&quot;Melissa Sánchez&quot;,&quot;parse-names&quot;:false,&quot;dropping-particle&quot;:&quot;&quot;,&quot;non-dropping-particle&quot;:&quot;&quot;},{&quot;family&quot;:&quot;Kuhn&quot;,&quot;given&quot;:&quot;William R&quot;,&quot;parse-names&quot;:false,&quot;dropping-particle&quot;:&quot;&quot;,&quot;non-dropping-particle&quot;:&quot;&quot;},{&quot;family&quot;:&quot;Lorenzo-carballa&quot;,&quot;given&quot;:&quot;Maria Olalla&quot;,&quot;parse-names&quot;:false,&quot;dropping-particle&quot;:&quot;&quot;,&quot;non-dropping-particle&quot;:&quot;&quot;},{&quot;family&quot;:&quot;Harding&quot;,&quot;given&quot;:&quot;Kathleen M.&quot;,&quot;parse-names&quot;:false,&quot;dropping-particle&quot;:&quot;&quot;,&quot;non-dropping-particle&quot;:&quot;&quot;},{&quot;family&quot;:&quot;Ankrom&quot;,&quot;given&quot;:&quot;Nikole&quot;,&quot;parse-names&quot;:false,&quot;dropping-particle&quot;:&quot;&quot;,&quot;non-dropping-particle&quot;:&quot;&quot;},{&quot;family&quot;:&quot;Sherratt&quot;,&quot;given&quot;:&quot;Thomas N.&quot;,&quot;parse-names&quot;:false,&quot;dropping-particle&quot;:&quot;&quot;,&quot;non-dropping-particle&quot;:&quot;&quot;},{&quot;family&quot;:&quot;Hoffman&quot;,&quot;given&quot;:&quot;Joachim&quot;,&quot;parse-names&quot;:false,&quot;dropping-particle&quot;:&quot;&quot;,&quot;non-dropping-particle&quot;:&quot;&quot;},{&quot;family&quot;:&quot;Gossum&quot;,&quot;given&quot;:&quot;Hans&quot;,&quot;parse-names&quot;:false,&quot;dropping-particle&quot;:&quot;van&quot;,&quot;non-dropping-particle&quot;:&quot;&quot;},{&quot;family&quot;:&quot;Ware&quot;,&quot;given&quot;:&quot;Jessica L.&quot;,&quot;parse-names&quot;:false,&quot;dropping-particle&quot;:&quot;&quot;,&quot;non-dropping-particle&quot;:&quot;&quot;},{&quot;family&quot;:&quot;Cordero-Rivera&quot;,&quot;given&quot;:&quot;Adolfo&quot;,&quot;parse-names&quot;:false,&quot;dropping-particle&quot;:&quot;&quot;,&quot;non-dropping-particle&quot;:&quot;&quot;},{&quot;family&quot;:&quot;Beatty&quot;,&quot;given&quot;:&quot;Christopher D.&quot;,&quot;parse-names&quot;:false,&quot;dropping-particle&quot;:&quot;&quot;,&quot;non-dropping-particle&quot;:&quot;&quot;}],&quot;container-title&quot;:&quot;PloS one&quot;,&quot;container-title-short&quot;:&quot;PLoS One&quot;,&quot;DOI&quot;:&quot;10.1371/journal.pone.0125074&quot;,&quot;issued&quot;:{&quot;date-parts&quot;:[[2015]]},&quot;issue&quot;:&quot;4&quot;,&quot;volume&quot;:&quot;10&quot;},&quot;isTemporary&quot;:false},{&quot;id&quot;:&quot;73fa2716-2c5c-31b1-bbdd-1dc33852c0c0&quot;,&quot;itemData&quot;:{&quot;type&quot;:&quot;article-journal&quot;,&quot;id&quot;:&quot;73fa2716-2c5c-31b1-bbdd-1dc33852c0c0&quot;,&quot;title&quot;:&quot;A novel locus on chromosome 1 underlies the evolution of a melanic plumage polymorphism in a wild songbird&quot;,&quot;author&quot;:[{&quot;family&quot;:&quot;Bourgeois&quot;,&quot;given&quot;:&quot;Yann X.C.&quot;,&quot;parse-names&quot;:false,&quot;dropping-particle&quot;:&quot;&quot;,&quot;non-dropping-particle&quot;:&quot;&quot;},{&quot;family&quot;:&quot;Delahaie&quot;,&quot;given&quot;:&quot;Boris&quot;,&quot;parse-names&quot;:false,&quot;dropping-particle&quot;:&quot;&quot;,&quot;non-dropping-particle&quot;:&quot;&quot;},{&quot;family&quot;:&quot;Gautier&quot;,&quot;given&quot;:&quot;Mathieu&quot;,&quot;parse-names&quot;:false,&quot;dropping-particle&quot;:&quot;&quot;,&quot;non-dropping-particle&quot;:&quot;&quot;},{&quot;family&quot;:&quot;Lhuillier&quot;,&quot;given&quot;:&quot;Emeline&quot;,&quot;parse-names&quot;:false,&quot;dropping-particle&quot;:&quot;&quot;,&quot;non-dropping-particle&quot;:&quot;&quot;},{&quot;family&quot;:&quot;Malé&quot;,&quot;given&quot;:&quot;Pierre Jean G.&quot;,&quot;parse-names&quot;:false,&quot;dropping-particle&quot;:&quot;&quot;,&quot;non-dropping-particle&quot;:&quot;&quot;},{&quot;family&quot;:&quot;Bertrand&quot;,&quot;given&quot;:&quot;Joris A.M.&quot;,&quot;parse-names&quot;:false,&quot;dropping-particle&quot;:&quot;&quot;,&quot;non-dropping-particle&quot;:&quot;&quot;},{&quot;family&quot;:&quot;Cornuault&quot;,&quot;given&quot;:&quot;Josselin&quot;,&quot;parse-names&quot;:false,&quot;dropping-particle&quot;:&quot;&quot;,&quot;non-dropping-particle&quot;:&quot;&quot;},{&quot;family&quot;:&quot;Wakamatsu&quot;,&quot;given&quot;:&quot;Kazumasa&quot;,&quot;parse-names&quot;:false,&quot;dropping-particle&quot;:&quot;&quot;,&quot;non-dropping-particle&quot;:&quot;&quot;},{&quot;family&quot;:&quot;Bouchez&quot;,&quot;given&quot;:&quot;Olivier&quot;,&quot;parse-names&quot;:false,&quot;dropping-particle&quot;:&quot;&quot;,&quot;non-dropping-particle&quot;:&quot;&quot;},{&quot;family&quot;:&quot;Mould&quot;,&quot;given&quot;:&quot;Claire&quot;,&quot;parse-names&quot;:false,&quot;dropping-particle&quot;:&quot;&quot;,&quot;non-dropping-particle&quot;:&quot;&quot;},{&quot;family&quot;:&quot;Bruxaux&quot;,&quot;given&quot;:&quot;Jade&quot;,&quot;parse-names&quot;:false,&quot;dropping-particle&quot;:&quot;&quot;,&quot;non-dropping-particle&quot;:&quot;&quot;},{&quot;family&quot;:&quot;Holota&quot;,&quot;given&quot;:&quot;Hélène&quot;,&quot;parse-names&quot;:false,&quot;dropping-particle&quot;:&quot;&quot;,&quot;non-dropping-particle&quot;:&quot;&quot;},{&quot;family&quot;:&quot;Milá&quot;,&quot;given&quot;:&quot;Borja&quot;,&quot;parse-names&quot;:false,&quot;dropping-particle&quot;:&quot;&quot;,&quot;non-dropping-particle&quot;:&quot;&quot;},{&quot;family&quot;:&quot;Thébaud&quot;,&quot;given&quot;:&quot;Christophe&quot;,&quot;parse-names&quot;:false,&quot;dropping-particle&quot;:&quot;&quot;,&quot;non-dropping-particle&quot;:&quot;&quot;}],&quot;container-title&quot;:&quot;Royal Society Open Science&quot;,&quot;container-title-short&quot;:&quot;R Soc Open Sci&quot;,&quot;DOI&quot;:&quot;10.1098/rsos.160805&quot;,&quot;ISSN&quot;:&quot;20545703&quot;,&quot;issued&quot;:{&quot;date-parts&quot;:[[2017]]},&quot;page&quot;:&quot;160805&quot;,&quot;abstract&quot;:&quot;Understanding the mechanisms responsible for phenotypic diversification within and among species ultimately rests with linking naturally occurring mutations to functionally and ecologically significant traits. Colour polymorphisms are of great interest in this context because discrete colour patterns within a population are often controlled by just a few genes in a common environment. We investigated how and why phenotypic diversity arose and persists inthe Zosterops borbonicus white-eye of Reunion (Mascarene archipelago), a colour polymorphic songbird in which all highland populations contain individuals belonging to either a brown or a grey plumage morph. Using extensive phenotypic and genomic data, we demonstrate that this melaninbased colour polymorphism is controlled by a single locus on chromosome 1 with two large-effect alleles, which was not previously described as affecting hair or feather colour. Differences between colourmorphs appear to rely upon complex cis-regulatory variation that either prevents the synthesis of pheomelanin in grey feathers, or increases its production in brown ones. We used coalescent analyses to show that, from a ‘brown’ ancestral population, the dominant ‘grey’ allele spread quickly once it arose from a new mutation. Since colourmorphs are always found inmixture, this implies that the selected allele does not go to fixation, but instead reaches an intermediate frequency, as would be expected under balancing selection.&quot;,&quot;issue&quot;:&quot;2&quot;,&quot;volume&quot;:&quot;4&quot;},&quot;isTemporary&quot;:false}],&quot;citationTag&quot;:&quot;MENDELEY_CITATION_v3_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&quot;},{&quot;citationID&quot;:&quot;MENDELEY_CITATION_651a5093-c36d-47a6-91ef-67157253da7c&quot;,&quot;properties&quot;:{&quot;noteIndex&quot;:0},&quot;isEdited&quot;:false,&quot;manualOverride&quot;:{&quot;isManuallyOverridden&quot;:false,&quot;citeprocText&quot;:&quot;(Galeotti et al., 2003)&quot;,&quot;manualOverrideText&quot;:&quot;&quot;},&quot;citationItems&quot;:[{&quot;id&quot;:&quot;1801492e-cdac-3e41-a95f-41d12c41e5b4&quot;,&quot;itemData&quot;:{&quot;type&quot;:&quot;article-journal&quot;,&quot;id&quot;:&quot;1801492e-cdac-3e41-a95f-41d12c41e5b4&quot;,&quot;title&quot;:&quot;Colour polymorphism in birds: Causes and functions&quot;,&quot;author&quot;:[{&quot;family&quot;:&quot;Galeotti&quot;,&quot;given&quot;:&quot;Paolo&quot;,&quot;parse-names&quot;:false,&quot;dropping-particle&quot;:&quot;&quot;,&quot;non-dropping-particle&quot;:&quot;&quot;},{&quot;family&quot;:&quot;Rubolini&quot;,&quot;given&quot;:&quot;D.&quot;,&quot;parse-names&quot;:false,&quot;dropping-particle&quot;:&quot;&quot;,&quot;non-dropping-particle&quot;:&quot;&quot;},{&quot;family&quot;:&quot;Dunn&quot;,&quot;given&quot;:&quot;P. O.&quot;,&quot;parse-names&quot;:false,&quot;dropping-particle&quot;:&quot;&quot;,&quot;non-dropping-particle&quot;:&quot;&quot;},{&quot;family&quot;:&quot;Fasola&quot;,&quot;given&quot;:&quot;M.&quot;,&quot;parse-names&quot;:false,&quot;dropping-particle&quot;:&quot;&quot;,&quot;non-dropping-particle&quot;:&quot;&quot;}],&quot;container-title&quot;:&quot;Journal of Evolutionary Biology&quot;,&quot;container-title-short&quot;:&quot;J Evol Biol&quot;,&quot;DOI&quot;:&quot;10.1046/j.1420-9101.2003.00569.x&quot;,&quot;ISBN&quot;:&quot;1420-9101&quot;,&quot;ISSN&quot;:&quot;1010061X&quot;,&quot;PMID&quot;:&quot;14632227&quot;,&quot;issued&quot;:{&quot;date-parts&quot;:[[2003]]},&quot;page&quot;:&quot;635-645&quot;,&quot;abstract&quot;:&quot;We studied polymorphism in all species of birds that are presently known to show intraspecific variation in plumage colour. At least three main mechanisms have been put forward to explain the maintenance of polymorphism: apostatic, disruptive and sexual selection. All of them make partly different predictions. Our aims were to investigate evolutionary causes and adaptive functions of colour polymorphism by taking into account a number of ecological and morphological features of polymorphic species. Overall, we found 334 species showing colour polymorphism, which is 3.5% of all bird species. The occurrence of colour polymorphism was very high in Strigiformes, Ciconiiformes, Cuculiformes and Galliformes. Phylogenetically corrected analysis using independent contrasts revealed that colour polymorphism was maximally expressed in species showing a daily activity rhythm extended to day/night, living in both open and closed habitats. All these findings support the hypothesis that colour polymorphism probably evolved under selective pressures linked to bird detectability as affected by variable light conditions during activity period. Thus, we conclude that selective agents may be prey, predators and competitors, and that colour polymorphism in birds may be maintained by disruptive selection.&quot;,&quot;volume&quot;:&quot;16&quot;},&quot;isTemporary&quot;:false}],&quot;citationTag&quot;:&quot;MENDELEY_CITATION_v3_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&quot;},{&quot;citationID&quot;:&quot;MENDELEY_CITATION_2c5b1196-ee1d-4b7d-b877-d16f8d255afb&quot;,&quot;properties&quot;:{&quot;noteIndex&quot;:0},&quot;isEdited&quot;:false,&quot;manualOverride&quot;:{&quot;isManuallyOverridden&quot;:false,&quot;citeprocText&quot;:&quot;(Gray &amp;#38; McKinnon, 2007; Herrera et al., 2015)&quot;,&quot;manualOverrideText&quot;:&quot;&quot;},&quot;citationItems&quot;:[{&quot;id&quot;:&quot;f69ec32a-f515-3572-bbc3-8df587626c1f&quot;,&quot;itemData&quot;:{&quot;type&quot;:&quot;article-journal&quot;,&quot;id&quot;:&quot;f69ec32a-f515-3572-bbc3-8df587626c1f&quot;,&quot;title&quot;:&quot;Linking color polymorphism maintenance and speciation&quot;,&quot;author&quot;:[{&quot;family&quot;:&quot;Gray&quot;,&quot;given&quot;:&quot;Suzanne M.&quot;,&quot;parse-names&quot;:false,&quot;dropping-particle&quot;:&quot;&quot;,&quot;non-dropping-particle&quot;:&quot;&quot;},{&quot;family&quot;:&quot;McKinnon&quot;,&quot;given&quot;:&quot;Jeffrey S.&quot;,&quot;parse-names&quot;:false,&quot;dropping-particle&quot;:&quot;&quot;,&quot;non-dropping-particle&quot;:&quot;&quot;}],&quot;container-title&quot;:&quot;Trends in Ecology and Evolution&quot;,&quot;container-title-short&quot;:&quot;Trends Ecol Evol&quot;,&quot;DOI&quot;:&quot;10.1016/j.tree.2006.10.005&quot;,&quot;ISSN&quot;:&quot;01695347&quot;,&quot;PMID&quot;:&quot;17055107&quot;,&quot;issued&quot;:{&quot;date-parts&quot;:[[2007]]},&quot;page&quot;:&quot;71-79&quot;,&quot;abstract&quot;:&quot;Here, we review the recently burgeoning literature on color polymorphisms, seeking to integrate studies of the maintenance of genetic variation and the evolution of reproductive isolation. Our survey reveals that several mechanisms, some operating between populations and others within them, can contribute to both color polymorphism persistence and speciation. As expected, divergent selection clearly can couple with gene flow to maintain color polymorphism and mediate speciation. More surprisingly, recent evidence suggests that diverse forms of within-population sexual selection can generate negative frequency dependence and initiate reproductive isolation. These findings deserve additional study, particularly concerning the roles of heterogeneous visual environments and correlational selection. Finally, comparative studies and more comprehensive approaches are required to elucidate when color polymorphism evolves, persists, or leads to speciation. © 2006 Elsevier Ltd. All rights reserved.&quot;,&quot;issue&quot;:&quot;2&quot;,&quot;volume&quot;:&quot;22&quot;},&quot;isTemporary&quot;:false},{&quot;id&quot;:&quot;9b3ed37e-bcb5-3f0b-9c6c-774e13406923&quot;,&quot;itemData&quot;:{&quot;type&quot;:&quot;article-journal&quot;,&quot;id&quot;:&quot;9b3ed37e-bcb5-3f0b-9c6c-774e13406923&quot;,&quot;title&quot;:&quot;Mixed Signals ? Morphological and Molecular Evidence Suggest a Color Polymorphism in Some Neotropical Polythore Damselflies&quot;,&quot;author&quot;:[{&quot;family&quot;:&quot;Herrera&quot;,&quot;given&quot;:&quot;Melissa Sánchez&quot;,&quot;parse-names&quot;:false,&quot;dropping-particle&quot;:&quot;&quot;,&quot;non-dropping-particle&quot;:&quot;&quot;},{&quot;family&quot;:&quot;Kuhn&quot;,&quot;given&quot;:&quot;William R&quot;,&quot;parse-names&quot;:false,&quot;dropping-particle&quot;:&quot;&quot;,&quot;non-dropping-particle&quot;:&quot;&quot;},{&quot;family&quot;:&quot;Lorenzo-carballa&quot;,&quot;given&quot;:&quot;Maria Olalla&quot;,&quot;parse-names&quot;:false,&quot;dropping-particle&quot;:&quot;&quot;,&quot;non-dropping-particle&quot;:&quot;&quot;},{&quot;family&quot;:&quot;Harding&quot;,&quot;given&quot;:&quot;Kathleen M.&quot;,&quot;parse-names&quot;:false,&quot;dropping-particle&quot;:&quot;&quot;,&quot;non-dropping-particle&quot;:&quot;&quot;},{&quot;family&quot;:&quot;Ankrom&quot;,&quot;given&quot;:&quot;Nikole&quot;,&quot;parse-names&quot;:false,&quot;dropping-particle&quot;:&quot;&quot;,&quot;non-dropping-particle&quot;:&quot;&quot;},{&quot;family&quot;:&quot;Sherratt&quot;,&quot;given&quot;:&quot;Thomas N.&quot;,&quot;parse-names&quot;:false,&quot;dropping-particle&quot;:&quot;&quot;,&quot;non-dropping-particle&quot;:&quot;&quot;},{&quot;family&quot;:&quot;Hoffman&quot;,&quot;given&quot;:&quot;Joachim&quot;,&quot;parse-names&quot;:false,&quot;dropping-particle&quot;:&quot;&quot;,&quot;non-dropping-particle&quot;:&quot;&quot;},{&quot;family&quot;:&quot;Gossum&quot;,&quot;given&quot;:&quot;Hans&quot;,&quot;parse-names&quot;:false,&quot;dropping-particle&quot;:&quot;Van&quot;,&quot;non-dropping-particle&quot;:&quot;&quot;},{&quot;family&quot;:&quot;Ware&quot;,&quot;given&quot;:&quot;Jessica L.&quot;,&quot;parse-names&quot;:false,&quot;dropping-particle&quot;:&quot;&quot;,&quot;non-dropping-particle&quot;:&quot;&quot;},{&quot;family&quot;:&quot;Cordero-Rivera&quot;,&quot;given&quot;:&quot;Adolfo&quot;,&quot;parse-names&quot;:false,&quot;dropping-particle&quot;:&quot;&quot;,&quot;non-dropping-particle&quot;:&quot;&quot;},{&quot;family&quot;:&quot;Beatty&quot;,&quot;given&quot;:&quot;Christopher D.&quot;,&quot;parse-names&quot;:false,&quot;dropping-particle&quot;:&quot;&quot;,&quot;non-dropping-particle&quot;:&quot;&quot;}],&quot;container-title&quot;:&quot;PloS one&quot;,&quot;container-title-short&quot;:&quot;PLoS One&quot;,&quot;DOI&quot;:&quot;10.1371/journal.pone.0125074&quot;,&quot;issued&quot;:{&quot;date-parts&quot;:[[2015]]},&quot;issue&quot;:&quot;4&quot;,&quot;volume&quot;:&quot;10&quot;},&quot;isTemporary&quot;:false}],&quot;citationTag&quot;:&quot;MENDELEY_CITATION_v3_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&quot;},{&quot;citationID&quot;:&quot;MENDELEY_CITATION_93785cb6-02b9-4020-9636-c36af35a987e&quot;,&quot;properties&quot;:{&quot;noteIndex&quot;:0},&quot;isEdited&quot;:false,&quot;manualOverride&quot;:{&quot;isManuallyOverridden&quot;:false,&quot;citeprocText&quot;:&quot;(Hancock &amp;#38; Kushlan, 1984)&quot;,&quot;manualOverrideText&quot;:&quot;&quot;},&quot;citationItems&quot;:[{&quot;id&quot;:&quot;7fff3f18-3484-342f-90b6-22f8646ab392&quot;,&quot;itemData&quot;:{&quot;type&quot;:&quot;book&quot;,&quot;id&quot;:&quot;7fff3f18-3484-342f-90b6-22f8646ab392&quot;,&quot;title&quot;:&quot;The Herons Handbook&quot;,&quot;author&quot;:[{&quot;family&quot;:&quot;Hancock&quot;,&quot;given&quot;:&quot;James&quot;,&quot;parse-names&quot;:false,&quot;dropping-particle&quot;:&quot;&quot;,&quot;non-dropping-particle&quot;:&quot;&quot;},{&quot;family&quot;:&quot;Kushlan&quot;,&quot;given&quot;:&quot;James A.&quot;,&quot;parse-names&quot;:false,&quot;dropping-particle&quot;:&quot;&quot;,&quot;non-dropping-particle&quot;:&quot;&quot;}],&quot;URL&quot;:&quot;https://books.google.com/books?hl=en&amp;lr=&amp;id=ldzxpcqepksC&amp;oi=fnd&amp;pg=PT6&amp;dq=hancock+j.+and+kushlan&amp;ots=lSrOWtGkRJ&amp;sig=Itr09-BkM214z2sD4w5yMdTzJ6Q#v=onepage&amp;q=hancock j. and kushlan&amp;f=false&quot;,&quot;issued&quot;:{&quot;date-parts&quot;:[[1984]]},&quot;publisher-place&quot;:&quot;London&quot;,&quot;publisher&quot;:&quot;Croom and Helm.&quot;,&quot;container-title-short&quot;:&quot;&quot;},&quot;isTemporary&quot;:false}],&quot;citationTag&quot;:&quot;MENDELEY_CITATION_v3_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&quot;},{&quot;citationID&quot;:&quot;MENDELEY_CITATION_c2ad4f44-196b-4d81-9470-dff1e7e6074a&quot;,&quot;properties&quot;:{&quot;noteIndex&quot;:0},&quot;isEdited&quot;:false,&quot;manualOverride&quot;:{&quot;isManuallyOverridden&quot;:false,&quot;citeprocText&quot;:&quot;(Recher, 1972)&quot;,&quot;manualOverrideText&quot;:&quot;&quot;},&quot;citationItems&quot;:[{&quot;id&quot;:&quot;88d88dfd-75dd-3ec7-9fff-57123f0fbbfe&quot;,&quot;itemData&quot;:{&quot;type&quot;:&quot;article-journal&quot;,&quot;id&quot;:&quot;88d88dfd-75dd-3ec7-9fff-57123f0fbbfe&quot;,&quot;title&quot;:&quot;Colour Dimorphism and the Ecology of Herons&quot;,&quot;author&quot;:[{&quot;family&quot;:&quot;Recher&quot;,&quot;given&quot;:&quot;Harry F.&quot;,&quot;parse-names&quot;:false,&quot;dropping-particle&quot;:&quot;&quot;,&quot;non-dropping-particle&quot;:&quot;&quot;}],&quot;container-title&quot;:&quot;Ibis&quot;,&quot;DOI&quot;:&quot;10.1111/j.1474-919X.1972.tb00859.x&quot;,&quot;ISSN&quot;:&quot;1474919X&quot;,&quot;issued&quot;:{&quot;date-parts&quot;:[[1972]]},&quot;page&quot;:&quot;552-555&quot;,&quot;abstract&quot;:&quot;Murton (1971, ‘ Ibis ’ 113 : 97-99) discusses the incidence of colour polymorphism (dimorphism) in herons (Ardeidae) and suggests that white (light) and black (dark) morphs are maintained in populations because each has a selective advantage under certain foraging conditions. In particular, the white forms are said to be less visible to prey (fish) and have an advantage in situations demanding stealth or surprise. The dark morphs have an advantage in scaring or flushing prey out of hiding or into movement. Observations are presented to support the argument that white herons use stand and wait ” or wade slowly and surprise ” foraging techniques while dark herons forage in a more active manner and pursue active prey. Murton&quot;,&quot;issue&quot;:&quot;4&quot;,&quot;volume&quot;:&quot;114&quot;,&quot;container-title-short&quot;:&quot;&quot;},&quot;isTemporary&quot;:false}],&quot;citationTag&quot;:&quot;MENDELEY_CITATION_v3_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&quot;},{&quot;citationID&quot;:&quot;MENDELEY_CITATION_7d84e3d5-c6eb-433a-9b82-5161601cba8d&quot;,&quot;properties&quot;:{&quot;noteIndex&quot;:0},&quot;isEdited&quot;:false,&quot;manualOverride&quot;:{&quot;isManuallyOverridden&quot;:false,&quot;citeprocText&quot;:&quot;(L. H. Brown et al., 1992; Etezadifar &amp;#38; Amini, 2010; Mock, 1980)&quot;,&quot;manualOverrideText&quot;:&quot;&quot;},&quot;citationItems&quot;:[{&quot;id&quot;:&quot;5a4de7a1-d78b-31fa-97c1-8b10ca4c76a5&quot;,&quot;itemData&quot;:{&quot;type&quot;:&quot;book&quot;,&quot;id&quot;:&quot;5a4de7a1-d78b-31fa-97c1-8b10ca4c76a5&quot;,&quot;title&quot;:&quot;The Birds of Africa&quot;,&quot;author&quot;:[{&quot;family&quot;:&quot;Brown&quot;,&quot;given&quot;:&quot;Leslie H.&quot;,&quot;parse-names&quot;:false,&quot;dropping-particle&quot;:&quot;&quot;,&quot;non-dropping-particle&quot;:&quot;&quot;},{&quot;family&quot;:&quot;Urban&quot;,&quot;given&quot;:&quot;Emil K.&quot;,&quot;parse-names&quot;:false,&quot;dropping-particle&quot;:&quot;&quot;,&quot;non-dropping-particle&quot;:&quot;&quot;},{&quot;family&quot;:&quot;Newman&quot;,&quot;given&quot;:&quot;Kenneth B.&quot;,&quot;parse-names&quot;:false,&quot;dropping-particle&quot;:&quot;&quot;,&quot;non-dropping-particle&quot;:&quot;&quot;}],&quot;issued&quot;:{&quot;date-parts&quot;:[[1992]]},&quot;publisher-place&quot;:&quot;New York&quot;,&quot;number-of-pages&quot;:&quot;vol. 1.&quot;,&quot;publisher&quot;:&quot;Academic Press&quot;,&quot;container-title-short&quot;:&quot;&quot;},&quot;isTemporary&quot;:false},{&quot;id&quot;:&quot;c2e3d657-db12-3947-8e36-bd592f4f9117&quot;,&quot;itemData&quot;:{&quot;type&quot;:&quot;article-journal&quot;,&quot;id&quot;:&quot;c2e3d657-db12-3947-8e36-bd592f4f9117&quot;,&quot;title&quot;:&quot;Current Status of the Breeding Population of the Western Reef Heron Egretta gularis along the Northern Coasts of the Persian Gulf and Oman Sea , and its Wintering Population in the South of Iran&quot;,&quot;author&quot;:[{&quot;family&quot;:&quot;Etezadifar&quot;,&quot;given&quot;:&quot;Farzaneh&quot;,&quot;parse-names&quot;:false,&quot;dropping-particle&quot;:&quot;&quot;,&quot;non-dropping-particle&quot;:&quot;&quot;},{&quot;family&quot;:&quot;Amini&quot;,&quot;given&quot;:&quot;Hamid&quot;,&quot;parse-names&quot;:false,&quot;dropping-particle&quot;:&quot;&quot;,&quot;non-dropping-particle&quot;:&quot;&quot;}],&quot;container-title&quot;:&quot;Heron&quot;,&quot;issued&quot;:{&quot;date-parts&quot;:[[2010]]},&quot;page&quot;:&quot;71-80&quot;,&quot;issue&quot;:&quot;2&quot;,&quot;volume&quot;:&quot;5&quot;,&quot;container-title-short&quot;:&quot;&quot;},&quot;isTemporary&quot;:false},{&quot;id&quot;:&quot;0c4d3673-5eab-3c69-b1f9-0f29e57e18f8&quot;,&quot;itemData&quot;:{&quot;type&quot;:&quot;article-journal&quot;,&quot;id&quot;:&quot;0c4d3673-5eab-3c69-b1f9-0f29e57e18f8&quot;,&quot;title&quot;:&quot;White-dark polymorphism in herons&quot;,&quot;author&quot;:[{&quot;family&quot;:&quot;Mock&quot;,&quot;given&quot;:&quot;DOUGLAS W&quot;,&quot;parse-names&quot;:false,&quot;dropping-particle&quot;:&quot;&quot;,&quot;non-dropping-particle&quot;:&quot;&quot;}],&quot;container-title&quot;:&quot;Proceedings of the First Welder Wildlife Foundation Symposium&quot;,&quot;issued&quot;:{&quot;date-parts&quot;:[[1980]]},&quot;page&quot;:&quot;pp. 145-161&quot;,&quot;abstract&quot;:&quot;Based on experimental data on herons, Mock (1980) suggested that white morphs predominate in clear shallow waters on sunny days and open habitats as found along sea coasts and coral reefs, whereas dark morphs could predominate in cloudy water in closed habitat as found along inland waterways. This pattern may depend on differential crypsis of the two morphs in different light conditions (Go¨ tmark, 1987). In open habitat, white morphs may be more cryptic when viewed against bright sky during daytime, whereas dark ones may be more cryptic when viewed against a dark background as occurs in a gallery forest or at night. It is worth noting that polymorphic Eastern reef herons (Egretta sacra) are active at night as well as in the daytime (Itoh, 1991), considering that nocturnal species in Ardeidae have all dark plumage.&quot;,&quot;volume&quot;:&quot;1&quot;,&quot;container-title-short&quot;:&quot;&quot;},&quot;isTemporary&quot;:false}],&quot;citationTag&quot;:&quot;MENDELEY_CITATION_v3_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&quot;},{&quot;citationID&quot;:&quot;MENDELEY_CITATION_61011c70-f5b0-4166-8341-0ac8e829aa8a&quot;,&quot;properties&quot;:{&quot;noteIndex&quot;:0},&quot;isEdited&quot;:false,&quot;manualOverride&quot;:{&quot;isManuallyOverridden&quot;:false,&quot;citeprocText&quot;:&quot;(Kushlan &amp;#38; Hancock, 2005)&quot;,&quot;manualOverrideText&quot;:&quot;&quot;},&quot;citationItems&quot;:[{&quot;id&quot;:&quot;ab54854b-cf9d-35d1-b35e-5b226bb0ee12&quot;,&quot;itemData&quot;:{&quot;type&quot;:&quot;chapter&quot;,&quot;id&quot;:&quot;ab54854b-cf9d-35d1-b35e-5b226bb0ee12&quot;,&quot;title&quot;:&quot;14. The Herons: Ardeidea (Bird Families of the World)&quot;,&quot;author&quot;:[{&quot;family&quot;:&quot;Kushlan&quot;,&quot;given&quot;:&quot;J. A.&quot;,&quot;parse-names&quot;:false,&quot;dropping-particle&quot;:&quot;&quot;,&quot;non-dropping-particle&quot;:&quot;&quot;},{&quot;family&quot;:&quot;Hancock&quot;,&quot;given&quot;:&quot;J.&quot;,&quot;parse-names&quot;:false,&quot;dropping-particle&quot;:&quot;&quot;,&quot;non-dropping-particle&quot;:&quot;&quot;}],&quot;container-title&quot;:&quot;Bird Families of the World&quot;,&quot;issued&quot;:{&quot;date-parts&quot;:[[2005]]},&quot;publisher-place&quot;:&quot;New York&quot;,&quot;page&quot;:&quot;xv-433&quot;,&quot;publisher&quot;:&quot;Oxford University Press&quot;,&quot;container-title-short&quot;:&quot;&quot;},&quot;isTemporary&quot;:false}],&quot;citationTag&quot;:&quot;MENDELEY_CITATION_v3_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&quot;},{&quot;citationID&quot;:&quot;MENDELEY_CITATION_b9ce08b1-c4a9-400b-9b06-6eba67143ee2&quot;,&quot;properties&quot;:{&quot;noteIndex&quot;:0},&quot;isEdited&quot;:false,&quot;manualOverride&quot;:{&quot;isManuallyOverridden&quot;:false,&quot;citeprocText&quot;:&quot;(L. H. Brown et al., 1992; Zimmerman et al., 1996)&quot;,&quot;manualOverrideText&quot;:&quot;&quot;},&quot;citationItems&quot;:[{&quot;id&quot;:&quot;5a4de7a1-d78b-31fa-97c1-8b10ca4c76a5&quot;,&quot;itemData&quot;:{&quot;type&quot;:&quot;book&quot;,&quot;id&quot;:&quot;5a4de7a1-d78b-31fa-97c1-8b10ca4c76a5&quot;,&quot;title&quot;:&quot;The Birds of Africa&quot;,&quot;author&quot;:[{&quot;family&quot;:&quot;Brown&quot;,&quot;given&quot;:&quot;Leslie H.&quot;,&quot;parse-names&quot;:false,&quot;dropping-particle&quot;:&quot;&quot;,&quot;non-dropping-particle&quot;:&quot;&quot;},{&quot;family&quot;:&quot;Urban&quot;,&quot;given&quot;:&quot;Emil K.&quot;,&quot;parse-names&quot;:false,&quot;dropping-particle&quot;:&quot;&quot;,&quot;non-dropping-particle&quot;:&quot;&quot;},{&quot;family&quot;:&quot;Newman&quot;,&quot;given&quot;:&quot;Kenneth B.&quot;,&quot;parse-names&quot;:false,&quot;dropping-particle&quot;:&quot;&quot;,&quot;non-dropping-particle&quot;:&quot;&quot;}],&quot;issued&quot;:{&quot;date-parts&quot;:[[1992]]},&quot;publisher-place&quot;:&quot;New York&quot;,&quot;number-of-pages&quot;:&quot;vol. 1.&quot;,&quot;publisher&quot;:&quot;Academic Press&quot;,&quot;container-title-short&quot;:&quot;&quot;},&quot;isTemporary&quot;:false},{&quot;id&quot;:&quot;a535270e-94b9-30df-be41-8135129bf2a3&quot;,&quot;itemData&quot;:{&quot;type&quot;:&quot;book&quot;,&quot;id&quot;:&quot;a535270e-94b9-30df-be41-8135129bf2a3&quot;,&quot;title&quot;:&quot;Birds of Kenya and northern Tanzania&quot;,&quot;author&quot;:[{&quot;family&quot;:&quot;Zimmerman&quot;,&quot;given&quot;:&quot;Dale A.&quot;,&quot;parse-names&quot;:false,&quot;dropping-particle&quot;:&quot;&quot;,&quot;non-dropping-particle&quot;:&quot;&quot;},{&quot;family&quot;:&quot;Turner&quot;,&quot;given&quot;:&quot;Donald A.&quot;,&quot;parse-names&quot;:false,&quot;dropping-particle&quot;:&quot;&quot;,&quot;non-dropping-particle&quot;:&quot;&quot;},{&quot;family&quot;:&quot;Pearson&quot;,&quot;given&quot;:&quot;David J.&quot;,&quot;parse-names&quot;:false,&quot;dropping-particle&quot;:&quot;&quot;,&quot;non-dropping-particle&quot;:&quot;&quot;}],&quot;accessed&quot;:{&quot;date-parts&quot;:[[2017,11,10]]},&quot;ISBN&quot;:&quot;0691026580&quot;,&quot;URL&quot;:&quot;http://agris.fao.org/agris-search/search.do?recordID=US201300075290&quot;,&quot;issued&quot;:{&quot;date-parts&quot;:[[1996]]},&quot;number-of-pages&quot;:&quot;317 - 318&quot;,&quot;abstract&quot;:&quot;Birds of Kenya and Northern Tanzania treats the 1,114 species found within this region. Moreover, as many of these are widespread in eastern Africa, the book's effective coverage is much greater, including 90% of the 1,040 species recorded in Tanzania, 85% of Uganda's 1,004 species, and a majority of those in southern Ethiopia, Somalia and Sudan. The 124 colour plates and numerous line drawings illustrate every species (all but nine depicted in colour), and the. Comprehensive text provides full details on description, vocalization, habits and status and distribution, and for 1,058 species there is an up-to-the-minute distribution map. No other book on Africa's birds covers a regional avifauna in such depth and with such detailed illustrations. Birds of Kenya and Northern Tanzania is a major step forward in African ornithology and the definitive guide to East African birds.&quot;,&quot;publisher&quot;:&quot;Princeton University Press&quot;,&quot;container-title-short&quot;:&quot;&quot;},&quot;isTemporary&quot;:false}],&quot;citationTag&quot;:&quot;MENDELEY_CITATION_v3_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&quot;},{&quot;citationID&quot;:&quot;MENDELEY_CITATION_6189040f-1696-46a7-98de-1791054fd58e&quot;,&quot;properties&quot;:{&quot;noteIndex&quot;:0},&quot;isEdited&quot;:false,&quot;manualOverride&quot;:{&quot;isManuallyOverridden&quot;:true,&quot;citeprocText&quot;:&quot;(Kruschke, 2013)&quot;,&quot;manualOverrideText&quot;:&quot;(2013)&quot;},&quot;citationItems&quot;:[{&quot;id&quot;:&quot;bf8843d0-9cbc-3861-9855-7e3023f13671&quot;,&quot;itemData&quot;:{&quot;type&quot;:&quot;article-journal&quot;,&quot;id&quot;:&quot;bf8843d0-9cbc-3861-9855-7e3023f13671&quot;,&quot;title&quot;:&quot;Bayesian estimation supersedes the t test.&quot;,&quot;author&quot;:[{&quot;family&quot;:&quot;Kruschke&quot;,&quot;given&quot;:&quot;John K.&quot;,&quot;parse-names&quot;:false,&quot;dropping-particle&quot;:&quot;&quot;,&quot;non-dropping-particle&quot;:&quot;&quot;}],&quot;container-title&quot;:&quot;Journal of Experimental Psychology: General&quot;,&quot;container-title-short&quot;:&quot;J Exp Psychol Gen&quot;,&quot;DOI&quot;:&quot;10.1037/a0029146&quot;,&quot;ISSN&quot;:&quot;0096-3445&quot;,&quot;PMID&quot;:&quot;22774788&quot;,&quot;issued&quot;:{&quot;date-parts&quot;:[[2013]]},&quot;page&quot;:&quot;573-603&quot;,&quot;abstract&quot;:&quot;Bayesian estimation for 2 groups provides complete distributions of credible values for the effect size, group means and their difference, standard deviations and their difference, and the normality of the data. The method handles outliers. The decision rule can accept the null value (unlike traditional t tests) when certainty in the estimate is high (unlike Bayesian model comparison using Bayes factors). The method also yields precise estimates of statistical power for various research goals. The software and programs are free and run on Macintosh, Windows, and Linux platforms.&quot;,&quot;issue&quot;:&quot;2&quot;,&quot;volume&quot;:&quot;142&quot;},&quot;isTemporary&quot;:false}],&quot;citationTag&quot;:&quot;MENDELEY_CITATION_v3_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&quot;},{&quot;citationID&quot;:&quot;MENDELEY_CITATION_467f190a-86b3-4108-babe-f08106b8a3cf&quot;,&quot;properties&quot;:{&quot;noteIndex&quot;:0},&quot;isEdited&quot;:false,&quot;manualOverride&quot;:{&quot;isManuallyOverridden&quot;:false,&quot;citeprocText&quot;:&quot;(Delhey, 2019)&quot;,&quot;manualOverrideText&quot;:&quot;&quot;},&quot;citationItems&quot;:[{&quot;id&quot;:&quot;d4b96d48-2c38-3277-880a-def0ac8566fb&quot;,&quot;itemData&quot;:{&quot;type&quot;:&quot;article-journal&quot;,&quot;id&quot;:&quot;d4b96d48-2c38-3277-880a-def0ac8566fb&quot;,&quot;title&quot;:&quot;A review of Gloger's rule, an ecogeographical rule of colour: definitions, interpretations and evidence&quot;,&quot;author&quot;:[{&quot;family&quot;:&quot;Delhey&quot;,&quot;given&quot;:&quot;Kaspar&quot;,&quot;parse-names&quot;:false,&quot;dropping-particle&quot;:&quot;&quot;,&quot;non-dropping-particle&quot;:&quot;&quot;}],&quot;container-title&quot;:&quot;Biological Reviews&quot;,&quot;DOI&quot;:&quot;10.1111/brv.12503&quot;,&quot;ISSN&quot;:&quot;1464-7931&quot;,&quot;issued&quot;:{&quot;date-parts&quot;:[[2019]]},&quot;page&quot;:&quot;1294-1316&quot;,&quot;volume&quot;:&quot;94&quot;,&quot;container-title-short&quot;:&quot;&quot;},&quot;isTemporary&quot;:false}],&quot;citationTag&quot;:&quot;MENDELEY_CITATION_v3_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&quot;},{&quot;citationID&quot;:&quot;MENDELEY_CITATION_e794fddb-2561-4913-9336-448dca657022&quot;,&quot;properties&quot;:{&quot;noteIndex&quot;:0},&quot;isEdited&quot;:false,&quot;manualOverride&quot;:{&quot;isManuallyOverridden&quot;:false,&quot;citeprocText&quot;:&quot;(eBird, 2022)&quot;,&quot;manualOverrideText&quot;:&quot;&quot;},&quot;citationItems&quot;:[{&quot;id&quot;:&quot;559fc674-168d-3fed-830a-baf13c7a4aa2&quot;,&quot;itemData&quot;:{&quot;type&quot;:&quot;webpage&quot;,&quot;id&quot;:&quot;559fc674-168d-3fed-830a-baf13c7a4aa2&quot;,&quot;title&quot;:&quot;eBird: An online database of bird distribution and abundance&quot;,&quot;author&quot;:[{&quot;family&quot;:&quot;eBird&quot;,&quot;given&quot;:&quot;&quot;,&quot;parse-names&quot;:false,&quot;dropping-particle&quot;:&quot;&quot;,&quot;non-dropping-particle&quot;:&quot;&quot;}],&quot;container-title&quot;:&quot;Ithaca, NY: Cornell Lab of Ornithology&quot;,&quot;URL&quot;:&quot;http://www.ebird.org&quot;,&quot;issued&quot;:{&quot;date-parts&quot;:[[2022]]},&quot;container-title-short&quot;:&quot;&quot;},&quot;isTemporary&quot;:false}],&quot;citationTag&quot;:&quot;MENDELEY_CITATION_v3_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&quot;},{&quot;citationID&quot;:&quot;MENDELEY_CITATION_317399a3-f82f-47eb-b3e7-56bd186f35a5&quot;,&quot;properties&quot;:{&quot;noteIndex&quot;:0},&quot;isEdited&quot;:false,&quot;manualOverride&quot;:{&quot;isManuallyOverridden&quot;:false,&quot;citeprocText&quot;:&quot;(J. L. Brown &amp;#38; Carnaval, 2019)&quot;,&quot;manualOverrideText&quot;:&quot;&quot;},&quot;citationItems&quot;:[{&quot;id&quot;:&quot;1d5a9206-d95a-3910-bc12-e686e3b8cf18&quot;,&quot;itemData&quot;:{&quot;type&quot;:&quot;article-journal&quot;,&quot;id&quot;:&quot;1d5a9206-d95a-3910-bc12-e686e3b8cf18&quot;,&quot;title&quot;:&quot;A tale of two niches: Methods, concepts, and evolution&quot;,&quot;author&quot;:[{&quot;family&quot;:&quot;Brown&quot;,&quot;given&quot;:&quot;Jason L.&quot;,&quot;parse-names&quot;:false,&quot;dropping-particle&quot;:&quot;&quot;,&quot;non-dropping-particle&quot;:&quot;&quot;},{&quot;family&quot;:&quot;Carnaval&quot;,&quot;given&quot;:&quot;Ana C.&quot;,&quot;parse-names&quot;:false,&quot;dropping-particle&quot;:&quot;&quot;,&quot;non-dropping-particle&quot;:&quot;&quot;}],&quot;container-title&quot;:&quot;Frontiers of Biogeography&quot;,&quot;container-title-short&quot;:&quot;Front Biogeogr&quot;,&quot;DOI&quot;:&quot;10.21425/F5FBG44158&quot;,&quot;ISSN&quot;:&quot;19486596&quot;,&quot;issued&quot;:{&quot;date-parts&quot;:[[2019]]},&quot;abstract&quot;:&quot;Being snapshots in time, the ranges of species may fall short of representing all of the geographic or environmental-space that these taxa are able to occupy. This has important implications for niche studies, yet most comparative studies overlook the transient nature of species' distributions and assume that they are at equilibrium. We review the methods most widely used for niche comparisons today and suggest a modified framework to describe and compare niches based on snapshot range data of species. First, we introduce a new environmental-space-based Niche Equivalencestatistic to test niche similarity between two species, which explicitly incorporates the spatial distribution of environments and their availability into statistical tests. We also introduce a new Background statistic to measure the ability of this Niche Equivalence statistic to detect differences based on the available environmental-space. These metrics enable fair comparisons between different geographies when the ranges of species are out of equilibrium. Based on distinct parameterizations of the new Equivalence and Background statistics, we then propose a Niche Divergence test and a Niche Overlap test, which allow assessment of whether differences between species emerge from true niche divergences. These methods are implemented in a new R package, 'humboldt' and applied to simulated species with pre-defined niches. The new methods improve accuracy of niche similarity and associated tests-consistently outperforming other tests. We show that the quantification of niche similarity should be performed only in environmental-space, which is less sensitive than geographic space to the spatial abundance of key environmental variables. Further, our methods characterize the relationships between non-analogous and analogous climates in the species' distributions, something not available previously. These improvements allow assessment of whether the different environmental spaces occupied by two taxa emerge from true niche evolution, as opposed to differences in life history and biological interactors, or differences in the variety and configuration of environments accessible to them.&quot;,&quot;issue&quot;:&quot;4&quot;,&quot;volume&quot;:&quot;11&quot;},&quot;isTemporary&quot;:false}],&quot;citationTag&quot;:&quot;MENDELEY_CITATION_v3_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259F8-4340-4158-AAD7-9A18DB49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187</Pages>
  <Words>233864</Words>
  <Characters>1333030</Characters>
  <Application>Microsoft Office Word</Application>
  <DocSecurity>0</DocSecurity>
  <Lines>11108</Lines>
  <Paragraphs>3127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Shahrokhi, Golya</dc:creator>
  <cp:keywords/>
  <dc:description/>
  <cp:lastModifiedBy>Pedraza Marron, Carmen</cp:lastModifiedBy>
  <cp:revision>6</cp:revision>
  <cp:lastPrinted>2023-12-06T15:57:00Z</cp:lastPrinted>
  <dcterms:created xsi:type="dcterms:W3CDTF">2023-12-06T15:57:00Z</dcterms:created>
  <dcterms:modified xsi:type="dcterms:W3CDTF">2023-12-20T14:41:00Z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http://www.zotero.org/styles/bmc-evolutionary-biology</vt:lpwstr>
  </property>
  <property fmtid="{D5CDD505-2E9C-101B-9397-08002B2CF9AE}" pid="5" name="Mendeley Recent Style Name 1_1">
    <vt:lpwstr>BMC Evolutionary Biology</vt:lpwstr>
  </property>
  <property fmtid="{D5CDD505-2E9C-101B-9397-08002B2CF9AE}" pid="6" name="Mendeley Recent Style Id 2_1">
    <vt:lpwstr>http://www.zotero.org/styles/harvard1</vt:lpwstr>
  </property>
  <property fmtid="{D5CDD505-2E9C-101B-9397-08002B2CF9AE}" pid="7" name="Mendeley Recent Style Name 2_1">
    <vt:lpwstr>Harvard reference format 1 (deprecated)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http://www.zotero.org/styles/molecular-ecology</vt:lpwstr>
  </property>
  <property fmtid="{D5CDD505-2E9C-101B-9397-08002B2CF9AE}" pid="15" name="Mendeley Recent Style Name 6_1">
    <vt:lpwstr>Molecular Ecology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http://www.zotero.org/styles/pnas</vt:lpwstr>
  </property>
  <property fmtid="{D5CDD505-2E9C-101B-9397-08002B2CF9AE}" pid="19" name="Mendeley Recent Style Name 8_1">
    <vt:lpwstr>Proceedings of the National Academy of Sciences of the United States of America</vt:lpwstr>
  </property>
  <property fmtid="{D5CDD505-2E9C-101B-9397-08002B2CF9AE}" pid="20" name="Mendeley Recent Style Id 9_1">
    <vt:lpwstr>http://www.zotero.org/styles/systematic-biology</vt:lpwstr>
  </property>
  <property fmtid="{D5CDD505-2E9C-101B-9397-08002B2CF9AE}" pid="21" name="Mendeley Recent Style Name 9_1">
    <vt:lpwstr>Systematic Biology</vt:lpwstr>
  </property>
</Properties>
</file>